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C060C7">
      <w:pPr>
        <w:widowControl/>
        <w:spacing w:before="480" w:beforeLines="200" w:line="360" w:lineRule="auto"/>
        <w:jc w:val="center"/>
        <w:rPr>
          <w:rFonts w:ascii="宋体" w:hAnsi="宋体"/>
          <w:kern w:val="0"/>
          <w:sz w:val="40"/>
          <w:szCs w:val="40"/>
        </w:rPr>
      </w:pPr>
      <w:bookmarkStart w:id="0" w:name="_Toc31881"/>
      <w:bookmarkStart w:id="1" w:name="_Toc26510"/>
      <w:bookmarkStart w:id="2" w:name="_Toc22505"/>
      <w:bookmarkStart w:id="3" w:name="_Toc21558468"/>
      <w:bookmarkStart w:id="4" w:name="_Toc17911"/>
      <w:bookmarkStart w:id="5" w:name="_Toc525258158"/>
      <w:bookmarkStart w:id="6" w:name="_Toc40865320"/>
      <w:bookmarkStart w:id="7" w:name="_Toc525434523"/>
      <w:bookmarkStart w:id="8" w:name="_Toc40750392"/>
      <w:bookmarkStart w:id="9" w:name="_Toc529609423"/>
      <w:bookmarkStart w:id="10" w:name="_Toc43860090"/>
    </w:p>
    <w:p w14:paraId="3FE1E499">
      <w:pPr>
        <w:widowControl/>
        <w:spacing w:before="480" w:beforeLines="200" w:line="360" w:lineRule="auto"/>
        <w:jc w:val="center"/>
        <w:rPr>
          <w:rFonts w:ascii="宋体" w:hAnsi="宋体"/>
          <w:kern w:val="0"/>
          <w:sz w:val="40"/>
          <w:szCs w:val="40"/>
        </w:rPr>
      </w:pPr>
      <w:r>
        <w:rPr>
          <w:rFonts w:hint="eastAsia" w:ascii="宋体" w:hAnsi="宋体"/>
          <w:kern w:val="0"/>
          <w:sz w:val="40"/>
          <w:szCs w:val="40"/>
        </w:rPr>
        <w:t>浏阳市太平复兴花炮厂（个人独资）</w:t>
      </w:r>
    </w:p>
    <w:p w14:paraId="76CF4415">
      <w:pPr>
        <w:widowControl/>
        <w:spacing w:line="360" w:lineRule="auto"/>
        <w:jc w:val="center"/>
        <w:rPr>
          <w:rFonts w:ascii="宋体" w:hAnsi="宋体"/>
          <w:kern w:val="0"/>
          <w:sz w:val="40"/>
          <w:szCs w:val="40"/>
        </w:rPr>
      </w:pPr>
      <w:bookmarkStart w:id="11" w:name="OLE_LINK11"/>
      <w:bookmarkStart w:id="12" w:name="OLE_LINK12"/>
      <w:r>
        <w:rPr>
          <w:rFonts w:hint="eastAsia" w:ascii="宋体" w:hAnsi="宋体"/>
          <w:kern w:val="0"/>
          <w:sz w:val="40"/>
          <w:szCs w:val="40"/>
        </w:rPr>
        <w:t>厂房升级改造项目</w:t>
      </w:r>
    </w:p>
    <w:bookmarkEnd w:id="11"/>
    <w:bookmarkEnd w:id="12"/>
    <w:p w14:paraId="5B778FE8">
      <w:pPr>
        <w:widowControl/>
        <w:spacing w:line="360" w:lineRule="auto"/>
        <w:jc w:val="center"/>
        <w:rPr>
          <w:rFonts w:ascii="黑体" w:hAnsi="黑体" w:eastAsia="黑体"/>
          <w:kern w:val="0"/>
          <w:sz w:val="44"/>
          <w:szCs w:val="44"/>
        </w:rPr>
      </w:pPr>
      <w:r>
        <w:rPr>
          <w:rFonts w:hint="eastAsia" w:ascii="黑体" w:hAnsi="黑体" w:eastAsia="黑体"/>
          <w:kern w:val="0"/>
          <w:sz w:val="44"/>
          <w:szCs w:val="44"/>
        </w:rPr>
        <w:t>安全预评价报告</w:t>
      </w:r>
    </w:p>
    <w:p w14:paraId="0F982E0B">
      <w:pPr>
        <w:widowControl/>
        <w:spacing w:line="360" w:lineRule="auto"/>
        <w:jc w:val="center"/>
        <w:rPr>
          <w:rFonts w:ascii="黑体" w:hAnsi="黑体" w:eastAsia="黑体"/>
          <w:b w:val="0"/>
          <w:kern w:val="0"/>
          <w:sz w:val="44"/>
          <w:szCs w:val="44"/>
        </w:rPr>
      </w:pPr>
      <w:r>
        <w:rPr>
          <w:rFonts w:hint="eastAsia" w:ascii="黑体" w:hAnsi="黑体" w:eastAsia="黑体"/>
          <w:b w:val="0"/>
          <w:kern w:val="0"/>
          <w:sz w:val="44"/>
          <w:szCs w:val="44"/>
        </w:rPr>
        <w:t xml:space="preserve"> </w:t>
      </w:r>
    </w:p>
    <w:p w14:paraId="543F1BF1">
      <w:pPr>
        <w:adjustRightInd w:val="0"/>
        <w:snapToGrid w:val="0"/>
        <w:jc w:val="center"/>
        <w:rPr>
          <w:rFonts w:ascii="Arial" w:hAnsi="Arial"/>
          <w:spacing w:val="60"/>
          <w:sz w:val="44"/>
          <w:szCs w:val="28"/>
        </w:rPr>
      </w:pPr>
    </w:p>
    <w:p w14:paraId="345FB1BF">
      <w:pPr>
        <w:adjustRightInd w:val="0"/>
        <w:snapToGrid w:val="0"/>
        <w:jc w:val="center"/>
        <w:rPr>
          <w:rFonts w:ascii="Arial" w:hAnsi="Arial"/>
          <w:spacing w:val="60"/>
          <w:sz w:val="44"/>
          <w:szCs w:val="28"/>
        </w:rPr>
      </w:pPr>
    </w:p>
    <w:p w14:paraId="4DD01408">
      <w:pPr>
        <w:adjustRightInd w:val="0"/>
        <w:snapToGrid w:val="0"/>
        <w:jc w:val="center"/>
        <w:rPr>
          <w:rFonts w:ascii="Arial" w:hAnsi="Arial"/>
          <w:spacing w:val="60"/>
          <w:sz w:val="44"/>
          <w:szCs w:val="28"/>
        </w:rPr>
      </w:pPr>
    </w:p>
    <w:p w14:paraId="60782A3B">
      <w:pPr>
        <w:adjustRightInd w:val="0"/>
        <w:snapToGrid w:val="0"/>
        <w:jc w:val="center"/>
        <w:rPr>
          <w:rFonts w:ascii="Arial" w:hAnsi="Arial"/>
          <w:spacing w:val="60"/>
          <w:sz w:val="44"/>
          <w:szCs w:val="28"/>
        </w:rPr>
      </w:pPr>
    </w:p>
    <w:p w14:paraId="34823B7F">
      <w:pPr>
        <w:adjustRightInd w:val="0"/>
        <w:snapToGrid w:val="0"/>
        <w:jc w:val="center"/>
        <w:rPr>
          <w:rFonts w:ascii="Arial" w:hAnsi="Arial"/>
          <w:spacing w:val="60"/>
          <w:sz w:val="44"/>
          <w:szCs w:val="28"/>
        </w:rPr>
      </w:pPr>
    </w:p>
    <w:p w14:paraId="0CC58DE8">
      <w:pPr>
        <w:adjustRightInd w:val="0"/>
        <w:snapToGrid w:val="0"/>
        <w:jc w:val="center"/>
        <w:rPr>
          <w:rFonts w:ascii="Arial" w:hAnsi="Arial"/>
          <w:spacing w:val="60"/>
          <w:sz w:val="44"/>
          <w:szCs w:val="28"/>
        </w:rPr>
      </w:pPr>
    </w:p>
    <w:p w14:paraId="747AC10B">
      <w:pPr>
        <w:adjustRightInd w:val="0"/>
        <w:snapToGrid w:val="0"/>
        <w:jc w:val="center"/>
        <w:rPr>
          <w:rFonts w:ascii="Arial" w:hAnsi="Arial"/>
          <w:spacing w:val="60"/>
          <w:sz w:val="44"/>
          <w:szCs w:val="28"/>
        </w:rPr>
      </w:pPr>
    </w:p>
    <w:p w14:paraId="7C0B5DD7">
      <w:pPr>
        <w:adjustRightInd w:val="0"/>
        <w:snapToGrid w:val="0"/>
        <w:jc w:val="center"/>
        <w:rPr>
          <w:rFonts w:ascii="Arial" w:hAnsi="Arial"/>
          <w:spacing w:val="60"/>
          <w:sz w:val="44"/>
          <w:szCs w:val="28"/>
        </w:rPr>
      </w:pPr>
    </w:p>
    <w:p w14:paraId="462773BF">
      <w:pPr>
        <w:adjustRightInd w:val="0"/>
        <w:snapToGrid w:val="0"/>
        <w:jc w:val="center"/>
        <w:rPr>
          <w:rFonts w:ascii="Arial" w:hAnsi="Arial"/>
          <w:spacing w:val="60"/>
          <w:sz w:val="44"/>
          <w:szCs w:val="28"/>
        </w:rPr>
      </w:pPr>
    </w:p>
    <w:p w14:paraId="3A27E009">
      <w:pPr>
        <w:adjustRightInd w:val="0"/>
        <w:snapToGrid w:val="0"/>
        <w:jc w:val="center"/>
        <w:rPr>
          <w:rFonts w:ascii="Arial" w:hAnsi="Arial"/>
          <w:spacing w:val="60"/>
          <w:sz w:val="44"/>
          <w:szCs w:val="28"/>
        </w:rPr>
      </w:pPr>
    </w:p>
    <w:p w14:paraId="6120C606">
      <w:pPr>
        <w:adjustRightInd w:val="0"/>
        <w:snapToGrid w:val="0"/>
        <w:jc w:val="center"/>
        <w:rPr>
          <w:rFonts w:ascii="Arial" w:hAnsi="Arial"/>
          <w:spacing w:val="60"/>
          <w:sz w:val="44"/>
          <w:szCs w:val="28"/>
        </w:rPr>
      </w:pPr>
    </w:p>
    <w:p w14:paraId="7EB8501E">
      <w:pPr>
        <w:adjustRightInd w:val="0"/>
        <w:snapToGrid w:val="0"/>
        <w:jc w:val="center"/>
        <w:rPr>
          <w:rFonts w:ascii="Arial" w:hAnsi="Arial"/>
          <w:spacing w:val="60"/>
          <w:sz w:val="44"/>
          <w:szCs w:val="28"/>
        </w:rPr>
      </w:pPr>
    </w:p>
    <w:p w14:paraId="4F4A9BD5">
      <w:pPr>
        <w:spacing w:line="560" w:lineRule="exact"/>
        <w:jc w:val="center"/>
        <w:rPr>
          <w:rFonts w:ascii="宋体" w:hAnsi="宋体" w:cs="宋体"/>
          <w:kern w:val="0"/>
          <w:sz w:val="44"/>
          <w:szCs w:val="44"/>
        </w:rPr>
      </w:pPr>
      <w:r>
        <w:rPr>
          <w:rFonts w:hint="eastAsia" w:ascii="宋体" w:hAnsi="宋体" w:cs="宋体"/>
          <w:kern w:val="0"/>
          <w:sz w:val="44"/>
          <w:szCs w:val="44"/>
        </w:rPr>
        <w:t>江西赣安安全生产科学技术咨询服务中心</w:t>
      </w:r>
    </w:p>
    <w:p w14:paraId="0141A1FD">
      <w:pPr>
        <w:spacing w:line="560" w:lineRule="exact"/>
        <w:jc w:val="center"/>
        <w:rPr>
          <w:rFonts w:ascii="宋体" w:hAnsi="宋体" w:cs="宋体"/>
          <w:kern w:val="0"/>
          <w:sz w:val="32"/>
          <w:szCs w:val="32"/>
        </w:rPr>
      </w:pPr>
      <w:r>
        <w:rPr>
          <w:rFonts w:hint="eastAsia" w:ascii="宋体" w:hAnsi="宋体" w:cs="宋体"/>
          <w:kern w:val="0"/>
          <w:sz w:val="32"/>
          <w:szCs w:val="32"/>
        </w:rPr>
        <w:t>资质证书编号：APJ-（赣）-002</w:t>
      </w:r>
    </w:p>
    <w:p w14:paraId="400B6397">
      <w:pPr>
        <w:spacing w:line="560" w:lineRule="exact"/>
        <w:jc w:val="center"/>
        <w:rPr>
          <w:rFonts w:ascii="宋体" w:hAnsi="宋体" w:cs="宋体"/>
          <w:kern w:val="0"/>
          <w:sz w:val="32"/>
          <w:szCs w:val="32"/>
        </w:rPr>
        <w:sectPr>
          <w:headerReference r:id="rId4" w:type="first"/>
          <w:headerReference r:id="rId3" w:type="default"/>
          <w:footerReference r:id="rId5" w:type="default"/>
          <w:footerReference r:id="rId6" w:type="even"/>
          <w:type w:val="oddPage"/>
          <w:pgSz w:w="11906" w:h="16838"/>
          <w:pgMar w:top="1440" w:right="1800" w:bottom="1440" w:left="1800" w:header="993" w:footer="854" w:gutter="0"/>
          <w:pgBorders>
            <w:top w:val="none" w:sz="0" w:space="0"/>
            <w:left w:val="none" w:sz="0" w:space="0"/>
            <w:bottom w:val="none" w:sz="0" w:space="0"/>
            <w:right w:val="none" w:sz="0" w:space="0"/>
          </w:pgBorders>
          <w:pgNumType w:fmt="upperRoman" w:start="1"/>
          <w:cols w:space="720" w:num="1"/>
          <w:titlePg/>
          <w:docGrid w:linePitch="312" w:charSpace="0"/>
        </w:sectPr>
      </w:pPr>
      <w:r>
        <w:rPr>
          <w:rFonts w:hint="eastAsia" w:ascii="宋体" w:hAnsi="宋体" w:cs="宋体"/>
          <w:kern w:val="0"/>
          <w:sz w:val="32"/>
          <w:szCs w:val="32"/>
        </w:rPr>
        <w:t>二〇二六</w:t>
      </w:r>
      <w:r>
        <w:rPr>
          <w:rFonts w:hint="eastAsia" w:ascii="宋体" w:hAnsi="宋体" w:cs="宋体"/>
          <w:color w:val="000000" w:themeColor="text1"/>
          <w:kern w:val="0"/>
          <w:sz w:val="32"/>
          <w:szCs w:val="32"/>
          <w14:textFill>
            <w14:solidFill>
              <w14:schemeClr w14:val="tx1"/>
            </w14:solidFill>
          </w14:textFill>
        </w:rPr>
        <w:t>年九月二日</w:t>
      </w:r>
    </w:p>
    <w:p w14:paraId="211CFB31">
      <w:pPr>
        <w:spacing w:line="560" w:lineRule="exact"/>
        <w:jc w:val="center"/>
        <w:rPr>
          <w:rFonts w:ascii="宋体" w:hAnsi="宋体" w:cs="宋体"/>
          <w:kern w:val="0"/>
          <w:sz w:val="32"/>
          <w:szCs w:val="32"/>
        </w:rPr>
      </w:pPr>
    </w:p>
    <w:p w14:paraId="619C4FD0">
      <w:pPr>
        <w:adjustRightInd w:val="0"/>
        <w:ind w:right="-105" w:rightChars="-50"/>
        <w:jc w:val="center"/>
        <w:rPr>
          <w:rFonts w:ascii="Arial" w:hAnsi="Arial" w:eastAsia="黑体"/>
          <w:sz w:val="52"/>
          <w:szCs w:val="20"/>
        </w:rPr>
      </w:pPr>
    </w:p>
    <w:p w14:paraId="07113A88">
      <w:pPr>
        <w:spacing w:line="360" w:lineRule="auto"/>
        <w:jc w:val="center"/>
        <w:rPr>
          <w:rFonts w:ascii="宋体" w:hAnsi="宋体"/>
          <w:kern w:val="0"/>
          <w:sz w:val="36"/>
          <w:szCs w:val="36"/>
        </w:rPr>
      </w:pPr>
      <w:r>
        <w:rPr>
          <w:rFonts w:hint="eastAsia" w:ascii="宋体" w:hAnsi="宋体"/>
          <w:kern w:val="0"/>
          <w:sz w:val="36"/>
          <w:szCs w:val="36"/>
        </w:rPr>
        <w:t>浏阳市太平复兴花炮厂（个人独资）</w:t>
      </w:r>
    </w:p>
    <w:p w14:paraId="568521E7">
      <w:pPr>
        <w:widowControl/>
        <w:spacing w:line="360" w:lineRule="auto"/>
        <w:jc w:val="center"/>
        <w:rPr>
          <w:rFonts w:ascii="宋体" w:hAnsi="宋体"/>
          <w:kern w:val="0"/>
          <w:sz w:val="36"/>
          <w:szCs w:val="36"/>
        </w:rPr>
      </w:pPr>
      <w:r>
        <w:rPr>
          <w:rFonts w:hint="eastAsia" w:ascii="宋体" w:hAnsi="宋体"/>
          <w:kern w:val="0"/>
          <w:sz w:val="36"/>
          <w:szCs w:val="36"/>
        </w:rPr>
        <w:t>厂房升级改造项目</w:t>
      </w:r>
    </w:p>
    <w:p w14:paraId="428CFB28">
      <w:pPr>
        <w:spacing w:line="360" w:lineRule="auto"/>
        <w:jc w:val="center"/>
        <w:rPr>
          <w:rFonts w:ascii="黑体" w:hAnsi="黑体" w:eastAsia="黑体"/>
          <w:kern w:val="0"/>
          <w:sz w:val="36"/>
          <w:szCs w:val="36"/>
        </w:rPr>
      </w:pPr>
      <w:r>
        <w:rPr>
          <w:rFonts w:hint="eastAsia" w:ascii="黑体" w:hAnsi="黑体" w:eastAsia="黑体"/>
          <w:kern w:val="0"/>
          <w:sz w:val="36"/>
          <w:szCs w:val="36"/>
        </w:rPr>
        <w:t>安全预评价报告</w:t>
      </w:r>
    </w:p>
    <w:p w14:paraId="5D32C4E5">
      <w:pPr>
        <w:spacing w:line="360" w:lineRule="auto"/>
        <w:jc w:val="center"/>
        <w:rPr>
          <w:rFonts w:ascii="宋体" w:hAnsi="宋体"/>
          <w:kern w:val="0"/>
          <w:sz w:val="44"/>
          <w:szCs w:val="44"/>
        </w:rPr>
      </w:pPr>
      <w:r>
        <w:rPr>
          <w:rFonts w:hint="eastAsia" w:ascii="宋体" w:hAnsi="宋体"/>
          <w:kern w:val="0"/>
          <w:sz w:val="44"/>
          <w:szCs w:val="44"/>
        </w:rPr>
        <w:t xml:space="preserve"> </w:t>
      </w:r>
    </w:p>
    <w:p w14:paraId="24E31516">
      <w:pPr>
        <w:adjustRightInd w:val="0"/>
        <w:ind w:right="-105" w:rightChars="-50"/>
        <w:jc w:val="center"/>
        <w:rPr>
          <w:rFonts w:ascii="Arial" w:hAnsi="Arial" w:eastAsia="黑体"/>
          <w:sz w:val="52"/>
          <w:szCs w:val="20"/>
        </w:rPr>
      </w:pPr>
    </w:p>
    <w:p w14:paraId="58469D80">
      <w:pPr>
        <w:adjustRightInd w:val="0"/>
        <w:ind w:right="-105" w:rightChars="-50"/>
        <w:jc w:val="center"/>
        <w:rPr>
          <w:rFonts w:ascii="Arial" w:hAnsi="Arial" w:eastAsia="黑体"/>
          <w:sz w:val="52"/>
          <w:szCs w:val="20"/>
        </w:rPr>
      </w:pPr>
    </w:p>
    <w:p w14:paraId="3E5C7B97">
      <w:pPr>
        <w:adjustRightInd w:val="0"/>
        <w:ind w:right="-105" w:rightChars="-50"/>
        <w:jc w:val="center"/>
        <w:rPr>
          <w:rFonts w:ascii="Arial" w:hAnsi="Arial" w:eastAsia="黑体"/>
          <w:sz w:val="52"/>
          <w:szCs w:val="20"/>
        </w:rPr>
      </w:pPr>
    </w:p>
    <w:p w14:paraId="7A870937">
      <w:pPr>
        <w:adjustRightInd w:val="0"/>
        <w:ind w:right="-105" w:rightChars="-50"/>
        <w:jc w:val="center"/>
        <w:rPr>
          <w:rFonts w:ascii="Arial" w:hAnsi="Arial" w:eastAsia="黑体"/>
          <w:sz w:val="52"/>
          <w:szCs w:val="20"/>
        </w:rPr>
      </w:pPr>
    </w:p>
    <w:p w14:paraId="71768815">
      <w:pPr>
        <w:adjustRightInd w:val="0"/>
        <w:ind w:right="-105" w:rightChars="-50"/>
        <w:jc w:val="center"/>
        <w:rPr>
          <w:rFonts w:ascii="Arial" w:hAnsi="Arial" w:eastAsia="黑体"/>
          <w:sz w:val="52"/>
          <w:szCs w:val="20"/>
        </w:rPr>
      </w:pPr>
    </w:p>
    <w:p w14:paraId="170B3671">
      <w:pPr>
        <w:adjustRightInd w:val="0"/>
        <w:ind w:right="-105" w:rightChars="-50"/>
        <w:jc w:val="center"/>
        <w:rPr>
          <w:rFonts w:ascii="Arial" w:hAnsi="Arial" w:eastAsia="黑体"/>
          <w:sz w:val="52"/>
          <w:szCs w:val="20"/>
        </w:rPr>
      </w:pPr>
    </w:p>
    <w:p w14:paraId="26C8ECA0">
      <w:pPr>
        <w:adjustRightInd w:val="0"/>
        <w:ind w:right="-105" w:rightChars="-50"/>
        <w:jc w:val="center"/>
        <w:rPr>
          <w:rFonts w:ascii="Arial" w:hAnsi="Arial" w:eastAsia="黑体"/>
          <w:sz w:val="52"/>
          <w:szCs w:val="20"/>
        </w:rPr>
      </w:pPr>
    </w:p>
    <w:p w14:paraId="3FB8468E">
      <w:pPr>
        <w:spacing w:line="360" w:lineRule="auto"/>
        <w:jc w:val="center"/>
        <w:rPr>
          <w:rFonts w:ascii="宋体" w:hAnsi="宋体"/>
          <w:b w:val="0"/>
          <w:sz w:val="28"/>
          <w:szCs w:val="20"/>
        </w:rPr>
      </w:pPr>
      <w:r>
        <w:rPr>
          <w:rFonts w:hint="eastAsia" w:ascii="宋体" w:hAnsi="宋体"/>
          <w:b w:val="0"/>
          <w:sz w:val="28"/>
          <w:szCs w:val="20"/>
        </w:rPr>
        <w:t>法定代表人：</w:t>
      </w:r>
      <w:r>
        <w:rPr>
          <w:rFonts w:hint="eastAsia" w:ascii="宋体" w:hAnsi="宋体"/>
          <w:b w:val="0"/>
          <w:sz w:val="28"/>
        </w:rPr>
        <w:t>应 宏</w:t>
      </w:r>
    </w:p>
    <w:p w14:paraId="15878B17">
      <w:pPr>
        <w:spacing w:line="360" w:lineRule="auto"/>
        <w:jc w:val="center"/>
        <w:rPr>
          <w:rFonts w:ascii="宋体" w:hAnsi="宋体"/>
          <w:b w:val="0"/>
          <w:sz w:val="28"/>
        </w:rPr>
      </w:pPr>
      <w:r>
        <w:rPr>
          <w:rFonts w:hint="eastAsia" w:ascii="宋体" w:hAnsi="宋体"/>
          <w:b w:val="0"/>
          <w:sz w:val="28"/>
          <w:szCs w:val="20"/>
        </w:rPr>
        <w:t>技术负责人：</w:t>
      </w:r>
      <w:r>
        <w:rPr>
          <w:rFonts w:hint="eastAsia" w:ascii="宋体" w:hAnsi="宋体"/>
          <w:b w:val="0"/>
          <w:sz w:val="28"/>
        </w:rPr>
        <w:t>应 宏</w:t>
      </w:r>
    </w:p>
    <w:p w14:paraId="68230736">
      <w:pPr>
        <w:spacing w:line="360" w:lineRule="auto"/>
        <w:jc w:val="center"/>
        <w:rPr>
          <w:rFonts w:ascii="宋体" w:hAnsi="宋体"/>
          <w:b w:val="0"/>
          <w:sz w:val="28"/>
          <w:szCs w:val="20"/>
        </w:rPr>
      </w:pPr>
      <w:r>
        <w:rPr>
          <w:rFonts w:hint="eastAsia" w:ascii="宋体" w:hAnsi="宋体"/>
          <w:b w:val="0"/>
          <w:sz w:val="28"/>
          <w:szCs w:val="20"/>
        </w:rPr>
        <w:t>评价项目负责人：</w:t>
      </w:r>
      <w:r>
        <w:rPr>
          <w:rFonts w:hint="eastAsia" w:ascii="宋体" w:hAnsi="宋体"/>
          <w:b w:val="0"/>
          <w:bCs/>
          <w:sz w:val="28"/>
          <w:szCs w:val="20"/>
        </w:rPr>
        <w:t xml:space="preserve">卢 </w:t>
      </w:r>
      <w:r>
        <w:rPr>
          <w:rFonts w:ascii="宋体" w:hAnsi="宋体"/>
          <w:b w:val="0"/>
          <w:bCs/>
          <w:sz w:val="28"/>
          <w:szCs w:val="20"/>
        </w:rPr>
        <w:t xml:space="preserve"> </w:t>
      </w:r>
      <w:r>
        <w:rPr>
          <w:rFonts w:hint="eastAsia" w:ascii="宋体" w:hAnsi="宋体"/>
          <w:b w:val="0"/>
          <w:bCs/>
          <w:sz w:val="28"/>
          <w:szCs w:val="20"/>
        </w:rPr>
        <w:t>鑫</w:t>
      </w:r>
    </w:p>
    <w:p w14:paraId="421CBD97">
      <w:pPr>
        <w:adjustRightInd w:val="0"/>
        <w:snapToGrid w:val="0"/>
        <w:spacing w:line="520" w:lineRule="exact"/>
        <w:jc w:val="center"/>
        <w:rPr>
          <w:rFonts w:ascii="Arial" w:hAnsi="Arial" w:cs="Arial"/>
          <w:b w:val="0"/>
          <w:sz w:val="28"/>
          <w:szCs w:val="28"/>
        </w:rPr>
      </w:pPr>
      <w:r>
        <w:rPr>
          <w:rFonts w:hint="eastAsia" w:ascii="宋体" w:hAnsi="宋体" w:cs="宋体"/>
          <w:sz w:val="28"/>
          <w:szCs w:val="28"/>
        </w:rPr>
        <w:t>报告完成时间：二○二六</w:t>
      </w:r>
      <w:r>
        <w:rPr>
          <w:rFonts w:hint="eastAsia" w:ascii="宋体" w:hAnsi="宋体" w:cs="宋体"/>
          <w:color w:val="000000" w:themeColor="text1"/>
          <w:sz w:val="28"/>
          <w:szCs w:val="28"/>
          <w14:textFill>
            <w14:solidFill>
              <w14:schemeClr w14:val="tx1"/>
            </w14:solidFill>
          </w14:textFill>
        </w:rPr>
        <w:t>年九月二日</w:t>
      </w:r>
    </w:p>
    <w:p w14:paraId="51E874EB">
      <w:pPr>
        <w:widowControl/>
        <w:spacing w:before="240" w:beforeLines="100" w:line="360" w:lineRule="auto"/>
        <w:jc w:val="center"/>
        <w:rPr>
          <w:rFonts w:ascii="宋体" w:hAnsi="宋体"/>
          <w:b w:val="0"/>
          <w:kern w:val="0"/>
          <w:sz w:val="40"/>
          <w:szCs w:val="40"/>
        </w:rPr>
      </w:pPr>
      <w:r>
        <w:rPr>
          <w:rFonts w:ascii="Arial" w:hAnsi="Arial" w:cs="Arial"/>
          <w:b w:val="0"/>
          <w:sz w:val="28"/>
          <w:szCs w:val="28"/>
        </w:rPr>
        <w:br w:type="page"/>
      </w:r>
      <w:r>
        <w:rPr>
          <w:rFonts w:hint="eastAsia" w:ascii="宋体" w:hAnsi="宋体"/>
          <w:b w:val="0"/>
          <w:kern w:val="0"/>
          <w:sz w:val="40"/>
          <w:szCs w:val="40"/>
        </w:rPr>
        <w:t>浏阳市太平复兴花炮厂（个人独资）</w:t>
      </w:r>
    </w:p>
    <w:p w14:paraId="61C04D58">
      <w:pPr>
        <w:widowControl/>
        <w:spacing w:line="360" w:lineRule="auto"/>
        <w:jc w:val="center"/>
        <w:rPr>
          <w:rFonts w:ascii="宋体" w:hAnsi="宋体"/>
          <w:b w:val="0"/>
          <w:bCs/>
          <w:kern w:val="0"/>
          <w:sz w:val="40"/>
          <w:szCs w:val="40"/>
        </w:rPr>
      </w:pPr>
      <w:r>
        <w:rPr>
          <w:rFonts w:hint="eastAsia" w:ascii="宋体" w:hAnsi="宋体"/>
          <w:b w:val="0"/>
          <w:bCs/>
          <w:kern w:val="0"/>
          <w:sz w:val="40"/>
          <w:szCs w:val="40"/>
        </w:rPr>
        <w:t>厂房升级改造项目</w:t>
      </w:r>
    </w:p>
    <w:p w14:paraId="11A44D40">
      <w:pPr>
        <w:widowControl/>
        <w:spacing w:before="100" w:beforeAutospacing="1" w:after="100" w:afterAutospacing="1" w:line="600" w:lineRule="exact"/>
        <w:jc w:val="center"/>
        <w:rPr>
          <w:rFonts w:ascii="宋体" w:hAnsi="宋体" w:cs="宋体"/>
          <w:b w:val="0"/>
          <w:kern w:val="0"/>
          <w:sz w:val="36"/>
          <w:szCs w:val="36"/>
        </w:rPr>
      </w:pPr>
      <w:r>
        <w:rPr>
          <w:rFonts w:hint="eastAsia" w:ascii="宋体" w:hAnsi="宋体" w:cs="宋体"/>
          <w:b w:val="0"/>
          <w:kern w:val="0"/>
          <w:sz w:val="36"/>
          <w:szCs w:val="36"/>
        </w:rPr>
        <w:t>安全预</w:t>
      </w:r>
      <w:r>
        <w:rPr>
          <w:rFonts w:ascii="宋体" w:hAnsi="宋体" w:cs="宋体"/>
          <w:b w:val="0"/>
          <w:kern w:val="0"/>
          <w:sz w:val="36"/>
          <w:szCs w:val="36"/>
        </w:rPr>
        <w:t>评价</w:t>
      </w:r>
      <w:r>
        <w:rPr>
          <w:rFonts w:hint="eastAsia" w:ascii="宋体" w:hAnsi="宋体" w:cs="宋体"/>
          <w:b w:val="0"/>
          <w:kern w:val="0"/>
          <w:sz w:val="36"/>
          <w:szCs w:val="36"/>
        </w:rPr>
        <w:t>技术服务</w:t>
      </w:r>
      <w:r>
        <w:rPr>
          <w:rFonts w:ascii="宋体" w:hAnsi="宋体" w:cs="宋体"/>
          <w:b w:val="0"/>
          <w:kern w:val="0"/>
          <w:sz w:val="36"/>
          <w:szCs w:val="36"/>
        </w:rPr>
        <w:t>承诺书</w:t>
      </w:r>
    </w:p>
    <w:p w14:paraId="37CC81FD">
      <w:pPr>
        <w:widowControl/>
        <w:spacing w:line="420" w:lineRule="auto"/>
        <w:ind w:firstLine="640" w:firstLineChars="200"/>
        <w:rPr>
          <w:rFonts w:ascii="宋体" w:hAnsi="宋体" w:cs="宋体"/>
          <w:b w:val="0"/>
          <w:kern w:val="0"/>
          <w:sz w:val="32"/>
          <w:szCs w:val="32"/>
        </w:rPr>
      </w:pPr>
      <w:r>
        <w:rPr>
          <w:rFonts w:hint="eastAsia" w:ascii="宋体" w:hAnsi="宋体" w:cs="宋体"/>
          <w:b w:val="0"/>
          <w:kern w:val="0"/>
          <w:sz w:val="32"/>
          <w:szCs w:val="32"/>
        </w:rPr>
        <w:t xml:space="preserve">一、在本项目安全评价活动过程中，我单位严格遵守《中华人民共和国安全生产法》及相关法律、法规和标准的要求。  </w:t>
      </w:r>
    </w:p>
    <w:p w14:paraId="5EB62299">
      <w:pPr>
        <w:widowControl/>
        <w:spacing w:line="420" w:lineRule="auto"/>
        <w:ind w:firstLine="640" w:firstLineChars="200"/>
        <w:rPr>
          <w:rFonts w:ascii="宋体" w:hAnsi="宋体" w:cs="宋体"/>
          <w:b w:val="0"/>
          <w:kern w:val="0"/>
          <w:sz w:val="32"/>
          <w:szCs w:val="32"/>
        </w:rPr>
      </w:pPr>
      <w:r>
        <w:rPr>
          <w:rFonts w:hint="eastAsia" w:ascii="宋体" w:hAnsi="宋体" w:cs="宋体"/>
          <w:b w:val="0"/>
          <w:kern w:val="0"/>
          <w:sz w:val="32"/>
          <w:szCs w:val="32"/>
        </w:rPr>
        <w:t>二、在本项目安全评价活动过程中，我单位作为第三方，未受到任何组织和个人的干预和影响，依法独立开展工作，保证了技术服务活动的客观公正性。</w:t>
      </w:r>
    </w:p>
    <w:p w14:paraId="3266AD13">
      <w:pPr>
        <w:widowControl/>
        <w:spacing w:line="420" w:lineRule="auto"/>
        <w:ind w:firstLine="640" w:firstLineChars="200"/>
        <w:rPr>
          <w:rFonts w:ascii="宋体" w:hAnsi="宋体" w:cs="宋体"/>
          <w:b w:val="0"/>
          <w:kern w:val="0"/>
          <w:sz w:val="32"/>
          <w:szCs w:val="32"/>
        </w:rPr>
      </w:pPr>
      <w:r>
        <w:rPr>
          <w:rFonts w:hint="eastAsia" w:ascii="宋体" w:hAnsi="宋体" w:cs="宋体"/>
          <w:b w:val="0"/>
          <w:kern w:val="0"/>
          <w:sz w:val="32"/>
          <w:szCs w:val="32"/>
        </w:rPr>
        <w:t>三、我单位按照实事求是的原则，对本项目进行安全评价，确保出具的报告均真实有效，报告所提出的措施具有针对性、有效性和可行性。</w:t>
      </w:r>
    </w:p>
    <w:p w14:paraId="2C8F21F8">
      <w:pPr>
        <w:widowControl/>
        <w:spacing w:line="420" w:lineRule="auto"/>
        <w:ind w:firstLine="640" w:firstLineChars="200"/>
        <w:rPr>
          <w:rFonts w:ascii="宋体" w:hAnsi="宋体" w:cs="宋体"/>
          <w:b w:val="0"/>
          <w:kern w:val="0"/>
          <w:sz w:val="32"/>
          <w:szCs w:val="32"/>
        </w:rPr>
      </w:pPr>
      <w:r>
        <w:rPr>
          <w:rFonts w:hint="eastAsia" w:ascii="宋体" w:hAnsi="宋体" w:cs="宋体"/>
          <w:b w:val="0"/>
          <w:kern w:val="0"/>
          <w:sz w:val="32"/>
          <w:szCs w:val="32"/>
        </w:rPr>
        <w:t xml:space="preserve">四、我单位对本项目安全评价报告中结论性内容承担法律责任。 </w:t>
      </w:r>
    </w:p>
    <w:p w14:paraId="339A553F">
      <w:pPr>
        <w:widowControl/>
        <w:wordWrap w:val="0"/>
        <w:spacing w:before="100" w:beforeAutospacing="1" w:after="100" w:afterAutospacing="1" w:line="425" w:lineRule="auto"/>
        <w:ind w:firstLine="480"/>
        <w:jc w:val="left"/>
        <w:rPr>
          <w:rFonts w:ascii="宋体" w:hAnsi="宋体" w:cs="宋体"/>
          <w:b w:val="0"/>
          <w:kern w:val="0"/>
          <w:sz w:val="10"/>
          <w:szCs w:val="10"/>
        </w:rPr>
      </w:pPr>
      <w:r>
        <w:rPr>
          <w:rFonts w:hint="eastAsia" w:ascii="宋体" w:hAnsi="宋体" w:cs="宋体"/>
          <w:b w:val="0"/>
          <w:kern w:val="0"/>
          <w:sz w:val="10"/>
          <w:szCs w:val="10"/>
        </w:rPr>
        <w:t xml:space="preserve">                     </w:t>
      </w:r>
    </w:p>
    <w:p w14:paraId="79030528">
      <w:pPr>
        <w:widowControl/>
        <w:wordWrap w:val="0"/>
        <w:spacing w:line="360" w:lineRule="auto"/>
        <w:ind w:left="5280" w:hanging="5280" w:hangingChars="1650"/>
        <w:jc w:val="right"/>
        <w:rPr>
          <w:rFonts w:ascii="宋体" w:hAnsi="宋体" w:cs="宋体"/>
          <w:b w:val="0"/>
          <w:kern w:val="0"/>
          <w:sz w:val="30"/>
          <w:szCs w:val="30"/>
        </w:rPr>
      </w:pPr>
      <w:r>
        <w:rPr>
          <w:rFonts w:hint="eastAsia" w:ascii="宋体" w:hAnsi="宋体" w:cs="宋体"/>
          <w:b w:val="0"/>
          <w:kern w:val="0"/>
          <w:sz w:val="32"/>
          <w:szCs w:val="32"/>
        </w:rPr>
        <w:t xml:space="preserve">                </w:t>
      </w:r>
      <w:r>
        <w:rPr>
          <w:rFonts w:ascii="宋体" w:hAnsi="宋体"/>
          <w:b w:val="0"/>
          <w:sz w:val="30"/>
          <w:szCs w:val="30"/>
        </w:rPr>
        <w:t>江西赣安安全生产科学技术咨询服务中心</w:t>
      </w:r>
    </w:p>
    <w:p w14:paraId="78E64C64">
      <w:pPr>
        <w:jc w:val="center"/>
        <w:rPr>
          <w:rFonts w:ascii="宋体" w:hAnsi="宋体" w:cs="宋体"/>
          <w:b w:val="0"/>
          <w:color w:val="000000" w:themeColor="text1"/>
          <w:kern w:val="0"/>
          <w:sz w:val="32"/>
          <w:szCs w:val="32"/>
          <w14:textFill>
            <w14:solidFill>
              <w14:schemeClr w14:val="tx1"/>
            </w14:solidFill>
          </w14:textFill>
        </w:rPr>
      </w:pPr>
      <w:r>
        <w:rPr>
          <w:rFonts w:hint="eastAsia" w:ascii="宋体" w:hAnsi="宋体" w:cs="宋体"/>
          <w:b w:val="0"/>
          <w:kern w:val="0"/>
          <w:sz w:val="32"/>
          <w:szCs w:val="32"/>
        </w:rPr>
        <w:t xml:space="preserve">                           </w:t>
      </w:r>
      <w:r>
        <w:rPr>
          <w:rFonts w:hint="eastAsia" w:ascii="宋体" w:hAnsi="宋体" w:cs="宋体"/>
          <w:b w:val="0"/>
          <w:color w:val="000000" w:themeColor="text1"/>
          <w:kern w:val="0"/>
          <w:sz w:val="32"/>
          <w:szCs w:val="32"/>
          <w14:textFill>
            <w14:solidFill>
              <w14:schemeClr w14:val="tx1"/>
            </w14:solidFill>
          </w14:textFill>
        </w:rPr>
        <w:t xml:space="preserve">  202</w:t>
      </w:r>
      <w:r>
        <w:rPr>
          <w:rFonts w:ascii="宋体" w:hAnsi="宋体" w:cs="宋体"/>
          <w:b w:val="0"/>
          <w:color w:val="000000" w:themeColor="text1"/>
          <w:kern w:val="0"/>
          <w:sz w:val="32"/>
          <w:szCs w:val="32"/>
          <w14:textFill>
            <w14:solidFill>
              <w14:schemeClr w14:val="tx1"/>
            </w14:solidFill>
          </w14:textFill>
        </w:rPr>
        <w:t>6</w:t>
      </w:r>
      <w:r>
        <w:rPr>
          <w:rFonts w:hint="eastAsia" w:ascii="宋体" w:hAnsi="宋体" w:cs="宋体"/>
          <w:b w:val="0"/>
          <w:color w:val="000000" w:themeColor="text1"/>
          <w:kern w:val="0"/>
          <w:sz w:val="32"/>
          <w:szCs w:val="32"/>
          <w14:textFill>
            <w14:solidFill>
              <w14:schemeClr w14:val="tx1"/>
            </w14:solidFill>
          </w14:textFill>
        </w:rPr>
        <w:t>年9月2日</w:t>
      </w:r>
    </w:p>
    <w:p w14:paraId="222816E7">
      <w:pPr>
        <w:adjustRightInd w:val="0"/>
        <w:snapToGrid w:val="0"/>
        <w:spacing w:line="360" w:lineRule="auto"/>
        <w:ind w:firstLine="560" w:firstLineChars="200"/>
        <w:jc w:val="center"/>
        <w:rPr>
          <w:rFonts w:ascii="Arial" w:hAnsi="Arial" w:cs="Arial"/>
          <w:b w:val="0"/>
          <w:color w:val="000000" w:themeColor="text1"/>
          <w:sz w:val="28"/>
          <w:szCs w:val="28"/>
          <w14:textFill>
            <w14:solidFill>
              <w14:schemeClr w14:val="tx1"/>
            </w14:solidFill>
          </w14:textFill>
        </w:rPr>
        <w:sectPr>
          <w:headerReference r:id="rId8" w:type="first"/>
          <w:footerReference r:id="rId10" w:type="first"/>
          <w:headerReference r:id="rId7" w:type="default"/>
          <w:footerReference r:id="rId9" w:type="default"/>
          <w:pgSz w:w="11906" w:h="16838"/>
          <w:pgMar w:top="1417" w:right="1417" w:bottom="1417" w:left="1417" w:header="851" w:footer="854" w:gutter="0"/>
          <w:pgBorders>
            <w:top w:val="none" w:sz="0" w:space="0"/>
            <w:left w:val="none" w:sz="0" w:space="0"/>
            <w:bottom w:val="none" w:sz="0" w:space="0"/>
            <w:right w:val="none" w:sz="0" w:space="0"/>
          </w:pgBorders>
          <w:pgNumType w:fmt="upperRoman" w:start="1"/>
          <w:cols w:space="720" w:num="1"/>
          <w:docGrid w:linePitch="312" w:charSpace="0"/>
        </w:sectPr>
      </w:pPr>
    </w:p>
    <w:p w14:paraId="5B38C93E">
      <w:pPr>
        <w:spacing w:before="240" w:beforeLines="100" w:line="360" w:lineRule="auto"/>
        <w:jc w:val="center"/>
        <w:rPr>
          <w:rFonts w:ascii="宋体" w:hAnsi="宋体"/>
          <w:sz w:val="32"/>
        </w:rPr>
      </w:pPr>
      <w:r>
        <w:rPr>
          <w:rFonts w:hint="eastAsia" w:ascii="宋体" w:hAnsi="宋体"/>
          <w:sz w:val="32"/>
        </w:rPr>
        <w:t>浏阳市太平复兴花炮厂（个人独资）</w:t>
      </w:r>
    </w:p>
    <w:p w14:paraId="158F68A6">
      <w:pPr>
        <w:spacing w:line="360" w:lineRule="auto"/>
        <w:jc w:val="center"/>
        <w:rPr>
          <w:rFonts w:ascii="宋体" w:hAnsi="宋体"/>
          <w:sz w:val="32"/>
        </w:rPr>
      </w:pPr>
      <w:r>
        <w:rPr>
          <w:rFonts w:hint="eastAsia" w:ascii="宋体" w:hAnsi="宋体"/>
          <w:sz w:val="32"/>
        </w:rPr>
        <w:t>厂房升级改造项目</w:t>
      </w:r>
    </w:p>
    <w:p w14:paraId="70D8E664">
      <w:pPr>
        <w:spacing w:line="360" w:lineRule="auto"/>
        <w:jc w:val="center"/>
        <w:rPr>
          <w:rFonts w:ascii="宋体" w:hAnsi="宋体"/>
          <w:sz w:val="32"/>
        </w:rPr>
      </w:pPr>
      <w:r>
        <w:rPr>
          <w:rFonts w:hint="eastAsia" w:ascii="宋体" w:hAnsi="宋体"/>
          <w:sz w:val="32"/>
        </w:rPr>
        <w:t>安全预评价报告</w:t>
      </w:r>
    </w:p>
    <w:p w14:paraId="48BB53DB">
      <w:pPr>
        <w:spacing w:line="360" w:lineRule="auto"/>
        <w:jc w:val="center"/>
        <w:rPr>
          <w:rFonts w:ascii="宋体" w:hAnsi="宋体"/>
          <w:sz w:val="32"/>
        </w:rPr>
      </w:pPr>
      <w:r>
        <w:rPr>
          <w:rFonts w:hint="eastAsia" w:ascii="宋体" w:hAnsi="宋体"/>
          <w:sz w:val="32"/>
        </w:rPr>
        <w:t>评 价 人 员</w:t>
      </w:r>
    </w:p>
    <w:tbl>
      <w:tblPr>
        <w:tblStyle w:val="88"/>
        <w:tblW w:w="94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0"/>
        <w:gridCol w:w="1099"/>
        <w:gridCol w:w="2977"/>
        <w:gridCol w:w="1276"/>
        <w:gridCol w:w="1275"/>
        <w:gridCol w:w="1311"/>
      </w:tblGrid>
      <w:tr w14:paraId="153EA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490" w:type="dxa"/>
            <w:vAlign w:val="center"/>
          </w:tcPr>
          <w:p w14:paraId="4F1933F8">
            <w:pPr>
              <w:jc w:val="center"/>
              <w:rPr>
                <w:rFonts w:ascii="宋体" w:hAnsi="宋体" w:cs="宋体"/>
                <w:b w:val="0"/>
                <w:bCs/>
                <w:color w:val="000000"/>
                <w:sz w:val="24"/>
              </w:rPr>
            </w:pPr>
          </w:p>
        </w:tc>
        <w:tc>
          <w:tcPr>
            <w:tcW w:w="1099" w:type="dxa"/>
            <w:vAlign w:val="center"/>
          </w:tcPr>
          <w:p w14:paraId="37478491">
            <w:pPr>
              <w:jc w:val="center"/>
              <w:rPr>
                <w:rFonts w:ascii="宋体" w:hAnsi="宋体" w:cs="宋体"/>
                <w:b w:val="0"/>
                <w:bCs/>
                <w:color w:val="000000"/>
                <w:sz w:val="24"/>
              </w:rPr>
            </w:pPr>
            <w:r>
              <w:rPr>
                <w:rFonts w:hint="eastAsia" w:ascii="宋体" w:hAnsi="宋体" w:cs="宋体"/>
                <w:b w:val="0"/>
                <w:bCs/>
                <w:color w:val="000000"/>
                <w:sz w:val="24"/>
              </w:rPr>
              <w:t>姓名</w:t>
            </w:r>
          </w:p>
        </w:tc>
        <w:tc>
          <w:tcPr>
            <w:tcW w:w="2977" w:type="dxa"/>
            <w:vAlign w:val="center"/>
          </w:tcPr>
          <w:p w14:paraId="09E9EE56">
            <w:pPr>
              <w:jc w:val="center"/>
              <w:rPr>
                <w:rFonts w:ascii="宋体" w:hAnsi="宋体" w:cs="宋体"/>
                <w:b w:val="0"/>
                <w:bCs/>
                <w:color w:val="000000"/>
                <w:sz w:val="24"/>
              </w:rPr>
            </w:pPr>
            <w:r>
              <w:rPr>
                <w:rFonts w:hint="eastAsia" w:ascii="宋体" w:hAnsi="宋体" w:cs="宋体"/>
                <w:b w:val="0"/>
                <w:bCs/>
                <w:color w:val="000000"/>
                <w:sz w:val="24"/>
              </w:rPr>
              <w:t>职业资格证书号</w:t>
            </w:r>
          </w:p>
        </w:tc>
        <w:tc>
          <w:tcPr>
            <w:tcW w:w="1276" w:type="dxa"/>
            <w:vAlign w:val="center"/>
          </w:tcPr>
          <w:p w14:paraId="0DFB2403">
            <w:pPr>
              <w:jc w:val="center"/>
              <w:rPr>
                <w:rFonts w:ascii="宋体" w:hAnsi="宋体" w:cs="宋体"/>
                <w:b w:val="0"/>
                <w:bCs/>
                <w:color w:val="000000"/>
                <w:sz w:val="24"/>
              </w:rPr>
            </w:pPr>
            <w:r>
              <w:rPr>
                <w:rFonts w:hint="eastAsia" w:ascii="宋体" w:hAnsi="宋体" w:cs="宋体"/>
                <w:b w:val="0"/>
                <w:bCs/>
                <w:color w:val="000000"/>
                <w:sz w:val="24"/>
              </w:rPr>
              <w:t>从业信息</w:t>
            </w:r>
          </w:p>
          <w:p w14:paraId="2DA148FC">
            <w:pPr>
              <w:jc w:val="center"/>
              <w:rPr>
                <w:rFonts w:ascii="宋体" w:hAnsi="宋体" w:cs="宋体"/>
                <w:b w:val="0"/>
                <w:bCs/>
                <w:color w:val="000000"/>
                <w:sz w:val="24"/>
              </w:rPr>
            </w:pPr>
            <w:r>
              <w:rPr>
                <w:rFonts w:hint="eastAsia" w:ascii="宋体" w:hAnsi="宋体" w:cs="宋体"/>
                <w:b w:val="0"/>
                <w:bCs/>
                <w:color w:val="000000"/>
                <w:sz w:val="24"/>
              </w:rPr>
              <w:t>识别卡号</w:t>
            </w:r>
          </w:p>
        </w:tc>
        <w:tc>
          <w:tcPr>
            <w:tcW w:w="1275" w:type="dxa"/>
            <w:vAlign w:val="center"/>
          </w:tcPr>
          <w:p w14:paraId="25BF2427">
            <w:pPr>
              <w:jc w:val="center"/>
              <w:rPr>
                <w:rFonts w:ascii="宋体" w:hAnsi="宋体" w:cs="宋体"/>
                <w:b w:val="0"/>
                <w:bCs/>
                <w:color w:val="000000"/>
                <w:sz w:val="24"/>
              </w:rPr>
            </w:pPr>
            <w:r>
              <w:rPr>
                <w:rFonts w:hint="eastAsia" w:ascii="宋体" w:hAnsi="宋体" w:cs="宋体"/>
                <w:b w:val="0"/>
                <w:bCs/>
                <w:color w:val="000000"/>
                <w:sz w:val="24"/>
              </w:rPr>
              <w:t>专业</w:t>
            </w:r>
          </w:p>
        </w:tc>
        <w:tc>
          <w:tcPr>
            <w:tcW w:w="1311" w:type="dxa"/>
            <w:vAlign w:val="center"/>
          </w:tcPr>
          <w:p w14:paraId="756C3A65">
            <w:pPr>
              <w:jc w:val="center"/>
              <w:rPr>
                <w:rFonts w:ascii="宋体" w:hAnsi="宋体" w:cs="宋体"/>
                <w:b w:val="0"/>
                <w:bCs/>
                <w:color w:val="000000"/>
                <w:sz w:val="24"/>
              </w:rPr>
            </w:pPr>
            <w:r>
              <w:rPr>
                <w:rFonts w:hint="eastAsia" w:ascii="宋体" w:hAnsi="宋体" w:cs="宋体"/>
                <w:b w:val="0"/>
                <w:bCs/>
                <w:color w:val="000000"/>
                <w:sz w:val="24"/>
              </w:rPr>
              <w:t>签字</w:t>
            </w:r>
          </w:p>
        </w:tc>
      </w:tr>
      <w:tr w14:paraId="6A317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1490" w:type="dxa"/>
            <w:vAlign w:val="center"/>
          </w:tcPr>
          <w:p w14:paraId="1EFCD836">
            <w:pPr>
              <w:jc w:val="center"/>
              <w:rPr>
                <w:rFonts w:ascii="宋体" w:hAnsi="宋体" w:cs="宋体"/>
                <w:b w:val="0"/>
                <w:bCs/>
                <w:color w:val="000000"/>
                <w:sz w:val="24"/>
              </w:rPr>
            </w:pPr>
            <w:r>
              <w:rPr>
                <w:rFonts w:hint="eastAsia" w:ascii="宋体" w:hAnsi="宋体" w:cs="宋体"/>
                <w:b w:val="0"/>
                <w:bCs/>
                <w:color w:val="000000"/>
                <w:sz w:val="24"/>
              </w:rPr>
              <w:t>项目负责人</w:t>
            </w:r>
          </w:p>
        </w:tc>
        <w:tc>
          <w:tcPr>
            <w:tcW w:w="1099" w:type="dxa"/>
            <w:vAlign w:val="center"/>
          </w:tcPr>
          <w:p w14:paraId="282779EC">
            <w:pPr>
              <w:jc w:val="center"/>
              <w:rPr>
                <w:rFonts w:ascii="宋体" w:hAnsi="宋体" w:cs="宋体"/>
                <w:b w:val="0"/>
                <w:bCs/>
                <w:color w:val="000000"/>
                <w:sz w:val="24"/>
              </w:rPr>
            </w:pPr>
            <w:r>
              <w:rPr>
                <w:rFonts w:hint="eastAsia" w:ascii="宋体" w:hAnsi="宋体" w:cs="宋体"/>
                <w:b w:val="0"/>
                <w:bCs/>
                <w:color w:val="000000"/>
                <w:sz w:val="24"/>
              </w:rPr>
              <w:t>卢 鑫</w:t>
            </w:r>
          </w:p>
        </w:tc>
        <w:tc>
          <w:tcPr>
            <w:tcW w:w="2977" w:type="dxa"/>
            <w:vAlign w:val="center"/>
          </w:tcPr>
          <w:p w14:paraId="26407B0D">
            <w:pPr>
              <w:jc w:val="center"/>
              <w:rPr>
                <w:rFonts w:ascii="宋体" w:hAnsi="宋体" w:cs="宋体"/>
                <w:b w:val="0"/>
                <w:bCs/>
                <w:color w:val="000000"/>
                <w:sz w:val="24"/>
              </w:rPr>
            </w:pPr>
            <w:r>
              <w:rPr>
                <w:rFonts w:hint="eastAsia" w:ascii="宋体" w:hAnsi="宋体" w:cs="宋体"/>
                <w:b w:val="0"/>
                <w:bCs/>
                <w:color w:val="000000"/>
                <w:sz w:val="24"/>
              </w:rPr>
              <w:t>20201104637000004899</w:t>
            </w:r>
          </w:p>
        </w:tc>
        <w:tc>
          <w:tcPr>
            <w:tcW w:w="1276" w:type="dxa"/>
            <w:vAlign w:val="center"/>
          </w:tcPr>
          <w:p w14:paraId="141E03CF">
            <w:pPr>
              <w:jc w:val="center"/>
              <w:rPr>
                <w:rFonts w:ascii="宋体" w:hAnsi="宋体" w:cs="宋体"/>
                <w:b w:val="0"/>
                <w:bCs/>
                <w:color w:val="000000"/>
                <w:sz w:val="24"/>
              </w:rPr>
            </w:pPr>
            <w:r>
              <w:rPr>
                <w:rFonts w:hint="eastAsia" w:ascii="宋体" w:hAnsi="宋体" w:cs="宋体"/>
                <w:b w:val="0"/>
                <w:bCs/>
                <w:color w:val="000000"/>
                <w:sz w:val="24"/>
              </w:rPr>
              <w:t>3</w:t>
            </w:r>
            <w:r>
              <w:rPr>
                <w:rFonts w:ascii="宋体" w:hAnsi="宋体" w:cs="宋体"/>
                <w:b w:val="0"/>
                <w:bCs/>
                <w:color w:val="000000"/>
                <w:sz w:val="24"/>
              </w:rPr>
              <w:t>72203</w:t>
            </w:r>
          </w:p>
          <w:p w14:paraId="5EF1BFF8">
            <w:pPr>
              <w:jc w:val="center"/>
              <w:rPr>
                <w:rFonts w:ascii="宋体" w:hAnsi="宋体" w:cs="宋体"/>
                <w:b w:val="0"/>
                <w:bCs/>
                <w:color w:val="000000"/>
                <w:sz w:val="24"/>
              </w:rPr>
            </w:pPr>
            <w:r>
              <w:rPr>
                <w:rFonts w:ascii="宋体" w:hAnsi="宋体" w:cs="宋体"/>
                <w:b w:val="0"/>
                <w:bCs/>
                <w:color w:val="000000"/>
                <w:sz w:val="24"/>
              </w:rPr>
              <w:t>02793</w:t>
            </w:r>
          </w:p>
        </w:tc>
        <w:tc>
          <w:tcPr>
            <w:tcW w:w="1275" w:type="dxa"/>
            <w:vAlign w:val="center"/>
          </w:tcPr>
          <w:p w14:paraId="406DE3B1">
            <w:pPr>
              <w:snapToGrid w:val="0"/>
              <w:jc w:val="center"/>
              <w:rPr>
                <w:rFonts w:ascii="宋体" w:hAnsi="宋体" w:cs="宋体"/>
                <w:b w:val="0"/>
                <w:bCs/>
                <w:color w:val="000000"/>
                <w:sz w:val="24"/>
              </w:rPr>
            </w:pPr>
            <w:r>
              <w:rPr>
                <w:rFonts w:ascii="宋体" w:hAnsi="宋体" w:cs="宋体"/>
                <w:b w:val="0"/>
                <w:bCs/>
                <w:color w:val="000000"/>
                <w:sz w:val="24"/>
              </w:rPr>
              <w:t>安全工程</w:t>
            </w:r>
          </w:p>
        </w:tc>
        <w:tc>
          <w:tcPr>
            <w:tcW w:w="1311" w:type="dxa"/>
            <w:vAlign w:val="center"/>
          </w:tcPr>
          <w:p w14:paraId="4D92A95B">
            <w:pPr>
              <w:snapToGrid w:val="0"/>
              <w:jc w:val="center"/>
              <w:rPr>
                <w:rFonts w:ascii="宋体" w:hAnsi="宋体" w:cs="宋体"/>
                <w:b w:val="0"/>
                <w:bCs/>
                <w:color w:val="000000"/>
                <w:sz w:val="24"/>
              </w:rPr>
            </w:pPr>
          </w:p>
        </w:tc>
      </w:tr>
      <w:tr w14:paraId="6E062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1490" w:type="dxa"/>
            <w:vMerge w:val="restart"/>
            <w:vAlign w:val="center"/>
          </w:tcPr>
          <w:p w14:paraId="24DACBDF">
            <w:pPr>
              <w:jc w:val="center"/>
              <w:rPr>
                <w:rFonts w:ascii="宋体" w:hAnsi="宋体" w:cs="宋体"/>
                <w:b w:val="0"/>
                <w:bCs/>
                <w:color w:val="000000"/>
                <w:sz w:val="24"/>
              </w:rPr>
            </w:pPr>
            <w:r>
              <w:rPr>
                <w:rFonts w:hint="eastAsia" w:ascii="宋体" w:hAnsi="宋体" w:cs="宋体"/>
                <w:b w:val="0"/>
                <w:bCs/>
                <w:color w:val="000000"/>
                <w:sz w:val="24"/>
              </w:rPr>
              <w:t>项目组成员</w:t>
            </w:r>
          </w:p>
        </w:tc>
        <w:tc>
          <w:tcPr>
            <w:tcW w:w="1099" w:type="dxa"/>
            <w:vAlign w:val="center"/>
          </w:tcPr>
          <w:p w14:paraId="5CA5F29B">
            <w:pPr>
              <w:jc w:val="center"/>
              <w:rPr>
                <w:rFonts w:ascii="宋体" w:hAnsi="宋体" w:cs="宋体"/>
                <w:b w:val="0"/>
                <w:bCs/>
                <w:color w:val="000000"/>
                <w:sz w:val="24"/>
              </w:rPr>
            </w:pPr>
            <w:r>
              <w:rPr>
                <w:rFonts w:hint="eastAsia" w:ascii="宋体" w:hAnsi="宋体" w:cs="宋体"/>
                <w:b w:val="0"/>
                <w:bCs/>
                <w:color w:val="000000"/>
                <w:sz w:val="24"/>
              </w:rPr>
              <w:t>卢 鑫</w:t>
            </w:r>
          </w:p>
        </w:tc>
        <w:tc>
          <w:tcPr>
            <w:tcW w:w="2977" w:type="dxa"/>
            <w:vAlign w:val="center"/>
          </w:tcPr>
          <w:p w14:paraId="5A9A8569">
            <w:pPr>
              <w:jc w:val="center"/>
              <w:rPr>
                <w:rFonts w:ascii="宋体" w:hAnsi="宋体" w:cs="宋体"/>
                <w:b w:val="0"/>
                <w:bCs/>
                <w:color w:val="000000"/>
                <w:sz w:val="24"/>
              </w:rPr>
            </w:pPr>
            <w:r>
              <w:rPr>
                <w:rFonts w:hint="eastAsia" w:ascii="宋体" w:hAnsi="宋体" w:cs="宋体"/>
                <w:b w:val="0"/>
                <w:bCs/>
                <w:color w:val="000000"/>
                <w:sz w:val="24"/>
              </w:rPr>
              <w:t>20201104637000004899</w:t>
            </w:r>
          </w:p>
        </w:tc>
        <w:tc>
          <w:tcPr>
            <w:tcW w:w="1276" w:type="dxa"/>
            <w:vAlign w:val="center"/>
          </w:tcPr>
          <w:p w14:paraId="4E488629">
            <w:pPr>
              <w:jc w:val="center"/>
              <w:rPr>
                <w:rFonts w:ascii="宋体" w:hAnsi="宋体" w:cs="宋体"/>
                <w:b w:val="0"/>
                <w:bCs/>
                <w:color w:val="000000"/>
                <w:sz w:val="24"/>
              </w:rPr>
            </w:pPr>
            <w:r>
              <w:rPr>
                <w:rFonts w:hint="eastAsia" w:ascii="宋体" w:hAnsi="宋体" w:cs="宋体"/>
                <w:b w:val="0"/>
                <w:bCs/>
                <w:color w:val="000000"/>
                <w:sz w:val="24"/>
              </w:rPr>
              <w:t>3</w:t>
            </w:r>
            <w:r>
              <w:rPr>
                <w:rFonts w:ascii="宋体" w:hAnsi="宋体" w:cs="宋体"/>
                <w:b w:val="0"/>
                <w:bCs/>
                <w:color w:val="000000"/>
                <w:sz w:val="24"/>
              </w:rPr>
              <w:t>72203</w:t>
            </w:r>
          </w:p>
          <w:p w14:paraId="18DC1A67">
            <w:pPr>
              <w:jc w:val="center"/>
              <w:rPr>
                <w:rFonts w:ascii="宋体" w:hAnsi="宋体" w:cs="宋体"/>
                <w:b w:val="0"/>
                <w:bCs/>
                <w:color w:val="000000"/>
                <w:sz w:val="24"/>
              </w:rPr>
            </w:pPr>
            <w:r>
              <w:rPr>
                <w:rFonts w:ascii="宋体" w:hAnsi="宋体" w:cs="宋体"/>
                <w:b w:val="0"/>
                <w:bCs/>
                <w:color w:val="000000"/>
                <w:sz w:val="24"/>
              </w:rPr>
              <w:t>02793</w:t>
            </w:r>
          </w:p>
        </w:tc>
        <w:tc>
          <w:tcPr>
            <w:tcW w:w="1275" w:type="dxa"/>
            <w:vAlign w:val="center"/>
          </w:tcPr>
          <w:p w14:paraId="1EC68C8F">
            <w:pPr>
              <w:snapToGrid w:val="0"/>
              <w:jc w:val="center"/>
              <w:rPr>
                <w:rFonts w:ascii="宋体" w:hAnsi="宋体" w:cs="宋体"/>
                <w:b w:val="0"/>
                <w:bCs/>
                <w:color w:val="000000"/>
                <w:sz w:val="24"/>
              </w:rPr>
            </w:pPr>
            <w:r>
              <w:rPr>
                <w:rFonts w:ascii="宋体" w:hAnsi="宋体" w:cs="宋体"/>
                <w:b w:val="0"/>
                <w:bCs/>
                <w:color w:val="000000"/>
                <w:sz w:val="24"/>
              </w:rPr>
              <w:t>安全工程</w:t>
            </w:r>
          </w:p>
        </w:tc>
        <w:tc>
          <w:tcPr>
            <w:tcW w:w="1311" w:type="dxa"/>
            <w:vAlign w:val="center"/>
          </w:tcPr>
          <w:p w14:paraId="23ABA83D">
            <w:pPr>
              <w:snapToGrid w:val="0"/>
              <w:jc w:val="center"/>
              <w:rPr>
                <w:rFonts w:ascii="宋体" w:hAnsi="宋体" w:cs="宋体"/>
                <w:b w:val="0"/>
                <w:bCs/>
                <w:color w:val="000000"/>
                <w:sz w:val="24"/>
              </w:rPr>
            </w:pPr>
          </w:p>
        </w:tc>
      </w:tr>
      <w:tr w14:paraId="575F1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1490" w:type="dxa"/>
            <w:vMerge w:val="continue"/>
            <w:vAlign w:val="center"/>
          </w:tcPr>
          <w:p w14:paraId="7F42E6BF">
            <w:pPr>
              <w:jc w:val="center"/>
              <w:rPr>
                <w:rFonts w:ascii="宋体" w:hAnsi="宋体" w:cs="宋体"/>
                <w:b w:val="0"/>
                <w:bCs/>
                <w:color w:val="000000"/>
                <w:sz w:val="24"/>
              </w:rPr>
            </w:pPr>
          </w:p>
        </w:tc>
        <w:tc>
          <w:tcPr>
            <w:tcW w:w="1099" w:type="dxa"/>
            <w:vAlign w:val="center"/>
          </w:tcPr>
          <w:p w14:paraId="48AE40A0">
            <w:pPr>
              <w:jc w:val="center"/>
              <w:rPr>
                <w:rFonts w:ascii="宋体" w:hAnsi="宋体" w:cs="宋体"/>
                <w:b w:val="0"/>
                <w:bCs/>
                <w:color w:val="000000"/>
                <w:sz w:val="24"/>
              </w:rPr>
            </w:pPr>
            <w:r>
              <w:rPr>
                <w:rFonts w:hint="eastAsia" w:ascii="宋体" w:hAnsi="宋体" w:cs="宋体"/>
                <w:b w:val="0"/>
                <w:bCs/>
                <w:color w:val="000000"/>
                <w:sz w:val="24"/>
              </w:rPr>
              <w:t>王建新</w:t>
            </w:r>
          </w:p>
        </w:tc>
        <w:tc>
          <w:tcPr>
            <w:tcW w:w="2977" w:type="dxa"/>
            <w:vAlign w:val="center"/>
          </w:tcPr>
          <w:p w14:paraId="3853A829">
            <w:pPr>
              <w:jc w:val="center"/>
              <w:rPr>
                <w:rFonts w:ascii="宋体" w:hAnsi="宋体" w:cs="宋体"/>
                <w:b w:val="0"/>
                <w:bCs/>
                <w:color w:val="000000"/>
                <w:sz w:val="24"/>
              </w:rPr>
            </w:pPr>
            <w:r>
              <w:rPr>
                <w:rFonts w:hint="eastAsia" w:ascii="宋体" w:hAnsi="宋体" w:cs="宋体"/>
                <w:b w:val="0"/>
                <w:bCs/>
                <w:color w:val="000000"/>
                <w:sz w:val="24"/>
              </w:rPr>
              <w:t>1200000000100297</w:t>
            </w:r>
          </w:p>
        </w:tc>
        <w:tc>
          <w:tcPr>
            <w:tcW w:w="1276" w:type="dxa"/>
            <w:vAlign w:val="center"/>
          </w:tcPr>
          <w:p w14:paraId="27F5921F">
            <w:pPr>
              <w:jc w:val="center"/>
              <w:rPr>
                <w:rFonts w:ascii="宋体" w:hAnsi="宋体" w:cs="宋体"/>
                <w:b w:val="0"/>
                <w:bCs/>
                <w:color w:val="000000"/>
                <w:sz w:val="24"/>
              </w:rPr>
            </w:pPr>
            <w:r>
              <w:rPr>
                <w:rFonts w:hint="eastAsia" w:ascii="宋体" w:hAnsi="宋体" w:cs="宋体"/>
                <w:b w:val="0"/>
                <w:bCs/>
                <w:color w:val="000000"/>
                <w:sz w:val="24"/>
              </w:rPr>
              <w:t>009826</w:t>
            </w:r>
          </w:p>
        </w:tc>
        <w:tc>
          <w:tcPr>
            <w:tcW w:w="1275" w:type="dxa"/>
            <w:vAlign w:val="center"/>
          </w:tcPr>
          <w:p w14:paraId="14C7BD1C">
            <w:pPr>
              <w:snapToGrid w:val="0"/>
              <w:jc w:val="center"/>
              <w:rPr>
                <w:rFonts w:ascii="宋体" w:hAnsi="宋体" w:cs="宋体"/>
                <w:b w:val="0"/>
                <w:bCs/>
                <w:color w:val="000000"/>
                <w:sz w:val="24"/>
              </w:rPr>
            </w:pPr>
            <w:r>
              <w:rPr>
                <w:rFonts w:hint="eastAsia" w:ascii="宋体" w:hAnsi="宋体" w:cs="宋体"/>
                <w:b w:val="0"/>
                <w:bCs/>
                <w:color w:val="000000"/>
                <w:sz w:val="24"/>
              </w:rPr>
              <w:t>爆炸技术</w:t>
            </w:r>
          </w:p>
        </w:tc>
        <w:tc>
          <w:tcPr>
            <w:tcW w:w="1311" w:type="dxa"/>
            <w:vAlign w:val="center"/>
          </w:tcPr>
          <w:p w14:paraId="34E4B74A">
            <w:pPr>
              <w:snapToGrid w:val="0"/>
              <w:jc w:val="center"/>
              <w:rPr>
                <w:rFonts w:ascii="宋体" w:hAnsi="宋体" w:cs="宋体"/>
                <w:b w:val="0"/>
                <w:bCs/>
                <w:color w:val="000000"/>
                <w:sz w:val="24"/>
              </w:rPr>
            </w:pPr>
          </w:p>
        </w:tc>
      </w:tr>
      <w:tr w14:paraId="21D71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1490" w:type="dxa"/>
            <w:vMerge w:val="continue"/>
            <w:vAlign w:val="center"/>
          </w:tcPr>
          <w:p w14:paraId="5FA5005A">
            <w:pPr>
              <w:jc w:val="center"/>
              <w:rPr>
                <w:rFonts w:ascii="宋体" w:hAnsi="宋体" w:cs="宋体"/>
                <w:b w:val="0"/>
                <w:bCs/>
                <w:color w:val="000000"/>
                <w:sz w:val="24"/>
              </w:rPr>
            </w:pPr>
          </w:p>
        </w:tc>
        <w:tc>
          <w:tcPr>
            <w:tcW w:w="1099" w:type="dxa"/>
            <w:vAlign w:val="center"/>
          </w:tcPr>
          <w:p w14:paraId="69D4A0B6">
            <w:pPr>
              <w:jc w:val="center"/>
              <w:rPr>
                <w:rFonts w:ascii="宋体" w:hAnsi="宋体" w:cs="宋体"/>
                <w:b w:val="0"/>
                <w:bCs/>
                <w:color w:val="000000"/>
                <w:sz w:val="24"/>
              </w:rPr>
            </w:pPr>
            <w:r>
              <w:rPr>
                <w:rFonts w:hint="eastAsia" w:ascii="宋体" w:hAnsi="宋体" w:cs="宋体"/>
                <w:b w:val="0"/>
                <w:bCs/>
                <w:color w:val="000000"/>
                <w:sz w:val="24"/>
              </w:rPr>
              <w:t>姚 渊</w:t>
            </w:r>
          </w:p>
        </w:tc>
        <w:tc>
          <w:tcPr>
            <w:tcW w:w="2977" w:type="dxa"/>
            <w:vAlign w:val="center"/>
          </w:tcPr>
          <w:p w14:paraId="3A271587">
            <w:pPr>
              <w:jc w:val="center"/>
              <w:rPr>
                <w:rFonts w:ascii="宋体" w:hAnsi="宋体" w:cs="宋体"/>
                <w:b w:val="0"/>
                <w:bCs/>
                <w:color w:val="000000"/>
                <w:sz w:val="24"/>
              </w:rPr>
            </w:pPr>
            <w:r>
              <w:rPr>
                <w:rFonts w:hint="eastAsia" w:ascii="宋体" w:hAnsi="宋体" w:cs="宋体"/>
                <w:b w:val="0"/>
                <w:bCs/>
                <w:color w:val="000000"/>
                <w:sz w:val="24"/>
              </w:rPr>
              <w:t>1100000000302052</w:t>
            </w:r>
          </w:p>
        </w:tc>
        <w:tc>
          <w:tcPr>
            <w:tcW w:w="1276" w:type="dxa"/>
            <w:vAlign w:val="center"/>
          </w:tcPr>
          <w:p w14:paraId="631BA5D2">
            <w:pPr>
              <w:jc w:val="center"/>
              <w:rPr>
                <w:rFonts w:ascii="宋体" w:hAnsi="宋体" w:cs="宋体"/>
                <w:b w:val="0"/>
                <w:bCs/>
                <w:color w:val="000000"/>
                <w:sz w:val="24"/>
              </w:rPr>
            </w:pPr>
            <w:r>
              <w:rPr>
                <w:rFonts w:hint="eastAsia" w:ascii="宋体" w:hAnsi="宋体" w:cs="宋体"/>
                <w:b w:val="0"/>
                <w:bCs/>
                <w:color w:val="000000"/>
                <w:sz w:val="24"/>
              </w:rPr>
              <w:t>018487</w:t>
            </w:r>
          </w:p>
        </w:tc>
        <w:tc>
          <w:tcPr>
            <w:tcW w:w="1275" w:type="dxa"/>
            <w:vAlign w:val="center"/>
          </w:tcPr>
          <w:p w14:paraId="503722B5">
            <w:pPr>
              <w:snapToGrid w:val="0"/>
              <w:jc w:val="center"/>
              <w:rPr>
                <w:rFonts w:ascii="宋体" w:hAnsi="宋体" w:cs="宋体"/>
                <w:b w:val="0"/>
                <w:bCs/>
                <w:color w:val="000000"/>
                <w:sz w:val="24"/>
              </w:rPr>
            </w:pPr>
            <w:r>
              <w:rPr>
                <w:rFonts w:hint="eastAsia" w:ascii="宋体" w:hAnsi="宋体" w:cs="宋体"/>
                <w:b w:val="0"/>
                <w:bCs/>
                <w:color w:val="000000"/>
                <w:sz w:val="24"/>
              </w:rPr>
              <w:t>火炸药</w:t>
            </w:r>
          </w:p>
        </w:tc>
        <w:tc>
          <w:tcPr>
            <w:tcW w:w="1311" w:type="dxa"/>
            <w:vAlign w:val="center"/>
          </w:tcPr>
          <w:p w14:paraId="2D9C0064">
            <w:pPr>
              <w:snapToGrid w:val="0"/>
              <w:jc w:val="center"/>
              <w:rPr>
                <w:rFonts w:ascii="宋体" w:hAnsi="宋体" w:cs="宋体"/>
                <w:b w:val="0"/>
                <w:bCs/>
                <w:color w:val="000000"/>
                <w:sz w:val="24"/>
              </w:rPr>
            </w:pPr>
          </w:p>
        </w:tc>
      </w:tr>
      <w:tr w14:paraId="0E97B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1490" w:type="dxa"/>
            <w:vMerge w:val="continue"/>
            <w:vAlign w:val="center"/>
          </w:tcPr>
          <w:p w14:paraId="269FB101">
            <w:pPr>
              <w:jc w:val="center"/>
              <w:rPr>
                <w:rFonts w:ascii="宋体" w:hAnsi="宋体" w:cs="宋体"/>
                <w:b w:val="0"/>
                <w:bCs/>
                <w:color w:val="000000"/>
                <w:sz w:val="24"/>
              </w:rPr>
            </w:pPr>
          </w:p>
        </w:tc>
        <w:tc>
          <w:tcPr>
            <w:tcW w:w="1099" w:type="dxa"/>
            <w:vAlign w:val="center"/>
          </w:tcPr>
          <w:p w14:paraId="06C5DBAF">
            <w:pPr>
              <w:jc w:val="center"/>
              <w:rPr>
                <w:rFonts w:ascii="宋体" w:hAnsi="宋体" w:cs="宋体"/>
                <w:b w:val="0"/>
                <w:bCs/>
                <w:color w:val="000000"/>
                <w:sz w:val="24"/>
              </w:rPr>
            </w:pPr>
            <w:r>
              <w:rPr>
                <w:rFonts w:hint="eastAsia" w:ascii="宋体" w:hAnsi="宋体" w:cs="宋体"/>
                <w:b w:val="0"/>
                <w:bCs/>
                <w:color w:val="000000"/>
                <w:sz w:val="24"/>
              </w:rPr>
              <w:t>谢寒梅</w:t>
            </w:r>
          </w:p>
        </w:tc>
        <w:tc>
          <w:tcPr>
            <w:tcW w:w="2977" w:type="dxa"/>
            <w:vAlign w:val="center"/>
          </w:tcPr>
          <w:p w14:paraId="258C96F8">
            <w:pPr>
              <w:jc w:val="center"/>
              <w:rPr>
                <w:rFonts w:ascii="宋体" w:hAnsi="宋体" w:cs="宋体"/>
                <w:b w:val="0"/>
                <w:bCs/>
                <w:color w:val="000000"/>
                <w:sz w:val="24"/>
              </w:rPr>
            </w:pPr>
            <w:r>
              <w:rPr>
                <w:rFonts w:hint="eastAsia" w:ascii="宋体" w:hAnsi="宋体" w:cs="宋体"/>
                <w:b w:val="0"/>
                <w:bCs/>
                <w:color w:val="000000"/>
                <w:sz w:val="24"/>
              </w:rPr>
              <w:t>20130333603300000033</w:t>
            </w:r>
          </w:p>
          <w:p w14:paraId="21D7B7FB">
            <w:pPr>
              <w:jc w:val="center"/>
              <w:rPr>
                <w:rFonts w:ascii="宋体" w:hAnsi="宋体" w:cs="宋体"/>
                <w:b w:val="0"/>
                <w:bCs/>
                <w:color w:val="000000"/>
                <w:sz w:val="24"/>
              </w:rPr>
            </w:pPr>
            <w:r>
              <w:rPr>
                <w:rFonts w:hint="eastAsia" w:ascii="宋体" w:hAnsi="宋体" w:cs="宋体"/>
                <w:b w:val="0"/>
                <w:bCs/>
                <w:color w:val="000000"/>
                <w:sz w:val="24"/>
              </w:rPr>
              <w:t>12360008</w:t>
            </w:r>
          </w:p>
        </w:tc>
        <w:tc>
          <w:tcPr>
            <w:tcW w:w="1276" w:type="dxa"/>
            <w:vAlign w:val="center"/>
          </w:tcPr>
          <w:p w14:paraId="3EF30C65">
            <w:pPr>
              <w:jc w:val="center"/>
              <w:rPr>
                <w:rFonts w:ascii="宋体" w:hAnsi="宋体" w:cs="宋体"/>
                <w:b w:val="0"/>
                <w:bCs/>
                <w:color w:val="000000"/>
                <w:sz w:val="24"/>
              </w:rPr>
            </w:pPr>
            <w:r>
              <w:rPr>
                <w:rFonts w:ascii="宋体" w:hAnsi="宋体" w:cs="宋体"/>
                <w:b w:val="0"/>
                <w:bCs/>
                <w:color w:val="000000"/>
                <w:sz w:val="24"/>
              </w:rPr>
              <w:t>361401</w:t>
            </w:r>
          </w:p>
          <w:p w14:paraId="5BA52A35">
            <w:pPr>
              <w:jc w:val="center"/>
              <w:rPr>
                <w:rFonts w:ascii="宋体" w:hAnsi="宋体" w:cs="宋体"/>
                <w:b w:val="0"/>
                <w:bCs/>
                <w:color w:val="000000"/>
                <w:sz w:val="24"/>
              </w:rPr>
            </w:pPr>
            <w:r>
              <w:rPr>
                <w:rFonts w:ascii="宋体" w:hAnsi="宋体" w:cs="宋体"/>
                <w:b w:val="0"/>
                <w:bCs/>
                <w:color w:val="000000"/>
                <w:sz w:val="24"/>
              </w:rPr>
              <w:t>60899</w:t>
            </w:r>
          </w:p>
        </w:tc>
        <w:tc>
          <w:tcPr>
            <w:tcW w:w="1275" w:type="dxa"/>
            <w:vAlign w:val="center"/>
          </w:tcPr>
          <w:p w14:paraId="11B36D9B">
            <w:pPr>
              <w:snapToGrid w:val="0"/>
              <w:jc w:val="center"/>
              <w:rPr>
                <w:rFonts w:ascii="宋体" w:hAnsi="宋体" w:cs="宋体"/>
                <w:b w:val="0"/>
                <w:bCs/>
                <w:color w:val="000000"/>
                <w:sz w:val="24"/>
              </w:rPr>
            </w:pPr>
            <w:r>
              <w:rPr>
                <w:rFonts w:hint="eastAsia" w:ascii="宋体" w:hAnsi="宋体" w:cs="宋体"/>
                <w:b w:val="0"/>
                <w:bCs/>
                <w:color w:val="000000"/>
                <w:sz w:val="24"/>
              </w:rPr>
              <w:t>电气</w:t>
            </w:r>
          </w:p>
        </w:tc>
        <w:tc>
          <w:tcPr>
            <w:tcW w:w="1311" w:type="dxa"/>
            <w:vAlign w:val="center"/>
          </w:tcPr>
          <w:p w14:paraId="11E18FAD">
            <w:pPr>
              <w:snapToGrid w:val="0"/>
              <w:jc w:val="center"/>
              <w:rPr>
                <w:rFonts w:ascii="宋体" w:hAnsi="宋体" w:cs="宋体"/>
                <w:b w:val="0"/>
                <w:bCs/>
                <w:color w:val="000000"/>
                <w:sz w:val="24"/>
              </w:rPr>
            </w:pPr>
          </w:p>
        </w:tc>
      </w:tr>
      <w:tr w14:paraId="46E78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1490" w:type="dxa"/>
            <w:vMerge w:val="continue"/>
            <w:vAlign w:val="center"/>
          </w:tcPr>
          <w:p w14:paraId="5F6D8322">
            <w:pPr>
              <w:jc w:val="center"/>
              <w:rPr>
                <w:rFonts w:ascii="宋体" w:hAnsi="宋体" w:cs="宋体"/>
                <w:b w:val="0"/>
                <w:bCs/>
                <w:color w:val="000000"/>
                <w:sz w:val="24"/>
              </w:rPr>
            </w:pPr>
          </w:p>
        </w:tc>
        <w:tc>
          <w:tcPr>
            <w:tcW w:w="1099" w:type="dxa"/>
            <w:vAlign w:val="center"/>
          </w:tcPr>
          <w:p w14:paraId="5B704FAD">
            <w:pPr>
              <w:jc w:val="center"/>
              <w:rPr>
                <w:rFonts w:ascii="宋体" w:hAnsi="宋体" w:cs="宋体"/>
                <w:b w:val="0"/>
                <w:bCs/>
                <w:color w:val="000000"/>
                <w:sz w:val="24"/>
              </w:rPr>
            </w:pPr>
            <w:r>
              <w:rPr>
                <w:rFonts w:hint="eastAsia" w:ascii="宋体" w:hAnsi="宋体" w:cs="宋体"/>
                <w:b w:val="0"/>
                <w:bCs/>
                <w:color w:val="000000"/>
                <w:sz w:val="24"/>
              </w:rPr>
              <w:t>黄伯扬</w:t>
            </w:r>
          </w:p>
        </w:tc>
        <w:tc>
          <w:tcPr>
            <w:tcW w:w="2977" w:type="dxa"/>
            <w:vAlign w:val="center"/>
          </w:tcPr>
          <w:p w14:paraId="17B04175">
            <w:pPr>
              <w:widowControl/>
              <w:jc w:val="center"/>
              <w:rPr>
                <w:rFonts w:ascii="宋体" w:hAnsi="宋体"/>
                <w:b w:val="0"/>
                <w:color w:val="000000"/>
                <w:kern w:val="0"/>
                <w:sz w:val="24"/>
              </w:rPr>
            </w:pPr>
            <w:r>
              <w:rPr>
                <w:rFonts w:hint="eastAsia" w:ascii="宋体" w:hAnsi="宋体"/>
                <w:b w:val="0"/>
                <w:color w:val="000000"/>
                <w:kern w:val="0"/>
                <w:sz w:val="24"/>
              </w:rPr>
              <w:t>20170333603320173607</w:t>
            </w:r>
          </w:p>
          <w:p w14:paraId="6478A9F5">
            <w:pPr>
              <w:widowControl/>
              <w:jc w:val="center"/>
              <w:rPr>
                <w:rFonts w:ascii="宋体" w:hAnsi="宋体" w:cs="宋体"/>
                <w:bCs/>
                <w:color w:val="000000"/>
                <w:kern w:val="0"/>
                <w:sz w:val="24"/>
              </w:rPr>
            </w:pPr>
            <w:r>
              <w:rPr>
                <w:rFonts w:hint="eastAsia" w:ascii="宋体" w:hAnsi="宋体"/>
                <w:b w:val="0"/>
                <w:color w:val="000000"/>
                <w:kern w:val="0"/>
                <w:sz w:val="24"/>
              </w:rPr>
              <w:t>33000088</w:t>
            </w:r>
          </w:p>
        </w:tc>
        <w:tc>
          <w:tcPr>
            <w:tcW w:w="1276" w:type="dxa"/>
            <w:vAlign w:val="center"/>
          </w:tcPr>
          <w:p w14:paraId="3571D83D">
            <w:pPr>
              <w:widowControl/>
              <w:jc w:val="center"/>
              <w:rPr>
                <w:rFonts w:ascii="宋体" w:hAnsi="宋体"/>
                <w:b w:val="0"/>
                <w:color w:val="000000"/>
                <w:kern w:val="0"/>
                <w:sz w:val="24"/>
              </w:rPr>
            </w:pPr>
            <w:r>
              <w:rPr>
                <w:rFonts w:hint="eastAsia" w:ascii="宋体" w:hAnsi="宋体"/>
                <w:b w:val="0"/>
                <w:color w:val="000000"/>
                <w:kern w:val="0"/>
                <w:sz w:val="24"/>
              </w:rPr>
              <w:t>361902</w:t>
            </w:r>
          </w:p>
          <w:p w14:paraId="4F0E1BE4">
            <w:pPr>
              <w:widowControl/>
              <w:jc w:val="center"/>
              <w:rPr>
                <w:rFonts w:ascii="宋体" w:hAnsi="宋体" w:cs="宋体"/>
                <w:bCs/>
                <w:color w:val="000000"/>
                <w:kern w:val="0"/>
                <w:sz w:val="24"/>
              </w:rPr>
            </w:pPr>
            <w:r>
              <w:rPr>
                <w:rFonts w:hint="eastAsia" w:ascii="宋体" w:hAnsi="宋体"/>
                <w:b w:val="0"/>
                <w:color w:val="000000"/>
                <w:kern w:val="0"/>
                <w:sz w:val="24"/>
              </w:rPr>
              <w:t>12639</w:t>
            </w:r>
          </w:p>
        </w:tc>
        <w:tc>
          <w:tcPr>
            <w:tcW w:w="1275" w:type="dxa"/>
            <w:vAlign w:val="center"/>
          </w:tcPr>
          <w:p w14:paraId="2609D213">
            <w:pPr>
              <w:snapToGrid w:val="0"/>
              <w:jc w:val="center"/>
              <w:rPr>
                <w:rFonts w:ascii="宋体" w:hAnsi="宋体" w:cs="宋体"/>
                <w:b w:val="0"/>
                <w:bCs/>
                <w:color w:val="000000"/>
                <w:sz w:val="24"/>
              </w:rPr>
            </w:pPr>
            <w:r>
              <w:rPr>
                <w:rFonts w:hint="eastAsia" w:ascii="宋体" w:hAnsi="宋体" w:cs="宋体"/>
                <w:b w:val="0"/>
                <w:bCs/>
                <w:color w:val="000000"/>
                <w:sz w:val="24"/>
              </w:rPr>
              <w:t>化工机械</w:t>
            </w:r>
          </w:p>
        </w:tc>
        <w:tc>
          <w:tcPr>
            <w:tcW w:w="1311" w:type="dxa"/>
            <w:vAlign w:val="center"/>
          </w:tcPr>
          <w:p w14:paraId="4391F34F">
            <w:pPr>
              <w:snapToGrid w:val="0"/>
              <w:jc w:val="center"/>
              <w:rPr>
                <w:rFonts w:ascii="宋体" w:hAnsi="宋体" w:cs="宋体"/>
                <w:b w:val="0"/>
                <w:bCs/>
                <w:color w:val="000000"/>
                <w:sz w:val="24"/>
              </w:rPr>
            </w:pPr>
          </w:p>
        </w:tc>
      </w:tr>
      <w:tr w14:paraId="40C41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1490" w:type="dxa"/>
            <w:vMerge w:val="restart"/>
            <w:vAlign w:val="center"/>
          </w:tcPr>
          <w:p w14:paraId="16BBFF65">
            <w:pPr>
              <w:jc w:val="center"/>
              <w:rPr>
                <w:rFonts w:ascii="宋体" w:hAnsi="宋体" w:cs="宋体"/>
                <w:b w:val="0"/>
                <w:bCs/>
                <w:color w:val="000000"/>
                <w:sz w:val="24"/>
              </w:rPr>
            </w:pPr>
            <w:r>
              <w:rPr>
                <w:rFonts w:hint="eastAsia" w:ascii="宋体" w:hAnsi="宋体" w:cs="宋体"/>
                <w:b w:val="0"/>
                <w:bCs/>
                <w:color w:val="000000"/>
                <w:sz w:val="24"/>
              </w:rPr>
              <w:t>报告编制人</w:t>
            </w:r>
          </w:p>
        </w:tc>
        <w:tc>
          <w:tcPr>
            <w:tcW w:w="1099" w:type="dxa"/>
            <w:vAlign w:val="center"/>
          </w:tcPr>
          <w:p w14:paraId="10E1C2BB">
            <w:pPr>
              <w:jc w:val="center"/>
              <w:rPr>
                <w:rFonts w:ascii="宋体" w:hAnsi="宋体" w:cs="宋体"/>
                <w:b w:val="0"/>
                <w:bCs/>
                <w:color w:val="000000"/>
                <w:sz w:val="24"/>
              </w:rPr>
            </w:pPr>
            <w:r>
              <w:rPr>
                <w:rFonts w:hint="eastAsia" w:ascii="宋体" w:hAnsi="宋体" w:cs="宋体"/>
                <w:b w:val="0"/>
                <w:bCs/>
                <w:color w:val="000000"/>
                <w:sz w:val="24"/>
              </w:rPr>
              <w:t>卢 鑫</w:t>
            </w:r>
          </w:p>
        </w:tc>
        <w:tc>
          <w:tcPr>
            <w:tcW w:w="2977" w:type="dxa"/>
            <w:vAlign w:val="center"/>
          </w:tcPr>
          <w:p w14:paraId="5F9F5B08">
            <w:pPr>
              <w:jc w:val="center"/>
              <w:rPr>
                <w:rFonts w:ascii="宋体" w:hAnsi="宋体" w:cs="宋体"/>
                <w:b w:val="0"/>
                <w:bCs/>
                <w:color w:val="000000"/>
                <w:sz w:val="24"/>
              </w:rPr>
            </w:pPr>
            <w:r>
              <w:rPr>
                <w:rFonts w:hint="eastAsia" w:ascii="宋体" w:hAnsi="宋体" w:cs="宋体"/>
                <w:b w:val="0"/>
                <w:bCs/>
                <w:color w:val="000000"/>
                <w:sz w:val="24"/>
              </w:rPr>
              <w:t>20201104637000004899</w:t>
            </w:r>
          </w:p>
        </w:tc>
        <w:tc>
          <w:tcPr>
            <w:tcW w:w="1276" w:type="dxa"/>
            <w:vAlign w:val="center"/>
          </w:tcPr>
          <w:p w14:paraId="0E126BAA">
            <w:pPr>
              <w:jc w:val="center"/>
              <w:rPr>
                <w:rFonts w:ascii="宋体" w:hAnsi="宋体" w:cs="宋体"/>
                <w:b w:val="0"/>
                <w:bCs/>
                <w:color w:val="000000"/>
                <w:sz w:val="24"/>
              </w:rPr>
            </w:pPr>
            <w:r>
              <w:rPr>
                <w:rFonts w:hint="eastAsia" w:ascii="宋体" w:hAnsi="宋体" w:cs="宋体"/>
                <w:b w:val="0"/>
                <w:bCs/>
                <w:color w:val="000000"/>
                <w:sz w:val="24"/>
              </w:rPr>
              <w:t>3</w:t>
            </w:r>
            <w:r>
              <w:rPr>
                <w:rFonts w:ascii="宋体" w:hAnsi="宋体" w:cs="宋体"/>
                <w:b w:val="0"/>
                <w:bCs/>
                <w:color w:val="000000"/>
                <w:sz w:val="24"/>
              </w:rPr>
              <w:t>72203</w:t>
            </w:r>
          </w:p>
          <w:p w14:paraId="0B08A8EA">
            <w:pPr>
              <w:jc w:val="center"/>
              <w:rPr>
                <w:rFonts w:ascii="宋体" w:hAnsi="宋体" w:cs="宋体"/>
                <w:b w:val="0"/>
                <w:bCs/>
                <w:color w:val="000000"/>
                <w:sz w:val="24"/>
              </w:rPr>
            </w:pPr>
            <w:r>
              <w:rPr>
                <w:rFonts w:ascii="宋体" w:hAnsi="宋体" w:cs="宋体"/>
                <w:b w:val="0"/>
                <w:bCs/>
                <w:color w:val="000000"/>
                <w:sz w:val="24"/>
              </w:rPr>
              <w:t>02793</w:t>
            </w:r>
          </w:p>
        </w:tc>
        <w:tc>
          <w:tcPr>
            <w:tcW w:w="1275" w:type="dxa"/>
            <w:vAlign w:val="center"/>
          </w:tcPr>
          <w:p w14:paraId="07D66B25">
            <w:pPr>
              <w:snapToGrid w:val="0"/>
              <w:jc w:val="center"/>
              <w:rPr>
                <w:rFonts w:ascii="宋体" w:hAnsi="宋体" w:cs="宋体"/>
                <w:b w:val="0"/>
                <w:bCs/>
                <w:color w:val="000000"/>
                <w:sz w:val="24"/>
              </w:rPr>
            </w:pPr>
            <w:r>
              <w:rPr>
                <w:rFonts w:ascii="宋体" w:hAnsi="宋体" w:cs="宋体"/>
                <w:b w:val="0"/>
                <w:bCs/>
                <w:color w:val="000000"/>
                <w:sz w:val="24"/>
              </w:rPr>
              <w:t>安全工程</w:t>
            </w:r>
          </w:p>
        </w:tc>
        <w:tc>
          <w:tcPr>
            <w:tcW w:w="1311" w:type="dxa"/>
            <w:vAlign w:val="center"/>
          </w:tcPr>
          <w:p w14:paraId="0C9BDAEF">
            <w:pPr>
              <w:snapToGrid w:val="0"/>
              <w:jc w:val="center"/>
              <w:rPr>
                <w:rFonts w:ascii="宋体" w:hAnsi="宋体" w:cs="宋体"/>
                <w:b w:val="0"/>
                <w:bCs/>
                <w:color w:val="000000"/>
                <w:sz w:val="24"/>
              </w:rPr>
            </w:pPr>
          </w:p>
        </w:tc>
      </w:tr>
      <w:tr w14:paraId="1B69A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1490" w:type="dxa"/>
            <w:vMerge w:val="continue"/>
            <w:vAlign w:val="center"/>
          </w:tcPr>
          <w:p w14:paraId="19F20B7C">
            <w:pPr>
              <w:jc w:val="center"/>
              <w:rPr>
                <w:rFonts w:ascii="宋体" w:hAnsi="宋体" w:cs="宋体"/>
                <w:b w:val="0"/>
                <w:bCs/>
                <w:color w:val="000000"/>
                <w:sz w:val="24"/>
              </w:rPr>
            </w:pPr>
          </w:p>
        </w:tc>
        <w:tc>
          <w:tcPr>
            <w:tcW w:w="1099" w:type="dxa"/>
            <w:vAlign w:val="center"/>
          </w:tcPr>
          <w:p w14:paraId="4D53A551">
            <w:pPr>
              <w:jc w:val="center"/>
              <w:rPr>
                <w:rFonts w:ascii="宋体" w:hAnsi="宋体" w:cs="宋体"/>
                <w:b w:val="0"/>
                <w:bCs/>
                <w:color w:val="000000"/>
                <w:sz w:val="24"/>
              </w:rPr>
            </w:pPr>
            <w:r>
              <w:rPr>
                <w:rFonts w:hint="eastAsia" w:ascii="宋体" w:hAnsi="宋体" w:cs="宋体"/>
                <w:b w:val="0"/>
                <w:bCs/>
                <w:color w:val="000000"/>
                <w:sz w:val="24"/>
              </w:rPr>
              <w:t>王建新</w:t>
            </w:r>
          </w:p>
        </w:tc>
        <w:tc>
          <w:tcPr>
            <w:tcW w:w="2977" w:type="dxa"/>
            <w:vAlign w:val="center"/>
          </w:tcPr>
          <w:p w14:paraId="2947F7C7">
            <w:pPr>
              <w:jc w:val="center"/>
              <w:rPr>
                <w:rFonts w:ascii="宋体" w:hAnsi="宋体" w:cs="宋体"/>
                <w:b w:val="0"/>
                <w:bCs/>
                <w:color w:val="000000"/>
                <w:sz w:val="24"/>
              </w:rPr>
            </w:pPr>
            <w:r>
              <w:rPr>
                <w:rFonts w:hint="eastAsia" w:ascii="宋体" w:hAnsi="宋体" w:cs="宋体"/>
                <w:b w:val="0"/>
                <w:bCs/>
                <w:color w:val="000000"/>
                <w:sz w:val="24"/>
              </w:rPr>
              <w:t>1200000000100297</w:t>
            </w:r>
          </w:p>
        </w:tc>
        <w:tc>
          <w:tcPr>
            <w:tcW w:w="1276" w:type="dxa"/>
            <w:vAlign w:val="center"/>
          </w:tcPr>
          <w:p w14:paraId="074276DD">
            <w:pPr>
              <w:jc w:val="center"/>
              <w:rPr>
                <w:rFonts w:ascii="宋体" w:hAnsi="宋体" w:cs="宋体"/>
                <w:b w:val="0"/>
                <w:bCs/>
                <w:color w:val="000000"/>
                <w:sz w:val="24"/>
              </w:rPr>
            </w:pPr>
            <w:r>
              <w:rPr>
                <w:rFonts w:hint="eastAsia" w:ascii="宋体" w:hAnsi="宋体" w:cs="宋体"/>
                <w:b w:val="0"/>
                <w:bCs/>
                <w:color w:val="000000"/>
                <w:sz w:val="24"/>
              </w:rPr>
              <w:t>009826</w:t>
            </w:r>
          </w:p>
        </w:tc>
        <w:tc>
          <w:tcPr>
            <w:tcW w:w="1275" w:type="dxa"/>
            <w:vAlign w:val="center"/>
          </w:tcPr>
          <w:p w14:paraId="72BBF338">
            <w:pPr>
              <w:snapToGrid w:val="0"/>
              <w:jc w:val="center"/>
              <w:rPr>
                <w:rFonts w:ascii="宋体" w:hAnsi="宋体" w:cs="宋体"/>
                <w:b w:val="0"/>
                <w:bCs/>
                <w:color w:val="000000"/>
                <w:sz w:val="24"/>
              </w:rPr>
            </w:pPr>
            <w:r>
              <w:rPr>
                <w:rFonts w:hint="eastAsia" w:ascii="宋体" w:hAnsi="宋体" w:cs="宋体"/>
                <w:b w:val="0"/>
                <w:bCs/>
                <w:color w:val="000000"/>
                <w:sz w:val="24"/>
              </w:rPr>
              <w:t>爆炸技术</w:t>
            </w:r>
          </w:p>
        </w:tc>
        <w:tc>
          <w:tcPr>
            <w:tcW w:w="1311" w:type="dxa"/>
            <w:vAlign w:val="center"/>
          </w:tcPr>
          <w:p w14:paraId="20536E45">
            <w:pPr>
              <w:snapToGrid w:val="0"/>
              <w:jc w:val="center"/>
              <w:rPr>
                <w:rFonts w:ascii="宋体" w:hAnsi="宋体" w:cs="宋体"/>
                <w:b w:val="0"/>
                <w:bCs/>
                <w:color w:val="000000"/>
                <w:sz w:val="24"/>
              </w:rPr>
            </w:pPr>
          </w:p>
        </w:tc>
      </w:tr>
      <w:tr w14:paraId="7425D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1490" w:type="dxa"/>
            <w:vAlign w:val="center"/>
          </w:tcPr>
          <w:p w14:paraId="56DF22E1">
            <w:pPr>
              <w:jc w:val="center"/>
              <w:rPr>
                <w:rFonts w:ascii="宋体" w:hAnsi="宋体" w:cs="宋体"/>
                <w:b w:val="0"/>
                <w:bCs/>
                <w:color w:val="000000"/>
                <w:sz w:val="24"/>
              </w:rPr>
            </w:pPr>
            <w:r>
              <w:rPr>
                <w:rFonts w:hint="eastAsia" w:ascii="宋体" w:hAnsi="宋体" w:cs="宋体"/>
                <w:b w:val="0"/>
                <w:bCs/>
                <w:color w:val="000000"/>
                <w:sz w:val="24"/>
              </w:rPr>
              <w:t>报告审核人</w:t>
            </w:r>
          </w:p>
        </w:tc>
        <w:tc>
          <w:tcPr>
            <w:tcW w:w="1099" w:type="dxa"/>
            <w:vAlign w:val="center"/>
          </w:tcPr>
          <w:p w14:paraId="1A5C5813">
            <w:pPr>
              <w:jc w:val="center"/>
              <w:rPr>
                <w:rFonts w:ascii="宋体" w:hAnsi="宋体" w:cs="宋体"/>
                <w:b w:val="0"/>
                <w:bCs/>
                <w:color w:val="000000"/>
                <w:sz w:val="24"/>
              </w:rPr>
            </w:pPr>
            <w:r>
              <w:rPr>
                <w:rFonts w:hint="eastAsia" w:ascii="宋体" w:hAnsi="宋体" w:cs="宋体"/>
                <w:b w:val="0"/>
                <w:bCs/>
                <w:color w:val="000000"/>
                <w:sz w:val="24"/>
              </w:rPr>
              <w:t>郑 强</w:t>
            </w:r>
          </w:p>
        </w:tc>
        <w:tc>
          <w:tcPr>
            <w:tcW w:w="2977" w:type="dxa"/>
            <w:vAlign w:val="center"/>
          </w:tcPr>
          <w:p w14:paraId="7C1209BF">
            <w:pPr>
              <w:jc w:val="center"/>
              <w:rPr>
                <w:rFonts w:ascii="宋体" w:hAnsi="宋体" w:cs="宋体"/>
                <w:b w:val="0"/>
                <w:bCs/>
                <w:color w:val="000000"/>
                <w:sz w:val="24"/>
              </w:rPr>
            </w:pPr>
            <w:r>
              <w:rPr>
                <w:rFonts w:hint="eastAsia" w:ascii="宋体" w:hAnsi="宋体" w:cs="宋体"/>
                <w:b w:val="0"/>
                <w:bCs/>
                <w:color w:val="000000"/>
                <w:sz w:val="24"/>
              </w:rPr>
              <w:t>0138957</w:t>
            </w:r>
          </w:p>
        </w:tc>
        <w:tc>
          <w:tcPr>
            <w:tcW w:w="1276" w:type="dxa"/>
            <w:vAlign w:val="center"/>
          </w:tcPr>
          <w:p w14:paraId="634F2CCC">
            <w:pPr>
              <w:jc w:val="center"/>
              <w:rPr>
                <w:rFonts w:ascii="宋体" w:hAnsi="宋体" w:cs="宋体"/>
                <w:b w:val="0"/>
                <w:bCs/>
                <w:color w:val="000000"/>
                <w:sz w:val="24"/>
              </w:rPr>
            </w:pPr>
            <w:r>
              <w:rPr>
                <w:rFonts w:hint="eastAsia" w:ascii="宋体" w:hAnsi="宋体" w:cs="宋体"/>
                <w:b w:val="0"/>
                <w:bCs/>
                <w:color w:val="000000"/>
                <w:sz w:val="24"/>
              </w:rPr>
              <w:t>361101</w:t>
            </w:r>
          </w:p>
          <w:p w14:paraId="43405970">
            <w:pPr>
              <w:jc w:val="center"/>
              <w:rPr>
                <w:rFonts w:ascii="宋体" w:hAnsi="宋体" w:cs="宋体"/>
                <w:b w:val="0"/>
                <w:bCs/>
                <w:color w:val="000000"/>
                <w:sz w:val="24"/>
              </w:rPr>
            </w:pPr>
            <w:r>
              <w:rPr>
                <w:rFonts w:hint="eastAsia" w:ascii="宋体" w:hAnsi="宋体" w:cs="宋体"/>
                <w:b w:val="0"/>
                <w:bCs/>
                <w:color w:val="000000"/>
                <w:sz w:val="24"/>
              </w:rPr>
              <w:t>12733</w:t>
            </w:r>
          </w:p>
        </w:tc>
        <w:tc>
          <w:tcPr>
            <w:tcW w:w="1275" w:type="dxa"/>
            <w:vAlign w:val="center"/>
          </w:tcPr>
          <w:p w14:paraId="117DEC02">
            <w:pPr>
              <w:snapToGrid w:val="0"/>
              <w:jc w:val="center"/>
              <w:rPr>
                <w:rFonts w:ascii="宋体" w:hAnsi="宋体" w:cs="宋体"/>
                <w:b w:val="0"/>
                <w:bCs/>
                <w:color w:val="000000"/>
                <w:sz w:val="24"/>
              </w:rPr>
            </w:pPr>
            <w:r>
              <w:rPr>
                <w:rFonts w:hint="eastAsia" w:ascii="宋体" w:hAnsi="宋体" w:cs="宋体"/>
                <w:b w:val="0"/>
                <w:bCs/>
                <w:color w:val="000000"/>
                <w:sz w:val="24"/>
              </w:rPr>
              <w:t>爆炸技术</w:t>
            </w:r>
          </w:p>
        </w:tc>
        <w:tc>
          <w:tcPr>
            <w:tcW w:w="1311" w:type="dxa"/>
            <w:vAlign w:val="center"/>
          </w:tcPr>
          <w:p w14:paraId="58E58BFA">
            <w:pPr>
              <w:snapToGrid w:val="0"/>
              <w:jc w:val="center"/>
              <w:rPr>
                <w:rFonts w:ascii="宋体" w:hAnsi="宋体" w:cs="宋体"/>
                <w:b w:val="0"/>
                <w:bCs/>
                <w:color w:val="000000"/>
                <w:sz w:val="24"/>
              </w:rPr>
            </w:pPr>
          </w:p>
        </w:tc>
      </w:tr>
      <w:tr w14:paraId="25C58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1490" w:type="dxa"/>
            <w:vAlign w:val="center"/>
          </w:tcPr>
          <w:p w14:paraId="75FA2438">
            <w:pPr>
              <w:jc w:val="center"/>
              <w:rPr>
                <w:rFonts w:ascii="宋体" w:hAnsi="宋体" w:cs="宋体"/>
                <w:b w:val="0"/>
                <w:bCs/>
                <w:color w:val="000000"/>
                <w:sz w:val="24"/>
              </w:rPr>
            </w:pPr>
            <w:r>
              <w:rPr>
                <w:rFonts w:hint="eastAsia" w:ascii="宋体" w:hAnsi="宋体" w:cs="宋体"/>
                <w:b w:val="0"/>
                <w:bCs/>
                <w:color w:val="000000"/>
                <w:sz w:val="24"/>
              </w:rPr>
              <w:t>过程控制</w:t>
            </w:r>
          </w:p>
          <w:p w14:paraId="10DD368D">
            <w:pPr>
              <w:jc w:val="center"/>
              <w:rPr>
                <w:rFonts w:ascii="宋体" w:hAnsi="宋体" w:cs="宋体"/>
                <w:b w:val="0"/>
                <w:bCs/>
                <w:color w:val="000000"/>
                <w:sz w:val="24"/>
              </w:rPr>
            </w:pPr>
            <w:r>
              <w:rPr>
                <w:rFonts w:hint="eastAsia" w:ascii="宋体" w:hAnsi="宋体" w:cs="宋体"/>
                <w:b w:val="0"/>
                <w:bCs/>
                <w:color w:val="000000"/>
                <w:sz w:val="24"/>
              </w:rPr>
              <w:t>负责人</w:t>
            </w:r>
          </w:p>
        </w:tc>
        <w:tc>
          <w:tcPr>
            <w:tcW w:w="1099" w:type="dxa"/>
            <w:vAlign w:val="center"/>
          </w:tcPr>
          <w:p w14:paraId="38A98C42">
            <w:pPr>
              <w:jc w:val="center"/>
              <w:rPr>
                <w:rFonts w:ascii="宋体" w:hAnsi="宋体" w:cs="宋体"/>
                <w:b w:val="0"/>
                <w:bCs/>
                <w:color w:val="000000"/>
                <w:sz w:val="24"/>
              </w:rPr>
            </w:pPr>
            <w:r>
              <w:rPr>
                <w:rFonts w:hint="eastAsia" w:ascii="宋体" w:hAnsi="宋体" w:cs="宋体"/>
                <w:b w:val="0"/>
                <w:bCs/>
                <w:color w:val="000000"/>
                <w:sz w:val="24"/>
              </w:rPr>
              <w:t>檀廷斌</w:t>
            </w:r>
          </w:p>
        </w:tc>
        <w:tc>
          <w:tcPr>
            <w:tcW w:w="2977" w:type="dxa"/>
            <w:vAlign w:val="center"/>
          </w:tcPr>
          <w:p w14:paraId="724C5697">
            <w:pPr>
              <w:jc w:val="center"/>
              <w:rPr>
                <w:rFonts w:ascii="宋体" w:hAnsi="宋体" w:cs="宋体"/>
                <w:b w:val="0"/>
                <w:bCs/>
                <w:color w:val="000000"/>
                <w:sz w:val="24"/>
              </w:rPr>
            </w:pPr>
            <w:r>
              <w:rPr>
                <w:rFonts w:ascii="宋体" w:hAnsi="Times New Roman" w:cs="宋体"/>
                <w:b w:val="0"/>
                <w:kern w:val="0"/>
                <w:sz w:val="24"/>
              </w:rPr>
              <w:t>20231004636000000380</w:t>
            </w:r>
          </w:p>
        </w:tc>
        <w:tc>
          <w:tcPr>
            <w:tcW w:w="1276" w:type="dxa"/>
            <w:vAlign w:val="center"/>
          </w:tcPr>
          <w:p w14:paraId="408285C2">
            <w:pPr>
              <w:jc w:val="center"/>
              <w:rPr>
                <w:rFonts w:ascii="宋体" w:hAnsi="宋体" w:cs="宋体"/>
                <w:b w:val="0"/>
                <w:bCs/>
                <w:color w:val="000000"/>
                <w:sz w:val="24"/>
              </w:rPr>
            </w:pPr>
            <w:r>
              <w:rPr>
                <w:rFonts w:ascii="宋体" w:hAnsi="宋体" w:cs="宋体"/>
                <w:b w:val="0"/>
                <w:bCs/>
                <w:color w:val="000000"/>
                <w:sz w:val="24"/>
              </w:rPr>
              <w:t>362504</w:t>
            </w:r>
          </w:p>
          <w:p w14:paraId="04127DAA">
            <w:pPr>
              <w:jc w:val="center"/>
              <w:rPr>
                <w:rFonts w:ascii="宋体" w:hAnsi="宋体" w:cs="宋体"/>
                <w:b w:val="0"/>
                <w:bCs/>
                <w:color w:val="000000"/>
                <w:sz w:val="24"/>
              </w:rPr>
            </w:pPr>
            <w:r>
              <w:rPr>
                <w:rFonts w:ascii="宋体" w:hAnsi="宋体" w:cs="宋体"/>
                <w:b w:val="0"/>
                <w:bCs/>
                <w:color w:val="000000"/>
                <w:sz w:val="24"/>
              </w:rPr>
              <w:t>07310</w:t>
            </w:r>
          </w:p>
        </w:tc>
        <w:tc>
          <w:tcPr>
            <w:tcW w:w="1275" w:type="dxa"/>
            <w:vAlign w:val="center"/>
          </w:tcPr>
          <w:p w14:paraId="219EF383">
            <w:pPr>
              <w:snapToGrid w:val="0"/>
              <w:jc w:val="center"/>
              <w:rPr>
                <w:rFonts w:ascii="宋体" w:hAnsi="宋体" w:cs="宋体"/>
                <w:b w:val="0"/>
                <w:bCs/>
                <w:color w:val="000000"/>
                <w:sz w:val="24"/>
              </w:rPr>
            </w:pPr>
            <w:r>
              <w:rPr>
                <w:rFonts w:hint="eastAsia" w:ascii="宋体" w:hAnsi="宋体" w:cs="宋体"/>
                <w:b w:val="0"/>
                <w:bCs/>
                <w:color w:val="000000"/>
                <w:sz w:val="24"/>
              </w:rPr>
              <w:t>化工工艺</w:t>
            </w:r>
          </w:p>
        </w:tc>
        <w:tc>
          <w:tcPr>
            <w:tcW w:w="1311" w:type="dxa"/>
            <w:vAlign w:val="center"/>
          </w:tcPr>
          <w:p w14:paraId="4A4699A1">
            <w:pPr>
              <w:snapToGrid w:val="0"/>
              <w:jc w:val="center"/>
              <w:rPr>
                <w:rFonts w:ascii="宋体" w:hAnsi="宋体" w:cs="宋体"/>
                <w:b w:val="0"/>
                <w:bCs/>
                <w:color w:val="000000"/>
                <w:sz w:val="24"/>
              </w:rPr>
            </w:pPr>
          </w:p>
        </w:tc>
      </w:tr>
      <w:tr w14:paraId="617C5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1490" w:type="dxa"/>
            <w:vAlign w:val="center"/>
          </w:tcPr>
          <w:p w14:paraId="4864C8C8">
            <w:pPr>
              <w:jc w:val="center"/>
              <w:rPr>
                <w:rFonts w:ascii="宋体" w:hAnsi="宋体" w:cs="宋体"/>
                <w:b w:val="0"/>
                <w:bCs/>
                <w:color w:val="000000"/>
                <w:sz w:val="24"/>
              </w:rPr>
            </w:pPr>
            <w:r>
              <w:rPr>
                <w:rFonts w:hint="eastAsia" w:ascii="宋体" w:hAnsi="宋体" w:cs="宋体"/>
                <w:b w:val="0"/>
                <w:bCs/>
                <w:color w:val="000000"/>
                <w:sz w:val="24"/>
              </w:rPr>
              <w:t>技术负责人</w:t>
            </w:r>
          </w:p>
        </w:tc>
        <w:tc>
          <w:tcPr>
            <w:tcW w:w="1099" w:type="dxa"/>
            <w:vAlign w:val="center"/>
          </w:tcPr>
          <w:p w14:paraId="6D393304">
            <w:pPr>
              <w:jc w:val="center"/>
              <w:rPr>
                <w:rFonts w:ascii="宋体" w:hAnsi="宋体" w:cs="宋体"/>
                <w:b w:val="0"/>
                <w:bCs/>
                <w:color w:val="000000"/>
                <w:sz w:val="24"/>
              </w:rPr>
            </w:pPr>
            <w:r>
              <w:rPr>
                <w:rFonts w:hint="eastAsia" w:ascii="宋体" w:hAnsi="宋体" w:cs="宋体"/>
                <w:b w:val="0"/>
                <w:bCs/>
                <w:color w:val="000000"/>
                <w:sz w:val="24"/>
              </w:rPr>
              <w:t>应 宏</w:t>
            </w:r>
          </w:p>
        </w:tc>
        <w:tc>
          <w:tcPr>
            <w:tcW w:w="2977" w:type="dxa"/>
            <w:vAlign w:val="center"/>
          </w:tcPr>
          <w:p w14:paraId="1B1C0692">
            <w:pPr>
              <w:jc w:val="center"/>
              <w:rPr>
                <w:rFonts w:ascii="宋体" w:hAnsi="宋体" w:cs="宋体"/>
                <w:b w:val="0"/>
                <w:bCs/>
                <w:color w:val="000000"/>
                <w:sz w:val="24"/>
              </w:rPr>
            </w:pPr>
            <w:r>
              <w:rPr>
                <w:rFonts w:hint="eastAsia" w:ascii="宋体" w:hAnsi="宋体" w:cs="宋体"/>
                <w:b w:val="0"/>
                <w:bCs/>
                <w:color w:val="000000"/>
                <w:sz w:val="24"/>
              </w:rPr>
              <w:t>0044969</w:t>
            </w:r>
          </w:p>
        </w:tc>
        <w:tc>
          <w:tcPr>
            <w:tcW w:w="1276" w:type="dxa"/>
            <w:vAlign w:val="center"/>
          </w:tcPr>
          <w:p w14:paraId="0672FBC9">
            <w:pPr>
              <w:jc w:val="center"/>
              <w:rPr>
                <w:rFonts w:ascii="宋体" w:hAnsi="宋体" w:cs="宋体"/>
                <w:b w:val="0"/>
                <w:bCs/>
                <w:color w:val="000000"/>
                <w:sz w:val="24"/>
              </w:rPr>
            </w:pPr>
            <w:r>
              <w:rPr>
                <w:rFonts w:ascii="宋体" w:hAnsi="宋体" w:cs="宋体"/>
                <w:b w:val="0"/>
                <w:bCs/>
                <w:color w:val="000000"/>
                <w:sz w:val="24"/>
              </w:rPr>
              <w:t>360700</w:t>
            </w:r>
          </w:p>
          <w:p w14:paraId="35DAA995">
            <w:pPr>
              <w:jc w:val="center"/>
              <w:rPr>
                <w:rFonts w:ascii="宋体" w:hAnsi="宋体" w:cs="宋体"/>
                <w:b w:val="0"/>
                <w:bCs/>
                <w:color w:val="000000"/>
                <w:sz w:val="24"/>
              </w:rPr>
            </w:pPr>
            <w:r>
              <w:rPr>
                <w:rFonts w:ascii="宋体" w:hAnsi="宋体" w:cs="宋体"/>
                <w:b w:val="0"/>
                <w:bCs/>
                <w:color w:val="000000"/>
                <w:sz w:val="24"/>
              </w:rPr>
              <w:t>32238</w:t>
            </w:r>
          </w:p>
        </w:tc>
        <w:tc>
          <w:tcPr>
            <w:tcW w:w="1275" w:type="dxa"/>
            <w:vAlign w:val="center"/>
          </w:tcPr>
          <w:p w14:paraId="2900F394">
            <w:pPr>
              <w:jc w:val="center"/>
              <w:rPr>
                <w:rFonts w:ascii="宋体" w:hAnsi="宋体" w:cs="宋体"/>
                <w:b w:val="0"/>
                <w:bCs/>
                <w:color w:val="000000"/>
                <w:sz w:val="24"/>
              </w:rPr>
            </w:pPr>
            <w:r>
              <w:rPr>
                <w:rFonts w:hint="eastAsia" w:ascii="宋体" w:hAnsi="宋体" w:cs="宋体"/>
                <w:b w:val="0"/>
                <w:bCs/>
                <w:color w:val="000000"/>
                <w:sz w:val="24"/>
              </w:rPr>
              <w:t>电气</w:t>
            </w:r>
          </w:p>
        </w:tc>
        <w:tc>
          <w:tcPr>
            <w:tcW w:w="1311" w:type="dxa"/>
            <w:vAlign w:val="center"/>
          </w:tcPr>
          <w:p w14:paraId="70ACBBA4">
            <w:pPr>
              <w:jc w:val="center"/>
              <w:rPr>
                <w:rFonts w:ascii="宋体" w:hAnsi="宋体" w:cs="宋体"/>
                <w:b w:val="0"/>
                <w:bCs/>
                <w:color w:val="000000"/>
                <w:sz w:val="24"/>
              </w:rPr>
            </w:pPr>
          </w:p>
        </w:tc>
      </w:tr>
    </w:tbl>
    <w:p w14:paraId="041EAB35">
      <w:pPr>
        <w:widowControl/>
        <w:jc w:val="left"/>
        <w:rPr>
          <w:rFonts w:ascii="宋体" w:hAnsi="宋体"/>
          <w:b w:val="0"/>
          <w:sz w:val="32"/>
        </w:rPr>
      </w:pPr>
    </w:p>
    <w:p w14:paraId="44C20970">
      <w:pPr>
        <w:spacing w:before="100" w:beforeAutospacing="1" w:after="100" w:afterAutospacing="1" w:line="560" w:lineRule="exact"/>
        <w:jc w:val="center"/>
        <w:rPr>
          <w:rFonts w:ascii="黑体" w:hAnsi="宋体" w:eastAsia="黑体"/>
          <w:b w:val="0"/>
          <w:kern w:val="0"/>
          <w:sz w:val="32"/>
          <w:szCs w:val="32"/>
        </w:rPr>
      </w:pPr>
      <w:r>
        <w:rPr>
          <w:rFonts w:ascii="宋体" w:hAnsi="宋体"/>
          <w:b w:val="0"/>
          <w:sz w:val="32"/>
        </w:rPr>
        <w:br w:type="page"/>
      </w:r>
      <w:bookmarkStart w:id="13" w:name="_Toc447637008"/>
      <w:bookmarkStart w:id="14" w:name="_Toc528532633"/>
      <w:bookmarkStart w:id="15" w:name="_Toc447639152"/>
      <w:bookmarkStart w:id="16" w:name="_Toc484713645"/>
      <w:bookmarkStart w:id="17" w:name="_Toc447630430"/>
      <w:bookmarkStart w:id="18" w:name="_Toc499287773"/>
      <w:bookmarkStart w:id="19" w:name="_Toc482029270"/>
      <w:bookmarkStart w:id="20" w:name="_Toc2827"/>
      <w:bookmarkStart w:id="21" w:name="_Toc496620770"/>
      <w:r>
        <w:rPr>
          <w:rFonts w:hint="eastAsia" w:ascii="黑体" w:hAnsi="宋体" w:eastAsia="黑体"/>
          <w:b w:val="0"/>
          <w:kern w:val="0"/>
          <w:sz w:val="32"/>
          <w:szCs w:val="32"/>
        </w:rPr>
        <w:t>前 言</w:t>
      </w:r>
      <w:bookmarkEnd w:id="13"/>
      <w:bookmarkEnd w:id="14"/>
      <w:bookmarkEnd w:id="15"/>
      <w:bookmarkEnd w:id="16"/>
      <w:bookmarkEnd w:id="17"/>
      <w:bookmarkEnd w:id="18"/>
      <w:bookmarkEnd w:id="19"/>
      <w:bookmarkEnd w:id="20"/>
      <w:bookmarkEnd w:id="21"/>
    </w:p>
    <w:p w14:paraId="21F4BFBC">
      <w:pPr>
        <w:adjustRightInd w:val="0"/>
        <w:snapToGrid w:val="0"/>
        <w:spacing w:before="120" w:beforeLines="50" w:line="360" w:lineRule="auto"/>
        <w:ind w:firstLine="560" w:firstLineChars="200"/>
        <w:rPr>
          <w:rFonts w:ascii="宋体" w:hAnsi="宋体" w:cs="Arial"/>
          <w:b w:val="0"/>
          <w:sz w:val="28"/>
        </w:rPr>
      </w:pPr>
      <w:r>
        <w:rPr>
          <w:rFonts w:hint="eastAsia" w:ascii="宋体" w:hAnsi="宋体" w:cs="Arial"/>
          <w:b w:val="0"/>
          <w:sz w:val="28"/>
        </w:rPr>
        <w:t>浏阳市太平复兴花炮厂（个人独资）成立于2007年05月31日，于2024年11月29日取得浏阳市市场监督管理局核发的营业执照。住所：浏阳市集里街道办事处合盛村，公司类型：个人独资企业，统一社会信用代码:91430181712117522R，法定代表人：黄先承。现持有2024年11月27日由湖南省应急管理厅核发的烟花爆竹安全生产许可证，编号：（湘）YH安许证字〔2024〕010902号，有效期：2024年11月28日至2027年11月27日，许可范围：组合烟花类（C级）。</w:t>
      </w:r>
    </w:p>
    <w:p w14:paraId="4D4AD932">
      <w:pPr>
        <w:adjustRightInd w:val="0"/>
        <w:snapToGrid w:val="0"/>
        <w:spacing w:line="360" w:lineRule="auto"/>
        <w:ind w:firstLine="560" w:firstLineChars="200"/>
      </w:pPr>
      <w:r>
        <w:rPr>
          <w:rFonts w:hint="eastAsia" w:ascii="宋体" w:hAnsi="宋体" w:cs="Arial"/>
          <w:b w:val="0"/>
          <w:sz w:val="28"/>
        </w:rPr>
        <w:t>为响应应急管理部门关于烟花爆竹企业对标改造的号召，结合自身产业转型升级需要，该企业拟实施厂区改造工程，旨在提升安全生产条件，适应市场需求，实现更安全高效的生产目标。具体内容：①变更许可范围；②调整生产类别，拟申请生产类别为</w:t>
      </w:r>
      <w:r>
        <w:rPr>
          <w:rFonts w:hint="eastAsia" w:ascii="宋体" w:hAnsi="宋体" w:cs="Arial"/>
          <w:b w:val="0"/>
          <w:color w:val="000000" w:themeColor="text1"/>
          <w:sz w:val="28"/>
          <w14:textFill>
            <w14:solidFill>
              <w14:schemeClr w14:val="tx1"/>
            </w14:solidFill>
          </w14:textFill>
        </w:rPr>
        <w:t>喷花类（C</w:t>
      </w:r>
      <w:r>
        <w:rPr>
          <w:rFonts w:hint="eastAsia" w:ascii="宋体" w:hAnsi="宋体" w:cs="Arial"/>
          <w:b w:val="0"/>
          <w:color w:val="000000" w:themeColor="text1"/>
          <w:sz w:val="28"/>
          <w:vertAlign w:val="subscript"/>
          <w14:textFill>
            <w14:solidFill>
              <w14:schemeClr w14:val="tx1"/>
            </w14:solidFill>
          </w14:textFill>
        </w:rPr>
        <w:t>1</w:t>
      </w:r>
      <w:r>
        <w:rPr>
          <w:rFonts w:hint="eastAsia" w:ascii="宋体" w:hAnsi="宋体" w:cs="Arial"/>
          <w:b w:val="0"/>
          <w:color w:val="000000" w:themeColor="text1"/>
          <w:sz w:val="28"/>
          <w14:textFill>
            <w14:solidFill>
              <w14:schemeClr w14:val="tx1"/>
            </w14:solidFill>
          </w14:textFill>
        </w:rPr>
        <w:t>级</w:t>
      </w:r>
      <w:r>
        <w:rPr>
          <w:rFonts w:hint="eastAsia" w:ascii="宋体" w:hAnsi="宋体" w:cs="Arial"/>
          <w:b w:val="0"/>
          <w:sz w:val="28"/>
        </w:rPr>
        <w:t>、C</w:t>
      </w:r>
      <w:r>
        <w:rPr>
          <w:rFonts w:hint="eastAsia" w:ascii="宋体" w:hAnsi="宋体" w:cs="Arial"/>
          <w:b w:val="0"/>
          <w:sz w:val="28"/>
          <w:vertAlign w:val="subscript"/>
        </w:rPr>
        <w:t>2</w:t>
      </w:r>
      <w:r>
        <w:rPr>
          <w:rFonts w:hint="eastAsia" w:ascii="宋体" w:hAnsi="宋体" w:cs="Arial"/>
          <w:b w:val="0"/>
          <w:sz w:val="28"/>
        </w:rPr>
        <w:t>级、D级）、组合烟花（喷花组合，C</w:t>
      </w:r>
      <w:r>
        <w:rPr>
          <w:rFonts w:hint="eastAsia" w:ascii="宋体" w:hAnsi="宋体" w:cs="Arial"/>
          <w:b w:val="0"/>
          <w:sz w:val="28"/>
          <w:vertAlign w:val="subscript"/>
        </w:rPr>
        <w:t>1</w:t>
      </w:r>
      <w:r>
        <w:rPr>
          <w:rFonts w:hint="eastAsia" w:ascii="宋体" w:hAnsi="宋体" w:cs="Arial"/>
          <w:b w:val="0"/>
          <w:sz w:val="28"/>
        </w:rPr>
        <w:t>级、C</w:t>
      </w:r>
      <w:r>
        <w:rPr>
          <w:rFonts w:hint="eastAsia" w:ascii="宋体" w:hAnsi="宋体" w:cs="Arial"/>
          <w:b w:val="0"/>
          <w:sz w:val="28"/>
          <w:vertAlign w:val="subscript"/>
        </w:rPr>
        <w:t>2</w:t>
      </w:r>
      <w:r>
        <w:rPr>
          <w:rFonts w:hint="eastAsia" w:ascii="宋体" w:hAnsi="宋体" w:cs="Arial"/>
          <w:b w:val="0"/>
          <w:sz w:val="28"/>
        </w:rPr>
        <w:t>级、D级）；拟将原组合烟花类生产线改建为喷花类生产线。</w:t>
      </w:r>
      <w:r>
        <w:rPr>
          <w:rFonts w:cs="Calibri"/>
          <w:b w:val="0"/>
          <w:sz w:val="28"/>
        </w:rPr>
        <w:t>③</w:t>
      </w:r>
      <w:r>
        <w:rPr>
          <w:rFonts w:hint="eastAsia" w:ascii="宋体" w:hAnsi="宋体" w:cs="Arial"/>
          <w:b w:val="0"/>
          <w:sz w:val="28"/>
        </w:rPr>
        <w:t>对装药生产线、亮珠生产线、药物中转库及1.3级生产车间等进行改建升级；④全面完善厂区各项安全设施，系统提升安全生产配套条件，确保整体达标运行。拟改建后厂区共有工库房93栋，</w:t>
      </w:r>
      <w:r>
        <w:rPr>
          <w:rFonts w:hint="eastAsia" w:ascii="宋体" w:hAnsi="宋体" w:cs="Arial"/>
          <w:b w:val="0"/>
          <w:color w:val="000000" w:themeColor="text1"/>
          <w:sz w:val="28"/>
          <w14:textFill>
            <w14:solidFill>
              <w14:schemeClr w14:val="tx1"/>
            </w14:solidFill>
          </w14:textFill>
        </w:rPr>
        <w:t>其中新建9栋、改建71栋，利旧11栋，申请生产范围变更为：喷花类（C</w:t>
      </w:r>
      <w:r>
        <w:rPr>
          <w:rFonts w:hint="eastAsia" w:ascii="宋体" w:hAnsi="宋体" w:cs="Arial"/>
          <w:b w:val="0"/>
          <w:color w:val="000000" w:themeColor="text1"/>
          <w:sz w:val="28"/>
          <w:vertAlign w:val="subscript"/>
          <w14:textFill>
            <w14:solidFill>
              <w14:schemeClr w14:val="tx1"/>
            </w14:solidFill>
          </w14:textFill>
        </w:rPr>
        <w:t>1</w:t>
      </w:r>
      <w:r>
        <w:rPr>
          <w:rFonts w:hint="eastAsia" w:ascii="宋体" w:hAnsi="宋体" w:cs="Arial"/>
          <w:b w:val="0"/>
          <w:color w:val="000000" w:themeColor="text1"/>
          <w:sz w:val="28"/>
          <w14:textFill>
            <w14:solidFill>
              <w14:schemeClr w14:val="tx1"/>
            </w14:solidFill>
          </w14:textFill>
        </w:rPr>
        <w:t>级</w:t>
      </w:r>
      <w:r>
        <w:rPr>
          <w:rFonts w:hint="eastAsia" w:ascii="宋体" w:hAnsi="宋体" w:cs="Arial"/>
          <w:b w:val="0"/>
          <w:sz w:val="28"/>
        </w:rPr>
        <w:t>、C</w:t>
      </w:r>
      <w:r>
        <w:rPr>
          <w:rFonts w:hint="eastAsia" w:ascii="宋体" w:hAnsi="宋体" w:cs="Arial"/>
          <w:b w:val="0"/>
          <w:sz w:val="28"/>
          <w:vertAlign w:val="subscript"/>
        </w:rPr>
        <w:t>2</w:t>
      </w:r>
      <w:r>
        <w:rPr>
          <w:rFonts w:hint="eastAsia" w:ascii="宋体" w:hAnsi="宋体" w:cs="Arial"/>
          <w:b w:val="0"/>
          <w:sz w:val="28"/>
        </w:rPr>
        <w:t>级、D级）、组合烟花（喷花组合，C</w:t>
      </w:r>
      <w:r>
        <w:rPr>
          <w:rFonts w:hint="eastAsia" w:ascii="宋体" w:hAnsi="宋体" w:cs="Arial"/>
          <w:b w:val="0"/>
          <w:sz w:val="28"/>
          <w:vertAlign w:val="subscript"/>
        </w:rPr>
        <w:t>1</w:t>
      </w:r>
      <w:r>
        <w:rPr>
          <w:rFonts w:hint="eastAsia" w:ascii="宋体" w:hAnsi="宋体" w:cs="Arial"/>
          <w:b w:val="0"/>
          <w:sz w:val="28"/>
        </w:rPr>
        <w:t>级、C</w:t>
      </w:r>
      <w:r>
        <w:rPr>
          <w:rFonts w:hint="eastAsia" w:ascii="宋体" w:hAnsi="宋体" w:cs="Arial"/>
          <w:b w:val="0"/>
          <w:sz w:val="28"/>
          <w:vertAlign w:val="subscript"/>
        </w:rPr>
        <w:t>2</w:t>
      </w:r>
      <w:r>
        <w:rPr>
          <w:rFonts w:hint="eastAsia" w:ascii="宋体" w:hAnsi="宋体" w:cs="Arial"/>
          <w:b w:val="0"/>
          <w:sz w:val="28"/>
        </w:rPr>
        <w:t>级、D级））</w:t>
      </w:r>
      <w:r>
        <w:rPr>
          <w:rFonts w:hint="eastAsia" w:asciiTheme="minorEastAsia" w:hAnsiTheme="minorEastAsia" w:eastAsiaTheme="minorEastAsia"/>
          <w:b w:val="0"/>
        </w:rPr>
        <w:t>。</w:t>
      </w:r>
      <w:r>
        <w:rPr>
          <w:rFonts w:hint="eastAsia" w:ascii="宋体" w:hAnsi="宋体" w:cs="Arial"/>
          <w:b w:val="0"/>
          <w:sz w:val="28"/>
        </w:rPr>
        <w:t>建设项目（浏阳市太平复兴花炮厂（个人独资）厂房升级改造项目）2</w:t>
      </w:r>
      <w:r>
        <w:rPr>
          <w:rFonts w:ascii="宋体" w:hAnsi="宋体" w:cs="Arial"/>
          <w:b w:val="0"/>
          <w:sz w:val="28"/>
        </w:rPr>
        <w:t>026</w:t>
      </w:r>
      <w:r>
        <w:rPr>
          <w:rFonts w:hint="eastAsia" w:ascii="宋体" w:hAnsi="宋体" w:cs="Arial"/>
          <w:b w:val="0"/>
          <w:sz w:val="28"/>
        </w:rPr>
        <w:t>年8月20日在浏阳市发展和改革局审批通过（见《企业投资项目备案告知承诺信息表》），备案编号：2026580，项目代码：2608-430181-04-01-380137。</w:t>
      </w:r>
    </w:p>
    <w:p w14:paraId="69588336">
      <w:pPr>
        <w:adjustRightInd w:val="0"/>
        <w:snapToGrid w:val="0"/>
        <w:spacing w:line="360" w:lineRule="auto"/>
        <w:ind w:firstLine="560" w:firstLineChars="200"/>
        <w:rPr>
          <w:rFonts w:ascii="宋体" w:hAnsi="宋体" w:cs="Arial"/>
          <w:b w:val="0"/>
          <w:sz w:val="28"/>
        </w:rPr>
      </w:pPr>
      <w:r>
        <w:rPr>
          <w:rFonts w:hint="eastAsia" w:ascii="宋体" w:hAnsi="宋体" w:cs="Arial"/>
          <w:b w:val="0"/>
          <w:sz w:val="28"/>
        </w:rPr>
        <w:t>根据《建设项目安全设施“三同时”监督管理办法》（国家安全生产监督管理总局令第36号，第77号令修改）的规定，“生产经营单位新建、改扩建工程项目的安全设施必须与主体工程同时设计、同时施工、同时投入生产和使用”。因此，该项目应按照建设项目“三同时”要求履行有关审查程序。</w:t>
      </w:r>
    </w:p>
    <w:p w14:paraId="4BB2B30A">
      <w:pPr>
        <w:adjustRightInd w:val="0"/>
        <w:snapToGrid w:val="0"/>
        <w:spacing w:line="360" w:lineRule="auto"/>
        <w:ind w:firstLine="560" w:firstLineChars="200"/>
        <w:rPr>
          <w:rFonts w:ascii="宋体" w:hAnsi="宋体" w:cs="Arial"/>
          <w:b w:val="0"/>
          <w:sz w:val="28"/>
        </w:rPr>
      </w:pPr>
      <w:r>
        <w:rPr>
          <w:rFonts w:ascii="宋体" w:hAnsi="宋体" w:cs="Arial"/>
          <w:b w:val="0"/>
          <w:sz w:val="28"/>
        </w:rPr>
        <w:t>根据上述规定，</w:t>
      </w:r>
      <w:r>
        <w:rPr>
          <w:rFonts w:hint="eastAsia" w:ascii="宋体" w:hAnsi="宋体" w:cs="Arial"/>
          <w:b w:val="0"/>
          <w:sz w:val="28"/>
        </w:rPr>
        <w:t>浏阳市太平复兴花炮厂（个人独资）（下称“该企业”）委托我</w:t>
      </w:r>
      <w:r>
        <w:rPr>
          <w:rFonts w:ascii="宋体" w:hAnsi="宋体" w:cs="Arial"/>
          <w:b w:val="0"/>
          <w:sz w:val="28"/>
        </w:rPr>
        <w:t>江西赣安安全生产科学技术咨询服务中心</w:t>
      </w:r>
      <w:r>
        <w:rPr>
          <w:rFonts w:hint="eastAsia" w:ascii="宋体" w:hAnsi="宋体" w:cs="Arial"/>
          <w:b w:val="0"/>
          <w:sz w:val="28"/>
        </w:rPr>
        <w:t>（下称“我中心”）</w:t>
      </w:r>
      <w:r>
        <w:rPr>
          <w:rFonts w:ascii="宋体" w:hAnsi="宋体" w:cs="Arial"/>
          <w:b w:val="0"/>
          <w:sz w:val="28"/>
        </w:rPr>
        <w:t>对</w:t>
      </w:r>
      <w:r>
        <w:rPr>
          <w:rFonts w:hint="eastAsia" w:ascii="宋体" w:hAnsi="宋体" w:cs="Arial"/>
          <w:b w:val="0"/>
          <w:sz w:val="28"/>
        </w:rPr>
        <w:t>该企业的厂房升级改造项目</w:t>
      </w:r>
      <w:r>
        <w:rPr>
          <w:rFonts w:ascii="宋体" w:hAnsi="宋体" w:cs="Arial"/>
          <w:b w:val="0"/>
          <w:sz w:val="28"/>
        </w:rPr>
        <w:t>进行安全预评价。我</w:t>
      </w:r>
      <w:r>
        <w:rPr>
          <w:rFonts w:hint="eastAsia" w:ascii="宋体" w:hAnsi="宋体" w:cs="Arial"/>
          <w:b w:val="0"/>
          <w:sz w:val="28"/>
        </w:rPr>
        <w:t>中心</w:t>
      </w:r>
      <w:r>
        <w:rPr>
          <w:rFonts w:ascii="宋体" w:hAnsi="宋体" w:cs="Arial"/>
          <w:b w:val="0"/>
          <w:sz w:val="28"/>
        </w:rPr>
        <w:t>接受委托后，立即组织相关技术人员对</w:t>
      </w:r>
      <w:r>
        <w:rPr>
          <w:rFonts w:hint="eastAsia" w:ascii="宋体" w:hAnsi="宋体" w:cs="Arial"/>
          <w:b w:val="0"/>
          <w:sz w:val="28"/>
        </w:rPr>
        <w:t>厂房升级改造项目</w:t>
      </w:r>
      <w:r>
        <w:rPr>
          <w:rFonts w:ascii="宋体" w:hAnsi="宋体" w:cs="Arial"/>
          <w:b w:val="0"/>
          <w:sz w:val="28"/>
        </w:rPr>
        <w:t>相关资料进行了全面仔细的分析、研究，深入现场进行实地调研和考察，反复征询建设单位和有关专家的意见，并根据有关规范，辨识和分析该项目存在的各种危险、有害因素，并经定性、定量分析评价，编写了《</w:t>
      </w:r>
      <w:r>
        <w:rPr>
          <w:rFonts w:hint="eastAsia" w:ascii="宋体" w:hAnsi="宋体" w:cs="Arial"/>
          <w:b w:val="0"/>
          <w:sz w:val="28"/>
        </w:rPr>
        <w:t>浏阳市太平复兴花炮厂（个人独资）厂房升级改造项目</w:t>
      </w:r>
      <w:r>
        <w:rPr>
          <w:rFonts w:ascii="宋体" w:hAnsi="宋体" w:cs="Arial"/>
          <w:b w:val="0"/>
          <w:sz w:val="28"/>
        </w:rPr>
        <w:t>安全预评价报告》。</w:t>
      </w:r>
    </w:p>
    <w:p w14:paraId="5F47DB0A">
      <w:pPr>
        <w:adjustRightInd w:val="0"/>
        <w:snapToGrid w:val="0"/>
        <w:spacing w:line="360" w:lineRule="auto"/>
        <w:ind w:firstLine="560" w:firstLineChars="200"/>
        <w:rPr>
          <w:rFonts w:ascii="宋体" w:hAnsi="宋体" w:cs="Arial"/>
          <w:b w:val="0"/>
          <w:sz w:val="28"/>
        </w:rPr>
      </w:pPr>
      <w:r>
        <w:rPr>
          <w:rFonts w:ascii="宋体" w:hAnsi="宋体" w:cs="Arial"/>
          <w:b w:val="0"/>
          <w:sz w:val="28"/>
        </w:rPr>
        <w:t>在本次评价过程中，在现场调研、资料收集和意见沟通过程中，得到了企业领导、相关人员及设计单位的积极配合及协助，在此表示感谢！</w:t>
      </w:r>
    </w:p>
    <w:p w14:paraId="5062BD5B">
      <w:pPr>
        <w:pStyle w:val="87"/>
        <w:ind w:firstLine="562"/>
      </w:pPr>
      <w:r>
        <w:br w:type="page"/>
      </w:r>
    </w:p>
    <w:p w14:paraId="3FA7BD25">
      <w:pPr>
        <w:pStyle w:val="87"/>
        <w:ind w:firstLine="560"/>
        <w:rPr>
          <w:rFonts w:asciiTheme="minorEastAsia" w:hAnsiTheme="minorEastAsia" w:eastAsiaTheme="minorEastAsia"/>
          <w:b w:val="0"/>
          <w:bCs/>
          <w:snapToGrid w:val="0"/>
          <w:kern w:val="2"/>
          <w:szCs w:val="28"/>
        </w:rPr>
        <w:sectPr>
          <w:pgSz w:w="11906" w:h="16838"/>
          <w:pgMar w:top="1417" w:right="1417" w:bottom="1417" w:left="1417" w:header="851" w:footer="863" w:gutter="0"/>
          <w:pgBorders>
            <w:top w:val="none" w:sz="0" w:space="0"/>
            <w:left w:val="none" w:sz="0" w:space="0"/>
            <w:bottom w:val="none" w:sz="0" w:space="0"/>
            <w:right w:val="none" w:sz="0" w:space="0"/>
          </w:pgBorders>
          <w:pgNumType w:fmt="upperRoman"/>
          <w:cols w:space="720" w:num="1"/>
          <w:docGrid w:linePitch="312" w:charSpace="0"/>
        </w:sectPr>
      </w:pPr>
    </w:p>
    <w:p w14:paraId="62DDE39E">
      <w:pPr>
        <w:widowControl/>
        <w:spacing w:before="120" w:beforeLines="50" w:line="360" w:lineRule="auto"/>
        <w:jc w:val="center"/>
        <w:rPr>
          <w:rFonts w:asciiTheme="minorEastAsia" w:hAnsiTheme="minorEastAsia" w:eastAsiaTheme="minorEastAsia"/>
          <w:bCs/>
          <w:sz w:val="44"/>
          <w:szCs w:val="44"/>
        </w:rPr>
      </w:pPr>
      <w:r>
        <w:rPr>
          <w:rFonts w:hint="eastAsia" w:asciiTheme="minorEastAsia" w:hAnsiTheme="minorEastAsia" w:eastAsiaTheme="minorEastAsia"/>
          <w:bCs/>
          <w:sz w:val="44"/>
          <w:szCs w:val="44"/>
        </w:rPr>
        <w:t>目</w:t>
      </w:r>
      <w:r>
        <w:rPr>
          <w:rFonts w:hint="eastAsia" w:asciiTheme="minorEastAsia" w:hAnsiTheme="minorEastAsia" w:eastAsiaTheme="minorEastAsia"/>
          <w:bCs/>
          <w:sz w:val="44"/>
          <w:szCs w:val="44"/>
          <w:lang w:val="en-US" w:eastAsia="zh-CN"/>
        </w:rPr>
        <w:t xml:space="preserve">  </w:t>
      </w:r>
      <w:r>
        <w:rPr>
          <w:rFonts w:hint="eastAsia" w:asciiTheme="minorEastAsia" w:hAnsiTheme="minorEastAsia" w:eastAsiaTheme="minorEastAsia"/>
          <w:bCs/>
          <w:sz w:val="44"/>
          <w:szCs w:val="44"/>
        </w:rPr>
        <w:t xml:space="preserve"> 录</w:t>
      </w:r>
    </w:p>
    <w:p w14:paraId="03435470">
      <w:pPr>
        <w:pStyle w:val="59"/>
        <w:tabs>
          <w:tab w:val="right" w:leader="dot" w:pos="9072"/>
        </w:tabs>
        <w:spacing w:line="400" w:lineRule="exac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b w:val="0"/>
          <w:bCs w:val="0"/>
          <w:caps w:val="0"/>
          <w:sz w:val="28"/>
          <w:szCs w:val="28"/>
        </w:rPr>
        <w:fldChar w:fldCharType="begin"/>
      </w:r>
      <w:r>
        <w:rPr>
          <w:rFonts w:hint="eastAsia" w:asciiTheme="majorEastAsia" w:hAnsiTheme="majorEastAsia" w:eastAsiaTheme="majorEastAsia" w:cstheme="majorEastAsia"/>
          <w:b w:val="0"/>
          <w:bCs w:val="0"/>
          <w:caps w:val="0"/>
          <w:sz w:val="28"/>
          <w:szCs w:val="28"/>
        </w:rPr>
        <w:instrText xml:space="preserve"> TOC \o "1-2" \h \z \u </w:instrText>
      </w:r>
      <w:r>
        <w:rPr>
          <w:rFonts w:hint="eastAsia" w:asciiTheme="majorEastAsia" w:hAnsiTheme="majorEastAsia" w:eastAsiaTheme="majorEastAsia" w:cstheme="majorEastAsia"/>
          <w:b w:val="0"/>
          <w:bCs w:val="0"/>
          <w:caps w:val="0"/>
          <w:sz w:val="28"/>
          <w:szCs w:val="28"/>
        </w:rPr>
        <w:fldChar w:fldCharType="separate"/>
      </w:r>
      <w:r>
        <w:fldChar w:fldCharType="begin"/>
      </w:r>
      <w:r>
        <w:instrText xml:space="preserve"> HYPERLINK \l "_Toc4374" </w:instrText>
      </w:r>
      <w:r>
        <w:fldChar w:fldCharType="separate"/>
      </w:r>
      <w:r>
        <w:rPr>
          <w:rFonts w:hint="eastAsia" w:asciiTheme="majorEastAsia" w:hAnsiTheme="majorEastAsia" w:eastAsiaTheme="majorEastAsia" w:cstheme="majorEastAsia"/>
          <w:sz w:val="24"/>
          <w:szCs w:val="24"/>
        </w:rPr>
        <w:t>第一章 安全评价概述</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_Toc4374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53B54427">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"_Toc26707" </w:instrText>
      </w:r>
      <w:r>
        <w:fldChar w:fldCharType="separate"/>
      </w:r>
      <w:r>
        <w:rPr>
          <w:rFonts w:hint="eastAsia" w:asciiTheme="majorEastAsia" w:hAnsiTheme="majorEastAsia" w:eastAsiaTheme="majorEastAsia" w:cstheme="majorEastAsia"/>
          <w:bCs/>
          <w:snapToGrid w:val="0"/>
          <w:sz w:val="24"/>
          <w:szCs w:val="24"/>
        </w:rPr>
        <w:t>1.1安全评价目的</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_Toc26707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1878507B">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"_Toc4609" </w:instrText>
      </w:r>
      <w:r>
        <w:fldChar w:fldCharType="separate"/>
      </w:r>
      <w:r>
        <w:rPr>
          <w:rFonts w:hint="eastAsia" w:asciiTheme="majorEastAsia" w:hAnsiTheme="majorEastAsia" w:eastAsiaTheme="majorEastAsia" w:cstheme="majorEastAsia"/>
          <w:bCs/>
          <w:snapToGrid w:val="0"/>
          <w:sz w:val="24"/>
          <w:szCs w:val="24"/>
        </w:rPr>
        <w:t>1.2 安全预评价的原则</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_Toc4609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20B023AB">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"_Toc13879" </w:instrText>
      </w:r>
      <w:r>
        <w:fldChar w:fldCharType="separate"/>
      </w:r>
      <w:r>
        <w:rPr>
          <w:rFonts w:hint="eastAsia" w:asciiTheme="majorEastAsia" w:hAnsiTheme="majorEastAsia" w:eastAsiaTheme="majorEastAsia" w:cstheme="majorEastAsia"/>
          <w:bCs/>
          <w:snapToGrid w:val="0"/>
          <w:sz w:val="24"/>
          <w:szCs w:val="24"/>
        </w:rPr>
        <w:t>1.3编制依据</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_Toc13879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2</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05AA4D67">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"_Toc6018" </w:instrText>
      </w:r>
      <w:r>
        <w:fldChar w:fldCharType="separate"/>
      </w:r>
      <w:r>
        <w:rPr>
          <w:rFonts w:hint="eastAsia" w:asciiTheme="majorEastAsia" w:hAnsiTheme="majorEastAsia" w:eastAsiaTheme="majorEastAsia" w:cstheme="majorEastAsia"/>
          <w:bCs/>
          <w:snapToGrid w:val="0"/>
          <w:sz w:val="24"/>
          <w:szCs w:val="24"/>
        </w:rPr>
        <w:t>1.3预评价范围和内容</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_Toc6018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6</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14078119">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"_Toc13511" </w:instrText>
      </w:r>
      <w:r>
        <w:fldChar w:fldCharType="separate"/>
      </w:r>
      <w:r>
        <w:rPr>
          <w:rFonts w:hint="eastAsia" w:asciiTheme="majorEastAsia" w:hAnsiTheme="majorEastAsia" w:eastAsiaTheme="majorEastAsia" w:cstheme="majorEastAsia"/>
          <w:bCs/>
          <w:snapToGrid w:val="0"/>
          <w:sz w:val="24"/>
          <w:szCs w:val="24"/>
        </w:rPr>
        <w:t>1.4安全预评价程序</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_Toc13511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7</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4F162203">
      <w:pPr>
        <w:pStyle w:val="59"/>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"_Toc22711" </w:instrText>
      </w:r>
      <w:r>
        <w:fldChar w:fldCharType="separate"/>
      </w:r>
      <w:r>
        <w:rPr>
          <w:rFonts w:hint="eastAsia" w:asciiTheme="majorEastAsia" w:hAnsiTheme="majorEastAsia" w:eastAsiaTheme="majorEastAsia" w:cstheme="majorEastAsia"/>
          <w:sz w:val="24"/>
          <w:szCs w:val="24"/>
        </w:rPr>
        <w:t>第二章  建设项目概况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_Toc22711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9</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152C5381">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"_Toc31774" </w:instrText>
      </w:r>
      <w:r>
        <w:fldChar w:fldCharType="separate"/>
      </w:r>
      <w:r>
        <w:rPr>
          <w:rFonts w:hint="eastAsia" w:asciiTheme="majorEastAsia" w:hAnsiTheme="majorEastAsia" w:eastAsiaTheme="majorEastAsia" w:cstheme="majorEastAsia"/>
          <w:bCs/>
          <w:snapToGrid w:val="0"/>
          <w:sz w:val="24"/>
          <w:szCs w:val="24"/>
        </w:rPr>
        <w:t>2.1建设单位概况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_Toc31774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9</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4FAFA677">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"_Toc7412" </w:instrText>
      </w:r>
      <w:r>
        <w:fldChar w:fldCharType="separate"/>
      </w:r>
      <w:r>
        <w:rPr>
          <w:rFonts w:hint="eastAsia" w:asciiTheme="majorEastAsia" w:hAnsiTheme="majorEastAsia" w:eastAsiaTheme="majorEastAsia" w:cstheme="majorEastAsia"/>
          <w:bCs/>
          <w:snapToGrid w:val="0"/>
          <w:sz w:val="24"/>
          <w:szCs w:val="24"/>
        </w:rPr>
        <w:t>2.2建设项目概况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_Toc7412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9</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165AFDCD">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"_Toc12092" </w:instrText>
      </w:r>
      <w:r>
        <w:fldChar w:fldCharType="separate"/>
      </w:r>
      <w:r>
        <w:rPr>
          <w:rFonts w:hint="eastAsia" w:asciiTheme="majorEastAsia" w:hAnsiTheme="majorEastAsia" w:eastAsiaTheme="majorEastAsia" w:cstheme="majorEastAsia"/>
          <w:bCs/>
          <w:snapToGrid w:val="0"/>
          <w:sz w:val="24"/>
          <w:szCs w:val="24"/>
        </w:rPr>
        <w:t>2.3气象、水文、地质资料</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_Toc12092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14</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4948E83C">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"_Toc6201" </w:instrText>
      </w:r>
      <w:r>
        <w:fldChar w:fldCharType="separate"/>
      </w:r>
      <w:r>
        <w:rPr>
          <w:rFonts w:hint="eastAsia" w:asciiTheme="majorEastAsia" w:hAnsiTheme="majorEastAsia" w:eastAsiaTheme="majorEastAsia" w:cstheme="majorEastAsia"/>
          <w:bCs/>
          <w:snapToGrid w:val="0"/>
          <w:sz w:val="24"/>
          <w:szCs w:val="24"/>
        </w:rPr>
        <w:t>2.4总平面布置</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_Toc6201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14</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54A10800">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"_Toc17210" </w:instrText>
      </w:r>
      <w:r>
        <w:fldChar w:fldCharType="separate"/>
      </w:r>
      <w:r>
        <w:rPr>
          <w:rFonts w:hint="eastAsia" w:asciiTheme="majorEastAsia" w:hAnsiTheme="majorEastAsia" w:eastAsiaTheme="majorEastAsia" w:cstheme="majorEastAsia"/>
          <w:bCs/>
          <w:snapToGrid w:val="0"/>
          <w:sz w:val="24"/>
          <w:szCs w:val="24"/>
        </w:rPr>
        <w:t>2.5企业生产工艺流程</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_Toc17210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18</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1F786828">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"_Toc32765" </w:instrText>
      </w:r>
      <w:r>
        <w:fldChar w:fldCharType="separate"/>
      </w:r>
      <w:r>
        <w:rPr>
          <w:rFonts w:hint="eastAsia" w:asciiTheme="majorEastAsia" w:hAnsiTheme="majorEastAsia" w:eastAsiaTheme="majorEastAsia" w:cstheme="majorEastAsia"/>
          <w:bCs/>
          <w:snapToGrid w:val="0"/>
          <w:sz w:val="24"/>
          <w:szCs w:val="24"/>
        </w:rPr>
        <w:t>2.6原材料预计用量</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_Toc32765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20</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3CB03A63">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"_Toc333" </w:instrText>
      </w:r>
      <w:r>
        <w:fldChar w:fldCharType="separate"/>
      </w:r>
      <w:r>
        <w:rPr>
          <w:rFonts w:hint="eastAsia" w:asciiTheme="majorEastAsia" w:hAnsiTheme="majorEastAsia" w:eastAsiaTheme="majorEastAsia" w:cstheme="majorEastAsia"/>
          <w:bCs/>
          <w:snapToGrid w:val="0"/>
          <w:sz w:val="24"/>
          <w:szCs w:val="24"/>
        </w:rPr>
        <w:t>2.7主要生产设备</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_Toc333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20</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554C5A6F">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"_Toc17344" </w:instrText>
      </w:r>
      <w:r>
        <w:fldChar w:fldCharType="separate"/>
      </w:r>
      <w:r>
        <w:rPr>
          <w:rFonts w:hint="eastAsia" w:asciiTheme="majorEastAsia" w:hAnsiTheme="majorEastAsia" w:eastAsiaTheme="majorEastAsia" w:cstheme="majorEastAsia"/>
          <w:bCs/>
          <w:snapToGrid w:val="0"/>
          <w:sz w:val="24"/>
          <w:szCs w:val="24"/>
        </w:rPr>
        <w:t>2.8内、外部安全距离</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_Toc17344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21</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570D9CC1">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"_Toc8622" </w:instrText>
      </w:r>
      <w:r>
        <w:fldChar w:fldCharType="separate"/>
      </w:r>
      <w:r>
        <w:rPr>
          <w:rFonts w:hint="eastAsia" w:asciiTheme="majorEastAsia" w:hAnsiTheme="majorEastAsia" w:eastAsiaTheme="majorEastAsia" w:cstheme="majorEastAsia"/>
          <w:bCs/>
          <w:snapToGrid w:val="0"/>
          <w:sz w:val="24"/>
          <w:szCs w:val="24"/>
        </w:rPr>
        <w:t>2.9公用工程</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_Toc8622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27</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173799D8">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"_Toc28356" </w:instrText>
      </w:r>
      <w:r>
        <w:fldChar w:fldCharType="separate"/>
      </w:r>
      <w:r>
        <w:rPr>
          <w:rFonts w:hint="eastAsia" w:asciiTheme="majorEastAsia" w:hAnsiTheme="majorEastAsia" w:eastAsiaTheme="majorEastAsia" w:cstheme="majorEastAsia"/>
          <w:sz w:val="24"/>
          <w:szCs w:val="24"/>
        </w:rPr>
        <w:t>2.10企业安全管理情况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_Toc28356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29</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4D32A620">
      <w:pPr>
        <w:pStyle w:val="59"/>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"_Toc3798" </w:instrText>
      </w:r>
      <w:r>
        <w:fldChar w:fldCharType="separate"/>
      </w:r>
      <w:r>
        <w:rPr>
          <w:rFonts w:hint="eastAsia" w:asciiTheme="majorEastAsia" w:hAnsiTheme="majorEastAsia" w:eastAsiaTheme="majorEastAsia" w:cstheme="majorEastAsia"/>
          <w:sz w:val="24"/>
          <w:szCs w:val="24"/>
        </w:rPr>
        <w:t>第三章 主要危险、有害因素辨识与分析</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_Toc3798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33</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15EF5D27">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"_Toc9424" </w:instrText>
      </w:r>
      <w:r>
        <w:fldChar w:fldCharType="separate"/>
      </w:r>
      <w:r>
        <w:rPr>
          <w:rFonts w:hint="eastAsia" w:asciiTheme="majorEastAsia" w:hAnsiTheme="majorEastAsia" w:eastAsiaTheme="majorEastAsia" w:cstheme="majorEastAsia"/>
          <w:bCs/>
          <w:snapToGrid w:val="0"/>
          <w:sz w:val="24"/>
          <w:szCs w:val="24"/>
        </w:rPr>
        <w:t>3.1危险、有害因素分析方法</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_Toc9424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33</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6EB2E621">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"_Toc7107" </w:instrText>
      </w:r>
      <w:r>
        <w:fldChar w:fldCharType="separate"/>
      </w:r>
      <w:r>
        <w:rPr>
          <w:rFonts w:hint="eastAsia" w:asciiTheme="majorEastAsia" w:hAnsiTheme="majorEastAsia" w:eastAsiaTheme="majorEastAsia" w:cstheme="majorEastAsia"/>
          <w:bCs/>
          <w:snapToGrid w:val="0"/>
          <w:sz w:val="24"/>
          <w:szCs w:val="24"/>
        </w:rPr>
        <w:t>3.2改建项目可能发生的生产事故分类</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_Toc7107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33</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57D94EA3">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"_Toc31226" </w:instrText>
      </w:r>
      <w:r>
        <w:fldChar w:fldCharType="separate"/>
      </w:r>
      <w:r>
        <w:rPr>
          <w:rFonts w:hint="eastAsia" w:asciiTheme="majorEastAsia" w:hAnsiTheme="majorEastAsia" w:eastAsiaTheme="majorEastAsia" w:cstheme="majorEastAsia"/>
          <w:bCs/>
          <w:snapToGrid w:val="0"/>
          <w:sz w:val="24"/>
          <w:szCs w:val="24"/>
        </w:rPr>
        <w:t>3.3主要原料、半成品、成品的危险有害因素分析</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_Toc31226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34</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78442CF7">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"_Toc3345" </w:instrText>
      </w:r>
      <w:r>
        <w:fldChar w:fldCharType="separate"/>
      </w:r>
      <w:r>
        <w:rPr>
          <w:rFonts w:hint="eastAsia" w:asciiTheme="majorEastAsia" w:hAnsiTheme="majorEastAsia" w:eastAsiaTheme="majorEastAsia" w:cstheme="majorEastAsia"/>
          <w:bCs/>
          <w:snapToGrid w:val="0"/>
          <w:sz w:val="24"/>
          <w:szCs w:val="24"/>
        </w:rPr>
        <w:t>3.4重大危险源辨识</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_Toc3345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52</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32A30A79">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"_Toc9669" </w:instrText>
      </w:r>
      <w:r>
        <w:fldChar w:fldCharType="separate"/>
      </w:r>
      <w:r>
        <w:rPr>
          <w:rFonts w:hint="eastAsia" w:asciiTheme="majorEastAsia" w:hAnsiTheme="majorEastAsia" w:eastAsiaTheme="majorEastAsia" w:cstheme="majorEastAsia"/>
          <w:bCs/>
          <w:snapToGrid w:val="0"/>
          <w:sz w:val="24"/>
          <w:szCs w:val="24"/>
        </w:rPr>
        <w:t>3.5工艺过程危险有害因素分析</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_Toc9669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57</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3C1212EA">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"_Toc5167" </w:instrText>
      </w:r>
      <w:r>
        <w:fldChar w:fldCharType="separate"/>
      </w:r>
      <w:r>
        <w:rPr>
          <w:rFonts w:hint="eastAsia" w:asciiTheme="majorEastAsia" w:hAnsiTheme="majorEastAsia" w:eastAsiaTheme="majorEastAsia" w:cstheme="majorEastAsia"/>
          <w:bCs/>
          <w:snapToGrid w:val="0"/>
          <w:sz w:val="24"/>
          <w:szCs w:val="24"/>
        </w:rPr>
        <w:t>3.6主要机械设备危险有害因素分析</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_Toc5167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66</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11061034">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"_Toc21520" </w:instrText>
      </w:r>
      <w:r>
        <w:fldChar w:fldCharType="separate"/>
      </w:r>
      <w:r>
        <w:rPr>
          <w:rFonts w:hint="eastAsia" w:asciiTheme="majorEastAsia" w:hAnsiTheme="majorEastAsia" w:eastAsiaTheme="majorEastAsia" w:cstheme="majorEastAsia"/>
          <w:bCs/>
          <w:snapToGrid w:val="0"/>
          <w:sz w:val="24"/>
          <w:szCs w:val="24"/>
        </w:rPr>
        <w:t>3.7安全距离危险有害因素分析</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_Toc21520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67</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061BD807">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"_Toc5375" </w:instrText>
      </w:r>
      <w:r>
        <w:fldChar w:fldCharType="separate"/>
      </w:r>
      <w:r>
        <w:rPr>
          <w:rFonts w:hint="eastAsia" w:asciiTheme="majorEastAsia" w:hAnsiTheme="majorEastAsia" w:eastAsiaTheme="majorEastAsia" w:cstheme="majorEastAsia"/>
          <w:bCs/>
          <w:snapToGrid w:val="0"/>
          <w:sz w:val="24"/>
          <w:szCs w:val="24"/>
        </w:rPr>
        <w:t>3.8储运过程危险有害因素分析</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_Toc5375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68</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4B1860BC">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"_Toc10927" </w:instrText>
      </w:r>
      <w:r>
        <w:fldChar w:fldCharType="separate"/>
      </w:r>
      <w:r>
        <w:rPr>
          <w:rFonts w:hint="eastAsia" w:asciiTheme="majorEastAsia" w:hAnsiTheme="majorEastAsia" w:eastAsiaTheme="majorEastAsia" w:cstheme="majorEastAsia"/>
          <w:bCs/>
          <w:snapToGrid w:val="0"/>
          <w:sz w:val="24"/>
          <w:szCs w:val="24"/>
        </w:rPr>
        <w:t>3.9环境危险有害因素分析</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_Toc10927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71</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24F9B07C">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"_Toc4504" </w:instrText>
      </w:r>
      <w:r>
        <w:fldChar w:fldCharType="separate"/>
      </w:r>
      <w:r>
        <w:rPr>
          <w:rFonts w:hint="eastAsia" w:asciiTheme="majorEastAsia" w:hAnsiTheme="majorEastAsia" w:eastAsiaTheme="majorEastAsia" w:cstheme="majorEastAsia"/>
          <w:bCs/>
          <w:snapToGrid w:val="0"/>
          <w:sz w:val="24"/>
          <w:szCs w:val="24"/>
        </w:rPr>
        <w:t>3.10燃放试验和余药、废弃物销毁危险有害因素分析</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_Toc4504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74</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0519CE33">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"_Toc4263" </w:instrText>
      </w:r>
      <w:r>
        <w:fldChar w:fldCharType="separate"/>
      </w:r>
      <w:r>
        <w:rPr>
          <w:rFonts w:hint="eastAsia" w:asciiTheme="majorEastAsia" w:hAnsiTheme="majorEastAsia" w:eastAsiaTheme="majorEastAsia" w:cstheme="majorEastAsia"/>
          <w:bCs/>
          <w:snapToGrid w:val="0"/>
          <w:sz w:val="24"/>
          <w:szCs w:val="24"/>
        </w:rPr>
        <w:t>3.11建筑施工过程危险因素分析</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_Toc4263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76</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0D533871">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"_Toc13578" </w:instrText>
      </w:r>
      <w:r>
        <w:fldChar w:fldCharType="separate"/>
      </w:r>
      <w:r>
        <w:rPr>
          <w:rFonts w:hint="eastAsia" w:asciiTheme="majorEastAsia" w:hAnsiTheme="majorEastAsia" w:eastAsiaTheme="majorEastAsia" w:cstheme="majorEastAsia"/>
          <w:bCs/>
          <w:snapToGrid w:val="0"/>
          <w:sz w:val="24"/>
          <w:szCs w:val="24"/>
        </w:rPr>
        <w:t>3.12人员因素危险性分析</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_Toc13578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78</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458B12FF">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"_Toc27743" </w:instrText>
      </w:r>
      <w:r>
        <w:fldChar w:fldCharType="separate"/>
      </w:r>
      <w:r>
        <w:rPr>
          <w:rFonts w:hint="eastAsia" w:asciiTheme="majorEastAsia" w:hAnsiTheme="majorEastAsia" w:eastAsiaTheme="majorEastAsia" w:cstheme="majorEastAsia"/>
          <w:bCs/>
          <w:snapToGrid w:val="0"/>
          <w:sz w:val="24"/>
          <w:szCs w:val="24"/>
        </w:rPr>
        <w:t>3.13主要危险有害因素分析</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_Toc27743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79</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70D445CC">
      <w:pPr>
        <w:pStyle w:val="59"/>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"_Toc32084" </w:instrText>
      </w:r>
      <w:r>
        <w:fldChar w:fldCharType="separate"/>
      </w:r>
      <w:r>
        <w:rPr>
          <w:rFonts w:hint="eastAsia" w:asciiTheme="majorEastAsia" w:hAnsiTheme="majorEastAsia" w:eastAsiaTheme="majorEastAsia" w:cstheme="majorEastAsia"/>
          <w:sz w:val="24"/>
          <w:szCs w:val="24"/>
        </w:rPr>
        <w:t>第四章 评价单元划分及评价方法的选择</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_Toc32084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85</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0A6987B6">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"_Toc30792" </w:instrText>
      </w:r>
      <w:r>
        <w:fldChar w:fldCharType="separate"/>
      </w:r>
      <w:r>
        <w:rPr>
          <w:rFonts w:hint="eastAsia" w:asciiTheme="majorEastAsia" w:hAnsiTheme="majorEastAsia" w:eastAsiaTheme="majorEastAsia" w:cstheme="majorEastAsia"/>
          <w:bCs/>
          <w:snapToGrid w:val="0"/>
          <w:sz w:val="24"/>
          <w:szCs w:val="24"/>
        </w:rPr>
        <w:t>4.1评价单元划分</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_Toc30792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85</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5D316AF4">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"_Toc17896" </w:instrText>
      </w:r>
      <w:r>
        <w:fldChar w:fldCharType="separate"/>
      </w:r>
      <w:r>
        <w:rPr>
          <w:rFonts w:hint="eastAsia" w:asciiTheme="majorEastAsia" w:hAnsiTheme="majorEastAsia" w:eastAsiaTheme="majorEastAsia" w:cstheme="majorEastAsia"/>
          <w:bCs/>
          <w:snapToGrid w:val="0"/>
          <w:sz w:val="24"/>
          <w:szCs w:val="24"/>
        </w:rPr>
        <w:t>4.2评价方法的选择</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_Toc17896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85</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047FCF56">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"_Toc2498" </w:instrText>
      </w:r>
      <w:r>
        <w:fldChar w:fldCharType="separate"/>
      </w:r>
      <w:r>
        <w:rPr>
          <w:rFonts w:hint="eastAsia" w:asciiTheme="majorEastAsia" w:hAnsiTheme="majorEastAsia" w:eastAsiaTheme="majorEastAsia" w:cstheme="majorEastAsia"/>
          <w:bCs/>
          <w:snapToGrid w:val="0"/>
          <w:sz w:val="24"/>
          <w:szCs w:val="24"/>
        </w:rPr>
        <w:t>4.3选用的安全评价方法简介</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_Toc2498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86</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5AAF5B48">
      <w:pPr>
        <w:pStyle w:val="59"/>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"_Toc16243" </w:instrText>
      </w:r>
      <w:r>
        <w:fldChar w:fldCharType="separate"/>
      </w:r>
      <w:r>
        <w:rPr>
          <w:rFonts w:hint="eastAsia" w:asciiTheme="majorEastAsia" w:hAnsiTheme="majorEastAsia" w:eastAsiaTheme="majorEastAsia" w:cstheme="majorEastAsia"/>
          <w:sz w:val="24"/>
          <w:szCs w:val="24"/>
        </w:rPr>
        <w:t>第五章 定性定量评价</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_Toc16243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88</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42FF3B9C">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"_Toc17493" </w:instrText>
      </w:r>
      <w:r>
        <w:fldChar w:fldCharType="separate"/>
      </w:r>
      <w:r>
        <w:rPr>
          <w:rFonts w:hint="eastAsia" w:asciiTheme="majorEastAsia" w:hAnsiTheme="majorEastAsia" w:eastAsiaTheme="majorEastAsia" w:cstheme="majorEastAsia"/>
          <w:bCs/>
          <w:snapToGrid w:val="0"/>
          <w:sz w:val="24"/>
          <w:szCs w:val="24"/>
        </w:rPr>
        <w:t>5.1建设项目安全条件单元</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_Toc17493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88</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66A889FA">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"_Toc1730" </w:instrText>
      </w:r>
      <w:r>
        <w:fldChar w:fldCharType="separate"/>
      </w:r>
      <w:r>
        <w:rPr>
          <w:rFonts w:hint="eastAsia" w:asciiTheme="majorEastAsia" w:hAnsiTheme="majorEastAsia" w:eastAsiaTheme="majorEastAsia" w:cstheme="majorEastAsia"/>
          <w:bCs/>
          <w:snapToGrid w:val="0"/>
          <w:sz w:val="24"/>
          <w:szCs w:val="24"/>
        </w:rPr>
        <w:t>5.2建设项目总体布局单元</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_Toc1730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89</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5C6A9D1D">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"_Toc17262" </w:instrText>
      </w:r>
      <w:r>
        <w:fldChar w:fldCharType="separate"/>
      </w:r>
      <w:r>
        <w:rPr>
          <w:rFonts w:hint="eastAsia" w:asciiTheme="majorEastAsia" w:hAnsiTheme="majorEastAsia" w:eastAsiaTheme="majorEastAsia" w:cstheme="majorEastAsia"/>
          <w:bCs/>
          <w:snapToGrid w:val="0"/>
          <w:sz w:val="24"/>
          <w:szCs w:val="24"/>
        </w:rPr>
        <w:t>5.3安全设施及公用工程单元</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_Toc17262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97</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5E048148">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"_Toc23551" </w:instrText>
      </w:r>
      <w:r>
        <w:fldChar w:fldCharType="separate"/>
      </w:r>
      <w:r>
        <w:rPr>
          <w:rFonts w:hint="eastAsia" w:asciiTheme="majorEastAsia" w:hAnsiTheme="majorEastAsia" w:eastAsiaTheme="majorEastAsia" w:cstheme="majorEastAsia"/>
          <w:bCs/>
          <w:snapToGrid w:val="0"/>
          <w:sz w:val="24"/>
          <w:szCs w:val="24"/>
        </w:rPr>
        <w:t>5.4安全管理单元</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_Toc23551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103</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67607632">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"_Toc22335" </w:instrText>
      </w:r>
      <w:r>
        <w:fldChar w:fldCharType="separate"/>
      </w:r>
      <w:r>
        <w:rPr>
          <w:rFonts w:hint="eastAsia" w:asciiTheme="majorEastAsia" w:hAnsiTheme="majorEastAsia" w:eastAsiaTheme="majorEastAsia" w:cstheme="majorEastAsia"/>
          <w:bCs/>
          <w:snapToGrid w:val="0"/>
          <w:sz w:val="24"/>
          <w:szCs w:val="24"/>
        </w:rPr>
        <w:t>5.5生产过程单元</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_Toc22335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107</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0A4FE1A7">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"_Toc17558" </w:instrText>
      </w:r>
      <w:r>
        <w:fldChar w:fldCharType="separate"/>
      </w:r>
      <w:r>
        <w:rPr>
          <w:rFonts w:hint="eastAsia" w:asciiTheme="majorEastAsia" w:hAnsiTheme="majorEastAsia" w:eastAsiaTheme="majorEastAsia" w:cstheme="majorEastAsia"/>
          <w:bCs/>
          <w:snapToGrid w:val="0"/>
          <w:sz w:val="24"/>
          <w:szCs w:val="24"/>
        </w:rPr>
        <w:t>5.6建筑施工单元</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_Toc17558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109</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153B2CF1">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"_Toc5499" </w:instrText>
      </w:r>
      <w:r>
        <w:fldChar w:fldCharType="separate"/>
      </w:r>
      <w:r>
        <w:rPr>
          <w:rFonts w:hint="eastAsia" w:asciiTheme="majorEastAsia" w:hAnsiTheme="majorEastAsia" w:eastAsiaTheme="majorEastAsia" w:cstheme="majorEastAsia"/>
          <w:bCs/>
          <w:snapToGrid w:val="0"/>
          <w:sz w:val="24"/>
          <w:szCs w:val="24"/>
        </w:rPr>
        <w:t>5.7事故后果模拟分析（定量评价）</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_Toc5499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113</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07A89483">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"_Toc30082" </w:instrText>
      </w:r>
      <w:r>
        <w:fldChar w:fldCharType="separate"/>
      </w:r>
      <w:r>
        <w:rPr>
          <w:rFonts w:hint="eastAsia" w:asciiTheme="majorEastAsia" w:hAnsiTheme="majorEastAsia" w:eastAsiaTheme="majorEastAsia" w:cstheme="majorEastAsia"/>
          <w:bCs/>
          <w:snapToGrid w:val="0"/>
          <w:sz w:val="24"/>
          <w:szCs w:val="24"/>
          <w:lang w:val="zh-CN"/>
        </w:rPr>
        <w:t>5.8重大危险源评价</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_Toc30082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117</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5D35C557">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"_Toc17658" </w:instrText>
      </w:r>
      <w:r>
        <w:fldChar w:fldCharType="separate"/>
      </w:r>
      <w:r>
        <w:rPr>
          <w:rFonts w:hint="eastAsia" w:asciiTheme="majorEastAsia" w:hAnsiTheme="majorEastAsia" w:eastAsiaTheme="majorEastAsia" w:cstheme="majorEastAsia"/>
          <w:bCs/>
          <w:snapToGrid w:val="0"/>
          <w:sz w:val="24"/>
          <w:szCs w:val="24"/>
          <w:lang w:val="zh-CN"/>
        </w:rPr>
        <w:t>5.</w:t>
      </w:r>
      <w:r>
        <w:rPr>
          <w:rFonts w:hint="eastAsia" w:asciiTheme="majorEastAsia" w:hAnsiTheme="majorEastAsia" w:eastAsiaTheme="majorEastAsia" w:cstheme="majorEastAsia"/>
          <w:bCs/>
          <w:snapToGrid w:val="0"/>
          <w:sz w:val="24"/>
          <w:szCs w:val="24"/>
        </w:rPr>
        <w:t>9</w:t>
      </w:r>
      <w:r>
        <w:rPr>
          <w:rFonts w:hint="eastAsia" w:asciiTheme="majorEastAsia" w:hAnsiTheme="majorEastAsia" w:eastAsiaTheme="majorEastAsia" w:cstheme="majorEastAsia"/>
          <w:bCs/>
          <w:snapToGrid w:val="0"/>
          <w:sz w:val="24"/>
          <w:szCs w:val="24"/>
          <w:lang w:val="zh-CN"/>
        </w:rPr>
        <w:t>综合评价结果</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_Toc17658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119</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3CB67566">
      <w:pPr>
        <w:pStyle w:val="59"/>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"_Toc4314" </w:instrText>
      </w:r>
      <w:r>
        <w:fldChar w:fldCharType="separate"/>
      </w:r>
      <w:r>
        <w:rPr>
          <w:rFonts w:hint="eastAsia" w:asciiTheme="majorEastAsia" w:hAnsiTheme="majorEastAsia" w:eastAsiaTheme="majorEastAsia" w:cstheme="majorEastAsia"/>
          <w:sz w:val="24"/>
          <w:szCs w:val="24"/>
        </w:rPr>
        <w:t>第六章 安全对策措施建议</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_Toc4314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121</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2E9BC567">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"_Toc9108" </w:instrText>
      </w:r>
      <w:r>
        <w:fldChar w:fldCharType="separate"/>
      </w:r>
      <w:r>
        <w:rPr>
          <w:rFonts w:hint="eastAsia" w:asciiTheme="majorEastAsia" w:hAnsiTheme="majorEastAsia" w:eastAsiaTheme="majorEastAsia" w:cstheme="majorEastAsia"/>
          <w:bCs/>
          <w:snapToGrid w:val="0"/>
          <w:sz w:val="24"/>
          <w:szCs w:val="24"/>
        </w:rPr>
        <w:t>6.1安全对策措施建议的依据</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_Toc9108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121</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5CDC219A">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"_Toc22729" </w:instrText>
      </w:r>
      <w:r>
        <w:fldChar w:fldCharType="separate"/>
      </w:r>
      <w:r>
        <w:rPr>
          <w:rFonts w:hint="eastAsia" w:asciiTheme="majorEastAsia" w:hAnsiTheme="majorEastAsia" w:eastAsiaTheme="majorEastAsia" w:cstheme="majorEastAsia"/>
          <w:bCs/>
          <w:snapToGrid w:val="0"/>
          <w:sz w:val="24"/>
          <w:szCs w:val="24"/>
        </w:rPr>
        <w:t>6.2安全对策措施建议的原则</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_Toc22729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121</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165564DF">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"_Toc16302" </w:instrText>
      </w:r>
      <w:r>
        <w:fldChar w:fldCharType="separate"/>
      </w:r>
      <w:r>
        <w:rPr>
          <w:rFonts w:hint="eastAsia" w:asciiTheme="majorEastAsia" w:hAnsiTheme="majorEastAsia" w:eastAsiaTheme="majorEastAsia" w:cstheme="majorEastAsia"/>
          <w:bCs/>
          <w:snapToGrid w:val="0"/>
          <w:sz w:val="24"/>
          <w:szCs w:val="24"/>
        </w:rPr>
        <w:t>6.3安全对策措施</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_Toc16302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121</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3C86B054">
      <w:pPr>
        <w:pStyle w:val="59"/>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"_Toc19298" </w:instrText>
      </w:r>
      <w:r>
        <w:fldChar w:fldCharType="separate"/>
      </w:r>
      <w:r>
        <w:rPr>
          <w:rFonts w:hint="eastAsia" w:asciiTheme="majorEastAsia" w:hAnsiTheme="majorEastAsia" w:eastAsiaTheme="majorEastAsia" w:cstheme="majorEastAsia"/>
          <w:sz w:val="24"/>
          <w:szCs w:val="24"/>
        </w:rPr>
        <w:t>第七章 安全预评价结论</w:t>
      </w:r>
      <w:bookmarkStart w:id="658" w:name="_GoBack"/>
      <w:bookmarkEnd w:id="658"/>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_Toc19298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133</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22AE3673">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"_Toc11085" </w:instrText>
      </w:r>
      <w:r>
        <w:fldChar w:fldCharType="separate"/>
      </w:r>
      <w:r>
        <w:rPr>
          <w:rFonts w:hint="eastAsia" w:asciiTheme="majorEastAsia" w:hAnsiTheme="majorEastAsia" w:eastAsiaTheme="majorEastAsia" w:cstheme="majorEastAsia"/>
          <w:bCs/>
          <w:snapToGrid w:val="0"/>
          <w:sz w:val="24"/>
          <w:szCs w:val="24"/>
        </w:rPr>
        <w:t>7.1主要危险、有害因素分析结果</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_Toc11085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133</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67AD5862">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"_Toc30184" </w:instrText>
      </w:r>
      <w:r>
        <w:fldChar w:fldCharType="separate"/>
      </w:r>
      <w:r>
        <w:rPr>
          <w:rFonts w:hint="eastAsia" w:asciiTheme="majorEastAsia" w:hAnsiTheme="majorEastAsia" w:eastAsiaTheme="majorEastAsia" w:cstheme="majorEastAsia"/>
          <w:bCs/>
          <w:snapToGrid w:val="0"/>
          <w:sz w:val="24"/>
          <w:szCs w:val="24"/>
        </w:rPr>
        <w:t>7.2安全预评价结果</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_Toc30184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133</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3EC1F4DA">
      <w:pPr>
        <w:pStyle w:val="74"/>
        <w:tabs>
          <w:tab w:val="right" w:leader="dot" w:pos="9072"/>
        </w:tabs>
        <w:spacing w:line="400" w:lineRule="exact"/>
        <w:rPr>
          <w:rFonts w:asciiTheme="majorEastAsia" w:hAnsiTheme="majorEastAsia" w:eastAsiaTheme="majorEastAsia" w:cstheme="majorEastAsia"/>
          <w:sz w:val="24"/>
          <w:szCs w:val="24"/>
        </w:rPr>
      </w:pPr>
      <w:r>
        <w:fldChar w:fldCharType="begin"/>
      </w:r>
      <w:r>
        <w:instrText xml:space="preserve"> HYPERLINK \l "_Toc15536" </w:instrText>
      </w:r>
      <w:r>
        <w:fldChar w:fldCharType="separate"/>
      </w:r>
      <w:r>
        <w:rPr>
          <w:rFonts w:hint="eastAsia" w:asciiTheme="majorEastAsia" w:hAnsiTheme="majorEastAsia" w:eastAsiaTheme="majorEastAsia" w:cstheme="majorEastAsia"/>
          <w:bCs/>
          <w:snapToGrid w:val="0"/>
          <w:sz w:val="24"/>
          <w:szCs w:val="24"/>
        </w:rPr>
        <w:t>7.3综合预评价结论</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_Toc15536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134</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50DA713E">
      <w:pPr>
        <w:pStyle w:val="59"/>
        <w:tabs>
          <w:tab w:val="right" w:leader="dot" w:pos="9072"/>
        </w:tabs>
        <w:spacing w:line="400" w:lineRule="exact"/>
        <w:rPr>
          <w:rFonts w:asciiTheme="majorEastAsia" w:hAnsiTheme="majorEastAsia" w:eastAsiaTheme="majorEastAsia" w:cstheme="majorEastAsia"/>
          <w:sz w:val="28"/>
          <w:szCs w:val="28"/>
        </w:rPr>
      </w:pPr>
      <w:r>
        <w:fldChar w:fldCharType="begin"/>
      </w:r>
      <w:r>
        <w:instrText xml:space="preserve"> HYPERLINK \l "_Toc899" </w:instrText>
      </w:r>
      <w:r>
        <w:fldChar w:fldCharType="separate"/>
      </w:r>
      <w:r>
        <w:rPr>
          <w:rFonts w:hint="eastAsia" w:asciiTheme="majorEastAsia" w:hAnsiTheme="majorEastAsia" w:eastAsiaTheme="majorEastAsia" w:cstheme="majorEastAsia"/>
          <w:sz w:val="24"/>
          <w:szCs w:val="24"/>
        </w:rPr>
        <w:t>附 件</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_Toc899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136</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14:paraId="621EDBC6">
      <w:pPr>
        <w:spacing w:line="276" w:lineRule="auto"/>
        <w:rPr>
          <w:rFonts w:cs="Arial" w:asciiTheme="minorEastAsia" w:hAnsiTheme="minorEastAsia" w:eastAsiaTheme="minorEastAsia"/>
          <w:b w:val="0"/>
          <w:bCs/>
          <w:caps/>
          <w:sz w:val="24"/>
        </w:rPr>
      </w:pPr>
      <w:r>
        <w:rPr>
          <w:rFonts w:hint="eastAsia" w:asciiTheme="majorEastAsia" w:hAnsiTheme="majorEastAsia" w:eastAsiaTheme="majorEastAsia" w:cstheme="majorEastAsia"/>
          <w:bCs/>
          <w:caps/>
          <w:sz w:val="28"/>
          <w:szCs w:val="28"/>
        </w:rPr>
        <w:fldChar w:fldCharType="end"/>
      </w:r>
    </w:p>
    <w:p w14:paraId="36CCA382"/>
    <w:p w14:paraId="0409C1F0"/>
    <w:p w14:paraId="72DF8BAF"/>
    <w:p w14:paraId="317532A4"/>
    <w:p w14:paraId="6659ADFB"/>
    <w:p w14:paraId="502B3654"/>
    <w:p w14:paraId="65F32AE7">
      <w:pPr>
        <w:tabs>
          <w:tab w:val="left" w:pos="4030"/>
        </w:tabs>
        <w:jc w:val="left"/>
        <w:sectPr>
          <w:pgSz w:w="11906" w:h="16838"/>
          <w:pgMar w:top="1417" w:right="1417" w:bottom="1417" w:left="1417" w:header="851" w:footer="727" w:gutter="0"/>
          <w:pgBorders>
            <w:top w:val="none" w:sz="0" w:space="0"/>
            <w:left w:val="none" w:sz="0" w:space="0"/>
            <w:bottom w:val="none" w:sz="0" w:space="0"/>
            <w:right w:val="none" w:sz="0" w:space="0"/>
          </w:pgBorders>
          <w:pgNumType w:fmt="upperRoman"/>
          <w:cols w:space="720" w:num="1"/>
          <w:docGrid w:linePitch="312" w:charSpace="0"/>
        </w:sectPr>
      </w:pPr>
      <w:r>
        <w:rPr>
          <w:rFonts w:hint="eastAsia"/>
        </w:rPr>
        <w:tab/>
      </w:r>
    </w:p>
    <w:p w14:paraId="2E3EDD34">
      <w:pPr>
        <w:keepNext/>
        <w:pageBreakBefore/>
        <w:widowControl/>
        <w:spacing w:before="120" w:beforeLines="50" w:line="360" w:lineRule="auto"/>
        <w:jc w:val="center"/>
        <w:outlineLvl w:val="0"/>
        <w:rPr>
          <w:rFonts w:ascii="黑体" w:hAnsi="宋体" w:eastAsia="黑体"/>
          <w:b w:val="0"/>
          <w:sz w:val="32"/>
          <w:szCs w:val="32"/>
        </w:rPr>
      </w:pPr>
      <w:bookmarkStart w:id="22" w:name="_Toc4374"/>
      <w:r>
        <w:rPr>
          <w:rFonts w:hint="eastAsia" w:ascii="黑体" w:hAnsi="宋体" w:eastAsia="黑体"/>
          <w:b w:val="0"/>
          <w:sz w:val="32"/>
          <w:szCs w:val="32"/>
        </w:rPr>
        <w:t>第一章 安全评价概述</w:t>
      </w:r>
      <w:bookmarkEnd w:id="22"/>
    </w:p>
    <w:p w14:paraId="7EBCB1EB">
      <w:pPr>
        <w:keepNext/>
        <w:keepLines/>
        <w:spacing w:before="120" w:beforeLines="50" w:line="360" w:lineRule="auto"/>
        <w:outlineLvl w:val="1"/>
        <w:rPr>
          <w:rFonts w:ascii="黑体" w:hAnsi="宋体" w:eastAsia="黑体"/>
          <w:b w:val="0"/>
          <w:bCs/>
          <w:snapToGrid w:val="0"/>
          <w:sz w:val="30"/>
          <w:szCs w:val="30"/>
        </w:rPr>
      </w:pPr>
      <w:bookmarkStart w:id="23" w:name="_Toc233449758"/>
      <w:bookmarkStart w:id="24" w:name="_Toc26707"/>
      <w:r>
        <w:rPr>
          <w:rFonts w:hint="eastAsia" w:ascii="黑体" w:hAnsi="宋体" w:eastAsia="黑体"/>
          <w:b w:val="0"/>
          <w:bCs/>
          <w:snapToGrid w:val="0"/>
          <w:sz w:val="30"/>
          <w:szCs w:val="30"/>
        </w:rPr>
        <w:t>1.1安全评价目的</w:t>
      </w:r>
      <w:bookmarkEnd w:id="23"/>
      <w:bookmarkEnd w:id="24"/>
    </w:p>
    <w:p w14:paraId="2D0A37DB">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安全预评价目的是为建设项目设计提供科学依据，以利于提高建设项目本质安全程度。</w:t>
      </w:r>
    </w:p>
    <w:p w14:paraId="683A7AB8">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1）从设计上实现建设项目的本质安全化，拟建项目的劳动安全卫生水平，首先取决于安全设计；预评价作为安全设计的主要依据，它将找出生产过程中固有或潜在的危险、有害因素及其产生危险、危害后果及其主要条件，并提出消除危险、有害因素及其主要条件的最佳技术措施和方案；在设计中实现这些措施，即使危险、有害因素依然存在，也不会产生严重的危险、危害后果，从而实现建设项目的本质安全化。</w:t>
      </w:r>
    </w:p>
    <w:p w14:paraId="6EA41D7B">
      <w:pPr>
        <w:spacing w:line="360" w:lineRule="auto"/>
        <w:ind w:firstLine="560" w:firstLineChars="200"/>
        <w:rPr>
          <w:rFonts w:ascii="宋体" w:hAnsi="宋体"/>
          <w:b w:val="0"/>
          <w:bCs/>
          <w:snapToGrid w:val="0"/>
          <w:sz w:val="28"/>
          <w:szCs w:val="28"/>
        </w:rPr>
      </w:pPr>
      <w:r>
        <w:rPr>
          <w:rFonts w:hint="eastAsia" w:ascii="宋体" w:hAnsi="宋体"/>
          <w:b w:val="0"/>
          <w:bCs/>
          <w:snapToGrid w:val="0"/>
          <w:sz w:val="28"/>
          <w:szCs w:val="28"/>
        </w:rPr>
        <w:t>2）对项目运行过程中固有危险、有害因素进行定性的分析，对其控制手段进行评价，同时预测其安全等级。</w:t>
      </w:r>
    </w:p>
    <w:p w14:paraId="42E0D67D">
      <w:pPr>
        <w:spacing w:line="360" w:lineRule="auto"/>
        <w:ind w:firstLine="560" w:firstLineChars="200"/>
        <w:rPr>
          <w:rFonts w:ascii="宋体" w:hAnsi="宋体"/>
          <w:b w:val="0"/>
          <w:bCs/>
          <w:snapToGrid w:val="0"/>
          <w:sz w:val="28"/>
          <w:szCs w:val="28"/>
        </w:rPr>
      </w:pPr>
      <w:r>
        <w:rPr>
          <w:rFonts w:hint="eastAsia" w:ascii="宋体" w:hAnsi="宋体"/>
          <w:b w:val="0"/>
          <w:bCs/>
          <w:snapToGrid w:val="0"/>
          <w:sz w:val="28"/>
          <w:szCs w:val="28"/>
        </w:rPr>
        <w:t>3）提出消除、预防或减弱设施危险性、提高设施安全运行等级的对策措施，为项目下一步的基础工程设计和详细工程设计提供依据，以最终实现项目的本质安全。</w:t>
      </w:r>
    </w:p>
    <w:p w14:paraId="0360943A">
      <w:pPr>
        <w:spacing w:line="360" w:lineRule="auto"/>
        <w:ind w:firstLine="560" w:firstLineChars="200"/>
        <w:rPr>
          <w:rFonts w:ascii="宋体" w:hAnsi="宋体"/>
          <w:b w:val="0"/>
          <w:snapToGrid w:val="0"/>
          <w:sz w:val="28"/>
          <w:szCs w:val="28"/>
        </w:rPr>
      </w:pPr>
      <w:r>
        <w:rPr>
          <w:rFonts w:hint="eastAsia" w:ascii="宋体" w:hAnsi="宋体"/>
          <w:b w:val="0"/>
          <w:bCs/>
          <w:snapToGrid w:val="0"/>
          <w:sz w:val="28"/>
          <w:szCs w:val="28"/>
        </w:rPr>
        <w:t xml:space="preserve">4）为设施的生产运行及日常安全管理提供依据。 </w:t>
      </w:r>
    </w:p>
    <w:p w14:paraId="577C0440">
      <w:pPr>
        <w:spacing w:line="360" w:lineRule="auto"/>
        <w:ind w:firstLine="560" w:firstLineChars="200"/>
        <w:rPr>
          <w:rFonts w:ascii="宋体" w:hAnsi="宋体"/>
          <w:b w:val="0"/>
          <w:snapToGrid w:val="0"/>
          <w:sz w:val="28"/>
        </w:rPr>
      </w:pPr>
      <w:r>
        <w:rPr>
          <w:rFonts w:hint="eastAsia" w:ascii="宋体" w:hAnsi="宋体"/>
          <w:b w:val="0"/>
          <w:snapToGrid w:val="0"/>
          <w:sz w:val="28"/>
          <w:szCs w:val="28"/>
        </w:rPr>
        <w:t>5）为应急管理部门实施监督、管理提供依据</w:t>
      </w:r>
      <w:r>
        <w:rPr>
          <w:rFonts w:hint="eastAsia" w:ascii="宋体" w:hAnsi="宋体"/>
          <w:b w:val="0"/>
          <w:snapToGrid w:val="0"/>
          <w:sz w:val="28"/>
        </w:rPr>
        <w:t>。</w:t>
      </w:r>
    </w:p>
    <w:p w14:paraId="2953339C">
      <w:pPr>
        <w:keepNext/>
        <w:keepLines/>
        <w:spacing w:before="120" w:beforeLines="50" w:line="360" w:lineRule="auto"/>
        <w:outlineLvl w:val="1"/>
        <w:rPr>
          <w:rFonts w:ascii="黑体" w:hAnsi="宋体" w:eastAsia="黑体"/>
          <w:b w:val="0"/>
          <w:bCs/>
          <w:snapToGrid w:val="0"/>
          <w:sz w:val="30"/>
          <w:szCs w:val="30"/>
        </w:rPr>
      </w:pPr>
      <w:bookmarkStart w:id="25" w:name="_Toc238737967"/>
      <w:bookmarkStart w:id="26" w:name="_Toc678"/>
      <w:bookmarkStart w:id="27" w:name="_Toc4609"/>
      <w:r>
        <w:rPr>
          <w:rFonts w:hint="eastAsia" w:ascii="黑体" w:hAnsi="宋体" w:eastAsia="黑体"/>
          <w:b w:val="0"/>
          <w:bCs/>
          <w:snapToGrid w:val="0"/>
          <w:sz w:val="30"/>
          <w:szCs w:val="30"/>
        </w:rPr>
        <w:t xml:space="preserve">1.2 </w:t>
      </w:r>
      <w:r>
        <w:rPr>
          <w:rFonts w:ascii="黑体" w:hAnsi="宋体" w:eastAsia="黑体"/>
          <w:b w:val="0"/>
          <w:bCs/>
          <w:snapToGrid w:val="0"/>
          <w:sz w:val="30"/>
          <w:szCs w:val="30"/>
        </w:rPr>
        <w:t>安全</w:t>
      </w:r>
      <w:r>
        <w:rPr>
          <w:rFonts w:hint="eastAsia" w:ascii="黑体" w:hAnsi="宋体" w:eastAsia="黑体"/>
          <w:b w:val="0"/>
          <w:bCs/>
          <w:snapToGrid w:val="0"/>
          <w:sz w:val="30"/>
          <w:szCs w:val="30"/>
        </w:rPr>
        <w:t>预</w:t>
      </w:r>
      <w:r>
        <w:rPr>
          <w:rFonts w:ascii="黑体" w:hAnsi="宋体" w:eastAsia="黑体"/>
          <w:b w:val="0"/>
          <w:bCs/>
          <w:snapToGrid w:val="0"/>
          <w:sz w:val="30"/>
          <w:szCs w:val="30"/>
        </w:rPr>
        <w:t>评价的原则</w:t>
      </w:r>
      <w:bookmarkEnd w:id="25"/>
      <w:bookmarkEnd w:id="26"/>
      <w:bookmarkEnd w:id="27"/>
    </w:p>
    <w:p w14:paraId="22C7FA81">
      <w:pPr>
        <w:spacing w:line="360" w:lineRule="auto"/>
        <w:ind w:firstLine="840" w:firstLineChars="300"/>
        <w:rPr>
          <w:rFonts w:ascii="宋体" w:hAnsi="宋体"/>
          <w:b w:val="0"/>
          <w:sz w:val="28"/>
          <w:szCs w:val="28"/>
        </w:rPr>
      </w:pPr>
      <w:r>
        <w:rPr>
          <w:rFonts w:hint="eastAsia" w:ascii="Times New Roman" w:hAnsi="Times New Roman"/>
          <w:b w:val="0"/>
          <w:sz w:val="28"/>
          <w:szCs w:val="28"/>
          <w:lang w:val="en-GB"/>
        </w:rPr>
        <w:t>1）</w:t>
      </w:r>
      <w:r>
        <w:rPr>
          <w:rFonts w:ascii="Times New Roman" w:hAnsi="Times New Roman"/>
          <w:b w:val="0"/>
          <w:sz w:val="28"/>
          <w:szCs w:val="28"/>
        </w:rPr>
        <w:t>贯彻</w:t>
      </w:r>
      <w:r>
        <w:rPr>
          <w:rFonts w:hint="eastAsia" w:ascii="Times New Roman" w:hAnsi="Times New Roman"/>
          <w:b w:val="0"/>
          <w:sz w:val="28"/>
          <w:szCs w:val="28"/>
        </w:rPr>
        <w:t>“</w:t>
      </w:r>
      <w:r>
        <w:rPr>
          <w:rFonts w:ascii="Times New Roman" w:hAnsi="Times New Roman"/>
          <w:b w:val="0"/>
          <w:sz w:val="28"/>
          <w:szCs w:val="28"/>
        </w:rPr>
        <w:t>安全第一、预防为主、综合治理</w:t>
      </w:r>
      <w:r>
        <w:rPr>
          <w:rFonts w:hint="eastAsia" w:ascii="Times New Roman" w:hAnsi="Times New Roman"/>
          <w:b w:val="0"/>
          <w:sz w:val="28"/>
          <w:szCs w:val="28"/>
        </w:rPr>
        <w:t>”</w:t>
      </w:r>
      <w:r>
        <w:rPr>
          <w:rFonts w:ascii="Times New Roman" w:hAnsi="Times New Roman"/>
          <w:b w:val="0"/>
          <w:sz w:val="28"/>
          <w:szCs w:val="28"/>
        </w:rPr>
        <w:t>的方针，坚持客观、科学、公正的安全评价原则</w:t>
      </w:r>
      <w:r>
        <w:rPr>
          <w:rFonts w:hint="eastAsia" w:ascii="Times New Roman" w:hAnsi="Times New Roman"/>
          <w:b w:val="0"/>
          <w:sz w:val="28"/>
          <w:szCs w:val="28"/>
        </w:rPr>
        <w:t>。</w:t>
      </w:r>
    </w:p>
    <w:p w14:paraId="1A1B523E">
      <w:pPr>
        <w:spacing w:line="360" w:lineRule="auto"/>
        <w:ind w:firstLine="840" w:firstLineChars="300"/>
        <w:rPr>
          <w:rFonts w:ascii="宋体" w:hAnsi="宋体"/>
          <w:b w:val="0"/>
          <w:sz w:val="28"/>
          <w:szCs w:val="28"/>
          <w:lang w:val="en-GB"/>
        </w:rPr>
      </w:pPr>
      <w:r>
        <w:rPr>
          <w:rFonts w:hint="eastAsia" w:ascii="宋体" w:hAnsi="宋体"/>
          <w:b w:val="0"/>
          <w:sz w:val="28"/>
          <w:szCs w:val="28"/>
          <w:lang w:val="en-GB"/>
        </w:rPr>
        <w:t>2）严格执行国家、地方与行业现行有关方面的法律、法规和标准，保证评价的科学性和公正性。</w:t>
      </w:r>
    </w:p>
    <w:p w14:paraId="369AFD4F">
      <w:pPr>
        <w:spacing w:line="360" w:lineRule="auto"/>
        <w:ind w:firstLine="840" w:firstLineChars="300"/>
        <w:rPr>
          <w:rFonts w:ascii="宋体" w:hAnsi="宋体"/>
          <w:b w:val="0"/>
          <w:sz w:val="28"/>
          <w:szCs w:val="28"/>
          <w:lang w:val="en-GB"/>
        </w:rPr>
      </w:pPr>
      <w:r>
        <w:rPr>
          <w:rFonts w:hint="eastAsia" w:ascii="宋体" w:hAnsi="宋体"/>
          <w:b w:val="0"/>
          <w:sz w:val="28"/>
          <w:szCs w:val="28"/>
          <w:lang w:val="en-GB"/>
        </w:rPr>
        <w:t>3）坚持尊重客观、实事求是的原则。</w:t>
      </w:r>
    </w:p>
    <w:p w14:paraId="4F2B3E29">
      <w:pPr>
        <w:spacing w:line="360" w:lineRule="auto"/>
        <w:ind w:firstLine="840" w:firstLineChars="300"/>
        <w:rPr>
          <w:rFonts w:ascii="宋体" w:hAnsi="宋体"/>
          <w:b w:val="0"/>
          <w:snapToGrid w:val="0"/>
          <w:sz w:val="28"/>
        </w:rPr>
      </w:pPr>
      <w:r>
        <w:rPr>
          <w:rFonts w:hint="eastAsia" w:ascii="宋体" w:hAnsi="宋体"/>
          <w:b w:val="0"/>
          <w:sz w:val="28"/>
          <w:szCs w:val="28"/>
          <w:lang w:val="en-GB"/>
        </w:rPr>
        <w:t>4）采用可靠、适用的评价方法，突出重点，确保评价质量。</w:t>
      </w:r>
    </w:p>
    <w:p w14:paraId="0C631241">
      <w:pPr>
        <w:keepNext/>
        <w:keepLines/>
        <w:spacing w:before="120" w:beforeLines="50" w:line="360" w:lineRule="auto"/>
        <w:outlineLvl w:val="1"/>
        <w:rPr>
          <w:rFonts w:ascii="黑体" w:hAnsi="宋体" w:eastAsia="黑体"/>
          <w:b w:val="0"/>
          <w:bCs/>
          <w:snapToGrid w:val="0"/>
          <w:sz w:val="30"/>
          <w:szCs w:val="30"/>
        </w:rPr>
      </w:pPr>
      <w:bookmarkStart w:id="28" w:name="_Toc13879"/>
      <w:bookmarkStart w:id="29" w:name="_Toc233449754"/>
      <w:r>
        <w:rPr>
          <w:rFonts w:hint="eastAsia" w:ascii="黑体" w:hAnsi="宋体" w:eastAsia="黑体"/>
          <w:b w:val="0"/>
          <w:bCs/>
          <w:snapToGrid w:val="0"/>
          <w:sz w:val="30"/>
          <w:szCs w:val="30"/>
        </w:rPr>
        <w:t>1.3编制依据</w:t>
      </w:r>
      <w:bookmarkEnd w:id="28"/>
      <w:bookmarkEnd w:id="29"/>
    </w:p>
    <w:p w14:paraId="78318628">
      <w:pPr>
        <w:pStyle w:val="5"/>
        <w:rPr>
          <w:rFonts w:ascii="黑体" w:hAnsi="宋体" w:eastAsia="黑体"/>
          <w:b w:val="0"/>
          <w:bCs w:val="0"/>
          <w:snapToGrid w:val="0"/>
          <w:sz w:val="30"/>
          <w:szCs w:val="30"/>
        </w:rPr>
      </w:pPr>
      <w:bookmarkStart w:id="30" w:name="_Toc165038758"/>
      <w:r>
        <w:rPr>
          <w:rFonts w:hint="eastAsia" w:ascii="黑体" w:hAnsi="宋体" w:eastAsia="黑体"/>
          <w:b w:val="0"/>
          <w:snapToGrid w:val="0"/>
          <w:sz w:val="30"/>
          <w:szCs w:val="30"/>
        </w:rPr>
        <w:t>1.3.1依据的法律、法规、文件规定</w:t>
      </w:r>
      <w:bookmarkEnd w:id="30"/>
    </w:p>
    <w:p w14:paraId="67979084">
      <w:pPr>
        <w:adjustRightInd w:val="0"/>
        <w:snapToGrid w:val="0"/>
        <w:spacing w:line="360" w:lineRule="auto"/>
        <w:ind w:firstLine="560" w:firstLineChars="200"/>
        <w:rPr>
          <w:rFonts w:ascii="宋体" w:hAnsi="宋体" w:cs="宋体"/>
          <w:b w:val="0"/>
          <w:sz w:val="28"/>
          <w:szCs w:val="22"/>
        </w:rPr>
      </w:pPr>
      <w:r>
        <w:rPr>
          <w:rFonts w:hint="eastAsia" w:ascii="宋体" w:hAnsi="宋体" w:cs="宋体"/>
          <w:b w:val="0"/>
          <w:sz w:val="28"/>
        </w:rPr>
        <w:t>1）《中华人民共和国安全生产法》（中华人民共和国主席令第七十号，2021</w:t>
      </w:r>
      <w:r>
        <w:rPr>
          <w:rFonts w:hint="eastAsia" w:ascii="宋体" w:hAnsi="宋体" w:cs="宋体"/>
          <w:b w:val="0"/>
          <w:sz w:val="28"/>
          <w:szCs w:val="22"/>
        </w:rPr>
        <w:t>第88号修正）</w:t>
      </w:r>
    </w:p>
    <w:p w14:paraId="7F33080E">
      <w:pPr>
        <w:adjustRightInd w:val="0"/>
        <w:snapToGrid w:val="0"/>
        <w:spacing w:line="360" w:lineRule="auto"/>
        <w:ind w:firstLine="560" w:firstLineChars="200"/>
        <w:rPr>
          <w:rFonts w:ascii="宋体" w:hAnsi="宋体" w:cs="宋体"/>
          <w:b w:val="0"/>
          <w:sz w:val="28"/>
          <w:szCs w:val="22"/>
        </w:rPr>
      </w:pPr>
      <w:r>
        <w:rPr>
          <w:rFonts w:hint="eastAsia" w:ascii="宋体" w:hAnsi="宋体" w:cs="宋体"/>
          <w:b w:val="0"/>
          <w:sz w:val="28"/>
          <w:szCs w:val="22"/>
        </w:rPr>
        <w:t>2）《中华人民共和国劳动法》（中华人民共和国主席令【1994】第二十八号）（2018年修正）</w:t>
      </w:r>
    </w:p>
    <w:p w14:paraId="47AE606C">
      <w:pPr>
        <w:adjustRightInd w:val="0"/>
        <w:snapToGrid w:val="0"/>
        <w:spacing w:line="360" w:lineRule="auto"/>
        <w:ind w:firstLine="560" w:firstLineChars="200"/>
        <w:rPr>
          <w:rFonts w:ascii="宋体" w:hAnsi="宋体" w:cs="宋体"/>
          <w:b w:val="0"/>
          <w:sz w:val="28"/>
          <w:szCs w:val="22"/>
        </w:rPr>
      </w:pPr>
      <w:r>
        <w:rPr>
          <w:rFonts w:hint="eastAsia" w:ascii="宋体" w:hAnsi="宋体" w:cs="宋体"/>
          <w:b w:val="0"/>
          <w:sz w:val="28"/>
          <w:szCs w:val="22"/>
        </w:rPr>
        <w:t>3）《</w:t>
      </w:r>
      <w:bookmarkStart w:id="31" w:name="OLE_LINK24"/>
      <w:bookmarkStart w:id="32" w:name="OLE_LINK23"/>
      <w:r>
        <w:rPr>
          <w:rFonts w:hint="eastAsia" w:ascii="宋体" w:hAnsi="宋体" w:cs="宋体"/>
          <w:b w:val="0"/>
          <w:sz w:val="28"/>
          <w:szCs w:val="22"/>
        </w:rPr>
        <w:t>中华人民共和国消防法</w:t>
      </w:r>
      <w:bookmarkEnd w:id="31"/>
      <w:bookmarkEnd w:id="32"/>
      <w:r>
        <w:rPr>
          <w:rFonts w:hint="eastAsia" w:ascii="宋体" w:hAnsi="宋体" w:cs="宋体"/>
          <w:b w:val="0"/>
          <w:sz w:val="28"/>
          <w:szCs w:val="22"/>
        </w:rPr>
        <w:t>》（中华人民共和国主席令【2008】第六号）（2021年修正）</w:t>
      </w:r>
    </w:p>
    <w:p w14:paraId="7C2AC97D">
      <w:pPr>
        <w:adjustRightInd w:val="0"/>
        <w:snapToGrid w:val="0"/>
        <w:spacing w:line="360" w:lineRule="auto"/>
        <w:ind w:firstLine="560" w:firstLineChars="200"/>
        <w:rPr>
          <w:rFonts w:ascii="宋体" w:hAnsi="宋体" w:cs="宋体"/>
          <w:b w:val="0"/>
          <w:sz w:val="28"/>
          <w:szCs w:val="22"/>
        </w:rPr>
      </w:pPr>
      <w:r>
        <w:rPr>
          <w:rFonts w:hint="eastAsia" w:ascii="宋体" w:hAnsi="宋体" w:cs="宋体"/>
          <w:b w:val="0"/>
          <w:sz w:val="28"/>
          <w:szCs w:val="22"/>
        </w:rPr>
        <w:t>4）《</w:t>
      </w:r>
      <w:bookmarkStart w:id="33" w:name="OLE_LINK25"/>
      <w:bookmarkStart w:id="34" w:name="OLE_LINK26"/>
      <w:r>
        <w:rPr>
          <w:rFonts w:hint="eastAsia" w:ascii="宋体" w:hAnsi="宋体" w:cs="宋体"/>
          <w:b w:val="0"/>
          <w:sz w:val="28"/>
          <w:szCs w:val="22"/>
        </w:rPr>
        <w:t>中华人民共和国建筑法</w:t>
      </w:r>
      <w:bookmarkEnd w:id="33"/>
      <w:bookmarkEnd w:id="34"/>
      <w:r>
        <w:rPr>
          <w:rFonts w:hint="eastAsia" w:ascii="宋体" w:hAnsi="宋体" w:cs="宋体"/>
          <w:b w:val="0"/>
          <w:sz w:val="28"/>
          <w:szCs w:val="22"/>
        </w:rPr>
        <w:t>》（中华人民共和国主席令【2011】第四十六号）（2019年修正）</w:t>
      </w:r>
    </w:p>
    <w:p w14:paraId="21A104EB">
      <w:pPr>
        <w:adjustRightInd w:val="0"/>
        <w:snapToGrid w:val="0"/>
        <w:spacing w:line="360" w:lineRule="auto"/>
        <w:ind w:firstLine="560" w:firstLineChars="200"/>
        <w:rPr>
          <w:rFonts w:ascii="宋体" w:hAnsi="宋体" w:cs="宋体"/>
          <w:b w:val="0"/>
          <w:sz w:val="28"/>
          <w:szCs w:val="22"/>
        </w:rPr>
      </w:pPr>
      <w:r>
        <w:rPr>
          <w:rFonts w:hint="eastAsia" w:ascii="宋体" w:hAnsi="宋体" w:cs="宋体"/>
          <w:b w:val="0"/>
          <w:sz w:val="28"/>
          <w:szCs w:val="22"/>
        </w:rPr>
        <w:t>5）《</w:t>
      </w:r>
      <w:bookmarkStart w:id="35" w:name="OLE_LINK27"/>
      <w:bookmarkStart w:id="36" w:name="OLE_LINK28"/>
      <w:r>
        <w:rPr>
          <w:rFonts w:hint="eastAsia" w:ascii="宋体" w:hAnsi="宋体" w:cs="宋体"/>
          <w:b w:val="0"/>
          <w:sz w:val="28"/>
          <w:szCs w:val="22"/>
        </w:rPr>
        <w:t>中华人民共和国气象法</w:t>
      </w:r>
      <w:bookmarkEnd w:id="35"/>
      <w:bookmarkEnd w:id="36"/>
      <w:r>
        <w:rPr>
          <w:rFonts w:hint="eastAsia" w:ascii="宋体" w:hAnsi="宋体" w:cs="宋体"/>
          <w:b w:val="0"/>
          <w:sz w:val="28"/>
          <w:szCs w:val="22"/>
        </w:rPr>
        <w:t>》（中华人民共和国主席令【1999】第二十三号）（2016年修正）</w:t>
      </w:r>
    </w:p>
    <w:p w14:paraId="1ABA01D9">
      <w:pPr>
        <w:adjustRightInd w:val="0"/>
        <w:snapToGrid w:val="0"/>
        <w:spacing w:line="360" w:lineRule="auto"/>
        <w:ind w:firstLine="560" w:firstLineChars="200"/>
        <w:rPr>
          <w:rFonts w:ascii="宋体" w:hAnsi="宋体" w:cs="宋体"/>
          <w:b w:val="0"/>
          <w:sz w:val="28"/>
        </w:rPr>
      </w:pPr>
      <w:r>
        <w:rPr>
          <w:rFonts w:hint="eastAsia" w:ascii="宋体" w:hAnsi="宋体" w:cs="宋体"/>
          <w:b w:val="0"/>
          <w:sz w:val="28"/>
          <w:szCs w:val="22"/>
        </w:rPr>
        <w:t>6）《</w:t>
      </w:r>
      <w:bookmarkStart w:id="37" w:name="OLE_LINK30"/>
      <w:bookmarkStart w:id="38" w:name="OLE_LINK29"/>
      <w:r>
        <w:rPr>
          <w:rFonts w:hint="eastAsia" w:ascii="宋体" w:hAnsi="宋体" w:cs="宋体"/>
          <w:b w:val="0"/>
          <w:sz w:val="28"/>
          <w:szCs w:val="22"/>
        </w:rPr>
        <w:t>中华人民共和国突发事件应对法</w:t>
      </w:r>
      <w:bookmarkEnd w:id="37"/>
      <w:bookmarkEnd w:id="38"/>
      <w:r>
        <w:rPr>
          <w:rFonts w:hint="eastAsia" w:ascii="宋体" w:hAnsi="宋体" w:cs="宋体"/>
          <w:b w:val="0"/>
          <w:sz w:val="28"/>
          <w:szCs w:val="22"/>
        </w:rPr>
        <w:t>》（</w:t>
      </w:r>
      <w:r>
        <w:rPr>
          <w:rFonts w:hint="eastAsia" w:ascii="宋体" w:hAnsi="宋体" w:cs="宋体"/>
          <w:b w:val="0"/>
          <w:sz w:val="28"/>
        </w:rPr>
        <w:t>2024年6月28日第十四届全国人民代表大会常务委员会第十次会议修订）</w:t>
      </w:r>
    </w:p>
    <w:p w14:paraId="315CE2BF">
      <w:pPr>
        <w:pStyle w:val="87"/>
        <w:ind w:firstLine="560"/>
        <w:rPr>
          <w:rFonts w:ascii="宋体" w:hAnsi="宋体" w:eastAsia="宋体" w:cs="宋体"/>
          <w:b w:val="0"/>
          <w:kern w:val="2"/>
          <w:szCs w:val="24"/>
        </w:rPr>
      </w:pPr>
      <w:r>
        <w:rPr>
          <w:rFonts w:ascii="宋体" w:hAnsi="宋体" w:eastAsia="宋体" w:cs="宋体"/>
          <w:b w:val="0"/>
          <w:kern w:val="2"/>
          <w:szCs w:val="24"/>
        </w:rPr>
        <w:t>7</w:t>
      </w:r>
      <w:r>
        <w:rPr>
          <w:rFonts w:hint="eastAsia" w:ascii="宋体" w:hAnsi="宋体" w:eastAsia="宋体" w:cs="宋体"/>
          <w:b w:val="0"/>
          <w:kern w:val="2"/>
          <w:szCs w:val="24"/>
        </w:rPr>
        <w:t>）《</w:t>
      </w:r>
      <w:bookmarkStart w:id="39" w:name="OLE_LINK32"/>
      <w:bookmarkStart w:id="40" w:name="OLE_LINK31"/>
      <w:r>
        <w:rPr>
          <w:rFonts w:hint="eastAsia" w:ascii="宋体" w:hAnsi="宋体" w:eastAsia="宋体" w:cs="宋体"/>
          <w:b w:val="0"/>
          <w:kern w:val="2"/>
          <w:szCs w:val="24"/>
        </w:rPr>
        <w:t>中华人民共和国职业病防治法</w:t>
      </w:r>
      <w:bookmarkEnd w:id="39"/>
      <w:bookmarkEnd w:id="40"/>
      <w:r>
        <w:rPr>
          <w:rFonts w:hint="eastAsia" w:ascii="宋体" w:hAnsi="宋体" w:eastAsia="宋体" w:cs="宋体"/>
          <w:b w:val="0"/>
          <w:kern w:val="2"/>
          <w:szCs w:val="24"/>
        </w:rPr>
        <w:t>》（2</w:t>
      </w:r>
      <w:r>
        <w:rPr>
          <w:rFonts w:ascii="宋体" w:hAnsi="宋体" w:eastAsia="宋体" w:cs="宋体"/>
          <w:b w:val="0"/>
          <w:kern w:val="2"/>
          <w:szCs w:val="24"/>
        </w:rPr>
        <w:t>018</w:t>
      </w:r>
      <w:r>
        <w:rPr>
          <w:rFonts w:hint="eastAsia" w:ascii="宋体" w:hAnsi="宋体" w:eastAsia="宋体" w:cs="宋体"/>
          <w:b w:val="0"/>
          <w:kern w:val="2"/>
          <w:szCs w:val="24"/>
        </w:rPr>
        <w:t>年1</w:t>
      </w:r>
      <w:r>
        <w:rPr>
          <w:rFonts w:ascii="宋体" w:hAnsi="宋体" w:eastAsia="宋体" w:cs="宋体"/>
          <w:b w:val="0"/>
          <w:kern w:val="2"/>
          <w:szCs w:val="24"/>
        </w:rPr>
        <w:t>2</w:t>
      </w:r>
      <w:r>
        <w:rPr>
          <w:rFonts w:hint="eastAsia" w:ascii="宋体" w:hAnsi="宋体" w:eastAsia="宋体" w:cs="宋体"/>
          <w:b w:val="0"/>
          <w:kern w:val="2"/>
          <w:szCs w:val="24"/>
        </w:rPr>
        <w:t>月2</w:t>
      </w:r>
      <w:r>
        <w:rPr>
          <w:rFonts w:ascii="宋体" w:hAnsi="宋体" w:eastAsia="宋体" w:cs="宋体"/>
          <w:b w:val="0"/>
          <w:kern w:val="2"/>
          <w:szCs w:val="24"/>
        </w:rPr>
        <w:t>9</w:t>
      </w:r>
      <w:r>
        <w:rPr>
          <w:rFonts w:hint="eastAsia" w:ascii="宋体" w:hAnsi="宋体" w:eastAsia="宋体" w:cs="宋体"/>
          <w:b w:val="0"/>
          <w:kern w:val="2"/>
          <w:szCs w:val="24"/>
        </w:rPr>
        <w:t>日第十三届全国人民代表大会常务委员会第七次会议修正）</w:t>
      </w:r>
    </w:p>
    <w:p w14:paraId="1AFB15A2">
      <w:pPr>
        <w:pStyle w:val="87"/>
        <w:ind w:firstLine="560"/>
        <w:rPr>
          <w:rFonts w:ascii="宋体" w:hAnsi="宋体" w:eastAsia="宋体" w:cs="宋体"/>
          <w:b w:val="0"/>
          <w:kern w:val="2"/>
          <w:szCs w:val="24"/>
        </w:rPr>
      </w:pPr>
      <w:r>
        <w:rPr>
          <w:rFonts w:hint="eastAsia" w:ascii="宋体" w:hAnsi="宋体" w:eastAsia="宋体" w:cs="宋体"/>
          <w:b w:val="0"/>
          <w:kern w:val="2"/>
          <w:szCs w:val="24"/>
        </w:rPr>
        <w:t>8）《</w:t>
      </w:r>
      <w:bookmarkStart w:id="41" w:name="OLE_LINK33"/>
      <w:bookmarkStart w:id="42" w:name="OLE_LINK34"/>
      <w:r>
        <w:rPr>
          <w:rFonts w:hint="eastAsia" w:ascii="宋体" w:hAnsi="宋体" w:eastAsia="宋体" w:cs="宋体"/>
          <w:b w:val="0"/>
          <w:kern w:val="2"/>
          <w:szCs w:val="24"/>
        </w:rPr>
        <w:t>中华人民共和国城乡规划法</w:t>
      </w:r>
      <w:bookmarkEnd w:id="41"/>
      <w:bookmarkEnd w:id="42"/>
      <w:r>
        <w:rPr>
          <w:rFonts w:hint="eastAsia" w:ascii="宋体" w:hAnsi="宋体" w:eastAsia="宋体" w:cs="宋体"/>
          <w:b w:val="0"/>
          <w:kern w:val="2"/>
          <w:szCs w:val="24"/>
        </w:rPr>
        <w:t>》（2</w:t>
      </w:r>
      <w:r>
        <w:rPr>
          <w:rFonts w:ascii="宋体" w:hAnsi="宋体" w:eastAsia="宋体" w:cs="宋体"/>
          <w:b w:val="0"/>
          <w:kern w:val="2"/>
          <w:szCs w:val="24"/>
        </w:rPr>
        <w:t>019</w:t>
      </w:r>
      <w:r>
        <w:rPr>
          <w:rFonts w:hint="eastAsia" w:ascii="宋体" w:hAnsi="宋体" w:eastAsia="宋体" w:cs="宋体"/>
          <w:b w:val="0"/>
          <w:kern w:val="2"/>
          <w:szCs w:val="24"/>
        </w:rPr>
        <w:t>年4月2</w:t>
      </w:r>
      <w:r>
        <w:rPr>
          <w:rFonts w:ascii="宋体" w:hAnsi="宋体" w:eastAsia="宋体" w:cs="宋体"/>
          <w:b w:val="0"/>
          <w:kern w:val="2"/>
          <w:szCs w:val="24"/>
        </w:rPr>
        <w:t>3</w:t>
      </w:r>
      <w:r>
        <w:rPr>
          <w:rFonts w:hint="eastAsia" w:ascii="宋体" w:hAnsi="宋体" w:eastAsia="宋体" w:cs="宋体"/>
          <w:b w:val="0"/>
          <w:kern w:val="2"/>
          <w:szCs w:val="24"/>
        </w:rPr>
        <w:t>日第十三届全国人民代表大会常务委员会第十次会议修正）</w:t>
      </w:r>
    </w:p>
    <w:p w14:paraId="490034AB">
      <w:pPr>
        <w:adjustRightInd w:val="0"/>
        <w:snapToGrid w:val="0"/>
        <w:spacing w:line="360" w:lineRule="auto"/>
        <w:ind w:firstLine="560" w:firstLineChars="200"/>
        <w:rPr>
          <w:rFonts w:ascii="宋体" w:hAnsi="宋体" w:cs="宋体"/>
          <w:b w:val="0"/>
          <w:sz w:val="28"/>
        </w:rPr>
      </w:pPr>
      <w:r>
        <w:rPr>
          <w:rFonts w:ascii="宋体" w:hAnsi="宋体" w:cs="宋体"/>
          <w:b w:val="0"/>
          <w:sz w:val="28"/>
        </w:rPr>
        <w:t>9</w:t>
      </w:r>
      <w:r>
        <w:rPr>
          <w:rFonts w:hint="eastAsia" w:ascii="宋体" w:hAnsi="宋体" w:cs="宋体"/>
          <w:b w:val="0"/>
          <w:sz w:val="28"/>
        </w:rPr>
        <w:t>）《</w:t>
      </w:r>
      <w:bookmarkStart w:id="43" w:name="OLE_LINK35"/>
      <w:bookmarkStart w:id="44" w:name="OLE_LINK36"/>
      <w:r>
        <w:rPr>
          <w:rFonts w:hint="eastAsia" w:ascii="宋体" w:hAnsi="宋体" w:cs="宋体"/>
          <w:b w:val="0"/>
          <w:sz w:val="28"/>
        </w:rPr>
        <w:t>烟花爆竹安全管理条例</w:t>
      </w:r>
      <w:bookmarkEnd w:id="43"/>
      <w:bookmarkEnd w:id="44"/>
      <w:r>
        <w:rPr>
          <w:rFonts w:hint="eastAsia" w:ascii="宋体" w:hAnsi="宋体" w:cs="宋体"/>
          <w:b w:val="0"/>
          <w:sz w:val="28"/>
        </w:rPr>
        <w:t>》（国务院令第455号，2016年修正）</w:t>
      </w:r>
    </w:p>
    <w:p w14:paraId="5E10C6F6">
      <w:pPr>
        <w:adjustRightInd w:val="0"/>
        <w:snapToGrid w:val="0"/>
        <w:spacing w:line="360" w:lineRule="auto"/>
        <w:ind w:firstLine="560" w:firstLineChars="200"/>
        <w:rPr>
          <w:rFonts w:ascii="宋体" w:hAnsi="宋体" w:cs="宋体"/>
          <w:b w:val="0"/>
          <w:sz w:val="28"/>
        </w:rPr>
      </w:pPr>
      <w:r>
        <w:rPr>
          <w:rFonts w:ascii="宋体" w:hAnsi="宋体" w:cs="宋体"/>
          <w:b w:val="0"/>
          <w:sz w:val="28"/>
        </w:rPr>
        <w:t>10</w:t>
      </w:r>
      <w:r>
        <w:rPr>
          <w:rFonts w:hint="eastAsia" w:ascii="宋体" w:hAnsi="宋体" w:cs="宋体"/>
          <w:b w:val="0"/>
          <w:sz w:val="28"/>
        </w:rPr>
        <w:t>）《</w:t>
      </w:r>
      <w:bookmarkStart w:id="45" w:name="OLE_LINK38"/>
      <w:bookmarkStart w:id="46" w:name="OLE_LINK37"/>
      <w:r>
        <w:rPr>
          <w:rFonts w:hint="eastAsia" w:ascii="宋体" w:hAnsi="宋体" w:cs="宋体"/>
          <w:b w:val="0"/>
          <w:sz w:val="28"/>
        </w:rPr>
        <w:t>工伤保险条例</w:t>
      </w:r>
      <w:bookmarkEnd w:id="45"/>
      <w:bookmarkEnd w:id="46"/>
      <w:r>
        <w:rPr>
          <w:rFonts w:hint="eastAsia" w:ascii="宋体" w:hAnsi="宋体" w:cs="宋体"/>
          <w:b w:val="0"/>
          <w:sz w:val="28"/>
        </w:rPr>
        <w:t>》（国务院令2010第586号）</w:t>
      </w:r>
    </w:p>
    <w:p w14:paraId="0638A99D">
      <w:pPr>
        <w:adjustRightInd w:val="0"/>
        <w:snapToGrid w:val="0"/>
        <w:spacing w:line="360" w:lineRule="auto"/>
        <w:ind w:firstLine="560" w:firstLineChars="200"/>
        <w:rPr>
          <w:rFonts w:ascii="宋体" w:hAnsi="宋体" w:cs="宋体"/>
          <w:b w:val="0"/>
          <w:sz w:val="28"/>
        </w:rPr>
      </w:pPr>
      <w:r>
        <w:rPr>
          <w:rFonts w:ascii="宋体" w:hAnsi="宋体" w:cs="宋体"/>
          <w:b w:val="0"/>
          <w:sz w:val="28"/>
        </w:rPr>
        <w:t>11</w:t>
      </w:r>
      <w:r>
        <w:rPr>
          <w:rFonts w:hint="eastAsia" w:ascii="宋体" w:hAnsi="宋体" w:cs="宋体"/>
          <w:b w:val="0"/>
          <w:sz w:val="28"/>
        </w:rPr>
        <w:t>）《</w:t>
      </w:r>
      <w:bookmarkStart w:id="47" w:name="OLE_LINK39"/>
      <w:bookmarkStart w:id="48" w:name="OLE_LINK40"/>
      <w:r>
        <w:rPr>
          <w:rFonts w:hint="eastAsia" w:ascii="宋体" w:hAnsi="宋体" w:cs="宋体"/>
          <w:b w:val="0"/>
          <w:sz w:val="28"/>
        </w:rPr>
        <w:t>生产安全事故报告和调查处理条例</w:t>
      </w:r>
      <w:bookmarkEnd w:id="47"/>
      <w:bookmarkEnd w:id="48"/>
      <w:r>
        <w:rPr>
          <w:rFonts w:hint="eastAsia" w:ascii="宋体" w:hAnsi="宋体" w:cs="宋体"/>
          <w:b w:val="0"/>
          <w:sz w:val="28"/>
        </w:rPr>
        <w:t>》（国务院令第493号）</w:t>
      </w:r>
    </w:p>
    <w:p w14:paraId="3D0FE8F3">
      <w:pPr>
        <w:adjustRightInd w:val="0"/>
        <w:snapToGrid w:val="0"/>
        <w:spacing w:line="360" w:lineRule="auto"/>
        <w:ind w:firstLine="560" w:firstLineChars="200"/>
        <w:rPr>
          <w:rFonts w:ascii="宋体" w:hAnsi="宋体" w:cs="宋体"/>
          <w:b w:val="0"/>
          <w:sz w:val="28"/>
        </w:rPr>
      </w:pPr>
      <w:r>
        <w:rPr>
          <w:rFonts w:hint="eastAsia" w:ascii="宋体" w:hAnsi="宋体" w:cs="宋体"/>
          <w:b w:val="0"/>
          <w:sz w:val="28"/>
        </w:rPr>
        <w:t>1</w:t>
      </w:r>
      <w:r>
        <w:rPr>
          <w:rFonts w:ascii="宋体" w:hAnsi="宋体" w:cs="宋体"/>
          <w:b w:val="0"/>
          <w:sz w:val="28"/>
        </w:rPr>
        <w:t>2</w:t>
      </w:r>
      <w:r>
        <w:rPr>
          <w:rFonts w:hint="eastAsia" w:ascii="宋体" w:hAnsi="宋体" w:cs="宋体"/>
          <w:b w:val="0"/>
          <w:sz w:val="28"/>
        </w:rPr>
        <w:t>）《</w:t>
      </w:r>
      <w:bookmarkStart w:id="49" w:name="OLE_LINK42"/>
      <w:bookmarkStart w:id="50" w:name="OLE_LINK41"/>
      <w:r>
        <w:rPr>
          <w:rFonts w:hint="eastAsia" w:ascii="宋体" w:hAnsi="宋体" w:cs="宋体"/>
          <w:b w:val="0"/>
          <w:sz w:val="28"/>
        </w:rPr>
        <w:t>国务院关于进一步加强企业安全生产工作的通知</w:t>
      </w:r>
      <w:bookmarkEnd w:id="49"/>
      <w:bookmarkEnd w:id="50"/>
      <w:r>
        <w:rPr>
          <w:rFonts w:hint="eastAsia" w:ascii="宋体" w:hAnsi="宋体" w:cs="宋体"/>
          <w:b w:val="0"/>
          <w:sz w:val="28"/>
        </w:rPr>
        <w:t>》（国务院国发[2010]23号文）</w:t>
      </w:r>
    </w:p>
    <w:p w14:paraId="5638FDF2">
      <w:pPr>
        <w:adjustRightInd w:val="0"/>
        <w:snapToGrid w:val="0"/>
        <w:spacing w:line="360" w:lineRule="auto"/>
        <w:ind w:firstLine="560" w:firstLineChars="200"/>
        <w:rPr>
          <w:rFonts w:ascii="宋体" w:hAnsi="宋体" w:cs="宋体"/>
          <w:b w:val="0"/>
          <w:sz w:val="28"/>
        </w:rPr>
      </w:pPr>
      <w:r>
        <w:rPr>
          <w:rFonts w:hint="eastAsia" w:ascii="宋体" w:hAnsi="宋体" w:cs="宋体"/>
          <w:b w:val="0"/>
          <w:sz w:val="28"/>
        </w:rPr>
        <w:t>1</w:t>
      </w:r>
      <w:r>
        <w:rPr>
          <w:rFonts w:ascii="宋体" w:hAnsi="宋体" w:cs="宋体"/>
          <w:b w:val="0"/>
          <w:sz w:val="28"/>
        </w:rPr>
        <w:t>3</w:t>
      </w:r>
      <w:r>
        <w:rPr>
          <w:rFonts w:hint="eastAsia" w:ascii="宋体" w:hAnsi="宋体" w:cs="宋体"/>
          <w:b w:val="0"/>
          <w:sz w:val="28"/>
        </w:rPr>
        <w:t>）《</w:t>
      </w:r>
      <w:bookmarkStart w:id="51" w:name="OLE_LINK43"/>
      <w:bookmarkStart w:id="52" w:name="OLE_LINK4"/>
      <w:bookmarkStart w:id="53" w:name="OLE_LINK3"/>
      <w:r>
        <w:rPr>
          <w:rFonts w:hint="eastAsia" w:ascii="宋体" w:hAnsi="宋体" w:cs="宋体"/>
          <w:b w:val="0"/>
          <w:sz w:val="28"/>
        </w:rPr>
        <w:t>生产安全事故应急条例</w:t>
      </w:r>
      <w:bookmarkEnd w:id="51"/>
      <w:bookmarkEnd w:id="52"/>
      <w:bookmarkEnd w:id="53"/>
      <w:r>
        <w:rPr>
          <w:rFonts w:hint="eastAsia" w:ascii="宋体" w:hAnsi="宋体" w:cs="宋体"/>
          <w:b w:val="0"/>
          <w:sz w:val="28"/>
        </w:rPr>
        <w:t>》（国务院令第708号）</w:t>
      </w:r>
    </w:p>
    <w:p w14:paraId="2AC03915">
      <w:pPr>
        <w:adjustRightInd w:val="0"/>
        <w:snapToGrid w:val="0"/>
        <w:spacing w:line="360" w:lineRule="auto"/>
        <w:ind w:firstLine="560" w:firstLineChars="200"/>
        <w:rPr>
          <w:rFonts w:ascii="宋体" w:hAnsi="宋体" w:cs="宋体"/>
          <w:b w:val="0"/>
          <w:sz w:val="28"/>
          <w:szCs w:val="22"/>
        </w:rPr>
      </w:pPr>
      <w:r>
        <w:rPr>
          <w:rFonts w:hint="eastAsia" w:ascii="宋体" w:hAnsi="宋体" w:cs="宋体"/>
          <w:b w:val="0"/>
          <w:sz w:val="28"/>
        </w:rPr>
        <w:t>1</w:t>
      </w:r>
      <w:r>
        <w:rPr>
          <w:rFonts w:ascii="宋体" w:hAnsi="宋体" w:cs="宋体"/>
          <w:b w:val="0"/>
          <w:sz w:val="28"/>
        </w:rPr>
        <w:t>4</w:t>
      </w:r>
      <w:r>
        <w:rPr>
          <w:rFonts w:hint="eastAsia" w:ascii="宋体" w:hAnsi="宋体" w:cs="宋体"/>
          <w:b w:val="0"/>
          <w:sz w:val="28"/>
        </w:rPr>
        <w:t>）《国家安全监管总局关于废止和修改劳动防护用品和安全培训等领域十部规章</w:t>
      </w:r>
      <w:r>
        <w:rPr>
          <w:rFonts w:hint="eastAsia" w:ascii="宋体" w:hAnsi="宋体" w:cs="宋体"/>
          <w:b w:val="0"/>
          <w:sz w:val="28"/>
          <w:szCs w:val="22"/>
        </w:rPr>
        <w:t xml:space="preserve">的决定》（国家安监总局令第80号） </w:t>
      </w:r>
    </w:p>
    <w:p w14:paraId="76D2AE3C">
      <w:pPr>
        <w:adjustRightInd w:val="0"/>
        <w:snapToGrid w:val="0"/>
        <w:spacing w:line="360" w:lineRule="auto"/>
        <w:ind w:firstLine="560" w:firstLineChars="200"/>
        <w:rPr>
          <w:rFonts w:ascii="宋体" w:hAnsi="宋体" w:cs="宋体"/>
          <w:b w:val="0"/>
          <w:sz w:val="28"/>
          <w:szCs w:val="22"/>
        </w:rPr>
      </w:pPr>
      <w:r>
        <w:rPr>
          <w:rFonts w:hint="eastAsia" w:ascii="宋体" w:hAnsi="宋体" w:cs="宋体"/>
          <w:b w:val="0"/>
          <w:sz w:val="28"/>
          <w:szCs w:val="22"/>
        </w:rPr>
        <w:t>1</w:t>
      </w:r>
      <w:r>
        <w:rPr>
          <w:rFonts w:ascii="宋体" w:hAnsi="宋体" w:cs="宋体"/>
          <w:b w:val="0"/>
          <w:sz w:val="28"/>
          <w:szCs w:val="22"/>
        </w:rPr>
        <w:t>5</w:t>
      </w:r>
      <w:r>
        <w:rPr>
          <w:rFonts w:hint="eastAsia" w:ascii="宋体" w:hAnsi="宋体" w:cs="宋体"/>
          <w:b w:val="0"/>
          <w:sz w:val="28"/>
          <w:szCs w:val="22"/>
        </w:rPr>
        <w:t>）《</w:t>
      </w:r>
      <w:bookmarkStart w:id="54" w:name="OLE_LINK44"/>
      <w:bookmarkStart w:id="55" w:name="OLE_LINK45"/>
      <w:r>
        <w:rPr>
          <w:rFonts w:hint="eastAsia" w:ascii="宋体" w:hAnsi="宋体" w:cs="宋体"/>
          <w:b w:val="0"/>
          <w:sz w:val="28"/>
          <w:szCs w:val="22"/>
        </w:rPr>
        <w:t>安全生产事故隐患排查治理暂行规定</w:t>
      </w:r>
      <w:bookmarkEnd w:id="54"/>
      <w:bookmarkEnd w:id="55"/>
      <w:r>
        <w:rPr>
          <w:rFonts w:hint="eastAsia" w:ascii="宋体" w:hAnsi="宋体" w:cs="宋体"/>
          <w:b w:val="0"/>
          <w:sz w:val="28"/>
          <w:szCs w:val="22"/>
        </w:rPr>
        <w:t>》（原国家安监总局令第16号）</w:t>
      </w:r>
    </w:p>
    <w:p w14:paraId="06543E6A">
      <w:pPr>
        <w:adjustRightInd w:val="0"/>
        <w:snapToGrid w:val="0"/>
        <w:spacing w:line="360" w:lineRule="auto"/>
        <w:ind w:firstLine="560" w:firstLineChars="200"/>
        <w:rPr>
          <w:rFonts w:ascii="宋体" w:hAnsi="宋体" w:cs="宋体"/>
          <w:b w:val="0"/>
          <w:sz w:val="28"/>
          <w:szCs w:val="22"/>
        </w:rPr>
      </w:pPr>
      <w:r>
        <w:rPr>
          <w:rFonts w:hint="eastAsia" w:ascii="宋体" w:hAnsi="宋体" w:cs="宋体"/>
          <w:b w:val="0"/>
          <w:sz w:val="28"/>
          <w:szCs w:val="22"/>
        </w:rPr>
        <w:t>1</w:t>
      </w:r>
      <w:r>
        <w:rPr>
          <w:rFonts w:ascii="宋体" w:hAnsi="宋体" w:cs="宋体"/>
          <w:b w:val="0"/>
          <w:sz w:val="28"/>
          <w:szCs w:val="22"/>
        </w:rPr>
        <w:t>6</w:t>
      </w:r>
      <w:r>
        <w:rPr>
          <w:rFonts w:hint="eastAsia" w:ascii="宋体" w:hAnsi="宋体" w:cs="宋体"/>
          <w:b w:val="0"/>
          <w:sz w:val="28"/>
          <w:szCs w:val="22"/>
        </w:rPr>
        <w:t>）《关于修改〈生产安全事故应急预案管理办法〉的决定》（应急管理部令第2号）</w:t>
      </w:r>
    </w:p>
    <w:p w14:paraId="661BF1BC">
      <w:pPr>
        <w:adjustRightInd w:val="0"/>
        <w:snapToGrid w:val="0"/>
        <w:spacing w:line="360" w:lineRule="auto"/>
        <w:ind w:firstLine="560" w:firstLineChars="200"/>
        <w:rPr>
          <w:rFonts w:ascii="宋体" w:hAnsi="宋体" w:cs="宋体"/>
          <w:b w:val="0"/>
          <w:sz w:val="28"/>
          <w:szCs w:val="22"/>
        </w:rPr>
      </w:pPr>
      <w:r>
        <w:rPr>
          <w:rFonts w:hint="eastAsia" w:ascii="宋体" w:hAnsi="宋体" w:cs="宋体"/>
          <w:b w:val="0"/>
          <w:sz w:val="28"/>
          <w:szCs w:val="22"/>
        </w:rPr>
        <w:t>1</w:t>
      </w:r>
      <w:r>
        <w:rPr>
          <w:rFonts w:ascii="宋体" w:hAnsi="宋体" w:cs="宋体"/>
          <w:b w:val="0"/>
          <w:sz w:val="28"/>
          <w:szCs w:val="22"/>
        </w:rPr>
        <w:t>7</w:t>
      </w:r>
      <w:r>
        <w:rPr>
          <w:rFonts w:hint="eastAsia" w:ascii="宋体" w:hAnsi="宋体" w:cs="宋体"/>
          <w:b w:val="0"/>
          <w:sz w:val="28"/>
          <w:szCs w:val="22"/>
        </w:rPr>
        <w:t>）《安全生产许可证条例》（2004 年国务院令第397 号公布，[2014]第 653 号修正）</w:t>
      </w:r>
    </w:p>
    <w:p w14:paraId="188C4C9C">
      <w:pPr>
        <w:adjustRightInd w:val="0"/>
        <w:snapToGrid w:val="0"/>
        <w:spacing w:line="360" w:lineRule="auto"/>
        <w:ind w:firstLine="560" w:firstLineChars="200"/>
        <w:rPr>
          <w:rFonts w:ascii="宋体" w:hAnsi="宋体" w:cs="宋体"/>
          <w:b w:val="0"/>
          <w:sz w:val="28"/>
          <w:szCs w:val="22"/>
        </w:rPr>
      </w:pPr>
      <w:r>
        <w:rPr>
          <w:rFonts w:hint="eastAsia" w:ascii="宋体" w:hAnsi="宋体" w:cs="宋体"/>
          <w:b w:val="0"/>
          <w:sz w:val="28"/>
          <w:szCs w:val="22"/>
        </w:rPr>
        <w:t>1</w:t>
      </w:r>
      <w:r>
        <w:rPr>
          <w:rFonts w:ascii="宋体" w:hAnsi="宋体" w:cs="宋体"/>
          <w:b w:val="0"/>
          <w:sz w:val="28"/>
          <w:szCs w:val="22"/>
        </w:rPr>
        <w:t>8</w:t>
      </w:r>
      <w:r>
        <w:rPr>
          <w:rFonts w:hint="eastAsia" w:ascii="宋体" w:hAnsi="宋体" w:cs="宋体"/>
          <w:b w:val="0"/>
          <w:sz w:val="28"/>
          <w:szCs w:val="22"/>
        </w:rPr>
        <w:t>）《</w:t>
      </w:r>
      <w:bookmarkStart w:id="56" w:name="OLE_LINK50"/>
      <w:bookmarkStart w:id="57" w:name="OLE_LINK49"/>
      <w:r>
        <w:rPr>
          <w:rFonts w:hint="eastAsia" w:ascii="宋体" w:hAnsi="宋体" w:cs="宋体"/>
          <w:b w:val="0"/>
          <w:sz w:val="28"/>
          <w:szCs w:val="22"/>
        </w:rPr>
        <w:t>安全生产事故信息报告和处置办法</w:t>
      </w:r>
      <w:bookmarkEnd w:id="56"/>
      <w:bookmarkEnd w:id="57"/>
      <w:r>
        <w:rPr>
          <w:rFonts w:hint="eastAsia" w:ascii="宋体" w:hAnsi="宋体" w:cs="宋体"/>
          <w:b w:val="0"/>
          <w:sz w:val="28"/>
          <w:szCs w:val="22"/>
        </w:rPr>
        <w:t>》（原国家安监总局令第21号）</w:t>
      </w:r>
    </w:p>
    <w:p w14:paraId="0221EB1B">
      <w:pPr>
        <w:adjustRightInd w:val="0"/>
        <w:snapToGrid w:val="0"/>
        <w:spacing w:line="360" w:lineRule="auto"/>
        <w:ind w:firstLine="560" w:firstLineChars="200"/>
        <w:rPr>
          <w:rFonts w:ascii="宋体" w:hAnsi="宋体" w:cs="宋体"/>
          <w:b w:val="0"/>
          <w:sz w:val="28"/>
        </w:rPr>
      </w:pPr>
      <w:r>
        <w:rPr>
          <w:rFonts w:hint="eastAsia" w:ascii="宋体" w:hAnsi="宋体" w:cs="宋体"/>
          <w:b w:val="0"/>
          <w:sz w:val="28"/>
          <w:szCs w:val="22"/>
        </w:rPr>
        <w:t>1</w:t>
      </w:r>
      <w:r>
        <w:rPr>
          <w:rFonts w:ascii="宋体" w:hAnsi="宋体" w:cs="宋体"/>
          <w:b w:val="0"/>
          <w:sz w:val="28"/>
          <w:szCs w:val="22"/>
        </w:rPr>
        <w:t>9</w:t>
      </w:r>
      <w:r>
        <w:rPr>
          <w:rFonts w:hint="eastAsia" w:ascii="宋体" w:hAnsi="宋体" w:cs="宋体"/>
          <w:b w:val="0"/>
          <w:sz w:val="28"/>
          <w:szCs w:val="22"/>
        </w:rPr>
        <w:t>）《</w:t>
      </w:r>
      <w:bookmarkStart w:id="58" w:name="OLE_LINK52"/>
      <w:bookmarkStart w:id="59" w:name="OLE_LINK51"/>
      <w:r>
        <w:rPr>
          <w:rFonts w:hint="eastAsia" w:ascii="宋体" w:hAnsi="宋体" w:cs="宋体"/>
          <w:b w:val="0"/>
          <w:sz w:val="28"/>
          <w:szCs w:val="22"/>
        </w:rPr>
        <w:t>建设项目安全设施“三同时”监督管理办</w:t>
      </w:r>
      <w:r>
        <w:rPr>
          <w:rFonts w:hint="eastAsia" w:ascii="宋体" w:hAnsi="宋体" w:cs="宋体"/>
          <w:b w:val="0"/>
          <w:sz w:val="28"/>
        </w:rPr>
        <w:t>法</w:t>
      </w:r>
      <w:bookmarkEnd w:id="58"/>
      <w:bookmarkEnd w:id="59"/>
      <w:r>
        <w:rPr>
          <w:rFonts w:hint="eastAsia" w:ascii="宋体" w:hAnsi="宋体" w:cs="宋体"/>
          <w:b w:val="0"/>
          <w:sz w:val="28"/>
        </w:rPr>
        <w:t>》（原国家安监总局令第36号，第77号令修改）</w:t>
      </w:r>
    </w:p>
    <w:p w14:paraId="27E7E92B">
      <w:pPr>
        <w:adjustRightInd w:val="0"/>
        <w:snapToGrid w:val="0"/>
        <w:spacing w:line="360" w:lineRule="auto"/>
        <w:ind w:firstLine="560" w:firstLineChars="200"/>
        <w:rPr>
          <w:rFonts w:ascii="宋体" w:hAnsi="宋体" w:cs="宋体"/>
          <w:b w:val="0"/>
          <w:sz w:val="28"/>
        </w:rPr>
      </w:pPr>
      <w:r>
        <w:rPr>
          <w:rFonts w:ascii="宋体" w:hAnsi="宋体" w:cs="宋体"/>
          <w:b w:val="0"/>
          <w:sz w:val="28"/>
        </w:rPr>
        <w:t>20</w:t>
      </w:r>
      <w:r>
        <w:rPr>
          <w:rFonts w:hint="eastAsia" w:ascii="宋体" w:hAnsi="宋体" w:cs="宋体"/>
          <w:b w:val="0"/>
          <w:sz w:val="28"/>
        </w:rPr>
        <w:t>）《烟花爆竹生产企业安全生产许可证实施办法》（原国家安全生产监督管理总局令第54号）</w:t>
      </w:r>
    </w:p>
    <w:p w14:paraId="1E4BB60F">
      <w:pPr>
        <w:adjustRightInd w:val="0"/>
        <w:snapToGrid w:val="0"/>
        <w:spacing w:line="360" w:lineRule="auto"/>
        <w:ind w:firstLine="560" w:firstLineChars="200"/>
        <w:rPr>
          <w:rFonts w:ascii="宋体" w:hAnsi="宋体" w:cs="宋体"/>
          <w:b w:val="0"/>
          <w:sz w:val="28"/>
        </w:rPr>
      </w:pPr>
      <w:r>
        <w:rPr>
          <w:rFonts w:ascii="宋体" w:hAnsi="宋体" w:cs="宋体"/>
          <w:b w:val="0"/>
          <w:sz w:val="28"/>
        </w:rPr>
        <w:t>21</w:t>
      </w:r>
      <w:r>
        <w:rPr>
          <w:rFonts w:hint="eastAsia" w:ascii="宋体" w:hAnsi="宋体" w:cs="宋体"/>
          <w:b w:val="0"/>
          <w:sz w:val="28"/>
        </w:rPr>
        <w:t>）《</w:t>
      </w:r>
      <w:bookmarkStart w:id="60" w:name="OLE_LINK55"/>
      <w:bookmarkStart w:id="61" w:name="OLE_LINK56"/>
      <w:r>
        <w:rPr>
          <w:rFonts w:hint="eastAsia" w:ascii="宋体" w:hAnsi="宋体" w:cs="宋体"/>
          <w:b w:val="0"/>
          <w:sz w:val="28"/>
        </w:rPr>
        <w:t>特种作业人员安全技术培训考核管理规定</w:t>
      </w:r>
      <w:bookmarkEnd w:id="60"/>
      <w:bookmarkEnd w:id="61"/>
      <w:r>
        <w:rPr>
          <w:rFonts w:hint="eastAsia" w:ascii="宋体" w:hAnsi="宋体" w:cs="宋体"/>
          <w:b w:val="0"/>
          <w:sz w:val="28"/>
        </w:rPr>
        <w:t>》（</w:t>
      </w:r>
      <w:bookmarkStart w:id="62" w:name="OLE_LINK5"/>
      <w:r>
        <w:rPr>
          <w:rFonts w:hint="eastAsia" w:ascii="宋体" w:hAnsi="宋体" w:cs="宋体"/>
          <w:b w:val="0"/>
          <w:sz w:val="28"/>
        </w:rPr>
        <w:t>国家应急管理部令第1</w:t>
      </w:r>
      <w:r>
        <w:rPr>
          <w:rFonts w:ascii="宋体" w:hAnsi="宋体" w:cs="宋体"/>
          <w:b w:val="0"/>
          <w:sz w:val="28"/>
        </w:rPr>
        <w:t>9</w:t>
      </w:r>
      <w:r>
        <w:rPr>
          <w:rFonts w:hint="eastAsia" w:ascii="宋体" w:hAnsi="宋体" w:cs="宋体"/>
          <w:b w:val="0"/>
          <w:sz w:val="28"/>
        </w:rPr>
        <w:t>号，2</w:t>
      </w:r>
      <w:r>
        <w:rPr>
          <w:rFonts w:ascii="宋体" w:hAnsi="宋体" w:cs="宋体"/>
          <w:b w:val="0"/>
          <w:sz w:val="28"/>
        </w:rPr>
        <w:t>026</w:t>
      </w:r>
      <w:r>
        <w:rPr>
          <w:rFonts w:hint="eastAsia" w:ascii="宋体" w:hAnsi="宋体" w:cs="宋体"/>
          <w:b w:val="0"/>
          <w:sz w:val="28"/>
        </w:rPr>
        <w:t>年6月</w:t>
      </w:r>
      <w:r>
        <w:rPr>
          <w:rFonts w:ascii="宋体" w:hAnsi="宋体" w:cs="宋体"/>
          <w:b w:val="0"/>
          <w:sz w:val="28"/>
        </w:rPr>
        <w:t>1</w:t>
      </w:r>
      <w:r>
        <w:rPr>
          <w:rFonts w:hint="eastAsia" w:ascii="宋体" w:hAnsi="宋体" w:cs="宋体"/>
          <w:b w:val="0"/>
          <w:sz w:val="28"/>
        </w:rPr>
        <w:t>日施行</w:t>
      </w:r>
      <w:bookmarkEnd w:id="62"/>
      <w:r>
        <w:rPr>
          <w:rFonts w:hint="eastAsia" w:ascii="宋体" w:hAnsi="宋体" w:cs="宋体"/>
          <w:b w:val="0"/>
          <w:sz w:val="28"/>
        </w:rPr>
        <w:t>）</w:t>
      </w:r>
    </w:p>
    <w:p w14:paraId="5EA0C763">
      <w:pPr>
        <w:adjustRightInd w:val="0"/>
        <w:snapToGrid w:val="0"/>
        <w:spacing w:line="360" w:lineRule="auto"/>
        <w:ind w:firstLine="560" w:firstLineChars="200"/>
        <w:rPr>
          <w:rFonts w:ascii="宋体" w:hAnsi="宋体" w:cs="宋体"/>
          <w:b w:val="0"/>
          <w:sz w:val="28"/>
        </w:rPr>
      </w:pPr>
      <w:r>
        <w:rPr>
          <w:rFonts w:hint="eastAsia" w:ascii="宋体" w:hAnsi="宋体" w:cs="宋体"/>
          <w:b w:val="0"/>
          <w:sz w:val="28"/>
        </w:rPr>
        <w:t>2</w:t>
      </w:r>
      <w:r>
        <w:rPr>
          <w:rFonts w:ascii="宋体" w:hAnsi="宋体" w:cs="宋体"/>
          <w:b w:val="0"/>
          <w:sz w:val="28"/>
        </w:rPr>
        <w:t>2</w:t>
      </w:r>
      <w:r>
        <w:rPr>
          <w:rFonts w:hint="eastAsia" w:ascii="宋体" w:hAnsi="宋体" w:cs="宋体"/>
          <w:b w:val="0"/>
          <w:sz w:val="28"/>
        </w:rPr>
        <w:t>）《</w:t>
      </w:r>
      <w:bookmarkStart w:id="63" w:name="OLE_LINK58"/>
      <w:bookmarkStart w:id="64" w:name="OLE_LINK57"/>
      <w:r>
        <w:rPr>
          <w:rFonts w:hint="eastAsia" w:ascii="宋体" w:hAnsi="宋体" w:cs="宋体"/>
          <w:b w:val="0"/>
          <w:sz w:val="28"/>
        </w:rPr>
        <w:t>安全生产培训管理办法</w:t>
      </w:r>
      <w:bookmarkEnd w:id="63"/>
      <w:bookmarkEnd w:id="64"/>
      <w:r>
        <w:rPr>
          <w:rFonts w:hint="eastAsia" w:ascii="宋体" w:hAnsi="宋体" w:cs="宋体"/>
          <w:b w:val="0"/>
          <w:sz w:val="28"/>
        </w:rPr>
        <w:t>》（原国家安监总局令第</w:t>
      </w:r>
      <w:r>
        <w:rPr>
          <w:rFonts w:ascii="宋体" w:hAnsi="宋体" w:cs="宋体"/>
          <w:b w:val="0"/>
          <w:sz w:val="28"/>
        </w:rPr>
        <w:t>80</w:t>
      </w:r>
      <w:r>
        <w:rPr>
          <w:rFonts w:hint="eastAsia" w:ascii="宋体" w:hAnsi="宋体" w:cs="宋体"/>
          <w:b w:val="0"/>
          <w:sz w:val="28"/>
        </w:rPr>
        <w:t>号第二次修正）</w:t>
      </w:r>
    </w:p>
    <w:p w14:paraId="60B82303">
      <w:pPr>
        <w:adjustRightInd w:val="0"/>
        <w:snapToGrid w:val="0"/>
        <w:spacing w:line="360" w:lineRule="auto"/>
        <w:ind w:firstLine="560" w:firstLineChars="200"/>
        <w:rPr>
          <w:rFonts w:ascii="宋体" w:hAnsi="宋体" w:cs="宋体"/>
          <w:b w:val="0"/>
          <w:sz w:val="28"/>
        </w:rPr>
      </w:pPr>
      <w:r>
        <w:rPr>
          <w:rFonts w:hint="eastAsia" w:ascii="宋体" w:hAnsi="宋体" w:cs="宋体"/>
          <w:b w:val="0"/>
          <w:sz w:val="28"/>
        </w:rPr>
        <w:t>2</w:t>
      </w:r>
      <w:r>
        <w:rPr>
          <w:rFonts w:ascii="宋体" w:hAnsi="宋体" w:cs="宋体"/>
          <w:b w:val="0"/>
          <w:sz w:val="28"/>
        </w:rPr>
        <w:t>3</w:t>
      </w:r>
      <w:r>
        <w:rPr>
          <w:rFonts w:hint="eastAsia" w:ascii="宋体" w:hAnsi="宋体" w:cs="宋体"/>
          <w:b w:val="0"/>
          <w:sz w:val="28"/>
        </w:rPr>
        <w:t>）《国务院关于进一步加强企业安全生产工作的通知〉的实施意见》（安委办30号）</w:t>
      </w:r>
    </w:p>
    <w:p w14:paraId="37542959">
      <w:pPr>
        <w:adjustRightInd w:val="0"/>
        <w:snapToGrid w:val="0"/>
        <w:spacing w:line="360" w:lineRule="auto"/>
        <w:ind w:firstLine="560" w:firstLineChars="200"/>
        <w:rPr>
          <w:rFonts w:ascii="宋体" w:hAnsi="宋体" w:cs="宋体"/>
          <w:b w:val="0"/>
          <w:sz w:val="28"/>
        </w:rPr>
      </w:pPr>
      <w:r>
        <w:rPr>
          <w:rFonts w:hint="eastAsia" w:ascii="宋体" w:hAnsi="宋体" w:cs="宋体"/>
          <w:b w:val="0"/>
          <w:sz w:val="28"/>
        </w:rPr>
        <w:t>2</w:t>
      </w:r>
      <w:r>
        <w:rPr>
          <w:rFonts w:ascii="宋体" w:hAnsi="宋体" w:cs="宋体"/>
          <w:b w:val="0"/>
          <w:sz w:val="28"/>
        </w:rPr>
        <w:t>4</w:t>
      </w:r>
      <w:r>
        <w:rPr>
          <w:rFonts w:hint="eastAsia" w:ascii="宋体" w:hAnsi="宋体" w:cs="宋体"/>
          <w:b w:val="0"/>
          <w:sz w:val="28"/>
        </w:rPr>
        <w:t>）《国家安全监管总局关于修改〈生产经营单位安全培训规定〉等11件规章的决定》（国家安监总局令第63号）</w:t>
      </w:r>
    </w:p>
    <w:p w14:paraId="602F1674">
      <w:pPr>
        <w:adjustRightInd w:val="0"/>
        <w:snapToGrid w:val="0"/>
        <w:spacing w:line="360" w:lineRule="auto"/>
        <w:ind w:firstLine="560" w:firstLineChars="200"/>
        <w:rPr>
          <w:rFonts w:ascii="宋体" w:hAnsi="宋体" w:cs="宋体"/>
          <w:b w:val="0"/>
          <w:sz w:val="28"/>
        </w:rPr>
      </w:pPr>
      <w:r>
        <w:rPr>
          <w:rFonts w:hint="eastAsia" w:ascii="宋体" w:hAnsi="宋体" w:cs="宋体"/>
          <w:b w:val="0"/>
          <w:sz w:val="28"/>
        </w:rPr>
        <w:t>2</w:t>
      </w:r>
      <w:r>
        <w:rPr>
          <w:rFonts w:ascii="宋体" w:hAnsi="宋体" w:cs="宋体"/>
          <w:b w:val="0"/>
          <w:sz w:val="28"/>
        </w:rPr>
        <w:t>5</w:t>
      </w:r>
      <w:r>
        <w:rPr>
          <w:rFonts w:hint="eastAsia" w:ascii="宋体" w:hAnsi="宋体" w:cs="宋体"/>
          <w:b w:val="0"/>
          <w:sz w:val="28"/>
        </w:rPr>
        <w:t>）《</w:t>
      </w:r>
      <w:bookmarkStart w:id="65" w:name="OLE_LINK60"/>
      <w:bookmarkStart w:id="66" w:name="OLE_LINK59"/>
      <w:r>
        <w:rPr>
          <w:rFonts w:hint="eastAsia" w:ascii="宋体" w:hAnsi="宋体" w:cs="宋体"/>
          <w:b w:val="0"/>
          <w:sz w:val="28"/>
        </w:rPr>
        <w:t>烟花爆竹生产经营安全规定</w:t>
      </w:r>
      <w:bookmarkEnd w:id="65"/>
      <w:bookmarkEnd w:id="66"/>
      <w:r>
        <w:rPr>
          <w:rFonts w:hint="eastAsia" w:ascii="宋体" w:hAnsi="宋体" w:cs="宋体"/>
          <w:b w:val="0"/>
          <w:sz w:val="28"/>
        </w:rPr>
        <w:t>》（原国家安监总局令 第93号）</w:t>
      </w:r>
    </w:p>
    <w:p w14:paraId="3E2A6968">
      <w:pPr>
        <w:adjustRightInd w:val="0"/>
        <w:snapToGrid w:val="0"/>
        <w:spacing w:line="360" w:lineRule="auto"/>
        <w:ind w:firstLine="560" w:firstLineChars="200"/>
        <w:rPr>
          <w:rFonts w:ascii="宋体" w:hAnsi="宋体" w:cs="宋体"/>
          <w:b w:val="0"/>
          <w:sz w:val="28"/>
        </w:rPr>
      </w:pPr>
      <w:r>
        <w:rPr>
          <w:rFonts w:hint="eastAsia" w:ascii="宋体" w:hAnsi="宋体" w:cs="宋体"/>
          <w:b w:val="0"/>
          <w:sz w:val="28"/>
        </w:rPr>
        <w:t>2</w:t>
      </w:r>
      <w:r>
        <w:rPr>
          <w:rFonts w:ascii="宋体" w:hAnsi="宋体" w:cs="宋体"/>
          <w:b w:val="0"/>
          <w:sz w:val="28"/>
        </w:rPr>
        <w:t>6</w:t>
      </w:r>
      <w:r>
        <w:rPr>
          <w:rFonts w:hint="eastAsia" w:ascii="宋体" w:hAnsi="宋体" w:cs="宋体"/>
          <w:b w:val="0"/>
          <w:sz w:val="28"/>
        </w:rPr>
        <w:t>）《烟花爆竹生产企业对标改造提升指南（试行）》（应急管理部危化监管二司2</w:t>
      </w:r>
      <w:r>
        <w:rPr>
          <w:rFonts w:ascii="宋体" w:hAnsi="宋体" w:cs="宋体"/>
          <w:b w:val="0"/>
          <w:sz w:val="28"/>
        </w:rPr>
        <w:t>022.10</w:t>
      </w:r>
      <w:r>
        <w:rPr>
          <w:rFonts w:hint="eastAsia" w:ascii="宋体" w:hAnsi="宋体" w:cs="宋体"/>
          <w:b w:val="0"/>
          <w:sz w:val="28"/>
        </w:rPr>
        <w:t>）</w:t>
      </w:r>
    </w:p>
    <w:p w14:paraId="033636EB">
      <w:pPr>
        <w:adjustRightInd w:val="0"/>
        <w:snapToGrid w:val="0"/>
        <w:spacing w:line="360" w:lineRule="auto"/>
        <w:ind w:firstLine="560" w:firstLineChars="200"/>
        <w:rPr>
          <w:rFonts w:ascii="宋体" w:hAnsi="宋体" w:cs="宋体"/>
          <w:b w:val="0"/>
          <w:color w:val="FF0000"/>
          <w:sz w:val="28"/>
        </w:rPr>
      </w:pPr>
      <w:r>
        <w:rPr>
          <w:rFonts w:ascii="宋体" w:hAnsi="宋体" w:cs="宋体"/>
          <w:b w:val="0"/>
          <w:sz w:val="28"/>
        </w:rPr>
        <w:t>27</w:t>
      </w:r>
      <w:r>
        <w:rPr>
          <w:rFonts w:hint="eastAsia" w:ascii="宋体" w:hAnsi="宋体" w:cs="宋体"/>
          <w:b w:val="0"/>
          <w:sz w:val="28"/>
        </w:rPr>
        <w:t>） 《烟花爆竹生产经营单位重大生产安全事故隐患判定标准（试行）》（安监总管三[</w:t>
      </w:r>
      <w:r>
        <w:rPr>
          <w:rFonts w:ascii="宋体" w:hAnsi="宋体" w:cs="宋体"/>
          <w:b w:val="0"/>
          <w:sz w:val="28"/>
        </w:rPr>
        <w:t>2017]121</w:t>
      </w:r>
      <w:r>
        <w:rPr>
          <w:rFonts w:hint="eastAsia" w:ascii="宋体" w:hAnsi="宋体" w:cs="宋体"/>
          <w:b w:val="0"/>
          <w:sz w:val="28"/>
        </w:rPr>
        <w:t>号）</w:t>
      </w:r>
    </w:p>
    <w:p w14:paraId="5C5375BA">
      <w:pPr>
        <w:pStyle w:val="87"/>
        <w:ind w:firstLine="560"/>
        <w:rPr>
          <w:rFonts w:ascii="宋体" w:hAnsi="宋体" w:eastAsia="宋体" w:cs="宋体"/>
          <w:b w:val="0"/>
          <w:kern w:val="2"/>
          <w:szCs w:val="24"/>
        </w:rPr>
      </w:pPr>
      <w:r>
        <w:rPr>
          <w:rFonts w:hint="eastAsia" w:ascii="宋体" w:hAnsi="宋体" w:eastAsia="宋体" w:cs="宋体"/>
          <w:b w:val="0"/>
          <w:kern w:val="2"/>
          <w:szCs w:val="24"/>
        </w:rPr>
        <w:t>28）《湖南省安全生产条例》（湖南省第十三届人民代表大会常务委员会公告[2022]第97号）</w:t>
      </w:r>
    </w:p>
    <w:p w14:paraId="0E51B0C7">
      <w:pPr>
        <w:pStyle w:val="87"/>
        <w:ind w:firstLine="560"/>
        <w:rPr>
          <w:rFonts w:ascii="宋体" w:hAnsi="宋体" w:eastAsia="宋体" w:cs="宋体"/>
          <w:b w:val="0"/>
          <w:kern w:val="2"/>
          <w:szCs w:val="24"/>
        </w:rPr>
      </w:pPr>
      <w:r>
        <w:rPr>
          <w:rFonts w:hint="eastAsia" w:ascii="宋体" w:hAnsi="宋体" w:eastAsia="宋体" w:cs="宋体"/>
          <w:b w:val="0"/>
          <w:kern w:val="2"/>
          <w:szCs w:val="24"/>
        </w:rPr>
        <w:t>29）《湖南省生产经营单位安全生产主体责任规定》（2022年10月8日湖南省人民政府令第310号修改）</w:t>
      </w:r>
    </w:p>
    <w:p w14:paraId="068F42EB">
      <w:pPr>
        <w:pStyle w:val="87"/>
        <w:ind w:firstLine="560"/>
        <w:rPr>
          <w:rFonts w:ascii="宋体" w:hAnsi="宋体" w:eastAsia="宋体" w:cs="宋体"/>
          <w:b w:val="0"/>
          <w:kern w:val="2"/>
          <w:szCs w:val="24"/>
        </w:rPr>
      </w:pPr>
      <w:r>
        <w:rPr>
          <w:rFonts w:ascii="宋体" w:hAnsi="宋体" w:eastAsia="宋体" w:cs="宋体"/>
          <w:b w:val="0"/>
          <w:kern w:val="2"/>
          <w:szCs w:val="24"/>
        </w:rPr>
        <w:t>3</w:t>
      </w:r>
      <w:r>
        <w:rPr>
          <w:rFonts w:hint="eastAsia" w:ascii="宋体" w:hAnsi="宋体" w:eastAsia="宋体" w:cs="宋体"/>
          <w:b w:val="0"/>
          <w:kern w:val="2"/>
          <w:szCs w:val="24"/>
        </w:rPr>
        <w:t>0）《湖南省雷电灾害防御条例》（湖南省第十一届人民代表大会常务委员会公告[2008]第9号）</w:t>
      </w:r>
    </w:p>
    <w:p w14:paraId="4321B1C9">
      <w:pPr>
        <w:pStyle w:val="87"/>
        <w:ind w:firstLine="560"/>
        <w:rPr>
          <w:rFonts w:ascii="宋体" w:hAnsi="宋体" w:eastAsia="宋体" w:cs="宋体"/>
          <w:b w:val="0"/>
          <w:kern w:val="2"/>
          <w:szCs w:val="24"/>
        </w:rPr>
      </w:pPr>
      <w:r>
        <w:rPr>
          <w:rFonts w:ascii="宋体" w:hAnsi="宋体" w:eastAsia="宋体" w:cs="宋体"/>
          <w:b w:val="0"/>
          <w:kern w:val="2"/>
          <w:szCs w:val="24"/>
        </w:rPr>
        <w:t>3</w:t>
      </w:r>
      <w:r>
        <w:rPr>
          <w:rFonts w:hint="eastAsia" w:ascii="宋体" w:hAnsi="宋体" w:eastAsia="宋体" w:cs="宋体"/>
          <w:b w:val="0"/>
          <w:kern w:val="2"/>
          <w:szCs w:val="24"/>
        </w:rPr>
        <w:t>1）《长沙市烟花爆竹安全生产企业与产业引导条例》（长沙市人民代表大会常务委员会公告第5号，2</w:t>
      </w:r>
      <w:r>
        <w:rPr>
          <w:rFonts w:ascii="宋体" w:hAnsi="宋体" w:eastAsia="宋体" w:cs="宋体"/>
          <w:b w:val="0"/>
          <w:kern w:val="2"/>
          <w:szCs w:val="24"/>
        </w:rPr>
        <w:t>021</w:t>
      </w:r>
      <w:r>
        <w:rPr>
          <w:rFonts w:hint="eastAsia" w:ascii="宋体" w:hAnsi="宋体" w:eastAsia="宋体" w:cs="宋体"/>
          <w:b w:val="0"/>
          <w:kern w:val="2"/>
          <w:szCs w:val="24"/>
        </w:rPr>
        <w:t>年1</w:t>
      </w:r>
      <w:r>
        <w:rPr>
          <w:rFonts w:ascii="宋体" w:hAnsi="宋体" w:eastAsia="宋体" w:cs="宋体"/>
          <w:b w:val="0"/>
          <w:kern w:val="2"/>
          <w:szCs w:val="24"/>
        </w:rPr>
        <w:t>1</w:t>
      </w:r>
      <w:r>
        <w:rPr>
          <w:rFonts w:hint="eastAsia" w:ascii="宋体" w:hAnsi="宋体" w:eastAsia="宋体" w:cs="宋体"/>
          <w:b w:val="0"/>
          <w:kern w:val="2"/>
          <w:szCs w:val="24"/>
        </w:rPr>
        <w:t>月1日实施）</w:t>
      </w:r>
    </w:p>
    <w:p w14:paraId="052C250A">
      <w:pPr>
        <w:pStyle w:val="87"/>
        <w:ind w:firstLine="560"/>
        <w:rPr>
          <w:rFonts w:ascii="宋体" w:hAnsi="宋体" w:eastAsia="宋体" w:cs="宋体"/>
          <w:b w:val="0"/>
          <w:kern w:val="2"/>
          <w:szCs w:val="24"/>
        </w:rPr>
      </w:pPr>
      <w:r>
        <w:rPr>
          <w:rFonts w:ascii="宋体" w:hAnsi="宋体" w:eastAsia="宋体" w:cs="宋体"/>
          <w:b w:val="0"/>
          <w:kern w:val="2"/>
          <w:szCs w:val="24"/>
        </w:rPr>
        <w:t>3</w:t>
      </w:r>
      <w:r>
        <w:rPr>
          <w:rFonts w:hint="eastAsia" w:ascii="宋体" w:hAnsi="宋体" w:eastAsia="宋体" w:cs="宋体"/>
          <w:b w:val="0"/>
          <w:kern w:val="2"/>
          <w:szCs w:val="24"/>
        </w:rPr>
        <w:t>2）《湖南省烟花爆竹安全生产管理若干规定》（湖南省第十四届人民代表大会常务委员会公告第8</w:t>
      </w:r>
      <w:r>
        <w:rPr>
          <w:rFonts w:ascii="宋体" w:hAnsi="宋体" w:eastAsia="宋体" w:cs="宋体"/>
          <w:b w:val="0"/>
          <w:kern w:val="2"/>
          <w:szCs w:val="24"/>
        </w:rPr>
        <w:t>3</w:t>
      </w:r>
      <w:r>
        <w:rPr>
          <w:rFonts w:hint="eastAsia" w:ascii="宋体" w:hAnsi="宋体" w:eastAsia="宋体" w:cs="宋体"/>
          <w:b w:val="0"/>
          <w:kern w:val="2"/>
          <w:szCs w:val="24"/>
        </w:rPr>
        <w:t>号，2</w:t>
      </w:r>
      <w:r>
        <w:rPr>
          <w:rFonts w:ascii="宋体" w:hAnsi="宋体" w:eastAsia="宋体" w:cs="宋体"/>
          <w:b w:val="0"/>
          <w:kern w:val="2"/>
          <w:szCs w:val="24"/>
        </w:rPr>
        <w:t>026</w:t>
      </w:r>
      <w:r>
        <w:rPr>
          <w:rFonts w:hint="eastAsia" w:ascii="宋体" w:hAnsi="宋体" w:eastAsia="宋体" w:cs="宋体"/>
          <w:b w:val="0"/>
          <w:kern w:val="2"/>
          <w:szCs w:val="24"/>
        </w:rPr>
        <w:t>年6月2</w:t>
      </w:r>
      <w:r>
        <w:rPr>
          <w:rFonts w:ascii="宋体" w:hAnsi="宋体" w:eastAsia="宋体" w:cs="宋体"/>
          <w:b w:val="0"/>
          <w:kern w:val="2"/>
          <w:szCs w:val="24"/>
        </w:rPr>
        <w:t>9</w:t>
      </w:r>
      <w:r>
        <w:rPr>
          <w:rFonts w:hint="eastAsia" w:ascii="宋体" w:hAnsi="宋体" w:eastAsia="宋体" w:cs="宋体"/>
          <w:b w:val="0"/>
          <w:kern w:val="2"/>
          <w:szCs w:val="24"/>
        </w:rPr>
        <w:t>日实施）</w:t>
      </w:r>
    </w:p>
    <w:p w14:paraId="1B6F0677">
      <w:pPr>
        <w:pStyle w:val="5"/>
        <w:jc w:val="both"/>
        <w:rPr>
          <w:rFonts w:ascii="黑体" w:hAnsi="宋体" w:eastAsia="黑体"/>
          <w:b w:val="0"/>
          <w:bCs w:val="0"/>
          <w:snapToGrid w:val="0"/>
          <w:sz w:val="30"/>
          <w:szCs w:val="30"/>
        </w:rPr>
      </w:pPr>
      <w:bookmarkStart w:id="67" w:name="_Toc165038759"/>
      <w:r>
        <w:rPr>
          <w:rFonts w:hint="eastAsia" w:ascii="黑体" w:hAnsi="宋体" w:eastAsia="黑体"/>
          <w:b w:val="0"/>
          <w:snapToGrid w:val="0"/>
          <w:sz w:val="30"/>
          <w:szCs w:val="30"/>
        </w:rPr>
        <w:t>1.3.2依据的标准、规范</w:t>
      </w:r>
      <w:bookmarkEnd w:id="67"/>
    </w:p>
    <w:p w14:paraId="3F6E92B6">
      <w:pPr>
        <w:spacing w:line="360" w:lineRule="auto"/>
        <w:ind w:firstLine="560" w:firstLineChars="200"/>
        <w:rPr>
          <w:rFonts w:ascii="宋体" w:hAnsi="宋体" w:cs="宋体"/>
          <w:b w:val="0"/>
          <w:sz w:val="28"/>
          <w:szCs w:val="28"/>
        </w:rPr>
      </w:pPr>
      <w:r>
        <w:rPr>
          <w:rFonts w:hint="eastAsia" w:ascii="宋体" w:hAnsi="宋体" w:cs="宋体"/>
          <w:b w:val="0"/>
          <w:sz w:val="28"/>
          <w:szCs w:val="28"/>
        </w:rPr>
        <w:t>1）《烟花爆竹工程设计安全标准》（GB 50161-2022）</w:t>
      </w:r>
    </w:p>
    <w:p w14:paraId="3CF3CE4C">
      <w:pPr>
        <w:spacing w:line="360" w:lineRule="auto"/>
        <w:ind w:firstLine="560" w:firstLineChars="200"/>
        <w:rPr>
          <w:rFonts w:ascii="宋体" w:hAnsi="宋体" w:cs="宋体"/>
          <w:b w:val="0"/>
          <w:sz w:val="28"/>
          <w:szCs w:val="28"/>
        </w:rPr>
      </w:pPr>
      <w:r>
        <w:rPr>
          <w:rFonts w:hint="eastAsia" w:ascii="宋体" w:hAnsi="宋体" w:cs="宋体"/>
          <w:b w:val="0"/>
          <w:sz w:val="28"/>
          <w:szCs w:val="28"/>
        </w:rPr>
        <w:t>2）《烟花爆竹批发仓库建设标准》（建标125-2009）</w:t>
      </w:r>
    </w:p>
    <w:p w14:paraId="06806247">
      <w:pPr>
        <w:spacing w:line="360" w:lineRule="auto"/>
        <w:ind w:firstLine="560" w:firstLineChars="200"/>
        <w:rPr>
          <w:rFonts w:ascii="宋体" w:hAnsi="宋体" w:cs="宋体"/>
          <w:b w:val="0"/>
          <w:sz w:val="28"/>
          <w:szCs w:val="28"/>
        </w:rPr>
      </w:pPr>
      <w:r>
        <w:rPr>
          <w:rFonts w:hint="eastAsia" w:ascii="宋体" w:hAnsi="宋体" w:cs="宋体"/>
          <w:b w:val="0"/>
          <w:sz w:val="28"/>
          <w:szCs w:val="28"/>
        </w:rPr>
        <w:t>3）《烟花爆竹作业安全技术规程》（GB 11652-2012）</w:t>
      </w:r>
    </w:p>
    <w:p w14:paraId="5891AE29">
      <w:pPr>
        <w:spacing w:line="360" w:lineRule="auto"/>
        <w:ind w:firstLine="560" w:firstLineChars="200"/>
        <w:rPr>
          <w:rFonts w:ascii="宋体" w:hAnsi="宋体" w:cs="宋体"/>
          <w:b w:val="0"/>
          <w:sz w:val="28"/>
          <w:szCs w:val="28"/>
        </w:rPr>
      </w:pPr>
      <w:r>
        <w:rPr>
          <w:rFonts w:hint="eastAsia" w:ascii="宋体" w:hAnsi="宋体" w:cs="宋体"/>
          <w:b w:val="0"/>
          <w:sz w:val="28"/>
          <w:szCs w:val="28"/>
        </w:rPr>
        <w:t>4）《烟花爆竹安全与质量》（GB 10631-20</w:t>
      </w:r>
      <w:r>
        <w:rPr>
          <w:rFonts w:ascii="宋体" w:hAnsi="宋体" w:cs="宋体"/>
          <w:b w:val="0"/>
          <w:sz w:val="28"/>
          <w:szCs w:val="28"/>
        </w:rPr>
        <w:t>25</w:t>
      </w:r>
      <w:r>
        <w:rPr>
          <w:rFonts w:hint="eastAsia" w:ascii="宋体" w:hAnsi="宋体" w:cs="宋体"/>
          <w:b w:val="0"/>
          <w:sz w:val="28"/>
          <w:szCs w:val="28"/>
        </w:rPr>
        <w:t>）</w:t>
      </w:r>
    </w:p>
    <w:p w14:paraId="03D8332E">
      <w:pPr>
        <w:spacing w:line="360" w:lineRule="auto"/>
        <w:ind w:firstLine="560" w:firstLineChars="200"/>
        <w:rPr>
          <w:rFonts w:ascii="宋体" w:hAnsi="宋体" w:cs="宋体"/>
          <w:b w:val="0"/>
          <w:sz w:val="28"/>
          <w:szCs w:val="28"/>
        </w:rPr>
      </w:pPr>
      <w:r>
        <w:rPr>
          <w:rFonts w:hint="eastAsia" w:ascii="宋体" w:hAnsi="宋体" w:cs="宋体"/>
          <w:b w:val="0"/>
          <w:sz w:val="28"/>
          <w:szCs w:val="28"/>
        </w:rPr>
        <w:t>5）《建筑设计防火规范（2018版）》（GB 50016-2014）</w:t>
      </w:r>
    </w:p>
    <w:p w14:paraId="71FAA345">
      <w:pPr>
        <w:spacing w:line="360" w:lineRule="auto"/>
        <w:ind w:firstLine="560" w:firstLineChars="200"/>
        <w:rPr>
          <w:rFonts w:ascii="宋体" w:hAnsi="宋体" w:cs="宋体"/>
          <w:b w:val="0"/>
          <w:sz w:val="28"/>
          <w:szCs w:val="28"/>
        </w:rPr>
      </w:pPr>
      <w:r>
        <w:rPr>
          <w:rFonts w:hint="eastAsia" w:ascii="宋体" w:hAnsi="宋体" w:cs="宋体"/>
          <w:b w:val="0"/>
          <w:sz w:val="28"/>
          <w:szCs w:val="28"/>
        </w:rPr>
        <w:t>6）《</w:t>
      </w:r>
      <w:bookmarkStart w:id="68" w:name="OLE_LINK63"/>
      <w:bookmarkStart w:id="69" w:name="OLE_LINK64"/>
      <w:r>
        <w:rPr>
          <w:rFonts w:hint="eastAsia" w:ascii="宋体" w:hAnsi="宋体" w:cs="宋体"/>
          <w:b w:val="0"/>
          <w:sz w:val="28"/>
          <w:szCs w:val="28"/>
        </w:rPr>
        <w:t>建筑防火通用规范</w:t>
      </w:r>
      <w:bookmarkEnd w:id="68"/>
      <w:bookmarkEnd w:id="69"/>
      <w:r>
        <w:rPr>
          <w:rFonts w:hint="eastAsia" w:ascii="宋体" w:hAnsi="宋体" w:cs="宋体"/>
          <w:b w:val="0"/>
          <w:sz w:val="28"/>
          <w:szCs w:val="28"/>
        </w:rPr>
        <w:t>》（GB 5</w:t>
      </w:r>
      <w:r>
        <w:rPr>
          <w:rFonts w:ascii="宋体" w:hAnsi="宋体" w:cs="宋体"/>
          <w:b w:val="0"/>
          <w:sz w:val="28"/>
          <w:szCs w:val="28"/>
        </w:rPr>
        <w:t>5</w:t>
      </w:r>
      <w:r>
        <w:rPr>
          <w:rFonts w:hint="eastAsia" w:ascii="宋体" w:hAnsi="宋体" w:cs="宋体"/>
          <w:b w:val="0"/>
          <w:sz w:val="28"/>
          <w:szCs w:val="28"/>
        </w:rPr>
        <w:t>037-2022）</w:t>
      </w:r>
    </w:p>
    <w:p w14:paraId="04D1FE60">
      <w:pPr>
        <w:spacing w:line="360" w:lineRule="auto"/>
        <w:ind w:firstLine="560" w:firstLineChars="200"/>
        <w:rPr>
          <w:rFonts w:ascii="宋体" w:hAnsi="宋体" w:cs="宋体"/>
          <w:b w:val="0"/>
          <w:sz w:val="28"/>
          <w:szCs w:val="28"/>
        </w:rPr>
      </w:pPr>
      <w:r>
        <w:rPr>
          <w:rFonts w:hint="eastAsia" w:ascii="宋体" w:hAnsi="宋体" w:cs="宋体"/>
          <w:b w:val="0"/>
          <w:sz w:val="28"/>
          <w:szCs w:val="28"/>
        </w:rPr>
        <w:t>7）《消防设施通用规范》（GB 5</w:t>
      </w:r>
      <w:r>
        <w:rPr>
          <w:rFonts w:ascii="宋体" w:hAnsi="宋体" w:cs="宋体"/>
          <w:b w:val="0"/>
          <w:sz w:val="28"/>
          <w:szCs w:val="28"/>
        </w:rPr>
        <w:t>5</w:t>
      </w:r>
      <w:r>
        <w:rPr>
          <w:rFonts w:hint="eastAsia" w:ascii="宋体" w:hAnsi="宋体" w:cs="宋体"/>
          <w:b w:val="0"/>
          <w:sz w:val="28"/>
          <w:szCs w:val="28"/>
        </w:rPr>
        <w:t>036-2022）</w:t>
      </w:r>
    </w:p>
    <w:p w14:paraId="6C59470B">
      <w:pPr>
        <w:spacing w:line="360" w:lineRule="auto"/>
        <w:ind w:firstLine="560" w:firstLineChars="200"/>
        <w:rPr>
          <w:rFonts w:ascii="宋体" w:hAnsi="宋体" w:cs="宋体"/>
          <w:b w:val="0"/>
          <w:sz w:val="28"/>
          <w:szCs w:val="28"/>
        </w:rPr>
      </w:pPr>
      <w:r>
        <w:rPr>
          <w:rFonts w:hint="eastAsia" w:ascii="宋体" w:hAnsi="宋体" w:cs="宋体"/>
          <w:b w:val="0"/>
          <w:sz w:val="28"/>
          <w:szCs w:val="28"/>
        </w:rPr>
        <w:t>8）《</w:t>
      </w:r>
      <w:r>
        <w:rPr>
          <w:rFonts w:hint="eastAsia"/>
        </w:rPr>
        <w:fldChar w:fldCharType="begin"/>
      </w:r>
      <w:r>
        <w:instrText xml:space="preserve"> HYPERLINK "https://gf.1190119.com/list-98.htm" \t "https://gf.1190119.com/_blank" </w:instrText>
      </w:r>
      <w:r>
        <w:rPr>
          <w:rFonts w:hint="eastAsia"/>
        </w:rPr>
        <w:fldChar w:fldCharType="separate"/>
      </w:r>
      <w:r>
        <w:rPr>
          <w:rFonts w:hint="eastAsia" w:ascii="宋体" w:hAnsi="宋体" w:cs="宋体"/>
          <w:b w:val="0"/>
          <w:sz w:val="28"/>
          <w:szCs w:val="28"/>
        </w:rPr>
        <w:t>消防给水及消火栓系统技术规范》（GB50974-2014</w:t>
      </w:r>
      <w:r>
        <w:rPr>
          <w:rFonts w:hint="eastAsia" w:ascii="宋体" w:hAnsi="宋体" w:cs="宋体"/>
          <w:b w:val="0"/>
          <w:sz w:val="28"/>
          <w:szCs w:val="28"/>
        </w:rPr>
        <w:fldChar w:fldCharType="end"/>
      </w:r>
      <w:r>
        <w:rPr>
          <w:rFonts w:hint="eastAsia" w:ascii="宋体" w:hAnsi="宋体" w:cs="宋体"/>
          <w:b w:val="0"/>
          <w:sz w:val="28"/>
          <w:szCs w:val="28"/>
        </w:rPr>
        <w:t>）</w:t>
      </w:r>
    </w:p>
    <w:p w14:paraId="37C22253">
      <w:pPr>
        <w:spacing w:line="360" w:lineRule="auto"/>
        <w:ind w:firstLine="560" w:firstLineChars="200"/>
        <w:rPr>
          <w:rFonts w:ascii="宋体" w:hAnsi="宋体" w:cs="宋体"/>
          <w:b w:val="0"/>
          <w:sz w:val="28"/>
          <w:szCs w:val="28"/>
        </w:rPr>
      </w:pPr>
      <w:r>
        <w:rPr>
          <w:rFonts w:hint="eastAsia" w:ascii="宋体" w:hAnsi="宋体" w:cs="宋体"/>
          <w:b w:val="0"/>
          <w:sz w:val="28"/>
          <w:szCs w:val="28"/>
        </w:rPr>
        <w:t>9）《建筑抗震设计标准》（GB/T50011-2010）</w:t>
      </w:r>
    </w:p>
    <w:p w14:paraId="269DAEA4">
      <w:pPr>
        <w:spacing w:line="360" w:lineRule="auto"/>
        <w:ind w:firstLine="560" w:firstLineChars="200"/>
        <w:rPr>
          <w:rFonts w:ascii="宋体" w:hAnsi="宋体" w:cs="宋体"/>
          <w:b w:val="0"/>
          <w:sz w:val="28"/>
          <w:szCs w:val="28"/>
        </w:rPr>
      </w:pPr>
      <w:r>
        <w:rPr>
          <w:rFonts w:hint="eastAsia" w:ascii="宋体" w:hAnsi="宋体" w:cs="宋体"/>
          <w:b w:val="0"/>
          <w:sz w:val="28"/>
          <w:szCs w:val="28"/>
        </w:rPr>
        <w:t>10）《建筑物防雷设计规范》（GB 50057-2010）</w:t>
      </w:r>
    </w:p>
    <w:p w14:paraId="78AD24ED">
      <w:pPr>
        <w:spacing w:line="360" w:lineRule="auto"/>
        <w:ind w:firstLine="560" w:firstLineChars="200"/>
        <w:rPr>
          <w:rFonts w:ascii="宋体" w:hAnsi="宋体" w:cs="宋体"/>
          <w:b w:val="0"/>
          <w:sz w:val="28"/>
          <w:szCs w:val="28"/>
        </w:rPr>
      </w:pPr>
      <w:r>
        <w:rPr>
          <w:rFonts w:hint="eastAsia" w:ascii="宋体" w:hAnsi="宋体" w:cs="宋体"/>
          <w:b w:val="0"/>
          <w:sz w:val="28"/>
          <w:szCs w:val="28"/>
        </w:rPr>
        <w:t>11）《低压配电设计规范》（GB 50054-2011）</w:t>
      </w:r>
    </w:p>
    <w:p w14:paraId="60222E4E">
      <w:pPr>
        <w:spacing w:line="360" w:lineRule="auto"/>
        <w:ind w:firstLine="560" w:firstLineChars="200"/>
        <w:rPr>
          <w:rFonts w:ascii="宋体" w:hAnsi="宋体" w:cs="宋体"/>
          <w:b w:val="0"/>
          <w:sz w:val="28"/>
          <w:szCs w:val="28"/>
        </w:rPr>
      </w:pPr>
      <w:r>
        <w:rPr>
          <w:rFonts w:hint="eastAsia" w:ascii="宋体" w:hAnsi="宋体" w:cs="宋体"/>
          <w:b w:val="0"/>
          <w:sz w:val="28"/>
          <w:szCs w:val="28"/>
        </w:rPr>
        <w:t>12）《</w:t>
      </w:r>
      <w:bookmarkStart w:id="70" w:name="OLE_LINK65"/>
      <w:bookmarkStart w:id="71" w:name="OLE_LINK66"/>
      <w:r>
        <w:rPr>
          <w:rFonts w:hint="eastAsia" w:ascii="宋体" w:hAnsi="宋体" w:cs="宋体"/>
          <w:b w:val="0"/>
          <w:sz w:val="28"/>
          <w:szCs w:val="28"/>
        </w:rPr>
        <w:t>安全色和安全标志</w:t>
      </w:r>
      <w:bookmarkEnd w:id="70"/>
      <w:bookmarkEnd w:id="71"/>
      <w:r>
        <w:rPr>
          <w:rFonts w:hint="eastAsia" w:ascii="宋体" w:hAnsi="宋体" w:cs="宋体"/>
          <w:b w:val="0"/>
          <w:sz w:val="28"/>
          <w:szCs w:val="28"/>
        </w:rPr>
        <w:t>》（GB 2894-</w:t>
      </w:r>
      <w:r>
        <w:rPr>
          <w:rFonts w:ascii="宋体" w:hAnsi="宋体" w:cs="宋体"/>
          <w:b w:val="0"/>
          <w:sz w:val="28"/>
          <w:szCs w:val="28"/>
        </w:rPr>
        <w:t>2025</w:t>
      </w:r>
      <w:r>
        <w:rPr>
          <w:rFonts w:hint="eastAsia" w:ascii="宋体" w:hAnsi="宋体" w:cs="宋体"/>
          <w:b w:val="0"/>
          <w:sz w:val="28"/>
          <w:szCs w:val="28"/>
        </w:rPr>
        <w:t>）</w:t>
      </w:r>
    </w:p>
    <w:p w14:paraId="09F41EC9">
      <w:pPr>
        <w:spacing w:line="360" w:lineRule="auto"/>
        <w:ind w:firstLine="560" w:firstLineChars="200"/>
        <w:rPr>
          <w:rFonts w:ascii="宋体" w:hAnsi="宋体" w:cs="宋体"/>
          <w:b w:val="0"/>
          <w:sz w:val="28"/>
          <w:szCs w:val="28"/>
        </w:rPr>
      </w:pPr>
      <w:r>
        <w:rPr>
          <w:rFonts w:hint="eastAsia" w:ascii="宋体" w:hAnsi="宋体" w:cs="宋体"/>
          <w:b w:val="0"/>
          <w:sz w:val="28"/>
          <w:szCs w:val="28"/>
        </w:rPr>
        <w:t>13）</w:t>
      </w:r>
      <w:bookmarkStart w:id="72" w:name="_Hlk237445702"/>
      <w:r>
        <w:rPr>
          <w:rFonts w:hint="eastAsia" w:ascii="宋体" w:hAnsi="宋体" w:cs="宋体"/>
          <w:b w:val="0"/>
          <w:sz w:val="28"/>
          <w:szCs w:val="28"/>
        </w:rPr>
        <w:t>《生产安全事故分类与编码》（GB 6441-</w:t>
      </w:r>
      <w:r>
        <w:rPr>
          <w:rFonts w:ascii="宋体" w:hAnsi="宋体" w:cs="宋体"/>
          <w:b w:val="0"/>
          <w:sz w:val="28"/>
          <w:szCs w:val="28"/>
        </w:rPr>
        <w:t>2025</w:t>
      </w:r>
      <w:bookmarkEnd w:id="72"/>
      <w:r>
        <w:rPr>
          <w:rFonts w:hint="eastAsia" w:ascii="宋体" w:hAnsi="宋体" w:cs="宋体"/>
          <w:b w:val="0"/>
          <w:sz w:val="28"/>
          <w:szCs w:val="28"/>
        </w:rPr>
        <w:t>）</w:t>
      </w:r>
    </w:p>
    <w:p w14:paraId="472D31F8">
      <w:pPr>
        <w:spacing w:line="360" w:lineRule="auto"/>
        <w:ind w:firstLine="560" w:firstLineChars="200"/>
        <w:rPr>
          <w:rFonts w:ascii="宋体" w:hAnsi="宋体" w:cs="宋体"/>
          <w:b w:val="0"/>
          <w:sz w:val="28"/>
          <w:szCs w:val="28"/>
        </w:rPr>
      </w:pPr>
      <w:r>
        <w:rPr>
          <w:rFonts w:hint="eastAsia" w:ascii="宋体" w:hAnsi="宋体" w:cs="宋体"/>
          <w:b w:val="0"/>
          <w:sz w:val="28"/>
          <w:szCs w:val="28"/>
        </w:rPr>
        <w:t>1</w:t>
      </w:r>
      <w:r>
        <w:rPr>
          <w:rFonts w:ascii="宋体" w:hAnsi="宋体" w:cs="宋体"/>
          <w:b w:val="0"/>
          <w:sz w:val="28"/>
          <w:szCs w:val="28"/>
        </w:rPr>
        <w:t>4</w:t>
      </w:r>
      <w:r>
        <w:rPr>
          <w:rFonts w:hint="eastAsia" w:ascii="宋体" w:hAnsi="宋体" w:cs="宋体"/>
          <w:b w:val="0"/>
          <w:sz w:val="28"/>
          <w:szCs w:val="28"/>
        </w:rPr>
        <w:t>）《供配电系统设计规范》（GB 50052-2009）</w:t>
      </w:r>
    </w:p>
    <w:p w14:paraId="02126198">
      <w:pPr>
        <w:spacing w:line="360" w:lineRule="auto"/>
        <w:ind w:firstLine="560" w:firstLineChars="200"/>
        <w:rPr>
          <w:rFonts w:ascii="宋体" w:hAnsi="宋体" w:cs="宋体"/>
          <w:b w:val="0"/>
          <w:sz w:val="28"/>
          <w:szCs w:val="28"/>
        </w:rPr>
      </w:pPr>
      <w:r>
        <w:rPr>
          <w:rFonts w:hint="eastAsia" w:ascii="宋体" w:hAnsi="宋体" w:cs="宋体"/>
          <w:b w:val="0"/>
          <w:sz w:val="28"/>
          <w:szCs w:val="28"/>
        </w:rPr>
        <w:t>1</w:t>
      </w:r>
      <w:r>
        <w:rPr>
          <w:rFonts w:ascii="宋体" w:hAnsi="宋体" w:cs="宋体"/>
          <w:b w:val="0"/>
          <w:sz w:val="28"/>
          <w:szCs w:val="28"/>
        </w:rPr>
        <w:t>5</w:t>
      </w:r>
      <w:r>
        <w:rPr>
          <w:rFonts w:hint="eastAsia" w:ascii="宋体" w:hAnsi="宋体" w:cs="宋体"/>
          <w:b w:val="0"/>
          <w:sz w:val="28"/>
          <w:szCs w:val="28"/>
        </w:rPr>
        <w:t>）《爆炸危险环境电力装置设计规范》（GB 50058-2014）</w:t>
      </w:r>
    </w:p>
    <w:p w14:paraId="18D282CA">
      <w:pPr>
        <w:spacing w:line="360" w:lineRule="auto"/>
        <w:ind w:firstLine="560" w:firstLineChars="200"/>
        <w:rPr>
          <w:rFonts w:ascii="宋体" w:hAnsi="宋体" w:cs="宋体"/>
          <w:b w:val="0"/>
          <w:sz w:val="28"/>
          <w:szCs w:val="28"/>
        </w:rPr>
      </w:pPr>
      <w:r>
        <w:rPr>
          <w:rFonts w:hint="eastAsia" w:ascii="宋体" w:hAnsi="宋体" w:cs="宋体"/>
          <w:b w:val="0"/>
          <w:sz w:val="28"/>
          <w:szCs w:val="28"/>
        </w:rPr>
        <w:t>1</w:t>
      </w:r>
      <w:r>
        <w:rPr>
          <w:rFonts w:ascii="宋体" w:hAnsi="宋体" w:cs="宋体"/>
          <w:b w:val="0"/>
          <w:sz w:val="28"/>
          <w:szCs w:val="28"/>
        </w:rPr>
        <w:t>6</w:t>
      </w:r>
      <w:r>
        <w:rPr>
          <w:rFonts w:hint="eastAsia" w:ascii="宋体" w:hAnsi="宋体" w:cs="宋体"/>
          <w:b w:val="0"/>
          <w:sz w:val="28"/>
          <w:szCs w:val="28"/>
        </w:rPr>
        <w:t>）《生产经营单位生产安全事故应急预案编制导则》（GB/T 29639-2020）</w:t>
      </w:r>
    </w:p>
    <w:p w14:paraId="19D7FE47">
      <w:pPr>
        <w:spacing w:line="360" w:lineRule="auto"/>
        <w:ind w:firstLine="560" w:firstLineChars="200"/>
        <w:rPr>
          <w:rFonts w:ascii="宋体" w:hAnsi="宋体" w:cs="宋体"/>
          <w:b w:val="0"/>
          <w:sz w:val="28"/>
          <w:szCs w:val="28"/>
        </w:rPr>
      </w:pPr>
      <w:r>
        <w:rPr>
          <w:rFonts w:hint="eastAsia" w:ascii="宋体" w:hAnsi="宋体" w:cs="宋体"/>
          <w:b w:val="0"/>
          <w:sz w:val="28"/>
          <w:szCs w:val="28"/>
        </w:rPr>
        <w:t>1</w:t>
      </w:r>
      <w:r>
        <w:rPr>
          <w:rFonts w:ascii="宋体" w:hAnsi="宋体" w:cs="宋体"/>
          <w:b w:val="0"/>
          <w:sz w:val="28"/>
          <w:szCs w:val="28"/>
        </w:rPr>
        <w:t>7</w:t>
      </w:r>
      <w:r>
        <w:rPr>
          <w:rFonts w:hint="eastAsia" w:ascii="宋体" w:hAnsi="宋体" w:cs="宋体"/>
          <w:b w:val="0"/>
          <w:sz w:val="28"/>
          <w:szCs w:val="28"/>
        </w:rPr>
        <w:t>）《</w:t>
      </w:r>
      <w:bookmarkStart w:id="73" w:name="OLE_LINK70"/>
      <w:bookmarkStart w:id="74" w:name="OLE_LINK69"/>
      <w:r>
        <w:rPr>
          <w:rFonts w:hint="eastAsia" w:ascii="宋体" w:hAnsi="宋体" w:cs="宋体"/>
          <w:b w:val="0"/>
          <w:sz w:val="28"/>
          <w:szCs w:val="28"/>
        </w:rPr>
        <w:t>生产过程危险和有害因素分类与代码</w:t>
      </w:r>
      <w:bookmarkEnd w:id="73"/>
      <w:bookmarkEnd w:id="74"/>
      <w:r>
        <w:rPr>
          <w:rFonts w:hint="eastAsia" w:ascii="宋体" w:hAnsi="宋体" w:cs="宋体"/>
          <w:b w:val="0"/>
          <w:sz w:val="28"/>
          <w:szCs w:val="28"/>
        </w:rPr>
        <w:t>》（GB/T 13861-2022）</w:t>
      </w:r>
    </w:p>
    <w:p w14:paraId="11D34731">
      <w:pPr>
        <w:spacing w:line="360" w:lineRule="auto"/>
        <w:ind w:firstLine="560" w:firstLineChars="200"/>
        <w:rPr>
          <w:rFonts w:ascii="宋体" w:hAnsi="宋体" w:cs="宋体"/>
          <w:b w:val="0"/>
          <w:sz w:val="28"/>
          <w:szCs w:val="28"/>
        </w:rPr>
      </w:pPr>
      <w:r>
        <w:rPr>
          <w:rFonts w:hint="eastAsia" w:ascii="宋体" w:hAnsi="宋体" w:cs="宋体"/>
          <w:b w:val="0"/>
          <w:sz w:val="28"/>
          <w:szCs w:val="28"/>
        </w:rPr>
        <w:t>1</w:t>
      </w:r>
      <w:r>
        <w:rPr>
          <w:rFonts w:ascii="宋体" w:hAnsi="宋体" w:cs="宋体"/>
          <w:b w:val="0"/>
          <w:sz w:val="28"/>
          <w:szCs w:val="28"/>
        </w:rPr>
        <w:t>8</w:t>
      </w:r>
      <w:r>
        <w:rPr>
          <w:rFonts w:hint="eastAsia" w:ascii="宋体" w:hAnsi="宋体" w:cs="宋体"/>
          <w:b w:val="0"/>
          <w:sz w:val="28"/>
          <w:szCs w:val="28"/>
        </w:rPr>
        <w:t>）《</w:t>
      </w:r>
      <w:bookmarkStart w:id="75" w:name="OLE_LINK72"/>
      <w:bookmarkStart w:id="76" w:name="OLE_LINK71"/>
      <w:r>
        <w:rPr>
          <w:rFonts w:hint="eastAsia" w:ascii="宋体" w:hAnsi="宋体" w:cs="宋体"/>
          <w:b w:val="0"/>
          <w:sz w:val="28"/>
          <w:szCs w:val="28"/>
        </w:rPr>
        <w:t>烟花爆竹企业安全监控系统通用技术条件</w:t>
      </w:r>
      <w:bookmarkEnd w:id="75"/>
      <w:bookmarkEnd w:id="76"/>
      <w:r>
        <w:rPr>
          <w:rFonts w:hint="eastAsia" w:ascii="宋体" w:hAnsi="宋体" w:cs="宋体"/>
          <w:b w:val="0"/>
          <w:sz w:val="28"/>
          <w:szCs w:val="28"/>
        </w:rPr>
        <w:t>》（AQ 4101-2008）</w:t>
      </w:r>
    </w:p>
    <w:p w14:paraId="4B5F24E0">
      <w:pPr>
        <w:spacing w:line="360" w:lineRule="auto"/>
        <w:ind w:firstLine="560" w:firstLineChars="200"/>
        <w:rPr>
          <w:rFonts w:ascii="宋体" w:hAnsi="宋体" w:cs="宋体"/>
          <w:b w:val="0"/>
          <w:sz w:val="28"/>
          <w:szCs w:val="28"/>
        </w:rPr>
      </w:pPr>
      <w:r>
        <w:rPr>
          <w:rFonts w:ascii="宋体" w:hAnsi="宋体" w:cs="宋体"/>
          <w:b w:val="0"/>
          <w:sz w:val="28"/>
          <w:szCs w:val="28"/>
        </w:rPr>
        <w:t>19</w:t>
      </w:r>
      <w:r>
        <w:rPr>
          <w:rFonts w:hint="eastAsia" w:ascii="宋体" w:hAnsi="宋体" w:cs="宋体"/>
          <w:b w:val="0"/>
          <w:sz w:val="28"/>
          <w:szCs w:val="28"/>
        </w:rPr>
        <w:t>）《烟花爆竹重大危险源辨识》（AQ 4131-2023）</w:t>
      </w:r>
    </w:p>
    <w:p w14:paraId="1C232BC1">
      <w:pPr>
        <w:spacing w:line="360" w:lineRule="auto"/>
        <w:ind w:firstLine="560" w:firstLineChars="200"/>
        <w:rPr>
          <w:rFonts w:ascii="宋体" w:hAnsi="宋体" w:cs="宋体"/>
          <w:b w:val="0"/>
          <w:sz w:val="28"/>
          <w:szCs w:val="28"/>
        </w:rPr>
      </w:pPr>
      <w:r>
        <w:rPr>
          <w:rFonts w:hint="eastAsia" w:ascii="宋体" w:hAnsi="宋体" w:cs="宋体"/>
          <w:b w:val="0"/>
          <w:sz w:val="28"/>
          <w:szCs w:val="28"/>
        </w:rPr>
        <w:t>2</w:t>
      </w:r>
      <w:r>
        <w:rPr>
          <w:rFonts w:ascii="宋体" w:hAnsi="宋体" w:cs="宋体"/>
          <w:b w:val="0"/>
          <w:sz w:val="28"/>
          <w:szCs w:val="28"/>
        </w:rPr>
        <w:t>0</w:t>
      </w:r>
      <w:r>
        <w:rPr>
          <w:rFonts w:hint="eastAsia" w:ascii="宋体" w:hAnsi="宋体" w:cs="宋体"/>
          <w:b w:val="0"/>
          <w:sz w:val="28"/>
          <w:szCs w:val="28"/>
        </w:rPr>
        <w:t>）《烟花爆竹防止静电危害技术规范》（AQ 4115-20</w:t>
      </w:r>
      <w:r>
        <w:rPr>
          <w:rFonts w:ascii="宋体" w:hAnsi="宋体" w:cs="宋体"/>
          <w:b w:val="0"/>
          <w:sz w:val="28"/>
          <w:szCs w:val="28"/>
        </w:rPr>
        <w:t>25</w:t>
      </w:r>
      <w:r>
        <w:rPr>
          <w:rFonts w:hint="eastAsia" w:ascii="宋体" w:hAnsi="宋体" w:cs="宋体"/>
          <w:b w:val="0"/>
          <w:sz w:val="28"/>
          <w:szCs w:val="28"/>
        </w:rPr>
        <w:t>）</w:t>
      </w:r>
    </w:p>
    <w:p w14:paraId="4461196C">
      <w:pPr>
        <w:spacing w:line="360" w:lineRule="auto"/>
        <w:ind w:firstLine="560" w:firstLineChars="200"/>
        <w:rPr>
          <w:rFonts w:ascii="宋体" w:hAnsi="宋体" w:cs="宋体"/>
          <w:b w:val="0"/>
          <w:sz w:val="28"/>
          <w:szCs w:val="28"/>
        </w:rPr>
      </w:pPr>
      <w:r>
        <w:rPr>
          <w:rFonts w:hint="eastAsia" w:ascii="宋体" w:hAnsi="宋体" w:cs="宋体"/>
          <w:b w:val="0"/>
          <w:sz w:val="28"/>
          <w:szCs w:val="28"/>
        </w:rPr>
        <w:t>2</w:t>
      </w:r>
      <w:r>
        <w:rPr>
          <w:rFonts w:ascii="宋体" w:hAnsi="宋体" w:cs="宋体"/>
          <w:b w:val="0"/>
          <w:sz w:val="28"/>
          <w:szCs w:val="28"/>
        </w:rPr>
        <w:t>1</w:t>
      </w:r>
      <w:r>
        <w:rPr>
          <w:rFonts w:hint="eastAsia" w:ascii="宋体" w:hAnsi="宋体" w:cs="宋体"/>
          <w:b w:val="0"/>
          <w:sz w:val="28"/>
          <w:szCs w:val="28"/>
        </w:rPr>
        <w:t>）《防止静电事故通用要求》（G</w:t>
      </w:r>
      <w:r>
        <w:rPr>
          <w:rFonts w:ascii="宋体" w:hAnsi="宋体" w:cs="宋体"/>
          <w:b w:val="0"/>
          <w:sz w:val="28"/>
          <w:szCs w:val="28"/>
        </w:rPr>
        <w:t>B 12158-2024</w:t>
      </w:r>
      <w:r>
        <w:rPr>
          <w:rFonts w:hint="eastAsia" w:ascii="宋体" w:hAnsi="宋体" w:cs="宋体"/>
          <w:b w:val="0"/>
          <w:sz w:val="28"/>
          <w:szCs w:val="28"/>
        </w:rPr>
        <w:t>）</w:t>
      </w:r>
    </w:p>
    <w:p w14:paraId="1E0ACF1A">
      <w:pPr>
        <w:spacing w:line="360" w:lineRule="auto"/>
        <w:ind w:firstLine="560" w:firstLineChars="200"/>
        <w:rPr>
          <w:rFonts w:ascii="宋体" w:hAnsi="宋体" w:cs="宋体"/>
          <w:b w:val="0"/>
          <w:sz w:val="28"/>
          <w:szCs w:val="28"/>
        </w:rPr>
      </w:pPr>
      <w:r>
        <w:rPr>
          <w:rFonts w:hint="eastAsia" w:ascii="宋体" w:hAnsi="宋体" w:cs="宋体"/>
          <w:b w:val="0"/>
          <w:sz w:val="28"/>
          <w:szCs w:val="28"/>
        </w:rPr>
        <w:t>2</w:t>
      </w:r>
      <w:r>
        <w:rPr>
          <w:rFonts w:ascii="宋体" w:hAnsi="宋体" w:cs="宋体"/>
          <w:b w:val="0"/>
          <w:sz w:val="28"/>
          <w:szCs w:val="28"/>
        </w:rPr>
        <w:t>2</w:t>
      </w:r>
      <w:r>
        <w:rPr>
          <w:rFonts w:hint="eastAsia" w:ascii="宋体" w:hAnsi="宋体" w:cs="宋体"/>
          <w:b w:val="0"/>
          <w:sz w:val="28"/>
          <w:szCs w:val="28"/>
        </w:rPr>
        <w:t>）《安全评价通则》（AQ 8001-2007）</w:t>
      </w:r>
    </w:p>
    <w:p w14:paraId="223E8B50">
      <w:pPr>
        <w:spacing w:line="360" w:lineRule="auto"/>
        <w:ind w:firstLine="560" w:firstLineChars="200"/>
        <w:rPr>
          <w:rFonts w:ascii="宋体" w:hAnsi="宋体" w:cs="宋体"/>
          <w:b w:val="0"/>
          <w:sz w:val="28"/>
          <w:szCs w:val="28"/>
        </w:rPr>
      </w:pPr>
      <w:r>
        <w:rPr>
          <w:rFonts w:hint="eastAsia" w:ascii="宋体" w:hAnsi="宋体" w:cs="宋体"/>
          <w:b w:val="0"/>
          <w:sz w:val="28"/>
          <w:szCs w:val="28"/>
        </w:rPr>
        <w:t>2</w:t>
      </w:r>
      <w:r>
        <w:rPr>
          <w:rFonts w:ascii="宋体" w:hAnsi="宋体" w:cs="宋体"/>
          <w:b w:val="0"/>
          <w:sz w:val="28"/>
          <w:szCs w:val="28"/>
        </w:rPr>
        <w:t>3</w:t>
      </w:r>
      <w:r>
        <w:rPr>
          <w:rFonts w:hint="eastAsia" w:ascii="宋体" w:hAnsi="宋体" w:cs="宋体"/>
          <w:b w:val="0"/>
          <w:sz w:val="28"/>
          <w:szCs w:val="28"/>
        </w:rPr>
        <w:t>）《安全预评价导则》（AQ 8002-2007）</w:t>
      </w:r>
    </w:p>
    <w:p w14:paraId="07A64DBC">
      <w:pPr>
        <w:spacing w:line="360" w:lineRule="auto"/>
        <w:ind w:firstLine="560" w:firstLineChars="200"/>
        <w:rPr>
          <w:rFonts w:ascii="宋体" w:hAnsi="宋体" w:cs="宋体"/>
          <w:b w:val="0"/>
          <w:sz w:val="28"/>
          <w:szCs w:val="28"/>
        </w:rPr>
      </w:pPr>
      <w:r>
        <w:rPr>
          <w:rFonts w:hint="eastAsia" w:ascii="宋体" w:hAnsi="宋体" w:cs="宋体"/>
          <w:b w:val="0"/>
          <w:sz w:val="28"/>
          <w:szCs w:val="28"/>
        </w:rPr>
        <w:t>2</w:t>
      </w:r>
      <w:r>
        <w:rPr>
          <w:rFonts w:ascii="宋体" w:hAnsi="宋体" w:cs="宋体"/>
          <w:b w:val="0"/>
          <w:sz w:val="28"/>
          <w:szCs w:val="28"/>
        </w:rPr>
        <w:t>4</w:t>
      </w:r>
      <w:r>
        <w:rPr>
          <w:rFonts w:hint="eastAsia" w:ascii="宋体" w:hAnsi="宋体" w:cs="宋体"/>
          <w:b w:val="0"/>
          <w:sz w:val="28"/>
          <w:szCs w:val="28"/>
        </w:rPr>
        <w:t>）《</w:t>
      </w:r>
      <w:bookmarkStart w:id="77" w:name="OLE_LINK74"/>
      <w:bookmarkStart w:id="78" w:name="OLE_LINK73"/>
      <w:r>
        <w:rPr>
          <w:rFonts w:hint="eastAsia" w:ascii="宋体" w:hAnsi="宋体" w:cs="宋体"/>
          <w:b w:val="0"/>
          <w:sz w:val="28"/>
          <w:szCs w:val="28"/>
        </w:rPr>
        <w:t>烟花爆竹安全生产标志</w:t>
      </w:r>
      <w:bookmarkEnd w:id="77"/>
      <w:bookmarkEnd w:id="78"/>
      <w:r>
        <w:rPr>
          <w:rFonts w:hint="eastAsia" w:ascii="宋体" w:hAnsi="宋体" w:cs="宋体"/>
          <w:b w:val="0"/>
          <w:sz w:val="28"/>
          <w:szCs w:val="28"/>
        </w:rPr>
        <w:t>》（AQ 4114-2011）</w:t>
      </w:r>
    </w:p>
    <w:p w14:paraId="5CEED511">
      <w:pPr>
        <w:spacing w:line="360" w:lineRule="auto"/>
        <w:ind w:firstLine="560" w:firstLineChars="200"/>
        <w:rPr>
          <w:rFonts w:ascii="宋体" w:hAnsi="宋体" w:cs="宋体"/>
          <w:b w:val="0"/>
          <w:sz w:val="28"/>
          <w:szCs w:val="28"/>
        </w:rPr>
      </w:pPr>
      <w:r>
        <w:rPr>
          <w:rFonts w:hint="eastAsia" w:ascii="宋体" w:hAnsi="宋体" w:cs="宋体"/>
          <w:b w:val="0"/>
          <w:sz w:val="28"/>
          <w:szCs w:val="28"/>
        </w:rPr>
        <w:t>2</w:t>
      </w:r>
      <w:r>
        <w:rPr>
          <w:rFonts w:ascii="宋体" w:hAnsi="宋体" w:cs="宋体"/>
          <w:b w:val="0"/>
          <w:sz w:val="28"/>
          <w:szCs w:val="28"/>
        </w:rPr>
        <w:t>5</w:t>
      </w:r>
      <w:r>
        <w:rPr>
          <w:rFonts w:hint="eastAsia" w:ascii="宋体" w:hAnsi="宋体" w:cs="宋体"/>
          <w:b w:val="0"/>
          <w:sz w:val="28"/>
          <w:szCs w:val="28"/>
        </w:rPr>
        <w:t>）《</w:t>
      </w:r>
      <w:bookmarkStart w:id="79" w:name="OLE_LINK75"/>
      <w:bookmarkStart w:id="80" w:name="OLE_LINK76"/>
      <w:r>
        <w:rPr>
          <w:rFonts w:hint="eastAsia" w:ascii="宋体" w:hAnsi="宋体" w:cs="宋体"/>
          <w:b w:val="0"/>
          <w:sz w:val="28"/>
          <w:szCs w:val="28"/>
        </w:rPr>
        <w:t>烟花爆竹流向登记通用规范</w:t>
      </w:r>
      <w:bookmarkEnd w:id="79"/>
      <w:bookmarkEnd w:id="80"/>
      <w:r>
        <w:rPr>
          <w:rFonts w:hint="eastAsia" w:ascii="宋体" w:hAnsi="宋体" w:cs="宋体"/>
          <w:b w:val="0"/>
          <w:sz w:val="28"/>
          <w:szCs w:val="28"/>
        </w:rPr>
        <w:t>》（AQ 4102-20</w:t>
      </w:r>
      <w:r>
        <w:rPr>
          <w:rFonts w:ascii="宋体" w:hAnsi="宋体" w:cs="宋体"/>
          <w:b w:val="0"/>
          <w:sz w:val="28"/>
          <w:szCs w:val="28"/>
        </w:rPr>
        <w:t>26</w:t>
      </w:r>
      <w:r>
        <w:rPr>
          <w:rFonts w:hint="eastAsia" w:ascii="宋体" w:hAnsi="宋体" w:cs="宋体"/>
          <w:b w:val="0"/>
          <w:sz w:val="28"/>
          <w:szCs w:val="28"/>
        </w:rPr>
        <w:t>）</w:t>
      </w:r>
    </w:p>
    <w:p w14:paraId="7E2A823F">
      <w:pPr>
        <w:spacing w:line="360" w:lineRule="auto"/>
        <w:ind w:firstLine="560" w:firstLineChars="200"/>
        <w:rPr>
          <w:rFonts w:ascii="宋体" w:hAnsi="宋体" w:cs="宋体"/>
          <w:b w:val="0"/>
          <w:sz w:val="28"/>
          <w:szCs w:val="28"/>
        </w:rPr>
      </w:pPr>
      <w:r>
        <w:rPr>
          <w:rFonts w:hint="eastAsia" w:ascii="宋体" w:hAnsi="宋体" w:cs="宋体"/>
          <w:b w:val="0"/>
          <w:sz w:val="28"/>
          <w:szCs w:val="28"/>
        </w:rPr>
        <w:t>2</w:t>
      </w:r>
      <w:r>
        <w:rPr>
          <w:rFonts w:ascii="宋体" w:hAnsi="宋体" w:cs="宋体"/>
          <w:b w:val="0"/>
          <w:sz w:val="28"/>
          <w:szCs w:val="28"/>
        </w:rPr>
        <w:t>6</w:t>
      </w:r>
      <w:r>
        <w:rPr>
          <w:rFonts w:hint="eastAsia" w:ascii="宋体" w:hAnsi="宋体" w:cs="宋体"/>
          <w:b w:val="0"/>
          <w:sz w:val="28"/>
          <w:szCs w:val="28"/>
        </w:rPr>
        <w:t>） 《</w:t>
      </w:r>
      <w:bookmarkStart w:id="81" w:name="OLE_LINK78"/>
      <w:bookmarkStart w:id="82" w:name="OLE_LINK77"/>
      <w:r>
        <w:rPr>
          <w:rFonts w:hint="eastAsia" w:ascii="宋体" w:hAnsi="宋体" w:cs="宋体"/>
          <w:b w:val="0"/>
          <w:sz w:val="28"/>
          <w:szCs w:val="28"/>
        </w:rPr>
        <w:t>个体防护装备配备规范 第1部分：总则</w:t>
      </w:r>
      <w:bookmarkEnd w:id="81"/>
      <w:bookmarkEnd w:id="82"/>
      <w:r>
        <w:rPr>
          <w:rFonts w:hint="eastAsia" w:ascii="宋体" w:hAnsi="宋体" w:cs="宋体"/>
          <w:b w:val="0"/>
          <w:sz w:val="28"/>
          <w:szCs w:val="28"/>
        </w:rPr>
        <w:t>》（G</w:t>
      </w:r>
      <w:r>
        <w:rPr>
          <w:rFonts w:ascii="宋体" w:hAnsi="宋体" w:cs="宋体"/>
          <w:b w:val="0"/>
          <w:sz w:val="28"/>
          <w:szCs w:val="28"/>
        </w:rPr>
        <w:t>B 39800.1-2020</w:t>
      </w:r>
      <w:r>
        <w:rPr>
          <w:rFonts w:hint="eastAsia" w:ascii="宋体" w:hAnsi="宋体" w:cs="宋体"/>
          <w:b w:val="0"/>
          <w:sz w:val="28"/>
          <w:szCs w:val="28"/>
        </w:rPr>
        <w:t>）</w:t>
      </w:r>
    </w:p>
    <w:p w14:paraId="01A6EB6E">
      <w:pPr>
        <w:pStyle w:val="87"/>
        <w:ind w:firstLine="560"/>
        <w:rPr>
          <w:rFonts w:ascii="宋体" w:hAnsi="宋体" w:eastAsia="宋体" w:cs="宋体"/>
          <w:b w:val="0"/>
          <w:kern w:val="2"/>
          <w:szCs w:val="28"/>
        </w:rPr>
      </w:pPr>
      <w:r>
        <w:rPr>
          <w:rFonts w:hint="eastAsia" w:ascii="宋体" w:hAnsi="宋体" w:eastAsia="宋体" w:cs="宋体"/>
          <w:b w:val="0"/>
          <w:kern w:val="2"/>
          <w:szCs w:val="28"/>
        </w:rPr>
        <w:t>2</w:t>
      </w:r>
      <w:r>
        <w:rPr>
          <w:rFonts w:ascii="宋体" w:hAnsi="宋体" w:eastAsia="宋体" w:cs="宋体"/>
          <w:b w:val="0"/>
          <w:kern w:val="2"/>
          <w:szCs w:val="28"/>
        </w:rPr>
        <w:t>7</w:t>
      </w:r>
      <w:r>
        <w:rPr>
          <w:rFonts w:hint="eastAsia" w:ascii="宋体" w:hAnsi="宋体" w:eastAsia="宋体" w:cs="宋体"/>
          <w:b w:val="0"/>
          <w:kern w:val="2"/>
          <w:szCs w:val="28"/>
        </w:rPr>
        <w:t>）《</w:t>
      </w:r>
      <w:bookmarkStart w:id="83" w:name="OLE_LINK79"/>
      <w:bookmarkStart w:id="84" w:name="OLE_LINK80"/>
      <w:r>
        <w:rPr>
          <w:rFonts w:hint="eastAsia" w:ascii="宋体" w:hAnsi="宋体" w:eastAsia="宋体" w:cs="宋体"/>
          <w:b w:val="0"/>
          <w:kern w:val="2"/>
          <w:szCs w:val="28"/>
        </w:rPr>
        <w:t>烟花爆竹企业安全评价规范</w:t>
      </w:r>
      <w:bookmarkEnd w:id="83"/>
      <w:bookmarkEnd w:id="84"/>
      <w:r>
        <w:rPr>
          <w:rFonts w:hint="eastAsia" w:ascii="宋体" w:hAnsi="宋体" w:eastAsia="宋体" w:cs="宋体"/>
          <w:b w:val="0"/>
          <w:kern w:val="2"/>
          <w:szCs w:val="28"/>
        </w:rPr>
        <w:t>》（A</w:t>
      </w:r>
      <w:r>
        <w:rPr>
          <w:rFonts w:ascii="宋体" w:hAnsi="宋体" w:eastAsia="宋体" w:cs="宋体"/>
          <w:b w:val="0"/>
          <w:kern w:val="2"/>
          <w:szCs w:val="28"/>
        </w:rPr>
        <w:t>Q 4113-2008</w:t>
      </w:r>
      <w:r>
        <w:rPr>
          <w:rFonts w:hint="eastAsia" w:ascii="宋体" w:hAnsi="宋体" w:eastAsia="宋体" w:cs="宋体"/>
          <w:b w:val="0"/>
          <w:kern w:val="2"/>
          <w:szCs w:val="28"/>
        </w:rPr>
        <w:t>）</w:t>
      </w:r>
    </w:p>
    <w:p w14:paraId="7B4F97AF">
      <w:pPr>
        <w:pStyle w:val="87"/>
        <w:ind w:firstLine="560"/>
        <w:rPr>
          <w:rFonts w:ascii="宋体" w:hAnsi="宋体" w:eastAsia="宋体" w:cs="宋体"/>
          <w:b w:val="0"/>
          <w:kern w:val="2"/>
          <w:szCs w:val="28"/>
        </w:rPr>
      </w:pPr>
      <w:r>
        <w:rPr>
          <w:rFonts w:hint="eastAsia" w:ascii="宋体" w:hAnsi="宋体" w:eastAsia="宋体" w:cs="宋体"/>
          <w:b w:val="0"/>
          <w:kern w:val="2"/>
          <w:szCs w:val="28"/>
        </w:rPr>
        <w:t>2</w:t>
      </w:r>
      <w:r>
        <w:rPr>
          <w:rFonts w:ascii="宋体" w:hAnsi="宋体" w:eastAsia="宋体" w:cs="宋体"/>
          <w:b w:val="0"/>
          <w:kern w:val="2"/>
          <w:szCs w:val="28"/>
        </w:rPr>
        <w:t>8</w:t>
      </w:r>
      <w:r>
        <w:rPr>
          <w:rFonts w:hint="eastAsia" w:ascii="宋体" w:hAnsi="宋体" w:eastAsia="宋体" w:cs="宋体"/>
          <w:b w:val="0"/>
          <w:kern w:val="2"/>
          <w:szCs w:val="28"/>
        </w:rPr>
        <w:t>）《中国地震动参数区划图》（</w:t>
      </w:r>
      <w:r>
        <w:rPr>
          <w:rFonts w:ascii="宋体" w:hAnsi="宋体" w:eastAsia="宋体" w:cs="宋体"/>
          <w:b w:val="0"/>
          <w:kern w:val="2"/>
          <w:szCs w:val="28"/>
        </w:rPr>
        <w:t>GB18306-2015</w:t>
      </w:r>
      <w:r>
        <w:rPr>
          <w:rFonts w:hint="eastAsia" w:ascii="宋体" w:hAnsi="宋体" w:eastAsia="宋体" w:cs="宋体"/>
          <w:b w:val="0"/>
          <w:kern w:val="2"/>
          <w:szCs w:val="28"/>
        </w:rPr>
        <w:t>）</w:t>
      </w:r>
    </w:p>
    <w:p w14:paraId="2205D803">
      <w:pPr>
        <w:pStyle w:val="186"/>
        <w:spacing w:line="360" w:lineRule="auto"/>
        <w:ind w:firstLine="560"/>
        <w:jc w:val="both"/>
        <w:rPr>
          <w:rFonts w:asciiTheme="minorEastAsia" w:hAnsiTheme="minorEastAsia" w:eastAsiaTheme="minorEastAsia"/>
        </w:rPr>
      </w:pPr>
      <w:r>
        <w:rPr>
          <w:rFonts w:ascii="宋体" w:hAnsi="宋体" w:cs="宋体"/>
          <w:bCs/>
          <w:szCs w:val="28"/>
        </w:rPr>
        <w:t>29</w:t>
      </w:r>
      <w:r>
        <w:rPr>
          <w:rFonts w:hint="eastAsia" w:ascii="宋体" w:hAnsi="宋体" w:cs="宋体"/>
          <w:bCs/>
          <w:szCs w:val="28"/>
        </w:rPr>
        <w:t>）</w:t>
      </w:r>
      <w:r>
        <w:rPr>
          <w:rFonts w:hint="eastAsia" w:asciiTheme="minorEastAsia" w:hAnsiTheme="minorEastAsia" w:eastAsiaTheme="minorEastAsia"/>
          <w:bCs/>
        </w:rPr>
        <w:t>《危</w:t>
      </w:r>
      <w:r>
        <w:rPr>
          <w:rFonts w:hint="eastAsia" w:asciiTheme="minorEastAsia" w:hAnsiTheme="minorEastAsia" w:eastAsiaTheme="minorEastAsia"/>
        </w:rPr>
        <w:t>险化学品重大危险源辨识》（GB18218-2018）</w:t>
      </w:r>
    </w:p>
    <w:p w14:paraId="59F68FF7">
      <w:pPr>
        <w:pStyle w:val="87"/>
        <w:ind w:firstLine="560"/>
        <w:rPr>
          <w:rFonts w:ascii="宋体" w:hAnsi="宋体" w:eastAsia="宋体" w:cs="宋体"/>
          <w:b w:val="0"/>
          <w:kern w:val="2"/>
          <w:szCs w:val="28"/>
        </w:rPr>
      </w:pPr>
      <w:r>
        <w:rPr>
          <w:rFonts w:hint="eastAsia" w:ascii="宋体" w:hAnsi="宋体" w:eastAsia="宋体" w:cs="宋体"/>
          <w:b w:val="0"/>
          <w:kern w:val="2"/>
          <w:szCs w:val="28"/>
        </w:rPr>
        <w:t>3</w:t>
      </w:r>
      <w:r>
        <w:rPr>
          <w:rFonts w:ascii="宋体" w:hAnsi="宋体" w:eastAsia="宋体" w:cs="宋体"/>
          <w:b w:val="0"/>
          <w:kern w:val="2"/>
          <w:szCs w:val="28"/>
        </w:rPr>
        <w:t>0</w:t>
      </w:r>
      <w:r>
        <w:rPr>
          <w:rFonts w:hint="eastAsia" w:ascii="宋体" w:hAnsi="宋体" w:eastAsia="宋体" w:cs="宋体"/>
          <w:b w:val="0"/>
          <w:kern w:val="2"/>
          <w:szCs w:val="28"/>
        </w:rPr>
        <w:t>）《化学品分类和标签规范 第1部分：通则》（</w:t>
      </w:r>
      <w:r>
        <w:rPr>
          <w:rFonts w:ascii="宋体" w:hAnsi="宋体" w:eastAsia="宋体" w:cs="宋体"/>
          <w:b w:val="0"/>
          <w:kern w:val="2"/>
          <w:szCs w:val="28"/>
        </w:rPr>
        <w:t>GB 30000.1-2024</w:t>
      </w:r>
      <w:r>
        <w:rPr>
          <w:rFonts w:hint="eastAsia" w:ascii="宋体" w:hAnsi="宋体" w:eastAsia="宋体" w:cs="宋体"/>
          <w:b w:val="0"/>
          <w:kern w:val="2"/>
          <w:szCs w:val="28"/>
        </w:rPr>
        <w:t>）</w:t>
      </w:r>
    </w:p>
    <w:p w14:paraId="25B9DBF3">
      <w:pPr>
        <w:pStyle w:val="186"/>
        <w:spacing w:line="360" w:lineRule="auto"/>
        <w:ind w:firstLine="560"/>
        <w:jc w:val="both"/>
        <w:rPr>
          <w:rFonts w:ascii="宋体" w:hAnsi="宋体" w:cs="宋体"/>
          <w:szCs w:val="28"/>
          <w:u w:color="FF0000"/>
        </w:rPr>
      </w:pPr>
      <w:r>
        <w:rPr>
          <w:rFonts w:hint="eastAsia" w:ascii="宋体" w:hAnsi="宋体" w:cs="宋体"/>
          <w:szCs w:val="28"/>
          <w:u w:color="FF0000"/>
        </w:rPr>
        <w:t>3</w:t>
      </w:r>
      <w:r>
        <w:rPr>
          <w:rFonts w:ascii="宋体" w:hAnsi="宋体" w:cs="宋体"/>
          <w:szCs w:val="28"/>
          <w:u w:color="FF0000"/>
        </w:rPr>
        <w:t>1</w:t>
      </w:r>
      <w:r>
        <w:rPr>
          <w:rFonts w:hint="eastAsia" w:ascii="宋体" w:hAnsi="宋体" w:cs="宋体"/>
          <w:szCs w:val="28"/>
          <w:u w:color="FF0000"/>
        </w:rPr>
        <w:t>）《化学品分类和标签规范 第2部分：爆炸物》（GB30000.2-2013）</w:t>
      </w:r>
    </w:p>
    <w:p w14:paraId="36EED902">
      <w:pPr>
        <w:pStyle w:val="186"/>
        <w:spacing w:line="360" w:lineRule="auto"/>
        <w:ind w:firstLine="560"/>
        <w:jc w:val="both"/>
        <w:rPr>
          <w:rFonts w:ascii="宋体" w:hAnsi="宋体" w:cs="宋体"/>
          <w:szCs w:val="28"/>
          <w:u w:color="FF0000"/>
        </w:rPr>
      </w:pPr>
      <w:r>
        <w:rPr>
          <w:rFonts w:hint="eastAsia" w:ascii="宋体" w:hAnsi="宋体" w:cs="宋体"/>
          <w:szCs w:val="28"/>
          <w:u w:color="FF0000"/>
        </w:rPr>
        <w:t>3</w:t>
      </w:r>
      <w:r>
        <w:rPr>
          <w:rFonts w:ascii="宋体" w:hAnsi="宋体" w:cs="宋体"/>
          <w:szCs w:val="28"/>
          <w:u w:color="FF0000"/>
        </w:rPr>
        <w:t>2</w:t>
      </w:r>
      <w:r>
        <w:rPr>
          <w:rFonts w:hint="eastAsia" w:ascii="宋体" w:hAnsi="宋体" w:cs="宋体"/>
          <w:szCs w:val="28"/>
          <w:u w:color="FF0000"/>
        </w:rPr>
        <w:t>） 《化学品分类和标签规范 第7部分：易燃液体》（GB30000.7-2013）</w:t>
      </w:r>
    </w:p>
    <w:p w14:paraId="564882F8">
      <w:pPr>
        <w:pStyle w:val="186"/>
        <w:spacing w:line="360" w:lineRule="auto"/>
        <w:ind w:firstLine="560"/>
        <w:jc w:val="both"/>
        <w:rPr>
          <w:rFonts w:ascii="宋体" w:hAnsi="宋体" w:cs="宋体"/>
          <w:szCs w:val="28"/>
          <w:u w:color="FF0000"/>
        </w:rPr>
      </w:pPr>
      <w:r>
        <w:rPr>
          <w:rFonts w:hint="eastAsia" w:ascii="宋体" w:hAnsi="宋体" w:cs="宋体"/>
          <w:szCs w:val="28"/>
          <w:u w:color="FF0000"/>
        </w:rPr>
        <w:t>3</w:t>
      </w:r>
      <w:r>
        <w:rPr>
          <w:rFonts w:ascii="宋体" w:hAnsi="宋体" w:cs="宋体"/>
          <w:szCs w:val="28"/>
          <w:u w:color="FF0000"/>
        </w:rPr>
        <w:t>3</w:t>
      </w:r>
      <w:r>
        <w:rPr>
          <w:rFonts w:hint="eastAsia" w:ascii="宋体" w:hAnsi="宋体" w:cs="宋体"/>
          <w:szCs w:val="28"/>
          <w:u w:color="FF0000"/>
        </w:rPr>
        <w:t>）《危险化学品仓库储存通则》（</w:t>
      </w:r>
      <w:r>
        <w:rPr>
          <w:rFonts w:ascii="宋体" w:hAnsi="宋体" w:cs="宋体"/>
          <w:szCs w:val="28"/>
          <w:u w:color="FF0000"/>
        </w:rPr>
        <w:t>GB 15603-2022</w:t>
      </w:r>
      <w:r>
        <w:rPr>
          <w:rFonts w:hint="eastAsia" w:ascii="宋体" w:hAnsi="宋体" w:cs="宋体"/>
          <w:szCs w:val="28"/>
          <w:u w:color="FF0000"/>
        </w:rPr>
        <w:t>）</w:t>
      </w:r>
    </w:p>
    <w:p w14:paraId="1E8D4263">
      <w:pPr>
        <w:pStyle w:val="87"/>
        <w:ind w:firstLine="560"/>
        <w:rPr>
          <w:rFonts w:ascii="宋体" w:hAnsi="宋体" w:eastAsia="宋体" w:cs="宋体"/>
          <w:b w:val="0"/>
          <w:kern w:val="2"/>
          <w:szCs w:val="28"/>
        </w:rPr>
      </w:pPr>
      <w:r>
        <w:rPr>
          <w:rFonts w:hint="eastAsia" w:ascii="宋体" w:hAnsi="宋体" w:eastAsia="宋体" w:cs="宋体"/>
          <w:b w:val="0"/>
          <w:kern w:val="2"/>
          <w:szCs w:val="28"/>
        </w:rPr>
        <w:t>3</w:t>
      </w:r>
      <w:r>
        <w:rPr>
          <w:rFonts w:ascii="宋体" w:hAnsi="宋体" w:eastAsia="宋体" w:cs="宋体"/>
          <w:b w:val="0"/>
          <w:kern w:val="2"/>
          <w:szCs w:val="28"/>
        </w:rPr>
        <w:t>4</w:t>
      </w:r>
      <w:r>
        <w:rPr>
          <w:rFonts w:hint="eastAsia" w:ascii="宋体" w:hAnsi="宋体" w:eastAsia="宋体" w:cs="宋体"/>
          <w:b w:val="0"/>
          <w:kern w:val="2"/>
          <w:szCs w:val="28"/>
        </w:rPr>
        <w:t>）《烟花爆竹作业场所机械电器安全规范》（AQ4111-2008）</w:t>
      </w:r>
    </w:p>
    <w:p w14:paraId="20FD8B48">
      <w:pPr>
        <w:pStyle w:val="5"/>
        <w:jc w:val="both"/>
        <w:rPr>
          <w:rFonts w:ascii="黑体" w:hAnsi="宋体" w:eastAsia="黑体"/>
          <w:b w:val="0"/>
          <w:bCs w:val="0"/>
          <w:snapToGrid w:val="0"/>
          <w:sz w:val="30"/>
          <w:szCs w:val="30"/>
        </w:rPr>
      </w:pPr>
      <w:bookmarkStart w:id="85" w:name="_Toc165038760"/>
      <w:r>
        <w:rPr>
          <w:rFonts w:hint="eastAsia" w:ascii="黑体" w:hAnsi="宋体" w:eastAsia="黑体"/>
          <w:b w:val="0"/>
          <w:snapToGrid w:val="0"/>
          <w:sz w:val="30"/>
          <w:szCs w:val="30"/>
        </w:rPr>
        <w:t>1.3.3其他参考的资料</w:t>
      </w:r>
      <w:bookmarkEnd w:id="85"/>
    </w:p>
    <w:p w14:paraId="4E4DE7B9">
      <w:pPr>
        <w:spacing w:line="360" w:lineRule="auto"/>
        <w:ind w:firstLine="560" w:firstLineChars="200"/>
        <w:rPr>
          <w:rFonts w:ascii="宋体" w:hAnsi="宋体" w:cs="宋体"/>
          <w:b w:val="0"/>
          <w:sz w:val="28"/>
          <w:szCs w:val="28"/>
        </w:rPr>
      </w:pPr>
      <w:r>
        <w:rPr>
          <w:rFonts w:hint="eastAsia" w:ascii="宋体" w:hAnsi="宋体" w:cs="宋体"/>
          <w:b w:val="0"/>
          <w:sz w:val="28"/>
          <w:szCs w:val="28"/>
        </w:rPr>
        <w:t>1）安全评价委托书；</w:t>
      </w:r>
    </w:p>
    <w:p w14:paraId="2927ED08">
      <w:pPr>
        <w:spacing w:line="360" w:lineRule="auto"/>
        <w:ind w:firstLine="560" w:firstLineChars="200"/>
        <w:rPr>
          <w:rFonts w:ascii="宋体" w:hAnsi="宋体" w:cs="宋体"/>
          <w:b w:val="0"/>
          <w:sz w:val="28"/>
          <w:szCs w:val="28"/>
        </w:rPr>
      </w:pPr>
      <w:r>
        <w:rPr>
          <w:rFonts w:hint="eastAsia" w:ascii="宋体" w:hAnsi="宋体" w:cs="宋体"/>
          <w:b w:val="0"/>
          <w:sz w:val="28"/>
          <w:szCs w:val="28"/>
        </w:rPr>
        <w:t>2）企业《营业执照》、《安全生产许可证》；</w:t>
      </w:r>
    </w:p>
    <w:p w14:paraId="6C93DA0F">
      <w:pPr>
        <w:pStyle w:val="87"/>
        <w:ind w:firstLine="560"/>
        <w:rPr>
          <w:rFonts w:ascii="宋体" w:hAnsi="宋体" w:eastAsia="宋体" w:cs="宋体"/>
          <w:b w:val="0"/>
          <w:kern w:val="2"/>
          <w:szCs w:val="28"/>
        </w:rPr>
      </w:pPr>
      <w:r>
        <w:rPr>
          <w:rFonts w:ascii="宋体" w:hAnsi="宋体" w:eastAsia="宋体" w:cs="宋体"/>
          <w:b w:val="0"/>
          <w:kern w:val="2"/>
          <w:szCs w:val="28"/>
        </w:rPr>
        <w:t>3</w:t>
      </w:r>
      <w:r>
        <w:rPr>
          <w:rFonts w:hint="eastAsia" w:ascii="宋体" w:hAnsi="宋体" w:eastAsia="宋体" w:cs="宋体"/>
          <w:b w:val="0"/>
          <w:kern w:val="2"/>
          <w:szCs w:val="28"/>
        </w:rPr>
        <w:t>）烟花爆竹生产企业扩、改建申请审批表；</w:t>
      </w:r>
    </w:p>
    <w:p w14:paraId="61FFFAE1">
      <w:pPr>
        <w:pStyle w:val="87"/>
        <w:ind w:firstLine="560"/>
        <w:rPr>
          <w:rFonts w:ascii="宋体" w:hAnsi="宋体" w:eastAsia="宋体" w:cs="宋体"/>
          <w:b w:val="0"/>
          <w:kern w:val="2"/>
          <w:szCs w:val="28"/>
        </w:rPr>
      </w:pPr>
      <w:r>
        <w:rPr>
          <w:rFonts w:ascii="宋体" w:hAnsi="宋体" w:eastAsia="宋体" w:cs="宋体"/>
          <w:b w:val="0"/>
          <w:kern w:val="2"/>
          <w:szCs w:val="28"/>
        </w:rPr>
        <w:t>4</w:t>
      </w:r>
      <w:r>
        <w:rPr>
          <w:rFonts w:hint="eastAsia" w:ascii="宋体" w:hAnsi="宋体" w:eastAsia="宋体" w:cs="宋体"/>
          <w:b w:val="0"/>
          <w:kern w:val="2"/>
          <w:szCs w:val="28"/>
        </w:rPr>
        <w:t>）企业投资项目备案告知承诺信息表；</w:t>
      </w:r>
    </w:p>
    <w:p w14:paraId="408777BB">
      <w:pPr>
        <w:pStyle w:val="87"/>
        <w:ind w:firstLine="560"/>
        <w:rPr>
          <w:rFonts w:ascii="宋体" w:hAnsi="宋体" w:eastAsia="宋体" w:cs="宋体"/>
          <w:b w:val="0"/>
          <w:kern w:val="2"/>
          <w:szCs w:val="28"/>
        </w:rPr>
      </w:pPr>
      <w:r>
        <w:rPr>
          <w:rFonts w:ascii="宋体" w:hAnsi="宋体" w:eastAsia="宋体" w:cs="宋体"/>
          <w:b w:val="0"/>
          <w:kern w:val="2"/>
          <w:szCs w:val="28"/>
        </w:rPr>
        <w:t>5</w:t>
      </w:r>
      <w:r>
        <w:rPr>
          <w:rFonts w:hint="eastAsia" w:ascii="宋体" w:hAnsi="宋体" w:eastAsia="宋体" w:cs="宋体"/>
          <w:b w:val="0"/>
          <w:kern w:val="2"/>
          <w:szCs w:val="28"/>
        </w:rPr>
        <w:t>）《浏阳市太平复兴花炮厂（个人独资）厂房升级改造项目总平面布置图》（初步设计方案图）；</w:t>
      </w:r>
    </w:p>
    <w:p w14:paraId="7198F1D2">
      <w:pPr>
        <w:pStyle w:val="87"/>
        <w:ind w:firstLine="560"/>
        <w:rPr>
          <w:rFonts w:ascii="宋体" w:hAnsi="宋体" w:eastAsia="宋体" w:cs="宋体"/>
          <w:b w:val="0"/>
          <w:kern w:val="2"/>
          <w:szCs w:val="28"/>
        </w:rPr>
      </w:pPr>
      <w:r>
        <w:rPr>
          <w:rFonts w:ascii="宋体" w:hAnsi="宋体" w:eastAsia="宋体" w:cs="宋体"/>
          <w:b w:val="0"/>
          <w:kern w:val="2"/>
          <w:szCs w:val="28"/>
        </w:rPr>
        <w:t>6</w:t>
      </w:r>
      <w:r>
        <w:rPr>
          <w:rFonts w:hint="eastAsia" w:ascii="宋体" w:hAnsi="宋体" w:eastAsia="宋体" w:cs="宋体"/>
          <w:b w:val="0"/>
          <w:kern w:val="2"/>
          <w:szCs w:val="28"/>
        </w:rPr>
        <w:t>）其他文件。</w:t>
      </w:r>
    </w:p>
    <w:p w14:paraId="2C5E7F37">
      <w:pPr>
        <w:keepNext/>
        <w:keepLines/>
        <w:spacing w:before="120" w:beforeLines="50" w:after="120" w:afterLines="50" w:line="360" w:lineRule="auto"/>
        <w:outlineLvl w:val="1"/>
        <w:rPr>
          <w:rFonts w:ascii="黑体" w:hAnsi="宋体" w:eastAsia="黑体"/>
          <w:b w:val="0"/>
          <w:bCs/>
          <w:snapToGrid w:val="0"/>
          <w:sz w:val="30"/>
          <w:szCs w:val="30"/>
        </w:rPr>
      </w:pPr>
      <w:bookmarkStart w:id="86" w:name="_Toc235352182"/>
      <w:bookmarkStart w:id="87" w:name="_Toc221454603"/>
      <w:bookmarkStart w:id="88" w:name="_Toc372793482"/>
      <w:bookmarkStart w:id="89" w:name="_Toc235865480"/>
      <w:bookmarkStart w:id="90" w:name="_Toc235862370"/>
      <w:bookmarkStart w:id="91" w:name="_Toc235352313"/>
      <w:bookmarkStart w:id="92" w:name="_Toc211769673"/>
      <w:bookmarkStart w:id="93" w:name="_Toc235865665"/>
      <w:bookmarkStart w:id="94" w:name="_Toc6018"/>
      <w:r>
        <w:rPr>
          <w:rFonts w:hint="eastAsia" w:ascii="黑体" w:hAnsi="宋体" w:eastAsia="黑体"/>
          <w:b w:val="0"/>
          <w:bCs/>
          <w:snapToGrid w:val="0"/>
          <w:sz w:val="30"/>
          <w:szCs w:val="30"/>
        </w:rPr>
        <w:t>1.3预评价范围和</w:t>
      </w:r>
      <w:bookmarkEnd w:id="86"/>
      <w:bookmarkEnd w:id="87"/>
      <w:bookmarkEnd w:id="88"/>
      <w:bookmarkEnd w:id="89"/>
      <w:bookmarkEnd w:id="90"/>
      <w:bookmarkEnd w:id="91"/>
      <w:bookmarkEnd w:id="92"/>
      <w:bookmarkEnd w:id="93"/>
      <w:r>
        <w:rPr>
          <w:rFonts w:hint="eastAsia" w:ascii="黑体" w:hAnsi="宋体" w:eastAsia="黑体"/>
          <w:b w:val="0"/>
          <w:bCs/>
          <w:snapToGrid w:val="0"/>
          <w:sz w:val="30"/>
          <w:szCs w:val="30"/>
        </w:rPr>
        <w:t>内容</w:t>
      </w:r>
      <w:bookmarkEnd w:id="94"/>
    </w:p>
    <w:p w14:paraId="34589061">
      <w:pPr>
        <w:keepNext/>
        <w:keepLines/>
        <w:adjustRightInd w:val="0"/>
        <w:snapToGrid w:val="0"/>
        <w:spacing w:line="360" w:lineRule="auto"/>
        <w:outlineLvl w:val="2"/>
        <w:rPr>
          <w:rFonts w:ascii="Arial" w:hAnsi="Arial" w:eastAsia="仿宋_GB2312"/>
          <w:sz w:val="28"/>
          <w:szCs w:val="20"/>
        </w:rPr>
      </w:pPr>
      <w:bookmarkStart w:id="95" w:name="_Toc171001531"/>
      <w:r>
        <w:rPr>
          <w:rFonts w:hint="eastAsia" w:ascii="黑体" w:hAnsi="宋体" w:eastAsia="黑体"/>
          <w:b w:val="0"/>
          <w:bCs/>
          <w:snapToGrid w:val="0"/>
          <w:sz w:val="30"/>
          <w:szCs w:val="30"/>
        </w:rPr>
        <w:t>1.3.1预评价范围</w:t>
      </w:r>
      <w:bookmarkEnd w:id="95"/>
    </w:p>
    <w:p w14:paraId="0BC8115D">
      <w:pPr>
        <w:spacing w:line="360" w:lineRule="auto"/>
        <w:ind w:firstLine="560" w:firstLineChars="200"/>
        <w:rPr>
          <w:rFonts w:ascii="宋体" w:hAnsi="宋体" w:cs="宋体"/>
          <w:b w:val="0"/>
          <w:sz w:val="28"/>
          <w:szCs w:val="28"/>
        </w:rPr>
      </w:pPr>
      <w:bookmarkStart w:id="96" w:name="_Toc171001532"/>
      <w:r>
        <w:rPr>
          <w:rFonts w:hint="eastAsia" w:ascii="宋体" w:hAnsi="宋体" w:cs="宋体"/>
          <w:b w:val="0"/>
          <w:sz w:val="28"/>
          <w:szCs w:val="28"/>
        </w:rPr>
        <w:t>按规定，建设项目的建设范围即为安全预评价的评价范围。本次安全预评价的范围为：位于浏阳市集里街道办事处合盛村的浏阳市太平复兴花炮厂（个人独资）厂房升级改造项目工程</w:t>
      </w:r>
      <w:r>
        <w:rPr>
          <w:rFonts w:ascii="宋体" w:hAnsi="宋体" w:cs="宋体"/>
          <w:b w:val="0"/>
          <w:sz w:val="28"/>
          <w:szCs w:val="28"/>
        </w:rPr>
        <w:t>的选址、</w:t>
      </w:r>
      <w:r>
        <w:rPr>
          <w:rFonts w:hint="eastAsia" w:ascii="宋体" w:hAnsi="宋体" w:cs="宋体"/>
          <w:b w:val="0"/>
          <w:sz w:val="28"/>
          <w:szCs w:val="28"/>
        </w:rPr>
        <w:t>总体布局</w:t>
      </w:r>
      <w:r>
        <w:rPr>
          <w:rFonts w:ascii="宋体" w:hAnsi="宋体" w:cs="宋体"/>
          <w:b w:val="0"/>
          <w:sz w:val="28"/>
          <w:szCs w:val="28"/>
        </w:rPr>
        <w:t>、建筑结构、电气、防雷、消防与给水、安全监控设施及安全管理等进行安全预评价</w:t>
      </w:r>
      <w:r>
        <w:rPr>
          <w:rFonts w:hint="eastAsia" w:ascii="宋体" w:hAnsi="宋体" w:cs="宋体"/>
          <w:b w:val="0"/>
          <w:sz w:val="28"/>
          <w:szCs w:val="28"/>
        </w:rPr>
        <w:t>。</w:t>
      </w:r>
    </w:p>
    <w:p w14:paraId="18FE4424">
      <w:pPr>
        <w:spacing w:line="360" w:lineRule="auto"/>
        <w:ind w:firstLine="560" w:firstLineChars="200"/>
        <w:rPr>
          <w:rFonts w:ascii="宋体" w:hAnsi="宋体" w:cs="宋体"/>
          <w:b w:val="0"/>
          <w:sz w:val="28"/>
          <w:szCs w:val="28"/>
        </w:rPr>
      </w:pPr>
      <w:r>
        <w:rPr>
          <w:rFonts w:ascii="宋体" w:hAnsi="宋体" w:cs="宋体"/>
          <w:b w:val="0"/>
          <w:sz w:val="28"/>
          <w:szCs w:val="28"/>
        </w:rPr>
        <w:t>本次评价不包括</w:t>
      </w:r>
      <w:r>
        <w:rPr>
          <w:rFonts w:hint="eastAsia" w:ascii="宋体" w:hAnsi="宋体" w:cs="宋体"/>
          <w:b w:val="0"/>
          <w:sz w:val="28"/>
          <w:szCs w:val="28"/>
        </w:rPr>
        <w:t>厂外</w:t>
      </w:r>
      <w:r>
        <w:rPr>
          <w:rFonts w:ascii="宋体" w:hAnsi="宋体" w:cs="宋体"/>
          <w:b w:val="0"/>
          <w:sz w:val="28"/>
          <w:szCs w:val="28"/>
        </w:rPr>
        <w:t>运输相关内容、</w:t>
      </w:r>
      <w:r>
        <w:rPr>
          <w:rFonts w:hint="eastAsia" w:ascii="宋体" w:hAnsi="宋体" w:cs="宋体"/>
          <w:b w:val="0"/>
          <w:sz w:val="28"/>
          <w:szCs w:val="28"/>
        </w:rPr>
        <w:t>项目环境状况评价、职业卫生评价，</w:t>
      </w:r>
      <w:r>
        <w:rPr>
          <w:rFonts w:ascii="宋体" w:hAnsi="宋体" w:cs="宋体"/>
          <w:b w:val="0"/>
          <w:sz w:val="28"/>
          <w:szCs w:val="28"/>
        </w:rPr>
        <w:t>该项目投入使用后，企业从事烟花爆竹</w:t>
      </w:r>
      <w:r>
        <w:rPr>
          <w:rFonts w:hint="eastAsia" w:ascii="宋体" w:hAnsi="宋体" w:cs="宋体"/>
          <w:b w:val="0"/>
          <w:sz w:val="28"/>
          <w:szCs w:val="28"/>
        </w:rPr>
        <w:t>生产</w:t>
      </w:r>
      <w:r>
        <w:rPr>
          <w:rFonts w:ascii="宋体" w:hAnsi="宋体" w:cs="宋体"/>
          <w:b w:val="0"/>
          <w:sz w:val="28"/>
          <w:szCs w:val="28"/>
        </w:rPr>
        <w:t>时应遵守国家相关法律法规及</w:t>
      </w:r>
    </w:p>
    <w:p w14:paraId="31C642E0">
      <w:pPr>
        <w:keepNext/>
        <w:keepLines/>
        <w:adjustRightInd w:val="0"/>
        <w:snapToGrid w:val="0"/>
        <w:spacing w:line="360" w:lineRule="auto"/>
        <w:outlineLvl w:val="2"/>
        <w:rPr>
          <w:rFonts w:ascii="黑体" w:hAnsi="宋体" w:eastAsia="黑体"/>
          <w:b w:val="0"/>
          <w:bCs/>
          <w:snapToGrid w:val="0"/>
          <w:sz w:val="30"/>
          <w:szCs w:val="30"/>
        </w:rPr>
      </w:pPr>
      <w:r>
        <w:rPr>
          <w:rFonts w:hint="eastAsia" w:ascii="黑体" w:hAnsi="宋体" w:eastAsia="黑体"/>
          <w:b w:val="0"/>
          <w:bCs/>
          <w:snapToGrid w:val="0"/>
          <w:sz w:val="30"/>
          <w:szCs w:val="30"/>
        </w:rPr>
        <w:t>1.3.2预评价</w:t>
      </w:r>
      <w:bookmarkEnd w:id="96"/>
      <w:r>
        <w:rPr>
          <w:rFonts w:hint="eastAsia" w:ascii="黑体" w:hAnsi="宋体" w:eastAsia="黑体"/>
          <w:b w:val="0"/>
          <w:bCs/>
          <w:snapToGrid w:val="0"/>
          <w:sz w:val="30"/>
          <w:szCs w:val="30"/>
        </w:rPr>
        <w:t>内容</w:t>
      </w:r>
    </w:p>
    <w:p w14:paraId="7F1997E0">
      <w:pPr>
        <w:spacing w:line="360" w:lineRule="auto"/>
        <w:ind w:firstLine="560" w:firstLineChars="200"/>
        <w:rPr>
          <w:rFonts w:ascii="宋体" w:hAnsi="宋体"/>
          <w:b w:val="0"/>
          <w:bCs/>
          <w:sz w:val="28"/>
          <w:szCs w:val="28"/>
        </w:rPr>
      </w:pPr>
      <w:r>
        <w:rPr>
          <w:rFonts w:hint="eastAsia" w:ascii="宋体" w:hAnsi="宋体"/>
          <w:b w:val="0"/>
          <w:bCs/>
          <w:sz w:val="28"/>
          <w:szCs w:val="28"/>
        </w:rPr>
        <w:t>本次安全预评价的基本内容为浏阳市太平复兴花炮厂（个人独资）厂房升级改造项目：</w:t>
      </w:r>
    </w:p>
    <w:p w14:paraId="6DF890B7">
      <w:pPr>
        <w:spacing w:line="360" w:lineRule="auto"/>
        <w:ind w:firstLine="560" w:firstLineChars="200"/>
        <w:rPr>
          <w:rFonts w:ascii="宋体" w:hAnsi="宋体"/>
          <w:b w:val="0"/>
          <w:bCs/>
          <w:sz w:val="28"/>
          <w:szCs w:val="28"/>
        </w:rPr>
      </w:pPr>
      <w:r>
        <w:rPr>
          <w:rFonts w:hint="eastAsia" w:ascii="宋体" w:hAnsi="宋体"/>
          <w:b w:val="0"/>
          <w:bCs/>
          <w:sz w:val="28"/>
          <w:szCs w:val="28"/>
        </w:rPr>
        <w:t>1）与</w:t>
      </w:r>
      <w:r>
        <w:rPr>
          <w:rFonts w:ascii="宋体" w:hAnsi="宋体"/>
          <w:b w:val="0"/>
          <w:bCs/>
          <w:sz w:val="28"/>
          <w:szCs w:val="28"/>
        </w:rPr>
        <w:t>《中华人民共和国安全生产法》、</w:t>
      </w:r>
      <w:r>
        <w:rPr>
          <w:rFonts w:hint="eastAsia" w:ascii="宋体" w:hAnsi="宋体"/>
          <w:b w:val="0"/>
          <w:bCs/>
          <w:sz w:val="28"/>
          <w:szCs w:val="28"/>
        </w:rPr>
        <w:t>《烟花爆竹安全管理条例》</w:t>
      </w:r>
      <w:r>
        <w:rPr>
          <w:rFonts w:ascii="宋体" w:hAnsi="宋体"/>
          <w:b w:val="0"/>
          <w:bCs/>
          <w:sz w:val="28"/>
          <w:szCs w:val="28"/>
        </w:rPr>
        <w:t>、《安全生产许可证条例》等有关法律、法规规定的烟花爆竹生产企业安全生产基本条件</w:t>
      </w:r>
      <w:r>
        <w:rPr>
          <w:rFonts w:hint="eastAsia" w:ascii="宋体" w:hAnsi="宋体"/>
          <w:b w:val="0"/>
          <w:bCs/>
          <w:sz w:val="28"/>
          <w:szCs w:val="28"/>
        </w:rPr>
        <w:t>的符合性</w:t>
      </w:r>
      <w:r>
        <w:rPr>
          <w:rFonts w:ascii="宋体" w:hAnsi="宋体"/>
          <w:b w:val="0"/>
          <w:bCs/>
          <w:sz w:val="28"/>
          <w:szCs w:val="28"/>
        </w:rPr>
        <w:t>。</w:t>
      </w:r>
    </w:p>
    <w:p w14:paraId="0FA8DC79">
      <w:pPr>
        <w:spacing w:line="360" w:lineRule="auto"/>
        <w:ind w:firstLine="560" w:firstLineChars="200"/>
        <w:rPr>
          <w:rFonts w:ascii="宋体" w:hAnsi="宋体"/>
          <w:b w:val="0"/>
          <w:bCs/>
          <w:sz w:val="28"/>
          <w:szCs w:val="28"/>
        </w:rPr>
      </w:pPr>
      <w:r>
        <w:rPr>
          <w:rFonts w:hint="eastAsia" w:ascii="宋体" w:hAnsi="宋体"/>
          <w:b w:val="0"/>
          <w:bCs/>
          <w:sz w:val="28"/>
          <w:szCs w:val="28"/>
        </w:rPr>
        <w:t>2）与</w:t>
      </w:r>
      <w:r>
        <w:rPr>
          <w:rFonts w:ascii="宋体" w:hAnsi="宋体"/>
          <w:b w:val="0"/>
          <w:bCs/>
          <w:sz w:val="28"/>
          <w:szCs w:val="28"/>
        </w:rPr>
        <w:t>《烟花爆竹工程设计安全标准》</w:t>
      </w:r>
      <w:r>
        <w:rPr>
          <w:rFonts w:hint="eastAsia" w:ascii="宋体" w:hAnsi="宋体"/>
          <w:b w:val="0"/>
          <w:bCs/>
          <w:sz w:val="28"/>
          <w:szCs w:val="28"/>
        </w:rPr>
        <w:t>（GB50161-2022）</w:t>
      </w:r>
      <w:r>
        <w:rPr>
          <w:rFonts w:ascii="宋体" w:hAnsi="宋体"/>
          <w:b w:val="0"/>
          <w:bCs/>
          <w:sz w:val="28"/>
          <w:szCs w:val="28"/>
        </w:rPr>
        <w:t>、《</w:t>
      </w:r>
      <w:r>
        <w:rPr>
          <w:rFonts w:hint="eastAsia" w:ascii="宋体" w:hAnsi="宋体"/>
          <w:b w:val="0"/>
          <w:bCs/>
          <w:sz w:val="28"/>
          <w:szCs w:val="28"/>
        </w:rPr>
        <w:t>烟花爆竹作业安全技术规程</w:t>
      </w:r>
      <w:r>
        <w:rPr>
          <w:rFonts w:ascii="宋体" w:hAnsi="宋体"/>
          <w:b w:val="0"/>
          <w:bCs/>
          <w:sz w:val="28"/>
          <w:szCs w:val="28"/>
        </w:rPr>
        <w:t>》</w:t>
      </w:r>
      <w:r>
        <w:rPr>
          <w:rFonts w:hint="eastAsia" w:ascii="宋体" w:hAnsi="宋体"/>
          <w:b w:val="0"/>
          <w:bCs/>
          <w:sz w:val="28"/>
          <w:szCs w:val="28"/>
        </w:rPr>
        <w:t>（GB11652-2012）</w:t>
      </w:r>
      <w:r>
        <w:rPr>
          <w:rFonts w:ascii="宋体" w:hAnsi="宋体"/>
          <w:b w:val="0"/>
          <w:bCs/>
          <w:sz w:val="28"/>
          <w:szCs w:val="28"/>
        </w:rPr>
        <w:t>、《建筑设计防火规范》</w:t>
      </w:r>
      <w:r>
        <w:rPr>
          <w:rFonts w:hint="eastAsia" w:ascii="宋体" w:hAnsi="宋体"/>
          <w:b w:val="0"/>
          <w:bCs/>
          <w:sz w:val="28"/>
          <w:szCs w:val="28"/>
        </w:rPr>
        <w:t>（GB50016-2014、2018年修订版）</w:t>
      </w:r>
      <w:r>
        <w:rPr>
          <w:rFonts w:ascii="宋体" w:hAnsi="宋体"/>
          <w:b w:val="0"/>
          <w:bCs/>
          <w:sz w:val="28"/>
          <w:szCs w:val="28"/>
        </w:rPr>
        <w:t>等</w:t>
      </w:r>
      <w:r>
        <w:rPr>
          <w:rFonts w:hint="eastAsia" w:ascii="宋体" w:hAnsi="宋体"/>
          <w:b w:val="0"/>
          <w:bCs/>
          <w:sz w:val="28"/>
          <w:szCs w:val="28"/>
        </w:rPr>
        <w:t>相关标准、规范</w:t>
      </w:r>
      <w:r>
        <w:rPr>
          <w:rFonts w:ascii="宋体" w:hAnsi="宋体"/>
          <w:b w:val="0"/>
          <w:bCs/>
          <w:sz w:val="28"/>
          <w:szCs w:val="28"/>
        </w:rPr>
        <w:t>规定的安全生产条件</w:t>
      </w:r>
      <w:r>
        <w:rPr>
          <w:rFonts w:hint="eastAsia" w:ascii="宋体" w:hAnsi="宋体"/>
          <w:b w:val="0"/>
          <w:bCs/>
          <w:sz w:val="28"/>
          <w:szCs w:val="28"/>
        </w:rPr>
        <w:t>符合性</w:t>
      </w:r>
      <w:r>
        <w:rPr>
          <w:rFonts w:ascii="宋体" w:hAnsi="宋体"/>
          <w:b w:val="0"/>
          <w:bCs/>
          <w:sz w:val="28"/>
          <w:szCs w:val="28"/>
        </w:rPr>
        <w:t xml:space="preserve">。 </w:t>
      </w:r>
    </w:p>
    <w:p w14:paraId="7DF22C55">
      <w:pPr>
        <w:pStyle w:val="87"/>
        <w:ind w:firstLine="560"/>
        <w:rPr>
          <w:rFonts w:ascii="宋体" w:hAnsi="宋体" w:eastAsia="宋体"/>
          <w:b w:val="0"/>
          <w:bCs/>
          <w:szCs w:val="28"/>
        </w:rPr>
      </w:pPr>
      <w:r>
        <w:rPr>
          <w:rFonts w:hint="eastAsia" w:ascii="宋体" w:hAnsi="宋体" w:eastAsia="宋体"/>
          <w:b w:val="0"/>
          <w:bCs/>
          <w:szCs w:val="28"/>
        </w:rPr>
        <w:t>3）与</w:t>
      </w:r>
      <w:r>
        <w:rPr>
          <w:rFonts w:ascii="宋体" w:hAnsi="宋体" w:eastAsia="宋体"/>
          <w:b w:val="0"/>
          <w:bCs/>
          <w:szCs w:val="28"/>
        </w:rPr>
        <w:t>《烟花爆竹生产企业安全生产许可证实施办法》规定的安全生产条件</w:t>
      </w:r>
      <w:r>
        <w:rPr>
          <w:rFonts w:hint="eastAsia" w:ascii="宋体" w:hAnsi="宋体" w:eastAsia="宋体"/>
          <w:b w:val="0"/>
          <w:bCs/>
          <w:szCs w:val="28"/>
        </w:rPr>
        <w:t>的符合性。</w:t>
      </w:r>
    </w:p>
    <w:p w14:paraId="2BABD71E">
      <w:pPr>
        <w:keepNext/>
        <w:keepLines/>
        <w:spacing w:before="120" w:beforeLines="50" w:after="120" w:afterLines="50" w:line="360" w:lineRule="auto"/>
        <w:outlineLvl w:val="1"/>
        <w:rPr>
          <w:rFonts w:ascii="黑体" w:hAnsi="宋体" w:eastAsia="黑体"/>
          <w:b w:val="0"/>
          <w:bCs/>
          <w:snapToGrid w:val="0"/>
          <w:sz w:val="30"/>
          <w:szCs w:val="30"/>
        </w:rPr>
      </w:pPr>
      <w:bookmarkStart w:id="97" w:name="_Toc13511"/>
      <w:r>
        <w:rPr>
          <w:rFonts w:hint="eastAsia" w:ascii="黑体" w:hAnsi="宋体" w:eastAsia="黑体"/>
          <w:b w:val="0"/>
          <w:bCs/>
          <w:snapToGrid w:val="0"/>
          <w:sz w:val="30"/>
          <w:szCs w:val="30"/>
        </w:rPr>
        <w:t>1.</w:t>
      </w:r>
      <w:r>
        <w:rPr>
          <w:rFonts w:ascii="黑体" w:hAnsi="宋体" w:eastAsia="黑体"/>
          <w:b w:val="0"/>
          <w:bCs/>
          <w:snapToGrid w:val="0"/>
          <w:sz w:val="30"/>
          <w:szCs w:val="30"/>
        </w:rPr>
        <w:t>4安全</w:t>
      </w:r>
      <w:r>
        <w:rPr>
          <w:rFonts w:hint="eastAsia" w:ascii="黑体" w:hAnsi="宋体" w:eastAsia="黑体"/>
          <w:b w:val="0"/>
          <w:bCs/>
          <w:snapToGrid w:val="0"/>
          <w:sz w:val="30"/>
          <w:szCs w:val="30"/>
        </w:rPr>
        <w:t>预评价程序</w:t>
      </w:r>
      <w:bookmarkEnd w:id="97"/>
    </w:p>
    <w:p w14:paraId="26884883">
      <w:pPr>
        <w:pStyle w:val="87"/>
        <w:ind w:firstLine="560"/>
        <w:rPr>
          <w:rFonts w:ascii="宋体" w:hAnsi="宋体" w:eastAsia="宋体"/>
          <w:b w:val="0"/>
          <w:bCs/>
          <w:szCs w:val="28"/>
        </w:rPr>
      </w:pPr>
      <w:r>
        <w:rPr>
          <w:rFonts w:hint="eastAsia" w:ascii="宋体" w:hAnsi="宋体" w:eastAsia="宋体"/>
          <w:b w:val="0"/>
          <w:bCs/>
          <w:szCs w:val="28"/>
        </w:rPr>
        <w:t>本次安全预评价基本流程如图1.4</w:t>
      </w:r>
      <w:r>
        <w:rPr>
          <w:rFonts w:ascii="宋体" w:hAnsi="宋体" w:eastAsia="宋体"/>
          <w:b w:val="0"/>
          <w:bCs/>
          <w:szCs w:val="28"/>
        </w:rPr>
        <w:t xml:space="preserve">-1 </w:t>
      </w:r>
      <w:r>
        <w:rPr>
          <w:rFonts w:hint="eastAsia" w:ascii="宋体" w:hAnsi="宋体" w:eastAsia="宋体"/>
          <w:b w:val="0"/>
          <w:bCs/>
          <w:szCs w:val="28"/>
        </w:rPr>
        <w:t>所示。</w:t>
      </w:r>
    </w:p>
    <w:p w14:paraId="52794330">
      <w:pPr>
        <w:pStyle w:val="87"/>
        <w:ind w:firstLine="560"/>
        <w:rPr>
          <w:rFonts w:ascii="宋体" w:hAnsi="宋体" w:eastAsia="宋体"/>
          <w:b w:val="0"/>
          <w:bCs/>
          <w:szCs w:val="28"/>
        </w:rPr>
      </w:pPr>
      <w:r>
        <w:rPr>
          <w:rFonts w:ascii="宋体" w:hAnsi="宋体" w:eastAsia="宋体"/>
          <w:b w:val="0"/>
          <w:bCs/>
          <w:szCs w:val="28"/>
        </w:rPr>
        <w:t>1</w:t>
      </w:r>
      <w:r>
        <w:rPr>
          <w:rFonts w:hint="eastAsia" w:ascii="宋体" w:hAnsi="宋体" w:eastAsia="宋体"/>
          <w:b w:val="0"/>
          <w:bCs/>
          <w:szCs w:val="28"/>
        </w:rPr>
        <w:t>）前期准备：明确评价对象和评价范围；组建评价组；收集国内外相关法律法规、行政规章、标准、规范；收集并分析评价对象的基础资料、相关事故案例；对类比工程进行实地调查。</w:t>
      </w:r>
    </w:p>
    <w:p w14:paraId="4FBDB496">
      <w:pPr>
        <w:pStyle w:val="87"/>
        <w:ind w:firstLine="560"/>
        <w:rPr>
          <w:rFonts w:ascii="宋体" w:hAnsi="宋体" w:eastAsia="宋体"/>
          <w:b w:val="0"/>
          <w:bCs/>
          <w:szCs w:val="28"/>
        </w:rPr>
      </w:pPr>
      <w:r>
        <w:rPr>
          <w:rFonts w:ascii="宋体" w:hAnsi="宋体" w:eastAsia="宋体"/>
          <w:b w:val="0"/>
          <w:bCs/>
          <w:szCs w:val="28"/>
        </w:rPr>
        <w:t>2</w:t>
      </w:r>
      <w:r>
        <w:rPr>
          <w:rFonts w:hint="eastAsia" w:ascii="宋体" w:hAnsi="宋体" w:eastAsia="宋体"/>
          <w:b w:val="0"/>
          <w:bCs/>
          <w:szCs w:val="28"/>
        </w:rPr>
        <w:t>）辨识与分析危险、有害因素：辨识和分析评价对象可能存在的各种危险、有害因素，分析危险有害因素发生作用的途径及其变化规律。</w:t>
      </w:r>
    </w:p>
    <w:p w14:paraId="65BA436D">
      <w:pPr>
        <w:pStyle w:val="87"/>
        <w:ind w:firstLine="560"/>
        <w:rPr>
          <w:rFonts w:ascii="宋体" w:hAnsi="宋体" w:eastAsia="宋体"/>
          <w:b w:val="0"/>
          <w:bCs/>
          <w:szCs w:val="28"/>
        </w:rPr>
      </w:pPr>
      <w:r>
        <w:rPr>
          <w:rFonts w:ascii="宋体" w:hAnsi="宋体" w:eastAsia="宋体"/>
          <w:b w:val="0"/>
          <w:bCs/>
          <w:szCs w:val="28"/>
        </w:rPr>
        <w:t>3</w:t>
      </w:r>
      <w:r>
        <w:rPr>
          <w:rFonts w:hint="eastAsia" w:ascii="宋体" w:hAnsi="宋体" w:eastAsia="宋体"/>
          <w:b w:val="0"/>
          <w:bCs/>
          <w:szCs w:val="28"/>
        </w:rPr>
        <w:t>）划分评价单元：以自然条件、基本工艺条件、危险、有害因素的分布及状况、便于实施评价为原则进行评价单元的划分。</w:t>
      </w:r>
    </w:p>
    <w:p w14:paraId="79AE9F14">
      <w:pPr>
        <w:pStyle w:val="87"/>
        <w:ind w:firstLine="560"/>
        <w:rPr>
          <w:rFonts w:ascii="宋体" w:hAnsi="宋体" w:eastAsia="宋体"/>
          <w:b w:val="0"/>
          <w:bCs/>
          <w:szCs w:val="28"/>
        </w:rPr>
      </w:pPr>
      <w:r>
        <w:rPr>
          <w:rFonts w:ascii="宋体" w:hAnsi="宋体" w:eastAsia="宋体"/>
          <w:b w:val="0"/>
          <w:bCs/>
          <w:szCs w:val="28"/>
        </w:rPr>
        <w:t>4</w:t>
      </w:r>
      <w:r>
        <w:rPr>
          <w:rFonts w:hint="eastAsia" w:ascii="宋体" w:hAnsi="宋体" w:eastAsia="宋体"/>
          <w:b w:val="0"/>
          <w:bCs/>
          <w:szCs w:val="28"/>
        </w:rPr>
        <w:t>）选择评价方法：根据评价的目的、要求和评价对象的特点、工艺、功能或活动分布，选择科学、合理、适用的定性、定量评价方法。</w:t>
      </w:r>
    </w:p>
    <w:p w14:paraId="124AE775">
      <w:pPr>
        <w:pStyle w:val="87"/>
        <w:ind w:firstLine="560"/>
        <w:rPr>
          <w:rFonts w:ascii="宋体" w:hAnsi="宋体" w:eastAsia="宋体"/>
          <w:b w:val="0"/>
          <w:bCs/>
          <w:szCs w:val="28"/>
        </w:rPr>
      </w:pPr>
      <w:r>
        <w:rPr>
          <w:rFonts w:ascii="宋体" w:hAnsi="宋体" w:eastAsia="宋体"/>
          <w:b w:val="0"/>
          <w:bCs/>
          <w:szCs w:val="28"/>
        </w:rPr>
        <w:t>5</w:t>
      </w:r>
      <w:r>
        <w:rPr>
          <w:rFonts w:hint="eastAsia" w:ascii="宋体" w:hAnsi="宋体" w:eastAsia="宋体"/>
          <w:b w:val="0"/>
          <w:bCs/>
          <w:szCs w:val="28"/>
        </w:rPr>
        <w:t>）定性评价：对危险、有害因素导致事故发生的可能性和严重程度进行评价。</w:t>
      </w:r>
    </w:p>
    <w:p w14:paraId="5D1B1526">
      <w:pPr>
        <w:pStyle w:val="87"/>
        <w:ind w:firstLine="560"/>
        <w:rPr>
          <w:rFonts w:ascii="宋体" w:hAnsi="宋体" w:eastAsia="宋体"/>
          <w:b w:val="0"/>
          <w:bCs/>
          <w:szCs w:val="28"/>
        </w:rPr>
      </w:pPr>
      <w:r>
        <w:rPr>
          <w:rFonts w:ascii="宋体" w:hAnsi="宋体" w:eastAsia="宋体"/>
          <w:b w:val="0"/>
          <w:bCs/>
          <w:szCs w:val="28"/>
        </w:rPr>
        <w:t>6</w:t>
      </w:r>
      <w:r>
        <w:rPr>
          <w:rFonts w:hint="eastAsia" w:ascii="宋体" w:hAnsi="宋体" w:eastAsia="宋体"/>
          <w:b w:val="0"/>
          <w:bCs/>
          <w:szCs w:val="28"/>
        </w:rPr>
        <w:t>）安全对策及建议：为保障评价对象建成或实施后能安全运行，从评价对象的工程设计与建设、总平面布置、危险等级及定员定量、内外部距离、建筑结构、电气及防雷、消防与给水、安全监控设施及安全管理等方面提出安全技术对策措施；从评价对象的安全生产组织机构设置、人员管理、人员培训、物料管理、应急救援管理等方面提出安全管理对策措施；从保证评价对象安全运行的需要提出其他安全对策措施。</w:t>
      </w:r>
    </w:p>
    <w:p w14:paraId="2ABDB353">
      <w:pPr>
        <w:pStyle w:val="87"/>
        <w:ind w:firstLine="560"/>
        <w:rPr>
          <w:rFonts w:ascii="宋体" w:hAnsi="宋体" w:eastAsia="宋体"/>
          <w:b w:val="0"/>
          <w:bCs/>
          <w:szCs w:val="28"/>
        </w:rPr>
      </w:pPr>
      <w:r>
        <w:rPr>
          <w:rFonts w:ascii="宋体" w:hAnsi="宋体" w:eastAsia="宋体"/>
          <w:b w:val="0"/>
          <w:bCs/>
          <w:szCs w:val="28"/>
        </w:rPr>
        <w:t>7</w:t>
      </w:r>
      <w:r>
        <w:rPr>
          <w:rFonts w:hint="eastAsia" w:ascii="宋体" w:hAnsi="宋体" w:eastAsia="宋体"/>
          <w:b w:val="0"/>
          <w:bCs/>
          <w:szCs w:val="28"/>
        </w:rPr>
        <w:t>）评价结论：概括评价结果，给出评价对象在评价时的条件下与国家有关法律法规、标准、行政规章、规范的符合性结论，给出危险、有害因素引发各类事故的可能性和严重程度的预测性结论，明确评价对象建成或实施后能否安全运行的结论。</w:t>
      </w:r>
    </w:p>
    <w:p w14:paraId="2B460704">
      <w:pPr>
        <w:pStyle w:val="87"/>
        <w:ind w:firstLine="560"/>
        <w:rPr>
          <w:rFonts w:ascii="宋体" w:hAnsi="宋体" w:eastAsia="宋体"/>
          <w:b w:val="0"/>
          <w:bCs/>
          <w:szCs w:val="28"/>
        </w:rPr>
      </w:pPr>
      <w:r>
        <w:rPr>
          <w:rFonts w:ascii="宋体" w:hAnsi="宋体" w:eastAsia="宋体"/>
          <w:b w:val="0"/>
          <w:bCs/>
          <w:szCs w:val="28"/>
        </w:rPr>
        <w:t>8</w:t>
      </w:r>
      <w:r>
        <w:rPr>
          <w:rFonts w:hint="eastAsia" w:ascii="宋体" w:hAnsi="宋体" w:eastAsia="宋体"/>
          <w:b w:val="0"/>
          <w:bCs/>
          <w:szCs w:val="28"/>
        </w:rPr>
        <w:t>）编制安全预评价报告：依据安全评价的结果编制安全预评价报告。</w:t>
      </w:r>
    </w:p>
    <w:p w14:paraId="384BFF22">
      <w:pPr>
        <w:tabs>
          <w:tab w:val="center" w:pos="4153"/>
          <w:tab w:val="right" w:pos="8306"/>
        </w:tabs>
        <w:snapToGrid w:val="0"/>
        <w:jc w:val="center"/>
        <w:rPr>
          <w:rFonts w:ascii="Times New Roman" w:hAnsi="Times New Roman"/>
          <w:b w:val="0"/>
          <w:szCs w:val="18"/>
        </w:rPr>
      </w:pPr>
      <w:r>
        <w:rPr>
          <w:rFonts w:ascii="Times New Roman" w:hAnsi="Times New Roman"/>
        </w:rPr>
        <mc:AlternateContent>
          <mc:Choice Requires="wpc">
            <w:drawing>
              <wp:inline distT="0" distB="0" distL="0" distR="0">
                <wp:extent cx="4791075" cy="4524375"/>
                <wp:effectExtent l="0" t="0" r="0" b="0"/>
                <wp:docPr id="1007" name="画布 1007"/>
                <wp:cNvGraphicFramePr/>
                <a:graphic xmlns:a="http://schemas.openxmlformats.org/drawingml/2006/main">
                  <a:graphicData uri="http://schemas.microsoft.com/office/word/2010/wordprocessingCanvas">
                    <wpc:wpc>
                      <wpc:bg>
                        <a:noFill/>
                      </wpc:bg>
                      <wpc:whole>
                        <a:ln>
                          <a:noFill/>
                        </a:ln>
                      </wpc:whole>
                      <wpg:wgp>
                        <wpg:cNvPr id="55" name="Group 5"/>
                        <wpg:cNvGrpSpPr/>
                        <wpg:grpSpPr>
                          <a:xfrm>
                            <a:off x="2401492" y="363813"/>
                            <a:ext cx="76900" cy="301611"/>
                            <a:chOff x="5755" y="-8557"/>
                            <a:chExt cx="120" cy="475"/>
                          </a:xfrm>
                        </wpg:grpSpPr>
                        <wps:wsp>
                          <wps:cNvPr id="56" name="Freeform 6"/>
                          <wps:cNvSpPr/>
                          <wps:spPr bwMode="auto">
                            <a:xfrm>
                              <a:off x="5755" y="-8557"/>
                              <a:ext cx="120" cy="475"/>
                            </a:xfrm>
                            <a:custGeom>
                              <a:avLst/>
                              <a:gdLst>
                                <a:gd name="T0" fmla="*/ 53 w 120"/>
                                <a:gd name="T1" fmla="*/ -8202 h 475"/>
                                <a:gd name="T2" fmla="*/ 0 w 120"/>
                                <a:gd name="T3" fmla="*/ -8202 h 475"/>
                                <a:gd name="T4" fmla="*/ 60 w 120"/>
                                <a:gd name="T5" fmla="*/ -8082 h 475"/>
                                <a:gd name="T6" fmla="*/ 107 w 120"/>
                                <a:gd name="T7" fmla="*/ -8175 h 475"/>
                                <a:gd name="T8" fmla="*/ 60 w 120"/>
                                <a:gd name="T9" fmla="*/ -8175 h 475"/>
                                <a:gd name="T10" fmla="*/ 55 w 120"/>
                                <a:gd name="T11" fmla="*/ -8178 h 475"/>
                                <a:gd name="T12" fmla="*/ 53 w 120"/>
                                <a:gd name="T13" fmla="*/ -8182 h 475"/>
                                <a:gd name="T14" fmla="*/ 53 w 120"/>
                                <a:gd name="T15" fmla="*/ -8202 h 475"/>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20" h="475">
                                  <a:moveTo>
                                    <a:pt x="53" y="355"/>
                                  </a:moveTo>
                                  <a:lnTo>
                                    <a:pt x="0" y="355"/>
                                  </a:lnTo>
                                  <a:lnTo>
                                    <a:pt x="60" y="475"/>
                                  </a:lnTo>
                                  <a:lnTo>
                                    <a:pt x="107" y="382"/>
                                  </a:lnTo>
                                  <a:lnTo>
                                    <a:pt x="60" y="382"/>
                                  </a:lnTo>
                                  <a:lnTo>
                                    <a:pt x="55" y="379"/>
                                  </a:lnTo>
                                  <a:lnTo>
                                    <a:pt x="53" y="375"/>
                                  </a:lnTo>
                                  <a:lnTo>
                                    <a:pt x="53" y="355"/>
                                  </a:lnTo>
                                  <a:close/>
                                </a:path>
                              </a:pathLst>
                            </a:custGeom>
                            <a:solidFill>
                              <a:srgbClr val="000000"/>
                            </a:solidFill>
                            <a:ln>
                              <a:noFill/>
                            </a:ln>
                          </wps:spPr>
                          <wps:bodyPr rot="0" vert="horz" wrap="square" lIns="91440" tIns="45720" rIns="91440" bIns="45720" anchor="t" anchorCtr="0" upright="1">
                            <a:noAutofit/>
                          </wps:bodyPr>
                        </wps:wsp>
                        <wps:wsp>
                          <wps:cNvPr id="57" name="Freeform 7"/>
                          <wps:cNvSpPr/>
                          <wps:spPr bwMode="auto">
                            <a:xfrm>
                              <a:off x="5755" y="-8557"/>
                              <a:ext cx="120" cy="475"/>
                            </a:xfrm>
                            <a:custGeom>
                              <a:avLst/>
                              <a:gdLst>
                                <a:gd name="T0" fmla="*/ 60 w 120"/>
                                <a:gd name="T1" fmla="*/ -8557 h 475"/>
                                <a:gd name="T2" fmla="*/ 55 w 120"/>
                                <a:gd name="T3" fmla="*/ -8554 h 475"/>
                                <a:gd name="T4" fmla="*/ 53 w 120"/>
                                <a:gd name="T5" fmla="*/ -8550 h 475"/>
                                <a:gd name="T6" fmla="*/ 53 w 120"/>
                                <a:gd name="T7" fmla="*/ -8182 h 475"/>
                                <a:gd name="T8" fmla="*/ 55 w 120"/>
                                <a:gd name="T9" fmla="*/ -8178 h 475"/>
                                <a:gd name="T10" fmla="*/ 60 w 120"/>
                                <a:gd name="T11" fmla="*/ -8175 h 475"/>
                                <a:gd name="T12" fmla="*/ 65 w 120"/>
                                <a:gd name="T13" fmla="*/ -8178 h 475"/>
                                <a:gd name="T14" fmla="*/ 67 w 120"/>
                                <a:gd name="T15" fmla="*/ -8182 h 475"/>
                                <a:gd name="T16" fmla="*/ 67 w 120"/>
                                <a:gd name="T17" fmla="*/ -8550 h 475"/>
                                <a:gd name="T18" fmla="*/ 65 w 120"/>
                                <a:gd name="T19" fmla="*/ -8554 h 475"/>
                                <a:gd name="T20" fmla="*/ 60 w 120"/>
                                <a:gd name="T21" fmla="*/ -8557 h 47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20" h="475">
                                  <a:moveTo>
                                    <a:pt x="60" y="0"/>
                                  </a:moveTo>
                                  <a:lnTo>
                                    <a:pt x="55" y="3"/>
                                  </a:lnTo>
                                  <a:lnTo>
                                    <a:pt x="53" y="7"/>
                                  </a:lnTo>
                                  <a:lnTo>
                                    <a:pt x="53" y="375"/>
                                  </a:lnTo>
                                  <a:lnTo>
                                    <a:pt x="55" y="379"/>
                                  </a:lnTo>
                                  <a:lnTo>
                                    <a:pt x="60" y="382"/>
                                  </a:lnTo>
                                  <a:lnTo>
                                    <a:pt x="65" y="379"/>
                                  </a:lnTo>
                                  <a:lnTo>
                                    <a:pt x="67" y="375"/>
                                  </a:lnTo>
                                  <a:lnTo>
                                    <a:pt x="67" y="7"/>
                                  </a:lnTo>
                                  <a:lnTo>
                                    <a:pt x="65" y="3"/>
                                  </a:lnTo>
                                  <a:lnTo>
                                    <a:pt x="60" y="0"/>
                                  </a:lnTo>
                                  <a:close/>
                                </a:path>
                              </a:pathLst>
                            </a:custGeom>
                            <a:solidFill>
                              <a:srgbClr val="000000"/>
                            </a:solidFill>
                            <a:ln>
                              <a:noFill/>
                            </a:ln>
                          </wps:spPr>
                          <wps:bodyPr rot="0" vert="horz" wrap="square" lIns="91440" tIns="45720" rIns="91440" bIns="45720" anchor="t" anchorCtr="0" upright="1">
                            <a:noAutofit/>
                          </wps:bodyPr>
                        </wps:wsp>
                        <wps:wsp>
                          <wps:cNvPr id="961" name="Freeform 8"/>
                          <wps:cNvSpPr/>
                          <wps:spPr bwMode="auto">
                            <a:xfrm>
                              <a:off x="5755" y="-8557"/>
                              <a:ext cx="120" cy="475"/>
                            </a:xfrm>
                            <a:custGeom>
                              <a:avLst/>
                              <a:gdLst>
                                <a:gd name="T0" fmla="*/ 120 w 120"/>
                                <a:gd name="T1" fmla="*/ -8202 h 475"/>
                                <a:gd name="T2" fmla="*/ 67 w 120"/>
                                <a:gd name="T3" fmla="*/ -8202 h 475"/>
                                <a:gd name="T4" fmla="*/ 67 w 120"/>
                                <a:gd name="T5" fmla="*/ -8182 h 475"/>
                                <a:gd name="T6" fmla="*/ 65 w 120"/>
                                <a:gd name="T7" fmla="*/ -8178 h 475"/>
                                <a:gd name="T8" fmla="*/ 60 w 120"/>
                                <a:gd name="T9" fmla="*/ -8175 h 475"/>
                                <a:gd name="T10" fmla="*/ 107 w 120"/>
                                <a:gd name="T11" fmla="*/ -8175 h 475"/>
                                <a:gd name="T12" fmla="*/ 120 w 120"/>
                                <a:gd name="T13" fmla="*/ -8202 h 47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20" h="475">
                                  <a:moveTo>
                                    <a:pt x="120" y="355"/>
                                  </a:moveTo>
                                  <a:lnTo>
                                    <a:pt x="67" y="355"/>
                                  </a:lnTo>
                                  <a:lnTo>
                                    <a:pt x="67" y="375"/>
                                  </a:lnTo>
                                  <a:lnTo>
                                    <a:pt x="65" y="379"/>
                                  </a:lnTo>
                                  <a:lnTo>
                                    <a:pt x="60" y="382"/>
                                  </a:lnTo>
                                  <a:lnTo>
                                    <a:pt x="107" y="382"/>
                                  </a:lnTo>
                                  <a:lnTo>
                                    <a:pt x="120" y="355"/>
                                  </a:lnTo>
                                  <a:close/>
                                </a:path>
                              </a:pathLst>
                            </a:custGeom>
                            <a:solidFill>
                              <a:srgbClr val="000000"/>
                            </a:solidFill>
                            <a:ln>
                              <a:noFill/>
                            </a:ln>
                          </wps:spPr>
                          <wps:bodyPr rot="0" vert="horz" wrap="square" lIns="91440" tIns="45720" rIns="91440" bIns="45720" anchor="t" anchorCtr="0" upright="1">
                            <a:noAutofit/>
                          </wps:bodyPr>
                        </wps:wsp>
                      </wpg:wgp>
                      <wpg:wgp>
                        <wpg:cNvPr id="962" name="Group 9"/>
                        <wpg:cNvGrpSpPr/>
                        <wpg:grpSpPr>
                          <a:xfrm>
                            <a:off x="2401492" y="948634"/>
                            <a:ext cx="76900" cy="302211"/>
                            <a:chOff x="5755" y="-7621"/>
                            <a:chExt cx="120" cy="473"/>
                          </a:xfrm>
                        </wpg:grpSpPr>
                        <wps:wsp>
                          <wps:cNvPr id="963" name="Freeform 10"/>
                          <wps:cNvSpPr/>
                          <wps:spPr bwMode="auto">
                            <a:xfrm>
                              <a:off x="5755" y="-7621"/>
                              <a:ext cx="120" cy="473"/>
                            </a:xfrm>
                            <a:custGeom>
                              <a:avLst/>
                              <a:gdLst>
                                <a:gd name="T0" fmla="*/ 53 w 120"/>
                                <a:gd name="T1" fmla="*/ -7268 h 473"/>
                                <a:gd name="T2" fmla="*/ 0 w 120"/>
                                <a:gd name="T3" fmla="*/ -7268 h 473"/>
                                <a:gd name="T4" fmla="*/ 60 w 120"/>
                                <a:gd name="T5" fmla="*/ -7148 h 473"/>
                                <a:gd name="T6" fmla="*/ 105 w 120"/>
                                <a:gd name="T7" fmla="*/ -7239 h 473"/>
                                <a:gd name="T8" fmla="*/ 60 w 120"/>
                                <a:gd name="T9" fmla="*/ -7239 h 473"/>
                                <a:gd name="T10" fmla="*/ 55 w 120"/>
                                <a:gd name="T11" fmla="*/ -7242 h 473"/>
                                <a:gd name="T12" fmla="*/ 53 w 120"/>
                                <a:gd name="T13" fmla="*/ -7246 h 473"/>
                                <a:gd name="T14" fmla="*/ 53 w 120"/>
                                <a:gd name="T15" fmla="*/ -7268 h 473"/>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20" h="473">
                                  <a:moveTo>
                                    <a:pt x="53" y="353"/>
                                  </a:moveTo>
                                  <a:lnTo>
                                    <a:pt x="0" y="353"/>
                                  </a:lnTo>
                                  <a:lnTo>
                                    <a:pt x="60" y="473"/>
                                  </a:lnTo>
                                  <a:lnTo>
                                    <a:pt x="105" y="382"/>
                                  </a:lnTo>
                                  <a:lnTo>
                                    <a:pt x="60" y="382"/>
                                  </a:lnTo>
                                  <a:lnTo>
                                    <a:pt x="55" y="379"/>
                                  </a:lnTo>
                                  <a:lnTo>
                                    <a:pt x="53" y="375"/>
                                  </a:lnTo>
                                  <a:lnTo>
                                    <a:pt x="53" y="353"/>
                                  </a:lnTo>
                                  <a:close/>
                                </a:path>
                              </a:pathLst>
                            </a:custGeom>
                            <a:solidFill>
                              <a:srgbClr val="000000"/>
                            </a:solidFill>
                            <a:ln>
                              <a:noFill/>
                            </a:ln>
                          </wps:spPr>
                          <wps:bodyPr rot="0" vert="horz" wrap="square" lIns="91440" tIns="45720" rIns="91440" bIns="45720" anchor="t" anchorCtr="0" upright="1">
                            <a:noAutofit/>
                          </wps:bodyPr>
                        </wps:wsp>
                        <wps:wsp>
                          <wps:cNvPr id="964" name="Freeform 11"/>
                          <wps:cNvSpPr/>
                          <wps:spPr bwMode="auto">
                            <a:xfrm>
                              <a:off x="5755" y="-7621"/>
                              <a:ext cx="120" cy="473"/>
                            </a:xfrm>
                            <a:custGeom>
                              <a:avLst/>
                              <a:gdLst>
                                <a:gd name="T0" fmla="*/ 60 w 120"/>
                                <a:gd name="T1" fmla="*/ -7621 h 473"/>
                                <a:gd name="T2" fmla="*/ 55 w 120"/>
                                <a:gd name="T3" fmla="*/ -7618 h 473"/>
                                <a:gd name="T4" fmla="*/ 53 w 120"/>
                                <a:gd name="T5" fmla="*/ -7614 h 473"/>
                                <a:gd name="T6" fmla="*/ 53 w 120"/>
                                <a:gd name="T7" fmla="*/ -7246 h 473"/>
                                <a:gd name="T8" fmla="*/ 55 w 120"/>
                                <a:gd name="T9" fmla="*/ -7242 h 473"/>
                                <a:gd name="T10" fmla="*/ 60 w 120"/>
                                <a:gd name="T11" fmla="*/ -7239 h 473"/>
                                <a:gd name="T12" fmla="*/ 65 w 120"/>
                                <a:gd name="T13" fmla="*/ -7242 h 473"/>
                                <a:gd name="T14" fmla="*/ 67 w 120"/>
                                <a:gd name="T15" fmla="*/ -7246 h 473"/>
                                <a:gd name="T16" fmla="*/ 67 w 120"/>
                                <a:gd name="T17" fmla="*/ -7614 h 473"/>
                                <a:gd name="T18" fmla="*/ 65 w 120"/>
                                <a:gd name="T19" fmla="*/ -7618 h 473"/>
                                <a:gd name="T20" fmla="*/ 60 w 120"/>
                                <a:gd name="T21" fmla="*/ -7621 h 473"/>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20" h="473">
                                  <a:moveTo>
                                    <a:pt x="60" y="0"/>
                                  </a:moveTo>
                                  <a:lnTo>
                                    <a:pt x="55" y="3"/>
                                  </a:lnTo>
                                  <a:lnTo>
                                    <a:pt x="53" y="7"/>
                                  </a:lnTo>
                                  <a:lnTo>
                                    <a:pt x="53" y="375"/>
                                  </a:lnTo>
                                  <a:lnTo>
                                    <a:pt x="55" y="379"/>
                                  </a:lnTo>
                                  <a:lnTo>
                                    <a:pt x="60" y="382"/>
                                  </a:lnTo>
                                  <a:lnTo>
                                    <a:pt x="65" y="379"/>
                                  </a:lnTo>
                                  <a:lnTo>
                                    <a:pt x="67" y="375"/>
                                  </a:lnTo>
                                  <a:lnTo>
                                    <a:pt x="67" y="7"/>
                                  </a:lnTo>
                                  <a:lnTo>
                                    <a:pt x="65" y="3"/>
                                  </a:lnTo>
                                  <a:lnTo>
                                    <a:pt x="60" y="0"/>
                                  </a:lnTo>
                                  <a:close/>
                                </a:path>
                              </a:pathLst>
                            </a:custGeom>
                            <a:solidFill>
                              <a:srgbClr val="000000"/>
                            </a:solidFill>
                            <a:ln>
                              <a:noFill/>
                            </a:ln>
                          </wps:spPr>
                          <wps:bodyPr rot="0" vert="horz" wrap="square" lIns="91440" tIns="45720" rIns="91440" bIns="45720" anchor="t" anchorCtr="0" upright="1">
                            <a:noAutofit/>
                          </wps:bodyPr>
                        </wps:wsp>
                        <wps:wsp>
                          <wps:cNvPr id="965" name="Freeform 12"/>
                          <wps:cNvSpPr/>
                          <wps:spPr bwMode="auto">
                            <a:xfrm>
                              <a:off x="5755" y="-7621"/>
                              <a:ext cx="120" cy="473"/>
                            </a:xfrm>
                            <a:custGeom>
                              <a:avLst/>
                              <a:gdLst>
                                <a:gd name="T0" fmla="*/ 120 w 120"/>
                                <a:gd name="T1" fmla="*/ -7268 h 473"/>
                                <a:gd name="T2" fmla="*/ 67 w 120"/>
                                <a:gd name="T3" fmla="*/ -7268 h 473"/>
                                <a:gd name="T4" fmla="*/ 67 w 120"/>
                                <a:gd name="T5" fmla="*/ -7246 h 473"/>
                                <a:gd name="T6" fmla="*/ 65 w 120"/>
                                <a:gd name="T7" fmla="*/ -7242 h 473"/>
                                <a:gd name="T8" fmla="*/ 60 w 120"/>
                                <a:gd name="T9" fmla="*/ -7239 h 473"/>
                                <a:gd name="T10" fmla="*/ 105 w 120"/>
                                <a:gd name="T11" fmla="*/ -7239 h 473"/>
                                <a:gd name="T12" fmla="*/ 120 w 120"/>
                                <a:gd name="T13" fmla="*/ -7268 h 473"/>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20" h="473">
                                  <a:moveTo>
                                    <a:pt x="120" y="353"/>
                                  </a:moveTo>
                                  <a:lnTo>
                                    <a:pt x="67" y="353"/>
                                  </a:lnTo>
                                  <a:lnTo>
                                    <a:pt x="67" y="375"/>
                                  </a:lnTo>
                                  <a:lnTo>
                                    <a:pt x="65" y="379"/>
                                  </a:lnTo>
                                  <a:lnTo>
                                    <a:pt x="60" y="382"/>
                                  </a:lnTo>
                                  <a:lnTo>
                                    <a:pt x="105" y="382"/>
                                  </a:lnTo>
                                  <a:lnTo>
                                    <a:pt x="120" y="353"/>
                                  </a:lnTo>
                                  <a:close/>
                                </a:path>
                              </a:pathLst>
                            </a:custGeom>
                            <a:solidFill>
                              <a:srgbClr val="000000"/>
                            </a:solidFill>
                            <a:ln>
                              <a:noFill/>
                            </a:ln>
                          </wps:spPr>
                          <wps:bodyPr rot="0" vert="horz" wrap="square" lIns="91440" tIns="45720" rIns="91440" bIns="45720" anchor="t" anchorCtr="0" upright="1">
                            <a:noAutofit/>
                          </wps:bodyPr>
                        </wps:wsp>
                      </wpg:wgp>
                      <wpg:wgp>
                        <wpg:cNvPr id="970" name="Group 13"/>
                        <wpg:cNvGrpSpPr/>
                        <wpg:grpSpPr>
                          <a:xfrm>
                            <a:off x="2401492" y="1523955"/>
                            <a:ext cx="76900" cy="302211"/>
                            <a:chOff x="5755" y="-6685"/>
                            <a:chExt cx="120" cy="475"/>
                          </a:xfrm>
                        </wpg:grpSpPr>
                        <wps:wsp>
                          <wps:cNvPr id="974" name="Freeform 14"/>
                          <wps:cNvSpPr/>
                          <wps:spPr bwMode="auto">
                            <a:xfrm>
                              <a:off x="5755" y="-6685"/>
                              <a:ext cx="120" cy="475"/>
                            </a:xfrm>
                            <a:custGeom>
                              <a:avLst/>
                              <a:gdLst>
                                <a:gd name="T0" fmla="*/ 53 w 120"/>
                                <a:gd name="T1" fmla="*/ -6330 h 475"/>
                                <a:gd name="T2" fmla="*/ 0 w 120"/>
                                <a:gd name="T3" fmla="*/ -6330 h 475"/>
                                <a:gd name="T4" fmla="*/ 60 w 120"/>
                                <a:gd name="T5" fmla="*/ -6210 h 475"/>
                                <a:gd name="T6" fmla="*/ 107 w 120"/>
                                <a:gd name="T7" fmla="*/ -6303 h 475"/>
                                <a:gd name="T8" fmla="*/ 60 w 120"/>
                                <a:gd name="T9" fmla="*/ -6303 h 475"/>
                                <a:gd name="T10" fmla="*/ 55 w 120"/>
                                <a:gd name="T11" fmla="*/ -6306 h 475"/>
                                <a:gd name="T12" fmla="*/ 53 w 120"/>
                                <a:gd name="T13" fmla="*/ -6311 h 475"/>
                                <a:gd name="T14" fmla="*/ 53 w 120"/>
                                <a:gd name="T15" fmla="*/ -6330 h 475"/>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20" h="475">
                                  <a:moveTo>
                                    <a:pt x="53" y="355"/>
                                  </a:moveTo>
                                  <a:lnTo>
                                    <a:pt x="0" y="355"/>
                                  </a:lnTo>
                                  <a:lnTo>
                                    <a:pt x="60" y="475"/>
                                  </a:lnTo>
                                  <a:lnTo>
                                    <a:pt x="107" y="382"/>
                                  </a:lnTo>
                                  <a:lnTo>
                                    <a:pt x="60" y="382"/>
                                  </a:lnTo>
                                  <a:lnTo>
                                    <a:pt x="55" y="379"/>
                                  </a:lnTo>
                                  <a:lnTo>
                                    <a:pt x="53" y="374"/>
                                  </a:lnTo>
                                  <a:lnTo>
                                    <a:pt x="53" y="355"/>
                                  </a:lnTo>
                                  <a:close/>
                                </a:path>
                              </a:pathLst>
                            </a:custGeom>
                            <a:solidFill>
                              <a:srgbClr val="000000"/>
                            </a:solidFill>
                            <a:ln>
                              <a:noFill/>
                            </a:ln>
                          </wps:spPr>
                          <wps:bodyPr rot="0" vert="horz" wrap="square" lIns="91440" tIns="45720" rIns="91440" bIns="45720" anchor="t" anchorCtr="0" upright="1">
                            <a:noAutofit/>
                          </wps:bodyPr>
                        </wps:wsp>
                        <wps:wsp>
                          <wps:cNvPr id="980" name="Freeform 15"/>
                          <wps:cNvSpPr/>
                          <wps:spPr bwMode="auto">
                            <a:xfrm>
                              <a:off x="5755" y="-6685"/>
                              <a:ext cx="120" cy="475"/>
                            </a:xfrm>
                            <a:custGeom>
                              <a:avLst/>
                              <a:gdLst>
                                <a:gd name="T0" fmla="*/ 60 w 120"/>
                                <a:gd name="T1" fmla="*/ -6685 h 475"/>
                                <a:gd name="T2" fmla="*/ 55 w 120"/>
                                <a:gd name="T3" fmla="*/ -6683 h 475"/>
                                <a:gd name="T4" fmla="*/ 53 w 120"/>
                                <a:gd name="T5" fmla="*/ -6678 h 475"/>
                                <a:gd name="T6" fmla="*/ 53 w 120"/>
                                <a:gd name="T7" fmla="*/ -6311 h 475"/>
                                <a:gd name="T8" fmla="*/ 55 w 120"/>
                                <a:gd name="T9" fmla="*/ -6306 h 475"/>
                                <a:gd name="T10" fmla="*/ 60 w 120"/>
                                <a:gd name="T11" fmla="*/ -6303 h 475"/>
                                <a:gd name="T12" fmla="*/ 65 w 120"/>
                                <a:gd name="T13" fmla="*/ -6306 h 475"/>
                                <a:gd name="T14" fmla="*/ 67 w 120"/>
                                <a:gd name="T15" fmla="*/ -6311 h 475"/>
                                <a:gd name="T16" fmla="*/ 67 w 120"/>
                                <a:gd name="T17" fmla="*/ -6678 h 475"/>
                                <a:gd name="T18" fmla="*/ 65 w 120"/>
                                <a:gd name="T19" fmla="*/ -6683 h 475"/>
                                <a:gd name="T20" fmla="*/ 60 w 120"/>
                                <a:gd name="T21" fmla="*/ -6685 h 47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20" h="475">
                                  <a:moveTo>
                                    <a:pt x="60" y="0"/>
                                  </a:moveTo>
                                  <a:lnTo>
                                    <a:pt x="55" y="2"/>
                                  </a:lnTo>
                                  <a:lnTo>
                                    <a:pt x="53" y="7"/>
                                  </a:lnTo>
                                  <a:lnTo>
                                    <a:pt x="53" y="374"/>
                                  </a:lnTo>
                                  <a:lnTo>
                                    <a:pt x="55" y="379"/>
                                  </a:lnTo>
                                  <a:lnTo>
                                    <a:pt x="60" y="382"/>
                                  </a:lnTo>
                                  <a:lnTo>
                                    <a:pt x="65" y="379"/>
                                  </a:lnTo>
                                  <a:lnTo>
                                    <a:pt x="67" y="374"/>
                                  </a:lnTo>
                                  <a:lnTo>
                                    <a:pt x="67" y="7"/>
                                  </a:lnTo>
                                  <a:lnTo>
                                    <a:pt x="65" y="2"/>
                                  </a:lnTo>
                                  <a:lnTo>
                                    <a:pt x="60" y="0"/>
                                  </a:lnTo>
                                  <a:close/>
                                </a:path>
                              </a:pathLst>
                            </a:custGeom>
                            <a:solidFill>
                              <a:srgbClr val="000000"/>
                            </a:solidFill>
                            <a:ln>
                              <a:noFill/>
                            </a:ln>
                          </wps:spPr>
                          <wps:bodyPr rot="0" vert="horz" wrap="square" lIns="91440" tIns="45720" rIns="91440" bIns="45720" anchor="t" anchorCtr="0" upright="1">
                            <a:noAutofit/>
                          </wps:bodyPr>
                        </wps:wsp>
                        <wps:wsp>
                          <wps:cNvPr id="981" name="Freeform 16"/>
                          <wps:cNvSpPr/>
                          <wps:spPr bwMode="auto">
                            <a:xfrm>
                              <a:off x="5755" y="-6685"/>
                              <a:ext cx="120" cy="475"/>
                            </a:xfrm>
                            <a:custGeom>
                              <a:avLst/>
                              <a:gdLst>
                                <a:gd name="T0" fmla="*/ 120 w 120"/>
                                <a:gd name="T1" fmla="*/ -6330 h 475"/>
                                <a:gd name="T2" fmla="*/ 67 w 120"/>
                                <a:gd name="T3" fmla="*/ -6330 h 475"/>
                                <a:gd name="T4" fmla="*/ 67 w 120"/>
                                <a:gd name="T5" fmla="*/ -6311 h 475"/>
                                <a:gd name="T6" fmla="*/ 65 w 120"/>
                                <a:gd name="T7" fmla="*/ -6306 h 475"/>
                                <a:gd name="T8" fmla="*/ 60 w 120"/>
                                <a:gd name="T9" fmla="*/ -6303 h 475"/>
                                <a:gd name="T10" fmla="*/ 107 w 120"/>
                                <a:gd name="T11" fmla="*/ -6303 h 475"/>
                                <a:gd name="T12" fmla="*/ 120 w 120"/>
                                <a:gd name="T13" fmla="*/ -6330 h 47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20" h="475">
                                  <a:moveTo>
                                    <a:pt x="120" y="355"/>
                                  </a:moveTo>
                                  <a:lnTo>
                                    <a:pt x="67" y="355"/>
                                  </a:lnTo>
                                  <a:lnTo>
                                    <a:pt x="67" y="374"/>
                                  </a:lnTo>
                                  <a:lnTo>
                                    <a:pt x="65" y="379"/>
                                  </a:lnTo>
                                  <a:lnTo>
                                    <a:pt x="60" y="382"/>
                                  </a:lnTo>
                                  <a:lnTo>
                                    <a:pt x="107" y="382"/>
                                  </a:lnTo>
                                  <a:lnTo>
                                    <a:pt x="120" y="355"/>
                                  </a:lnTo>
                                  <a:close/>
                                </a:path>
                              </a:pathLst>
                            </a:custGeom>
                            <a:solidFill>
                              <a:srgbClr val="000000"/>
                            </a:solidFill>
                            <a:ln>
                              <a:noFill/>
                            </a:ln>
                          </wps:spPr>
                          <wps:bodyPr rot="0" vert="horz" wrap="square" lIns="91440" tIns="45720" rIns="91440" bIns="45720" anchor="t" anchorCtr="0" upright="1">
                            <a:noAutofit/>
                          </wps:bodyPr>
                        </wps:wsp>
                      </wpg:wgp>
                      <wpg:wgp>
                        <wpg:cNvPr id="982" name="Group 17"/>
                        <wpg:cNvGrpSpPr/>
                        <wpg:grpSpPr>
                          <a:xfrm>
                            <a:off x="2401492" y="2093576"/>
                            <a:ext cx="76900" cy="302211"/>
                            <a:chOff x="5755" y="-5749"/>
                            <a:chExt cx="120" cy="475"/>
                          </a:xfrm>
                        </wpg:grpSpPr>
                        <wps:wsp>
                          <wps:cNvPr id="983" name="Freeform 18"/>
                          <wps:cNvSpPr/>
                          <wps:spPr bwMode="auto">
                            <a:xfrm>
                              <a:off x="5755" y="-5749"/>
                              <a:ext cx="120" cy="475"/>
                            </a:xfrm>
                            <a:custGeom>
                              <a:avLst/>
                              <a:gdLst>
                                <a:gd name="T0" fmla="*/ 53 w 120"/>
                                <a:gd name="T1" fmla="*/ -5394 h 475"/>
                                <a:gd name="T2" fmla="*/ 0 w 120"/>
                                <a:gd name="T3" fmla="*/ -5394 h 475"/>
                                <a:gd name="T4" fmla="*/ 60 w 120"/>
                                <a:gd name="T5" fmla="*/ -5274 h 475"/>
                                <a:gd name="T6" fmla="*/ 107 w 120"/>
                                <a:gd name="T7" fmla="*/ -5367 h 475"/>
                                <a:gd name="T8" fmla="*/ 60 w 120"/>
                                <a:gd name="T9" fmla="*/ -5367 h 475"/>
                                <a:gd name="T10" fmla="*/ 55 w 120"/>
                                <a:gd name="T11" fmla="*/ -5370 h 475"/>
                                <a:gd name="T12" fmla="*/ 53 w 120"/>
                                <a:gd name="T13" fmla="*/ -5375 h 475"/>
                                <a:gd name="T14" fmla="*/ 53 w 120"/>
                                <a:gd name="T15" fmla="*/ -5394 h 475"/>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20" h="475">
                                  <a:moveTo>
                                    <a:pt x="53" y="355"/>
                                  </a:moveTo>
                                  <a:lnTo>
                                    <a:pt x="0" y="355"/>
                                  </a:lnTo>
                                  <a:lnTo>
                                    <a:pt x="60" y="475"/>
                                  </a:lnTo>
                                  <a:lnTo>
                                    <a:pt x="107" y="382"/>
                                  </a:lnTo>
                                  <a:lnTo>
                                    <a:pt x="60" y="382"/>
                                  </a:lnTo>
                                  <a:lnTo>
                                    <a:pt x="55" y="379"/>
                                  </a:lnTo>
                                  <a:lnTo>
                                    <a:pt x="53" y="374"/>
                                  </a:lnTo>
                                  <a:lnTo>
                                    <a:pt x="53" y="355"/>
                                  </a:lnTo>
                                  <a:close/>
                                </a:path>
                              </a:pathLst>
                            </a:custGeom>
                            <a:solidFill>
                              <a:srgbClr val="000000"/>
                            </a:solidFill>
                            <a:ln>
                              <a:noFill/>
                            </a:ln>
                          </wps:spPr>
                          <wps:bodyPr rot="0" vert="horz" wrap="square" lIns="91440" tIns="45720" rIns="91440" bIns="45720" anchor="t" anchorCtr="0" upright="1">
                            <a:noAutofit/>
                          </wps:bodyPr>
                        </wps:wsp>
                        <wps:wsp>
                          <wps:cNvPr id="984" name="Freeform 19"/>
                          <wps:cNvSpPr/>
                          <wps:spPr bwMode="auto">
                            <a:xfrm>
                              <a:off x="5755" y="-5749"/>
                              <a:ext cx="120" cy="475"/>
                            </a:xfrm>
                            <a:custGeom>
                              <a:avLst/>
                              <a:gdLst>
                                <a:gd name="T0" fmla="*/ 60 w 120"/>
                                <a:gd name="T1" fmla="*/ -5749 h 475"/>
                                <a:gd name="T2" fmla="*/ 55 w 120"/>
                                <a:gd name="T3" fmla="*/ -5747 h 475"/>
                                <a:gd name="T4" fmla="*/ 53 w 120"/>
                                <a:gd name="T5" fmla="*/ -5742 h 475"/>
                                <a:gd name="T6" fmla="*/ 53 w 120"/>
                                <a:gd name="T7" fmla="*/ -5375 h 475"/>
                                <a:gd name="T8" fmla="*/ 55 w 120"/>
                                <a:gd name="T9" fmla="*/ -5370 h 475"/>
                                <a:gd name="T10" fmla="*/ 60 w 120"/>
                                <a:gd name="T11" fmla="*/ -5367 h 475"/>
                                <a:gd name="T12" fmla="*/ 65 w 120"/>
                                <a:gd name="T13" fmla="*/ -5370 h 475"/>
                                <a:gd name="T14" fmla="*/ 67 w 120"/>
                                <a:gd name="T15" fmla="*/ -5375 h 475"/>
                                <a:gd name="T16" fmla="*/ 67 w 120"/>
                                <a:gd name="T17" fmla="*/ -5742 h 475"/>
                                <a:gd name="T18" fmla="*/ 65 w 120"/>
                                <a:gd name="T19" fmla="*/ -5747 h 475"/>
                                <a:gd name="T20" fmla="*/ 60 w 120"/>
                                <a:gd name="T21" fmla="*/ -5749 h 47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20" h="475">
                                  <a:moveTo>
                                    <a:pt x="60" y="0"/>
                                  </a:moveTo>
                                  <a:lnTo>
                                    <a:pt x="55" y="2"/>
                                  </a:lnTo>
                                  <a:lnTo>
                                    <a:pt x="53" y="7"/>
                                  </a:lnTo>
                                  <a:lnTo>
                                    <a:pt x="53" y="374"/>
                                  </a:lnTo>
                                  <a:lnTo>
                                    <a:pt x="55" y="379"/>
                                  </a:lnTo>
                                  <a:lnTo>
                                    <a:pt x="60" y="382"/>
                                  </a:lnTo>
                                  <a:lnTo>
                                    <a:pt x="65" y="379"/>
                                  </a:lnTo>
                                  <a:lnTo>
                                    <a:pt x="67" y="374"/>
                                  </a:lnTo>
                                  <a:lnTo>
                                    <a:pt x="67" y="7"/>
                                  </a:lnTo>
                                  <a:lnTo>
                                    <a:pt x="65" y="2"/>
                                  </a:lnTo>
                                  <a:lnTo>
                                    <a:pt x="60" y="0"/>
                                  </a:lnTo>
                                  <a:close/>
                                </a:path>
                              </a:pathLst>
                            </a:custGeom>
                            <a:solidFill>
                              <a:srgbClr val="000000"/>
                            </a:solidFill>
                            <a:ln>
                              <a:noFill/>
                            </a:ln>
                          </wps:spPr>
                          <wps:bodyPr rot="0" vert="horz" wrap="square" lIns="91440" tIns="45720" rIns="91440" bIns="45720" anchor="t" anchorCtr="0" upright="1">
                            <a:noAutofit/>
                          </wps:bodyPr>
                        </wps:wsp>
                        <wps:wsp>
                          <wps:cNvPr id="986" name="Freeform 20"/>
                          <wps:cNvSpPr/>
                          <wps:spPr bwMode="auto">
                            <a:xfrm>
                              <a:off x="5755" y="-5749"/>
                              <a:ext cx="120" cy="475"/>
                            </a:xfrm>
                            <a:custGeom>
                              <a:avLst/>
                              <a:gdLst>
                                <a:gd name="T0" fmla="*/ 120 w 120"/>
                                <a:gd name="T1" fmla="*/ -5394 h 475"/>
                                <a:gd name="T2" fmla="*/ 67 w 120"/>
                                <a:gd name="T3" fmla="*/ -5394 h 475"/>
                                <a:gd name="T4" fmla="*/ 67 w 120"/>
                                <a:gd name="T5" fmla="*/ -5375 h 475"/>
                                <a:gd name="T6" fmla="*/ 65 w 120"/>
                                <a:gd name="T7" fmla="*/ -5370 h 475"/>
                                <a:gd name="T8" fmla="*/ 60 w 120"/>
                                <a:gd name="T9" fmla="*/ -5367 h 475"/>
                                <a:gd name="T10" fmla="*/ 107 w 120"/>
                                <a:gd name="T11" fmla="*/ -5367 h 475"/>
                                <a:gd name="T12" fmla="*/ 120 w 120"/>
                                <a:gd name="T13" fmla="*/ -5394 h 47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20" h="475">
                                  <a:moveTo>
                                    <a:pt x="120" y="355"/>
                                  </a:moveTo>
                                  <a:lnTo>
                                    <a:pt x="67" y="355"/>
                                  </a:lnTo>
                                  <a:lnTo>
                                    <a:pt x="67" y="374"/>
                                  </a:lnTo>
                                  <a:lnTo>
                                    <a:pt x="65" y="379"/>
                                  </a:lnTo>
                                  <a:lnTo>
                                    <a:pt x="60" y="382"/>
                                  </a:lnTo>
                                  <a:lnTo>
                                    <a:pt x="107" y="382"/>
                                  </a:lnTo>
                                  <a:lnTo>
                                    <a:pt x="120" y="355"/>
                                  </a:lnTo>
                                  <a:close/>
                                </a:path>
                              </a:pathLst>
                            </a:custGeom>
                            <a:solidFill>
                              <a:srgbClr val="000000"/>
                            </a:solidFill>
                            <a:ln>
                              <a:noFill/>
                            </a:ln>
                          </wps:spPr>
                          <wps:bodyPr rot="0" vert="horz" wrap="square" lIns="91440" tIns="45720" rIns="91440" bIns="45720" anchor="t" anchorCtr="0" upright="1">
                            <a:noAutofit/>
                          </wps:bodyPr>
                        </wps:wsp>
                      </wpg:wgp>
                      <wpg:wgp>
                        <wpg:cNvPr id="987" name="Group 21"/>
                        <wpg:cNvGrpSpPr/>
                        <wpg:grpSpPr>
                          <a:xfrm>
                            <a:off x="2401492" y="2659396"/>
                            <a:ext cx="76900" cy="302211"/>
                            <a:chOff x="5755" y="-4813"/>
                            <a:chExt cx="120" cy="475"/>
                          </a:xfrm>
                        </wpg:grpSpPr>
                        <wps:wsp>
                          <wps:cNvPr id="988" name="Freeform 22"/>
                          <wps:cNvSpPr/>
                          <wps:spPr bwMode="auto">
                            <a:xfrm>
                              <a:off x="5755" y="-4813"/>
                              <a:ext cx="120" cy="475"/>
                            </a:xfrm>
                            <a:custGeom>
                              <a:avLst/>
                              <a:gdLst>
                                <a:gd name="T0" fmla="*/ 53 w 120"/>
                                <a:gd name="T1" fmla="*/ -4458 h 475"/>
                                <a:gd name="T2" fmla="*/ 0 w 120"/>
                                <a:gd name="T3" fmla="*/ -4458 h 475"/>
                                <a:gd name="T4" fmla="*/ 60 w 120"/>
                                <a:gd name="T5" fmla="*/ -4338 h 475"/>
                                <a:gd name="T6" fmla="*/ 107 w 120"/>
                                <a:gd name="T7" fmla="*/ -4431 h 475"/>
                                <a:gd name="T8" fmla="*/ 60 w 120"/>
                                <a:gd name="T9" fmla="*/ -4431 h 475"/>
                                <a:gd name="T10" fmla="*/ 55 w 120"/>
                                <a:gd name="T11" fmla="*/ -4434 h 475"/>
                                <a:gd name="T12" fmla="*/ 53 w 120"/>
                                <a:gd name="T13" fmla="*/ -4439 h 475"/>
                                <a:gd name="T14" fmla="*/ 53 w 120"/>
                                <a:gd name="T15" fmla="*/ -4458 h 475"/>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20" h="475">
                                  <a:moveTo>
                                    <a:pt x="53" y="355"/>
                                  </a:moveTo>
                                  <a:lnTo>
                                    <a:pt x="0" y="355"/>
                                  </a:lnTo>
                                  <a:lnTo>
                                    <a:pt x="60" y="475"/>
                                  </a:lnTo>
                                  <a:lnTo>
                                    <a:pt x="107" y="382"/>
                                  </a:lnTo>
                                  <a:lnTo>
                                    <a:pt x="60" y="382"/>
                                  </a:lnTo>
                                  <a:lnTo>
                                    <a:pt x="55" y="379"/>
                                  </a:lnTo>
                                  <a:lnTo>
                                    <a:pt x="53" y="374"/>
                                  </a:lnTo>
                                  <a:lnTo>
                                    <a:pt x="53" y="355"/>
                                  </a:lnTo>
                                  <a:close/>
                                </a:path>
                              </a:pathLst>
                            </a:custGeom>
                            <a:solidFill>
                              <a:srgbClr val="000000"/>
                            </a:solidFill>
                            <a:ln>
                              <a:noFill/>
                            </a:ln>
                          </wps:spPr>
                          <wps:bodyPr rot="0" vert="horz" wrap="square" lIns="91440" tIns="45720" rIns="91440" bIns="45720" anchor="t" anchorCtr="0" upright="1">
                            <a:noAutofit/>
                          </wps:bodyPr>
                        </wps:wsp>
                        <wps:wsp>
                          <wps:cNvPr id="989" name="Freeform 23"/>
                          <wps:cNvSpPr/>
                          <wps:spPr bwMode="auto">
                            <a:xfrm>
                              <a:off x="5755" y="-4813"/>
                              <a:ext cx="120" cy="475"/>
                            </a:xfrm>
                            <a:custGeom>
                              <a:avLst/>
                              <a:gdLst>
                                <a:gd name="T0" fmla="*/ 60 w 120"/>
                                <a:gd name="T1" fmla="*/ -4813 h 475"/>
                                <a:gd name="T2" fmla="*/ 55 w 120"/>
                                <a:gd name="T3" fmla="*/ -4811 h 475"/>
                                <a:gd name="T4" fmla="*/ 53 w 120"/>
                                <a:gd name="T5" fmla="*/ -4806 h 475"/>
                                <a:gd name="T6" fmla="*/ 53 w 120"/>
                                <a:gd name="T7" fmla="*/ -4439 h 475"/>
                                <a:gd name="T8" fmla="*/ 55 w 120"/>
                                <a:gd name="T9" fmla="*/ -4434 h 475"/>
                                <a:gd name="T10" fmla="*/ 60 w 120"/>
                                <a:gd name="T11" fmla="*/ -4431 h 475"/>
                                <a:gd name="T12" fmla="*/ 65 w 120"/>
                                <a:gd name="T13" fmla="*/ -4434 h 475"/>
                                <a:gd name="T14" fmla="*/ 67 w 120"/>
                                <a:gd name="T15" fmla="*/ -4439 h 475"/>
                                <a:gd name="T16" fmla="*/ 67 w 120"/>
                                <a:gd name="T17" fmla="*/ -4806 h 475"/>
                                <a:gd name="T18" fmla="*/ 65 w 120"/>
                                <a:gd name="T19" fmla="*/ -4811 h 475"/>
                                <a:gd name="T20" fmla="*/ 60 w 120"/>
                                <a:gd name="T21" fmla="*/ -4813 h 47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20" h="475">
                                  <a:moveTo>
                                    <a:pt x="60" y="0"/>
                                  </a:moveTo>
                                  <a:lnTo>
                                    <a:pt x="55" y="2"/>
                                  </a:lnTo>
                                  <a:lnTo>
                                    <a:pt x="53" y="7"/>
                                  </a:lnTo>
                                  <a:lnTo>
                                    <a:pt x="53" y="374"/>
                                  </a:lnTo>
                                  <a:lnTo>
                                    <a:pt x="55" y="379"/>
                                  </a:lnTo>
                                  <a:lnTo>
                                    <a:pt x="60" y="382"/>
                                  </a:lnTo>
                                  <a:lnTo>
                                    <a:pt x="65" y="379"/>
                                  </a:lnTo>
                                  <a:lnTo>
                                    <a:pt x="67" y="374"/>
                                  </a:lnTo>
                                  <a:lnTo>
                                    <a:pt x="67" y="7"/>
                                  </a:lnTo>
                                  <a:lnTo>
                                    <a:pt x="65" y="2"/>
                                  </a:lnTo>
                                  <a:lnTo>
                                    <a:pt x="60" y="0"/>
                                  </a:lnTo>
                                  <a:close/>
                                </a:path>
                              </a:pathLst>
                            </a:custGeom>
                            <a:solidFill>
                              <a:srgbClr val="000000"/>
                            </a:solidFill>
                            <a:ln>
                              <a:noFill/>
                            </a:ln>
                          </wps:spPr>
                          <wps:bodyPr rot="0" vert="horz" wrap="square" lIns="91440" tIns="45720" rIns="91440" bIns="45720" anchor="t" anchorCtr="0" upright="1">
                            <a:noAutofit/>
                          </wps:bodyPr>
                        </wps:wsp>
                        <wps:wsp>
                          <wps:cNvPr id="990" name="Freeform 24"/>
                          <wps:cNvSpPr/>
                          <wps:spPr bwMode="auto">
                            <a:xfrm>
                              <a:off x="5755" y="-4813"/>
                              <a:ext cx="120" cy="475"/>
                            </a:xfrm>
                            <a:custGeom>
                              <a:avLst/>
                              <a:gdLst>
                                <a:gd name="T0" fmla="*/ 120 w 120"/>
                                <a:gd name="T1" fmla="*/ -4458 h 475"/>
                                <a:gd name="T2" fmla="*/ 67 w 120"/>
                                <a:gd name="T3" fmla="*/ -4458 h 475"/>
                                <a:gd name="T4" fmla="*/ 67 w 120"/>
                                <a:gd name="T5" fmla="*/ -4439 h 475"/>
                                <a:gd name="T6" fmla="*/ 65 w 120"/>
                                <a:gd name="T7" fmla="*/ -4434 h 475"/>
                                <a:gd name="T8" fmla="*/ 60 w 120"/>
                                <a:gd name="T9" fmla="*/ -4431 h 475"/>
                                <a:gd name="T10" fmla="*/ 107 w 120"/>
                                <a:gd name="T11" fmla="*/ -4431 h 475"/>
                                <a:gd name="T12" fmla="*/ 120 w 120"/>
                                <a:gd name="T13" fmla="*/ -4458 h 47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20" h="475">
                                  <a:moveTo>
                                    <a:pt x="120" y="355"/>
                                  </a:moveTo>
                                  <a:lnTo>
                                    <a:pt x="67" y="355"/>
                                  </a:lnTo>
                                  <a:lnTo>
                                    <a:pt x="67" y="374"/>
                                  </a:lnTo>
                                  <a:lnTo>
                                    <a:pt x="65" y="379"/>
                                  </a:lnTo>
                                  <a:lnTo>
                                    <a:pt x="60" y="382"/>
                                  </a:lnTo>
                                  <a:lnTo>
                                    <a:pt x="107" y="382"/>
                                  </a:lnTo>
                                  <a:lnTo>
                                    <a:pt x="120" y="355"/>
                                  </a:lnTo>
                                  <a:close/>
                                </a:path>
                              </a:pathLst>
                            </a:custGeom>
                            <a:solidFill>
                              <a:srgbClr val="000000"/>
                            </a:solidFill>
                            <a:ln>
                              <a:noFill/>
                            </a:ln>
                          </wps:spPr>
                          <wps:bodyPr rot="0" vert="horz" wrap="square" lIns="91440" tIns="45720" rIns="91440" bIns="45720" anchor="t" anchorCtr="0" upright="1">
                            <a:noAutofit/>
                          </wps:bodyPr>
                        </wps:wsp>
                      </wpg:wgp>
                      <wpg:wgp>
                        <wpg:cNvPr id="991" name="Group 25"/>
                        <wpg:cNvGrpSpPr/>
                        <wpg:grpSpPr>
                          <a:xfrm>
                            <a:off x="2401492" y="3224517"/>
                            <a:ext cx="76900" cy="302311"/>
                            <a:chOff x="5755" y="-3877"/>
                            <a:chExt cx="120" cy="475"/>
                          </a:xfrm>
                        </wpg:grpSpPr>
                        <wps:wsp>
                          <wps:cNvPr id="992" name="Freeform 26"/>
                          <wps:cNvSpPr/>
                          <wps:spPr bwMode="auto">
                            <a:xfrm>
                              <a:off x="5755" y="-3877"/>
                              <a:ext cx="120" cy="475"/>
                            </a:xfrm>
                            <a:custGeom>
                              <a:avLst/>
                              <a:gdLst>
                                <a:gd name="T0" fmla="*/ 53 w 120"/>
                                <a:gd name="T1" fmla="*/ -3522 h 475"/>
                                <a:gd name="T2" fmla="*/ 0 w 120"/>
                                <a:gd name="T3" fmla="*/ -3522 h 475"/>
                                <a:gd name="T4" fmla="*/ 60 w 120"/>
                                <a:gd name="T5" fmla="*/ -3402 h 475"/>
                                <a:gd name="T6" fmla="*/ 107 w 120"/>
                                <a:gd name="T7" fmla="*/ -3495 h 475"/>
                                <a:gd name="T8" fmla="*/ 60 w 120"/>
                                <a:gd name="T9" fmla="*/ -3495 h 475"/>
                                <a:gd name="T10" fmla="*/ 55 w 120"/>
                                <a:gd name="T11" fmla="*/ -3498 h 475"/>
                                <a:gd name="T12" fmla="*/ 53 w 120"/>
                                <a:gd name="T13" fmla="*/ -3503 h 475"/>
                                <a:gd name="T14" fmla="*/ 53 w 120"/>
                                <a:gd name="T15" fmla="*/ -3522 h 475"/>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20" h="475">
                                  <a:moveTo>
                                    <a:pt x="53" y="355"/>
                                  </a:moveTo>
                                  <a:lnTo>
                                    <a:pt x="0" y="355"/>
                                  </a:lnTo>
                                  <a:lnTo>
                                    <a:pt x="60" y="475"/>
                                  </a:lnTo>
                                  <a:lnTo>
                                    <a:pt x="107" y="382"/>
                                  </a:lnTo>
                                  <a:lnTo>
                                    <a:pt x="60" y="382"/>
                                  </a:lnTo>
                                  <a:lnTo>
                                    <a:pt x="55" y="379"/>
                                  </a:lnTo>
                                  <a:lnTo>
                                    <a:pt x="53" y="374"/>
                                  </a:lnTo>
                                  <a:lnTo>
                                    <a:pt x="53" y="355"/>
                                  </a:lnTo>
                                  <a:close/>
                                </a:path>
                              </a:pathLst>
                            </a:custGeom>
                            <a:solidFill>
                              <a:srgbClr val="000000"/>
                            </a:solidFill>
                            <a:ln>
                              <a:noFill/>
                            </a:ln>
                          </wps:spPr>
                          <wps:bodyPr rot="0" vert="horz" wrap="square" lIns="91440" tIns="45720" rIns="91440" bIns="45720" anchor="t" anchorCtr="0" upright="1">
                            <a:noAutofit/>
                          </wps:bodyPr>
                        </wps:wsp>
                        <wps:wsp>
                          <wps:cNvPr id="993" name="Freeform 27"/>
                          <wps:cNvSpPr/>
                          <wps:spPr bwMode="auto">
                            <a:xfrm>
                              <a:off x="5755" y="-3877"/>
                              <a:ext cx="120" cy="475"/>
                            </a:xfrm>
                            <a:custGeom>
                              <a:avLst/>
                              <a:gdLst>
                                <a:gd name="T0" fmla="*/ 60 w 120"/>
                                <a:gd name="T1" fmla="*/ -3877 h 475"/>
                                <a:gd name="T2" fmla="*/ 55 w 120"/>
                                <a:gd name="T3" fmla="*/ -3875 h 475"/>
                                <a:gd name="T4" fmla="*/ 53 w 120"/>
                                <a:gd name="T5" fmla="*/ -3870 h 475"/>
                                <a:gd name="T6" fmla="*/ 53 w 120"/>
                                <a:gd name="T7" fmla="*/ -3503 h 475"/>
                                <a:gd name="T8" fmla="*/ 55 w 120"/>
                                <a:gd name="T9" fmla="*/ -3498 h 475"/>
                                <a:gd name="T10" fmla="*/ 60 w 120"/>
                                <a:gd name="T11" fmla="*/ -3495 h 475"/>
                                <a:gd name="T12" fmla="*/ 65 w 120"/>
                                <a:gd name="T13" fmla="*/ -3498 h 475"/>
                                <a:gd name="T14" fmla="*/ 67 w 120"/>
                                <a:gd name="T15" fmla="*/ -3503 h 475"/>
                                <a:gd name="T16" fmla="*/ 67 w 120"/>
                                <a:gd name="T17" fmla="*/ -3870 h 475"/>
                                <a:gd name="T18" fmla="*/ 65 w 120"/>
                                <a:gd name="T19" fmla="*/ -3875 h 475"/>
                                <a:gd name="T20" fmla="*/ 60 w 120"/>
                                <a:gd name="T21" fmla="*/ -3877 h 47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20" h="475">
                                  <a:moveTo>
                                    <a:pt x="60" y="0"/>
                                  </a:moveTo>
                                  <a:lnTo>
                                    <a:pt x="55" y="2"/>
                                  </a:lnTo>
                                  <a:lnTo>
                                    <a:pt x="53" y="7"/>
                                  </a:lnTo>
                                  <a:lnTo>
                                    <a:pt x="53" y="374"/>
                                  </a:lnTo>
                                  <a:lnTo>
                                    <a:pt x="55" y="379"/>
                                  </a:lnTo>
                                  <a:lnTo>
                                    <a:pt x="60" y="382"/>
                                  </a:lnTo>
                                  <a:lnTo>
                                    <a:pt x="65" y="379"/>
                                  </a:lnTo>
                                  <a:lnTo>
                                    <a:pt x="67" y="374"/>
                                  </a:lnTo>
                                  <a:lnTo>
                                    <a:pt x="67" y="7"/>
                                  </a:lnTo>
                                  <a:lnTo>
                                    <a:pt x="65" y="2"/>
                                  </a:lnTo>
                                  <a:lnTo>
                                    <a:pt x="60" y="0"/>
                                  </a:lnTo>
                                  <a:close/>
                                </a:path>
                              </a:pathLst>
                            </a:custGeom>
                            <a:solidFill>
                              <a:srgbClr val="000000"/>
                            </a:solidFill>
                            <a:ln>
                              <a:noFill/>
                            </a:ln>
                          </wps:spPr>
                          <wps:bodyPr rot="0" vert="horz" wrap="square" lIns="91440" tIns="45720" rIns="91440" bIns="45720" anchor="t" anchorCtr="0" upright="1">
                            <a:noAutofit/>
                          </wps:bodyPr>
                        </wps:wsp>
                        <wps:wsp>
                          <wps:cNvPr id="994" name="Freeform 28"/>
                          <wps:cNvSpPr/>
                          <wps:spPr bwMode="auto">
                            <a:xfrm>
                              <a:off x="5755" y="-3877"/>
                              <a:ext cx="120" cy="475"/>
                            </a:xfrm>
                            <a:custGeom>
                              <a:avLst/>
                              <a:gdLst>
                                <a:gd name="T0" fmla="*/ 120 w 120"/>
                                <a:gd name="T1" fmla="*/ -3522 h 475"/>
                                <a:gd name="T2" fmla="*/ 67 w 120"/>
                                <a:gd name="T3" fmla="*/ -3522 h 475"/>
                                <a:gd name="T4" fmla="*/ 67 w 120"/>
                                <a:gd name="T5" fmla="*/ -3503 h 475"/>
                                <a:gd name="T6" fmla="*/ 65 w 120"/>
                                <a:gd name="T7" fmla="*/ -3498 h 475"/>
                                <a:gd name="T8" fmla="*/ 60 w 120"/>
                                <a:gd name="T9" fmla="*/ -3495 h 475"/>
                                <a:gd name="T10" fmla="*/ 107 w 120"/>
                                <a:gd name="T11" fmla="*/ -3495 h 475"/>
                                <a:gd name="T12" fmla="*/ 120 w 120"/>
                                <a:gd name="T13" fmla="*/ -3522 h 47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20" h="475">
                                  <a:moveTo>
                                    <a:pt x="120" y="355"/>
                                  </a:moveTo>
                                  <a:lnTo>
                                    <a:pt x="67" y="355"/>
                                  </a:lnTo>
                                  <a:lnTo>
                                    <a:pt x="67" y="374"/>
                                  </a:lnTo>
                                  <a:lnTo>
                                    <a:pt x="65" y="379"/>
                                  </a:lnTo>
                                  <a:lnTo>
                                    <a:pt x="60" y="382"/>
                                  </a:lnTo>
                                  <a:lnTo>
                                    <a:pt x="107" y="382"/>
                                  </a:lnTo>
                                  <a:lnTo>
                                    <a:pt x="120" y="355"/>
                                  </a:lnTo>
                                  <a:close/>
                                </a:path>
                              </a:pathLst>
                            </a:custGeom>
                            <a:solidFill>
                              <a:srgbClr val="000000"/>
                            </a:solidFill>
                            <a:ln>
                              <a:noFill/>
                            </a:ln>
                          </wps:spPr>
                          <wps:bodyPr rot="0" vert="horz" wrap="square" lIns="91440" tIns="45720" rIns="91440" bIns="45720" anchor="t" anchorCtr="0" upright="1">
                            <a:noAutofit/>
                          </wps:bodyPr>
                        </wps:wsp>
                      </wpg:wgp>
                      <wps:wsp>
                        <wps:cNvPr id="995" name="Rectangle 29"/>
                        <wps:cNvSpPr>
                          <a:spLocks noChangeArrowheads="1"/>
                        </wps:cNvSpPr>
                        <wps:spPr bwMode="auto">
                          <a:xfrm>
                            <a:off x="1447195" y="101604"/>
                            <a:ext cx="1979894" cy="288210"/>
                          </a:xfrm>
                          <a:prstGeom prst="rect">
                            <a:avLst/>
                          </a:prstGeom>
                          <a:solidFill>
                            <a:srgbClr val="FFFFFF"/>
                          </a:solidFill>
                          <a:ln w="9525">
                            <a:solidFill>
                              <a:srgbClr val="000000"/>
                            </a:solidFill>
                            <a:miter lim="800000"/>
                          </a:ln>
                        </wps:spPr>
                        <wps:txbx>
                          <w:txbxContent>
                            <w:p w14:paraId="56320AD7">
                              <w:pPr>
                                <w:jc w:val="center"/>
                                <w:rPr>
                                  <w:rFonts w:ascii="宋体" w:hAnsi="宋体"/>
                                  <w:b w:val="0"/>
                                  <w:szCs w:val="21"/>
                                </w:rPr>
                              </w:pPr>
                              <w:r>
                                <w:rPr>
                                  <w:rFonts w:hint="eastAsia" w:ascii="宋体" w:hAnsi="宋体"/>
                                  <w:b w:val="0"/>
                                  <w:szCs w:val="21"/>
                                </w:rPr>
                                <w:t>前期准备</w:t>
                              </w:r>
                            </w:p>
                          </w:txbxContent>
                        </wps:txbx>
                        <wps:bodyPr rot="0" vert="horz" wrap="square" lIns="91440" tIns="45720" rIns="91440" bIns="45720" anchor="t" anchorCtr="0" upright="1">
                          <a:noAutofit/>
                        </wps:bodyPr>
                      </wps:wsp>
                      <wps:wsp>
                        <wps:cNvPr id="996" name="Rectangle 30"/>
                        <wps:cNvSpPr>
                          <a:spLocks noChangeArrowheads="1"/>
                        </wps:cNvSpPr>
                        <wps:spPr bwMode="auto">
                          <a:xfrm>
                            <a:off x="1447195" y="677525"/>
                            <a:ext cx="1979894" cy="288310"/>
                          </a:xfrm>
                          <a:prstGeom prst="rect">
                            <a:avLst/>
                          </a:prstGeom>
                          <a:solidFill>
                            <a:srgbClr val="FFFFFF"/>
                          </a:solidFill>
                          <a:ln w="9525">
                            <a:solidFill>
                              <a:srgbClr val="000000"/>
                            </a:solidFill>
                            <a:miter lim="800000"/>
                          </a:ln>
                        </wps:spPr>
                        <wps:txbx>
                          <w:txbxContent>
                            <w:p w14:paraId="29D9E487">
                              <w:pPr>
                                <w:jc w:val="center"/>
                                <w:rPr>
                                  <w:rFonts w:ascii="宋体" w:hAnsi="宋体"/>
                                  <w:b w:val="0"/>
                                  <w:szCs w:val="21"/>
                                </w:rPr>
                              </w:pPr>
                              <w:r>
                                <w:rPr>
                                  <w:rFonts w:hint="eastAsia" w:ascii="宋体" w:hAnsi="宋体"/>
                                  <w:b w:val="0"/>
                                  <w:szCs w:val="21"/>
                                </w:rPr>
                                <w:t>辩识与分析危险、有害因素</w:t>
                              </w:r>
                            </w:p>
                          </w:txbxContent>
                        </wps:txbx>
                        <wps:bodyPr rot="0" vert="horz" wrap="square" lIns="91440" tIns="45720" rIns="91440" bIns="45720" anchor="t" anchorCtr="0" upright="1">
                          <a:noAutofit/>
                        </wps:bodyPr>
                      </wps:wsp>
                      <wps:wsp>
                        <wps:cNvPr id="997" name="Rectangle 31"/>
                        <wps:cNvSpPr>
                          <a:spLocks noChangeArrowheads="1"/>
                        </wps:cNvSpPr>
                        <wps:spPr bwMode="auto">
                          <a:xfrm>
                            <a:off x="1447195" y="1252245"/>
                            <a:ext cx="1979894" cy="288210"/>
                          </a:xfrm>
                          <a:prstGeom prst="rect">
                            <a:avLst/>
                          </a:prstGeom>
                          <a:solidFill>
                            <a:srgbClr val="FFFFFF"/>
                          </a:solidFill>
                          <a:ln w="9525">
                            <a:solidFill>
                              <a:srgbClr val="000000"/>
                            </a:solidFill>
                            <a:miter lim="800000"/>
                          </a:ln>
                        </wps:spPr>
                        <wps:txbx>
                          <w:txbxContent>
                            <w:p w14:paraId="16832E9A">
                              <w:pPr>
                                <w:jc w:val="center"/>
                                <w:rPr>
                                  <w:rFonts w:ascii="宋体" w:hAnsi="宋体"/>
                                  <w:b w:val="0"/>
                                  <w:szCs w:val="21"/>
                                </w:rPr>
                              </w:pPr>
                              <w:r>
                                <w:rPr>
                                  <w:rFonts w:hint="eastAsia" w:ascii="宋体" w:hAnsi="宋体"/>
                                  <w:b w:val="0"/>
                                  <w:szCs w:val="21"/>
                                </w:rPr>
                                <w:t>划分评价单元</w:t>
                              </w:r>
                            </w:p>
                          </w:txbxContent>
                        </wps:txbx>
                        <wps:bodyPr rot="0" vert="horz" wrap="square" lIns="91440" tIns="45720" rIns="91440" bIns="45720" anchor="t" anchorCtr="0" upright="1">
                          <a:noAutofit/>
                        </wps:bodyPr>
                      </wps:wsp>
                      <wps:wsp>
                        <wps:cNvPr id="998" name="Rectangle 32"/>
                        <wps:cNvSpPr>
                          <a:spLocks noChangeArrowheads="1"/>
                        </wps:cNvSpPr>
                        <wps:spPr bwMode="auto">
                          <a:xfrm>
                            <a:off x="1447195" y="1827566"/>
                            <a:ext cx="1979894" cy="288210"/>
                          </a:xfrm>
                          <a:prstGeom prst="rect">
                            <a:avLst/>
                          </a:prstGeom>
                          <a:solidFill>
                            <a:srgbClr val="FFFFFF"/>
                          </a:solidFill>
                          <a:ln w="9525">
                            <a:solidFill>
                              <a:srgbClr val="000000"/>
                            </a:solidFill>
                            <a:miter lim="800000"/>
                          </a:ln>
                        </wps:spPr>
                        <wps:txbx>
                          <w:txbxContent>
                            <w:p w14:paraId="6DB988FB">
                              <w:pPr>
                                <w:jc w:val="center"/>
                                <w:rPr>
                                  <w:rFonts w:ascii="宋体" w:hAnsi="宋体"/>
                                  <w:b w:val="0"/>
                                  <w:szCs w:val="21"/>
                                </w:rPr>
                              </w:pPr>
                              <w:r>
                                <w:rPr>
                                  <w:rFonts w:hint="eastAsia" w:ascii="宋体" w:hAnsi="宋体"/>
                                  <w:b w:val="0"/>
                                  <w:szCs w:val="21"/>
                                </w:rPr>
                                <w:t>选择安全评价方法</w:t>
                              </w:r>
                            </w:p>
                          </w:txbxContent>
                        </wps:txbx>
                        <wps:bodyPr rot="0" vert="horz" wrap="square" lIns="91440" tIns="45720" rIns="91440" bIns="45720" anchor="t" anchorCtr="0" upright="1">
                          <a:noAutofit/>
                        </wps:bodyPr>
                      </wps:wsp>
                      <wps:wsp>
                        <wps:cNvPr id="999" name="Rectangle 33"/>
                        <wps:cNvSpPr>
                          <a:spLocks noChangeArrowheads="1"/>
                        </wps:cNvSpPr>
                        <wps:spPr bwMode="auto">
                          <a:xfrm>
                            <a:off x="1447195" y="2402187"/>
                            <a:ext cx="1979894" cy="288310"/>
                          </a:xfrm>
                          <a:prstGeom prst="rect">
                            <a:avLst/>
                          </a:prstGeom>
                          <a:solidFill>
                            <a:srgbClr val="FFFFFF"/>
                          </a:solidFill>
                          <a:ln w="9525">
                            <a:solidFill>
                              <a:srgbClr val="000000"/>
                            </a:solidFill>
                            <a:miter lim="800000"/>
                          </a:ln>
                        </wps:spPr>
                        <wps:txbx>
                          <w:txbxContent>
                            <w:p w14:paraId="1A4093D8">
                              <w:pPr>
                                <w:jc w:val="center"/>
                                <w:rPr>
                                  <w:rFonts w:ascii="宋体" w:hAnsi="宋体"/>
                                  <w:b w:val="0"/>
                                  <w:szCs w:val="21"/>
                                </w:rPr>
                              </w:pPr>
                              <w:r>
                                <w:rPr>
                                  <w:rFonts w:hint="eastAsia" w:ascii="宋体" w:hAnsi="宋体"/>
                                  <w:b w:val="0"/>
                                  <w:szCs w:val="21"/>
                                </w:rPr>
                                <w:t>定性、定量分析</w:t>
                              </w:r>
                            </w:p>
                            <w:p w14:paraId="10975B83">
                              <w:pPr>
                                <w:jc w:val="center"/>
                                <w:rPr>
                                  <w:rFonts w:ascii="宋体" w:hAnsi="宋体"/>
                                  <w:szCs w:val="21"/>
                                </w:rPr>
                              </w:pPr>
                            </w:p>
                          </w:txbxContent>
                        </wps:txbx>
                        <wps:bodyPr rot="0" vert="horz" wrap="square" lIns="91440" tIns="45720" rIns="91440" bIns="45720" anchor="t" anchorCtr="0" upright="1">
                          <a:noAutofit/>
                        </wps:bodyPr>
                      </wps:wsp>
                      <wps:wsp>
                        <wps:cNvPr id="1000" name="Rectangle 34"/>
                        <wps:cNvSpPr>
                          <a:spLocks noChangeArrowheads="1"/>
                        </wps:cNvSpPr>
                        <wps:spPr bwMode="auto">
                          <a:xfrm>
                            <a:off x="1447195" y="2969308"/>
                            <a:ext cx="1979894" cy="288310"/>
                          </a:xfrm>
                          <a:prstGeom prst="rect">
                            <a:avLst/>
                          </a:prstGeom>
                          <a:solidFill>
                            <a:srgbClr val="FFFFFF"/>
                          </a:solidFill>
                          <a:ln w="9525">
                            <a:solidFill>
                              <a:srgbClr val="000000"/>
                            </a:solidFill>
                            <a:miter lim="800000"/>
                          </a:ln>
                        </wps:spPr>
                        <wps:txbx>
                          <w:txbxContent>
                            <w:p w14:paraId="5026300F">
                              <w:pPr>
                                <w:jc w:val="center"/>
                                <w:rPr>
                                  <w:rFonts w:ascii="宋体" w:hAnsi="宋体"/>
                                  <w:b w:val="0"/>
                                  <w:szCs w:val="21"/>
                                </w:rPr>
                              </w:pPr>
                              <w:r>
                                <w:rPr>
                                  <w:rFonts w:hint="eastAsia" w:ascii="宋体" w:hAnsi="宋体"/>
                                  <w:b w:val="0"/>
                                  <w:szCs w:val="21"/>
                                </w:rPr>
                                <w:t>提出安全对策措施建议</w:t>
                              </w:r>
                            </w:p>
                            <w:p w14:paraId="60071C79">
                              <w:pPr>
                                <w:jc w:val="center"/>
                                <w:rPr>
                                  <w:rFonts w:ascii="宋体" w:hAnsi="宋体"/>
                                  <w:szCs w:val="21"/>
                                </w:rPr>
                              </w:pPr>
                            </w:p>
                          </w:txbxContent>
                        </wps:txbx>
                        <wps:bodyPr rot="0" vert="horz" wrap="square" lIns="91440" tIns="45720" rIns="91440" bIns="45720" anchor="t" anchorCtr="0" upright="1">
                          <a:noAutofit/>
                        </wps:bodyPr>
                      </wps:wsp>
                      <wps:wsp>
                        <wps:cNvPr id="1001" name="Rectangle 35"/>
                        <wps:cNvSpPr>
                          <a:spLocks noChangeArrowheads="1"/>
                        </wps:cNvSpPr>
                        <wps:spPr bwMode="auto">
                          <a:xfrm>
                            <a:off x="1447195" y="3533128"/>
                            <a:ext cx="1979894" cy="288310"/>
                          </a:xfrm>
                          <a:prstGeom prst="rect">
                            <a:avLst/>
                          </a:prstGeom>
                          <a:solidFill>
                            <a:srgbClr val="FFFFFF"/>
                          </a:solidFill>
                          <a:ln w="9525">
                            <a:solidFill>
                              <a:srgbClr val="000000"/>
                            </a:solidFill>
                            <a:miter lim="800000"/>
                          </a:ln>
                        </wps:spPr>
                        <wps:txbx>
                          <w:txbxContent>
                            <w:p w14:paraId="56E0B65F">
                              <w:pPr>
                                <w:jc w:val="center"/>
                                <w:rPr>
                                  <w:rFonts w:ascii="宋体" w:hAnsi="宋体"/>
                                  <w:b w:val="0"/>
                                  <w:szCs w:val="21"/>
                                </w:rPr>
                              </w:pPr>
                              <w:r>
                                <w:rPr>
                                  <w:rFonts w:hint="eastAsia" w:ascii="宋体" w:hAnsi="宋体"/>
                                  <w:b w:val="0"/>
                                  <w:szCs w:val="21"/>
                                </w:rPr>
                                <w:t>做出评价结论</w:t>
                              </w:r>
                            </w:p>
                          </w:txbxContent>
                        </wps:txbx>
                        <wps:bodyPr rot="0" vert="horz" wrap="square" lIns="91440" tIns="45720" rIns="91440" bIns="45720" anchor="t" anchorCtr="0" upright="1">
                          <a:noAutofit/>
                        </wps:bodyPr>
                      </wps:wsp>
                      <wpg:wgp>
                        <wpg:cNvPr id="1002" name="Group 25"/>
                        <wpg:cNvGrpSpPr/>
                        <wpg:grpSpPr>
                          <a:xfrm>
                            <a:off x="2401492" y="3817665"/>
                            <a:ext cx="76900" cy="302311"/>
                            <a:chOff x="5755" y="-3877"/>
                            <a:chExt cx="120" cy="475"/>
                          </a:xfrm>
                        </wpg:grpSpPr>
                        <wps:wsp>
                          <wps:cNvPr id="1003" name="Freeform 26"/>
                          <wps:cNvSpPr/>
                          <wps:spPr bwMode="auto">
                            <a:xfrm>
                              <a:off x="5755" y="-3877"/>
                              <a:ext cx="120" cy="475"/>
                            </a:xfrm>
                            <a:custGeom>
                              <a:avLst/>
                              <a:gdLst>
                                <a:gd name="T0" fmla="*/ 53 w 120"/>
                                <a:gd name="T1" fmla="*/ -3522 h 475"/>
                                <a:gd name="T2" fmla="*/ 0 w 120"/>
                                <a:gd name="T3" fmla="*/ -3522 h 475"/>
                                <a:gd name="T4" fmla="*/ 60 w 120"/>
                                <a:gd name="T5" fmla="*/ -3402 h 475"/>
                                <a:gd name="T6" fmla="*/ 107 w 120"/>
                                <a:gd name="T7" fmla="*/ -3495 h 475"/>
                                <a:gd name="T8" fmla="*/ 60 w 120"/>
                                <a:gd name="T9" fmla="*/ -3495 h 475"/>
                                <a:gd name="T10" fmla="*/ 55 w 120"/>
                                <a:gd name="T11" fmla="*/ -3498 h 475"/>
                                <a:gd name="T12" fmla="*/ 53 w 120"/>
                                <a:gd name="T13" fmla="*/ -3503 h 475"/>
                                <a:gd name="T14" fmla="*/ 53 w 120"/>
                                <a:gd name="T15" fmla="*/ -3522 h 475"/>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20" h="475">
                                  <a:moveTo>
                                    <a:pt x="53" y="355"/>
                                  </a:moveTo>
                                  <a:lnTo>
                                    <a:pt x="0" y="355"/>
                                  </a:lnTo>
                                  <a:lnTo>
                                    <a:pt x="60" y="475"/>
                                  </a:lnTo>
                                  <a:lnTo>
                                    <a:pt x="107" y="382"/>
                                  </a:lnTo>
                                  <a:lnTo>
                                    <a:pt x="60" y="382"/>
                                  </a:lnTo>
                                  <a:lnTo>
                                    <a:pt x="55" y="379"/>
                                  </a:lnTo>
                                  <a:lnTo>
                                    <a:pt x="53" y="374"/>
                                  </a:lnTo>
                                  <a:lnTo>
                                    <a:pt x="53" y="355"/>
                                  </a:lnTo>
                                  <a:close/>
                                </a:path>
                              </a:pathLst>
                            </a:custGeom>
                            <a:solidFill>
                              <a:srgbClr val="000000"/>
                            </a:solidFill>
                            <a:ln>
                              <a:noFill/>
                            </a:ln>
                          </wps:spPr>
                          <wps:bodyPr rot="0" vert="horz" wrap="square" lIns="91440" tIns="45720" rIns="91440" bIns="45720" anchor="t" anchorCtr="0" upright="1">
                            <a:noAutofit/>
                          </wps:bodyPr>
                        </wps:wsp>
                        <wps:wsp>
                          <wps:cNvPr id="1004" name="Freeform 27"/>
                          <wps:cNvSpPr/>
                          <wps:spPr bwMode="auto">
                            <a:xfrm>
                              <a:off x="5755" y="-3877"/>
                              <a:ext cx="120" cy="475"/>
                            </a:xfrm>
                            <a:custGeom>
                              <a:avLst/>
                              <a:gdLst>
                                <a:gd name="T0" fmla="*/ 60 w 120"/>
                                <a:gd name="T1" fmla="*/ -3877 h 475"/>
                                <a:gd name="T2" fmla="*/ 55 w 120"/>
                                <a:gd name="T3" fmla="*/ -3875 h 475"/>
                                <a:gd name="T4" fmla="*/ 53 w 120"/>
                                <a:gd name="T5" fmla="*/ -3870 h 475"/>
                                <a:gd name="T6" fmla="*/ 53 w 120"/>
                                <a:gd name="T7" fmla="*/ -3503 h 475"/>
                                <a:gd name="T8" fmla="*/ 55 w 120"/>
                                <a:gd name="T9" fmla="*/ -3498 h 475"/>
                                <a:gd name="T10" fmla="*/ 60 w 120"/>
                                <a:gd name="T11" fmla="*/ -3495 h 475"/>
                                <a:gd name="T12" fmla="*/ 65 w 120"/>
                                <a:gd name="T13" fmla="*/ -3498 h 475"/>
                                <a:gd name="T14" fmla="*/ 67 w 120"/>
                                <a:gd name="T15" fmla="*/ -3503 h 475"/>
                                <a:gd name="T16" fmla="*/ 67 w 120"/>
                                <a:gd name="T17" fmla="*/ -3870 h 475"/>
                                <a:gd name="T18" fmla="*/ 65 w 120"/>
                                <a:gd name="T19" fmla="*/ -3875 h 475"/>
                                <a:gd name="T20" fmla="*/ 60 w 120"/>
                                <a:gd name="T21" fmla="*/ -3877 h 47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20" h="475">
                                  <a:moveTo>
                                    <a:pt x="60" y="0"/>
                                  </a:moveTo>
                                  <a:lnTo>
                                    <a:pt x="55" y="2"/>
                                  </a:lnTo>
                                  <a:lnTo>
                                    <a:pt x="53" y="7"/>
                                  </a:lnTo>
                                  <a:lnTo>
                                    <a:pt x="53" y="374"/>
                                  </a:lnTo>
                                  <a:lnTo>
                                    <a:pt x="55" y="379"/>
                                  </a:lnTo>
                                  <a:lnTo>
                                    <a:pt x="60" y="382"/>
                                  </a:lnTo>
                                  <a:lnTo>
                                    <a:pt x="65" y="379"/>
                                  </a:lnTo>
                                  <a:lnTo>
                                    <a:pt x="67" y="374"/>
                                  </a:lnTo>
                                  <a:lnTo>
                                    <a:pt x="67" y="7"/>
                                  </a:lnTo>
                                  <a:lnTo>
                                    <a:pt x="65" y="2"/>
                                  </a:lnTo>
                                  <a:lnTo>
                                    <a:pt x="60" y="0"/>
                                  </a:lnTo>
                                  <a:close/>
                                </a:path>
                              </a:pathLst>
                            </a:custGeom>
                            <a:solidFill>
                              <a:srgbClr val="000000"/>
                            </a:solidFill>
                            <a:ln>
                              <a:noFill/>
                            </a:ln>
                          </wps:spPr>
                          <wps:bodyPr rot="0" vert="horz" wrap="square" lIns="91440" tIns="45720" rIns="91440" bIns="45720" anchor="t" anchorCtr="0" upright="1">
                            <a:noAutofit/>
                          </wps:bodyPr>
                        </wps:wsp>
                        <wps:wsp>
                          <wps:cNvPr id="1005" name="Freeform 28"/>
                          <wps:cNvSpPr/>
                          <wps:spPr bwMode="auto">
                            <a:xfrm>
                              <a:off x="5755" y="-3877"/>
                              <a:ext cx="120" cy="475"/>
                            </a:xfrm>
                            <a:custGeom>
                              <a:avLst/>
                              <a:gdLst>
                                <a:gd name="T0" fmla="*/ 120 w 120"/>
                                <a:gd name="T1" fmla="*/ -3522 h 475"/>
                                <a:gd name="T2" fmla="*/ 67 w 120"/>
                                <a:gd name="T3" fmla="*/ -3522 h 475"/>
                                <a:gd name="T4" fmla="*/ 67 w 120"/>
                                <a:gd name="T5" fmla="*/ -3503 h 475"/>
                                <a:gd name="T6" fmla="*/ 65 w 120"/>
                                <a:gd name="T7" fmla="*/ -3498 h 475"/>
                                <a:gd name="T8" fmla="*/ 60 w 120"/>
                                <a:gd name="T9" fmla="*/ -3495 h 475"/>
                                <a:gd name="T10" fmla="*/ 107 w 120"/>
                                <a:gd name="T11" fmla="*/ -3495 h 475"/>
                                <a:gd name="T12" fmla="*/ 120 w 120"/>
                                <a:gd name="T13" fmla="*/ -3522 h 47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20" h="475">
                                  <a:moveTo>
                                    <a:pt x="120" y="355"/>
                                  </a:moveTo>
                                  <a:lnTo>
                                    <a:pt x="67" y="355"/>
                                  </a:lnTo>
                                  <a:lnTo>
                                    <a:pt x="67" y="374"/>
                                  </a:lnTo>
                                  <a:lnTo>
                                    <a:pt x="65" y="379"/>
                                  </a:lnTo>
                                  <a:lnTo>
                                    <a:pt x="60" y="382"/>
                                  </a:lnTo>
                                  <a:lnTo>
                                    <a:pt x="107" y="382"/>
                                  </a:lnTo>
                                  <a:lnTo>
                                    <a:pt x="120" y="355"/>
                                  </a:lnTo>
                                  <a:close/>
                                </a:path>
                              </a:pathLst>
                            </a:custGeom>
                            <a:solidFill>
                              <a:srgbClr val="000000"/>
                            </a:solidFill>
                            <a:ln>
                              <a:noFill/>
                            </a:ln>
                          </wps:spPr>
                          <wps:bodyPr rot="0" vert="horz" wrap="square" lIns="91440" tIns="45720" rIns="91440" bIns="45720" anchor="t" anchorCtr="0" upright="1">
                            <a:noAutofit/>
                          </wps:bodyPr>
                        </wps:wsp>
                      </wpg:wgp>
                      <wps:wsp>
                        <wps:cNvPr id="1006" name="Rectangle 35"/>
                        <wps:cNvSpPr>
                          <a:spLocks noChangeArrowheads="1"/>
                        </wps:cNvSpPr>
                        <wps:spPr bwMode="auto">
                          <a:xfrm>
                            <a:off x="1447195" y="4126276"/>
                            <a:ext cx="1979894" cy="288310"/>
                          </a:xfrm>
                          <a:prstGeom prst="rect">
                            <a:avLst/>
                          </a:prstGeom>
                          <a:solidFill>
                            <a:srgbClr val="FFFFFF"/>
                          </a:solidFill>
                          <a:ln w="9525">
                            <a:solidFill>
                              <a:srgbClr val="000000"/>
                            </a:solidFill>
                            <a:miter lim="800000"/>
                          </a:ln>
                        </wps:spPr>
                        <wps:txbx>
                          <w:txbxContent>
                            <w:p w14:paraId="1D4E1074">
                              <w:pPr>
                                <w:jc w:val="center"/>
                                <w:rPr>
                                  <w:rFonts w:ascii="宋体" w:hAnsi="宋体"/>
                                  <w:b w:val="0"/>
                                  <w:szCs w:val="21"/>
                                </w:rPr>
                              </w:pPr>
                              <w:r>
                                <w:rPr>
                                  <w:rFonts w:hint="eastAsia" w:ascii="宋体" w:hAnsi="宋体"/>
                                  <w:b w:val="0"/>
                                  <w:szCs w:val="21"/>
                                </w:rPr>
                                <w:t>编制安全评价报告</w:t>
                              </w:r>
                            </w:p>
                          </w:txbxContent>
                        </wps:txbx>
                        <wps:bodyPr rot="0" vert="horz" wrap="square" lIns="91440" tIns="45720" rIns="91440" bIns="45720" anchor="t" anchorCtr="0" upright="1">
                          <a:noAutofit/>
                        </wps:bodyPr>
                      </wps:wsp>
                    </wpc:wpc>
                  </a:graphicData>
                </a:graphic>
              </wp:inline>
            </w:drawing>
          </mc:Choice>
          <mc:Fallback>
            <w:pict>
              <v:group id="_x0000_s1026" o:spid="_x0000_s1026" o:spt="203" style="height:356.25pt;width:377.25pt;" coordsize="4791075,4524375" editas="canvas" o:gfxdata="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">
                <o:lock v:ext="edit" aspectratio="f"/>
                <v:shape id="_x0000_s1026" o:spid="_x0000_s1026" style="position:absolute;left:0;top:0;height:4524375;width:4791075;" filled="f" stroked="f" coordsize="21600,21600" o:gfxdata="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">
                  <v:fill on="f" focussize="0,0"/>
                  <v:stroke on="f"/>
                  <v:imagedata o:title=""/>
                  <o:lock v:ext="edit" aspectratio="f"/>
                </v:shape>
                <v:group id="Group 5" o:spid="_x0000_s1026" o:spt="203" style="position:absolute;left:2401492;top:363813;height:301611;width:76900;" coordorigin="5755,-8557" coordsize="120,475" o:gfxdata="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">
                  <o:lock v:ext="edit" aspectratio="f"/>
                  <v:shape id="Freeform 6" o:spid="_x0000_s1026" o:spt="100" style="position:absolute;left:5755;top:-8557;height:475;width:120;" fillcolor="#000000" filled="t" stroked="f" coordsize="120,475" o:gfxdata="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KZKKq/&#10;AAAA2wAAAA8AAAAAAAAAAQAgAAAAIgAAAGRycy9kb3ducmV2LnhtbFBLAQIUABQAAAAIAIdO4kAz&#10;LwWeOwAAADkAAAAQAAAAAAAAAAEAIAAAAA4BAABkcnMvc2hhcGV4bWwueG1sUEsFBgAAAAAGAAYA&#10;WwEAALgDAAAAAA==&#10;" path="m53,355l0,355,60,475,107,382,60,382,55,379,53,375,53,355xe">
                    <v:path o:connectlocs="53,-8202;0,-8202;60,-8082;107,-8175;60,-8175;55,-8178;53,-8182;53,-8202" o:connectangles="0,0,0,0,0,0,0,0"/>
                    <v:fill on="t" focussize="0,0"/>
                    <v:stroke on="f"/>
                    <v:imagedata o:title=""/>
                    <o:lock v:ext="edit" aspectratio="f"/>
                  </v:shape>
                  <v:shape id="Freeform 7" o:spid="_x0000_s1026" o:spt="100" style="position:absolute;left:5755;top:-8557;height:475;width:120;" fillcolor="#000000" filled="t" stroked="f" coordsize="120,475" o:gfxdata="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3VjTG/&#10;AAAA2wAAAA8AAAAAAAAAAQAgAAAAIgAAAGRycy9kb3ducmV2LnhtbFBLAQIUABQAAAAIAIdO4kAz&#10;LwWeOwAAADkAAAAQAAAAAAAAAAEAIAAAAA4BAABkcnMvc2hhcGV4bWwueG1sUEsFBgAAAAAGAAYA&#10;WwEAALgDAAAAAA==&#10;" path="m60,0l55,3,53,7,53,375,55,379,60,382,65,379,67,375,67,7,65,3,60,0xe">
                    <v:path o:connectlocs="60,-8557;55,-8554;53,-8550;53,-8182;55,-8178;60,-8175;65,-8178;67,-8182;67,-8550;65,-8554;60,-8557" o:connectangles="0,0,0,0,0,0,0,0,0,0,0"/>
                    <v:fill on="t" focussize="0,0"/>
                    <v:stroke on="f"/>
                    <v:imagedata o:title=""/>
                    <o:lock v:ext="edit" aspectratio="f"/>
                  </v:shape>
                  <v:shape id="Freeform 8" o:spid="_x0000_s1026" o:spt="100" style="position:absolute;left:5755;top:-8557;height:475;width:120;" fillcolor="#000000" filled="t" stroked="f" coordsize="120,475" o:gfxdata="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I93ML4A&#10;AADcAAAADwAAAAAAAAABACAAAAAiAAAAZHJzL2Rvd25yZXYueG1sUEsBAhQAFAAAAAgAh07iQDMv&#10;BZ47AAAAOQAAABAAAAAAAAAAAQAgAAAADQEAAGRycy9zaGFwZXhtbC54bWxQSwUGAAAAAAYABgBb&#10;AQAAtwMAAAAA&#10;" path="m120,355l67,355,67,375,65,379,60,382,107,382,120,355xe">
                    <v:path o:connectlocs="120,-8202;67,-8202;67,-8182;65,-8178;60,-8175;107,-8175;120,-8202" o:connectangles="0,0,0,0,0,0,0"/>
                    <v:fill on="t" focussize="0,0"/>
                    <v:stroke on="f"/>
                    <v:imagedata o:title=""/>
                    <o:lock v:ext="edit" aspectratio="f"/>
                  </v:shape>
                </v:group>
                <v:group id="Group 9" o:spid="_x0000_s1026" o:spt="203" style="position:absolute;left:2401492;top:948634;height:302211;width:76900;" coordorigin="5755,-7621" coordsize="120,473" o:gfxdata="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">
                  <o:lock v:ext="edit" aspectratio="f"/>
                  <v:shape id="Freeform 10" o:spid="_x0000_s1026" o:spt="100" style="position:absolute;left:5755;top:-7621;height:473;width:120;" fillcolor="#000000" filled="t" stroked="f" coordsize="120,473" o:gfxdata="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500qy/&#10;AAAA3AAAAA8AAAAAAAAAAQAgAAAAIgAAAGRycy9kb3ducmV2LnhtbFBLAQIUABQAAAAIAIdO4kAz&#10;LwWeOwAAADkAAAAQAAAAAAAAAAEAIAAAAA4BAABkcnMvc2hhcGV4bWwueG1sUEsFBgAAAAAGAAYA&#10;WwEAALgDAAAAAA==&#10;" path="m53,353l0,353,60,473,105,382,60,382,55,379,53,375,53,353xe">
                    <v:path o:connectlocs="53,-7268;0,-7268;60,-7148;105,-7239;60,-7239;55,-7242;53,-7246;53,-7268" o:connectangles="0,0,0,0,0,0,0,0"/>
                    <v:fill on="t" focussize="0,0"/>
                    <v:stroke on="f"/>
                    <v:imagedata o:title=""/>
                    <o:lock v:ext="edit" aspectratio="f"/>
                  </v:shape>
                  <v:shape id="Freeform 11" o:spid="_x0000_s1026" o:spt="100" style="position:absolute;left:5755;top:-7621;height:473;width:120;" fillcolor="#000000" filled="t" stroked="f" coordsize="120,473" o:gfxdata="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GdSti/&#10;AAAA3AAAAA8AAAAAAAAAAQAgAAAAIgAAAGRycy9kb3ducmV2LnhtbFBLAQIUABQAAAAIAIdO4kAz&#10;LwWeOwAAADkAAAAQAAAAAAAAAAEAIAAAAA4BAABkcnMvc2hhcGV4bWwueG1sUEsFBgAAAAAGAAYA&#10;WwEAALgDAAAAAA==&#10;" path="m60,0l55,3,53,7,53,375,55,379,60,382,65,379,67,375,67,7,65,3,60,0xe">
                    <v:path o:connectlocs="60,-7621;55,-7618;53,-7614;53,-7246;55,-7242;60,-7239;65,-7242;67,-7246;67,-7614;65,-7618;60,-7621" o:connectangles="0,0,0,0,0,0,0,0,0,0,0"/>
                    <v:fill on="t" focussize="0,0"/>
                    <v:stroke on="f"/>
                    <v:imagedata o:title=""/>
                    <o:lock v:ext="edit" aspectratio="f"/>
                  </v:shape>
                  <v:shape id="Freeform 12" o:spid="_x0000_s1026" o:spt="100" style="position:absolute;left:5755;top:-7621;height:473;width:120;" fillcolor="#000000" filled="t" stroked="f" coordsize="120,473" o:gfxdata="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7R70O/&#10;AAAA3AAAAA8AAAAAAAAAAQAgAAAAIgAAAGRycy9kb3ducmV2LnhtbFBLAQIUABQAAAAIAIdO4kAz&#10;LwWeOwAAADkAAAAQAAAAAAAAAAEAIAAAAA4BAABkcnMvc2hhcGV4bWwueG1sUEsFBgAAAAAGAAYA&#10;WwEAALgDAAAAAA==&#10;" path="m120,353l67,353,67,375,65,379,60,382,105,382,120,353xe">
                    <v:path o:connectlocs="120,-7268;67,-7268;67,-7246;65,-7242;60,-7239;105,-7239;120,-7268" o:connectangles="0,0,0,0,0,0,0"/>
                    <v:fill on="t" focussize="0,0"/>
                    <v:stroke on="f"/>
                    <v:imagedata o:title=""/>
                    <o:lock v:ext="edit" aspectratio="f"/>
                  </v:shape>
                </v:group>
                <v:group id="Group 13" o:spid="_x0000_s1026" o:spt="203" style="position:absolute;left:2401492;top:1523955;height:302211;width:76900;" coordorigin="5755,-6685" coordsize="120,475" o:gfxdata="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">
                  <o:lock v:ext="edit" aspectratio="f"/>
                  <v:shape id="Freeform 14" o:spid="_x0000_s1026" o:spt="100" style="position:absolute;left:5755;top:-6685;height:475;width:120;" fillcolor="#000000" filled="t" stroked="f" coordsize="120,475" o:gfxdata="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EhQnW/&#10;AAAA3AAAAA8AAAAAAAAAAQAgAAAAIgAAAGRycy9kb3ducmV2LnhtbFBLAQIUABQAAAAIAIdO4kAz&#10;LwWeOwAAADkAAAAQAAAAAAAAAAEAIAAAAA4BAABkcnMvc2hhcGV4bWwueG1sUEsFBgAAAAAGAAYA&#10;WwEAALgDAAAAAA==&#10;" path="m53,355l0,355,60,475,107,382,60,382,55,379,53,374,53,355xe">
                    <v:path o:connectlocs="53,-6330;0,-6330;60,-6210;107,-6303;60,-6303;55,-6306;53,-6311;53,-6330" o:connectangles="0,0,0,0,0,0,0,0"/>
                    <v:fill on="t" focussize="0,0"/>
                    <v:stroke on="f"/>
                    <v:imagedata o:title=""/>
                    <o:lock v:ext="edit" aspectratio="f"/>
                  </v:shape>
                  <v:shape id="Freeform 15" o:spid="_x0000_s1026" o:spt="100" style="position:absolute;left:5755;top:-6685;height:475;width:120;" fillcolor="#000000" filled="t" stroked="f" coordsize="120,475" o:gfxdata="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880UbsAAADc&#10;AAAADwAAAAAAAAABACAAAAAiAAAAZHJzL2Rvd25yZXYueG1sUEsBAhQAFAAAAAgAh07iQDMvBZ47&#10;AAAAOQAAABAAAAAAAAAAAQAgAAAACgEAAGRycy9zaGFwZXhtbC54bWxQSwUGAAAAAAYABgBbAQAA&#10;tAMAAAAA&#10;" path="m60,0l55,2,53,7,53,374,55,379,60,382,65,379,67,374,67,7,65,2,60,0xe">
                    <v:path o:connectlocs="60,-6685;55,-6683;53,-6678;53,-6311;55,-6306;60,-6303;65,-6306;67,-6311;67,-6678;65,-6683;60,-6685" o:connectangles="0,0,0,0,0,0,0,0,0,0,0"/>
                    <v:fill on="t" focussize="0,0"/>
                    <v:stroke on="f"/>
                    <v:imagedata o:title=""/>
                    <o:lock v:ext="edit" aspectratio="f"/>
                  </v:shape>
                  <v:shape id="Freeform 16" o:spid="_x0000_s1026" o:spt="100" style="position:absolute;left:5755;top:-6685;height:475;width:120;" fillcolor="#000000" filled="t" stroked="f" coordsize="120,475" o:gfxdata="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SDkcq/&#10;AAAA3AAAAA8AAAAAAAAAAQAgAAAAIgAAAGRycy9kb3ducmV2LnhtbFBLAQIUABQAAAAIAIdO4kAz&#10;LwWeOwAAADkAAAAQAAAAAAAAAAEAIAAAAA4BAABkcnMvc2hhcGV4bWwueG1sUEsFBgAAAAAGAAYA&#10;WwEAALgDAAAAAA==&#10;" path="m120,355l67,355,67,374,65,379,60,382,107,382,120,355xe">
                    <v:path o:connectlocs="120,-6330;67,-6330;67,-6311;65,-6306;60,-6303;107,-6303;120,-6330" o:connectangles="0,0,0,0,0,0,0"/>
                    <v:fill on="t" focussize="0,0"/>
                    <v:stroke on="f"/>
                    <v:imagedata o:title=""/>
                    <o:lock v:ext="edit" aspectratio="f"/>
                  </v:shape>
                </v:group>
                <v:group id="Group 17" o:spid="_x0000_s1026" o:spt="203" style="position:absolute;left:2401492;top:2093576;height:302211;width:76900;" coordorigin="5755,-5749" coordsize="120,475" o:gfxdata="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">
                  <o:lock v:ext="edit" aspectratio="f"/>
                  <v:shape id="Freeform 18" o:spid="_x0000_s1026" o:spt="100" style="position:absolute;left:5755;top:-5749;height:475;width:120;" fillcolor="#000000" filled="t" stroked="f" coordsize="120,475" o:gfxdata="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sdqia/&#10;AAAA3AAAAA8AAAAAAAAAAQAgAAAAIgAAAGRycy9kb3ducmV2LnhtbFBLAQIUABQAAAAIAIdO4kAz&#10;LwWeOwAAADkAAAAQAAAAAAAAAAEAIAAAAA4BAABkcnMvc2hhcGV4bWwueG1sUEsFBgAAAAAGAAYA&#10;WwEAALgDAAAAAA==&#10;" path="m53,355l0,355,60,475,107,382,60,382,55,379,53,374,53,355xe">
                    <v:path o:connectlocs="53,-5394;0,-5394;60,-5274;107,-5367;60,-5367;55,-5370;53,-5375;53,-5394" o:connectangles="0,0,0,0,0,0,0,0"/>
                    <v:fill on="t" focussize="0,0"/>
                    <v:stroke on="f"/>
                    <v:imagedata o:title=""/>
                    <o:lock v:ext="edit" aspectratio="f"/>
                  </v:shape>
                  <v:shape id="Freeform 19" o:spid="_x0000_s1026" o:spt="100" style="position:absolute;left:5755;top:-5749;height:475;width:120;" fillcolor="#000000" filled="t" stroked="f" coordsize="120,475" o:gfxdata="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T0MlK/&#10;AAAA3AAAAA8AAAAAAAAAAQAgAAAAIgAAAGRycy9kb3ducmV2LnhtbFBLAQIUABQAAAAIAIdO4kAz&#10;LwWeOwAAADkAAAAQAAAAAAAAAAEAIAAAAA4BAABkcnMvc2hhcGV4bWwueG1sUEsFBgAAAAAGAAYA&#10;WwEAALgDAAAAAA==&#10;" path="m60,0l55,2,53,7,53,374,55,379,60,382,65,379,67,374,67,7,65,2,60,0xe">
                    <v:path o:connectlocs="60,-5749;55,-5747;53,-5742;53,-5375;55,-5370;60,-5367;65,-5370;67,-5375;67,-5742;65,-5747;60,-5749" o:connectangles="0,0,0,0,0,0,0,0,0,0,0"/>
                    <v:fill on="t" focussize="0,0"/>
                    <v:stroke on="f"/>
                    <v:imagedata o:title=""/>
                    <o:lock v:ext="edit" aspectratio="f"/>
                  </v:shape>
                  <v:shape id="Freeform 20" o:spid="_x0000_s1026" o:spt="100" style="position:absolute;left:5755;top:-5749;height:475;width:120;" fillcolor="#000000" filled="t" stroked="f" coordsize="120,475" o:gfxdata="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2oJvr4A&#10;AADcAAAADwAAAAAAAAABACAAAAAiAAAAZHJzL2Rvd25yZXYueG1sUEsBAhQAFAAAAAgAh07iQDMv&#10;BZ47AAAAOQAAABAAAAAAAAAAAQAgAAAADQEAAGRycy9zaGFwZXhtbC54bWxQSwUGAAAAAAYABgBb&#10;AQAAtwMAAAAA&#10;" path="m120,355l67,355,67,374,65,379,60,382,107,382,120,355xe">
                    <v:path o:connectlocs="120,-5394;67,-5394;67,-5375;65,-5370;60,-5367;107,-5367;120,-5394" o:connectangles="0,0,0,0,0,0,0"/>
                    <v:fill on="t" focussize="0,0"/>
                    <v:stroke on="f"/>
                    <v:imagedata o:title=""/>
                    <o:lock v:ext="edit" aspectratio="f"/>
                  </v:shape>
                </v:group>
                <v:group id="Group 21" o:spid="_x0000_s1026" o:spt="203" style="position:absolute;left:2401492;top:2659396;height:302211;width:76900;" coordorigin="5755,-4813" coordsize="120,475" o:gfxdata="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">
                  <o:lock v:ext="edit" aspectratio="f"/>
                  <v:shape id="Freeform 22" o:spid="_x0000_s1026" o:spt="100" style="position:absolute;left:5755;top:-4813;height:475;width:120;" fillcolor="#000000" filled="t" stroked="f" coordsize="120,475" o:gfxdata="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bk4V7sAAADc&#10;AAAADwAAAAAAAAABACAAAAAiAAAAZHJzL2Rvd25yZXYueG1sUEsBAhQAFAAAAAgAh07iQDMvBZ47&#10;AAAAOQAAABAAAAAAAAAAAQAgAAAACgEAAGRycy9zaGFwZXhtbC54bWxQSwUGAAAAAAYABgBbAQAA&#10;tAMAAAAA&#10;" path="m53,355l0,355,60,475,107,382,60,382,55,379,53,374,53,355xe">
                    <v:path o:connectlocs="53,-4458;0,-4458;60,-4338;107,-4431;60,-4431;55,-4434;53,-4439;53,-4458" o:connectangles="0,0,0,0,0,0,0,0"/>
                    <v:fill on="t" focussize="0,0"/>
                    <v:stroke on="f"/>
                    <v:imagedata o:title=""/>
                    <o:lock v:ext="edit" aspectratio="f"/>
                  </v:shape>
                  <v:shape id="Freeform 23" o:spid="_x0000_s1026" o:spt="100" style="position:absolute;left:5755;top:-4813;height:475;width:120;" fillcolor="#000000" filled="t" stroked="f" coordsize="120,475" o:gfxdata="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vWdzL4A&#10;AADcAAAADwAAAAAAAAABACAAAAAiAAAAZHJzL2Rvd25yZXYueG1sUEsBAhQAFAAAAAgAh07iQDMv&#10;BZ47AAAAOQAAABAAAAAAAAAAAQAgAAAADQEAAGRycy9zaGFwZXhtbC54bWxQSwUGAAAAAAYABgBb&#10;AQAAtwMAAAAA&#10;" path="m60,0l55,2,53,7,53,374,55,379,60,382,65,379,67,374,67,7,65,2,60,0xe">
                    <v:path o:connectlocs="60,-4813;55,-4811;53,-4806;53,-4439;55,-4434;60,-4431;65,-4434;67,-4439;67,-4806;65,-4811;60,-4813" o:connectangles="0,0,0,0,0,0,0,0,0,0,0"/>
                    <v:fill on="t" focussize="0,0"/>
                    <v:stroke on="f"/>
                    <v:imagedata o:title=""/>
                    <o:lock v:ext="edit" aspectratio="f"/>
                  </v:shape>
                  <v:shape id="Freeform 24" o:spid="_x0000_s1026" o:spt="100" style="position:absolute;left:5755;top:-4813;height:475;width:120;" fillcolor="#000000" filled="t" stroked="f" coordsize="120,475" o:gfxdata="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4Wooy8AAAA&#10;3AAAAA8AAAAAAAAAAQAgAAAAIgAAAGRycy9kb3ducmV2LnhtbFBLAQIUABQAAAAIAIdO4kAzLwWe&#10;OwAAADkAAAAQAAAAAAAAAAEAIAAAAAsBAABkcnMvc2hhcGV4bWwueG1sUEsFBgAAAAAGAAYAWwEA&#10;ALUDAAAAAA==&#10;" path="m120,355l67,355,67,374,65,379,60,382,107,382,120,355xe">
                    <v:path o:connectlocs="120,-4458;67,-4458;67,-4439;65,-4434;60,-4431;107,-4431;120,-4458" o:connectangles="0,0,0,0,0,0,0"/>
                    <v:fill on="t" focussize="0,0"/>
                    <v:stroke on="f"/>
                    <v:imagedata o:title=""/>
                    <o:lock v:ext="edit" aspectratio="f"/>
                  </v:shape>
                </v:group>
                <v:group id="Group 25" o:spid="_x0000_s1026" o:spt="203" style="position:absolute;left:2401492;top:3224517;height:302311;width:76900;" coordorigin="5755,-3877" coordsize="120,475" o:gfxdata="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">
                  <o:lock v:ext="edit" aspectratio="f"/>
                  <v:shape id="Freeform 26" o:spid="_x0000_s1026" o:spt="100" style="position:absolute;left:5755;top:-3877;height:475;width:120;" fillcolor="#000000" filled="t" stroked="f" coordsize="120,475" o:gfxdata="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YiZYL4A&#10;AADcAAAADwAAAAAAAAABACAAAAAiAAAAZHJzL2Rvd25yZXYueG1sUEsBAhQAFAAAAAgAh07iQDMv&#10;BZ47AAAAOQAAABAAAAAAAAAAAQAgAAAADQEAAGRycy9zaGFwZXhtbC54bWxQSwUGAAAAAAYABgBb&#10;AQAAtwMAAAAA&#10;" path="m53,355l0,355,60,475,107,382,60,382,55,379,53,374,53,355xe">
                    <v:path o:connectlocs="53,-3522;0,-3522;60,-3402;107,-3495;60,-3495;55,-3498;53,-3503;53,-3522" o:connectangles="0,0,0,0,0,0,0,0"/>
                    <v:fill on="t" focussize="0,0"/>
                    <v:stroke on="f"/>
                    <v:imagedata o:title=""/>
                    <o:lock v:ext="edit" aspectratio="f"/>
                  </v:shape>
                  <v:shape id="Freeform 27" o:spid="_x0000_s1026" o:spt="100" style="position:absolute;left:5755;top:-3877;height:475;width:120;" fillcolor="#000000" filled="t" stroked="f" coordsize="120,475" o:gfxdata="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7EPPu/&#10;AAAA3AAAAA8AAAAAAAAAAQAgAAAAIgAAAGRycy9kb3ducmV2LnhtbFBLAQIUABQAAAAIAIdO4kAz&#10;LwWeOwAAADkAAAAQAAAAAAAAAAEAIAAAAA4BAABkcnMvc2hhcGV4bWwueG1sUEsFBgAAAAAGAAYA&#10;WwEAALgDAAAAAA==&#10;" path="m60,0l55,2,53,7,53,374,55,379,60,382,65,379,67,374,67,7,65,2,60,0xe">
                    <v:path o:connectlocs="60,-3877;55,-3875;53,-3870;53,-3503;55,-3498;60,-3495;65,-3498;67,-3503;67,-3870;65,-3875;60,-3877" o:connectangles="0,0,0,0,0,0,0,0,0,0,0"/>
                    <v:fill on="t" focussize="0,0"/>
                    <v:stroke on="f"/>
                    <v:imagedata o:title=""/>
                    <o:lock v:ext="edit" aspectratio="f"/>
                  </v:shape>
                  <v:shape id="Freeform 28" o:spid="_x0000_s1026" o:spt="100" style="position:absolute;left:5755;top:-3877;height:475;width:120;" fillcolor="#000000" filled="t" stroked="f" coordsize="120,475" o:gfxdata="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EtpI+/&#10;AAAA3AAAAA8AAAAAAAAAAQAgAAAAIgAAAGRycy9kb3ducmV2LnhtbFBLAQIUABQAAAAIAIdO4kAz&#10;LwWeOwAAADkAAAAQAAAAAAAAAAEAIAAAAA4BAABkcnMvc2hhcGV4bWwueG1sUEsFBgAAAAAGAAYA&#10;WwEAALgDAAAAAA==&#10;" path="m120,355l67,355,67,374,65,379,60,382,107,382,120,355xe">
                    <v:path o:connectlocs="120,-3522;67,-3522;67,-3503;65,-3498;60,-3495;107,-3495;120,-3522" o:connectangles="0,0,0,0,0,0,0"/>
                    <v:fill on="t" focussize="0,0"/>
                    <v:stroke on="f"/>
                    <v:imagedata o:title=""/>
                    <o:lock v:ext="edit" aspectratio="f"/>
                  </v:shape>
                </v:group>
                <v:rect id="Rectangle 29" o:spid="_x0000_s1026" o:spt="1" style="position:absolute;left:1447195;top:101604;height:288210;width:1979894;" fillcolor="#FFFFFF" filled="t" stroked="t" coordsize="21600,21600" o:gfxdata="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XYtZ31QAAAAUBAAAPAAAAAAAAAAEAIAAAACIAAABkcnMvZG93bnJl&#10;di54bWxQSwECFAAUAAAACACHTuJAG3rTaTkCAACLBAAADgAAAAAAAAABACAAAAAkAQAAZHJzL2Uy&#10;b0RvYy54bWxQSwUGAAAAAAYABgBZAQAAzwUAAAAA&#10;">
                  <v:fill on="t" focussize="0,0"/>
                  <v:stroke color="#000000" miterlimit="8" joinstyle="miter"/>
                  <v:imagedata o:title=""/>
                  <o:lock v:ext="edit" aspectratio="f"/>
                  <v:textbox>
                    <w:txbxContent>
                      <w:p w14:paraId="56320AD7">
                        <w:pPr>
                          <w:jc w:val="center"/>
                          <w:rPr>
                            <w:rFonts w:ascii="宋体" w:hAnsi="宋体"/>
                            <w:b w:val="0"/>
                            <w:szCs w:val="21"/>
                          </w:rPr>
                        </w:pPr>
                        <w:r>
                          <w:rPr>
                            <w:rFonts w:hint="eastAsia" w:ascii="宋体" w:hAnsi="宋体"/>
                            <w:b w:val="0"/>
                            <w:szCs w:val="21"/>
                          </w:rPr>
                          <w:t>前期准备</w:t>
                        </w:r>
                      </w:p>
                    </w:txbxContent>
                  </v:textbox>
                </v:rect>
                <v:rect id="Rectangle 30" o:spid="_x0000_s1026" o:spt="1" style="position:absolute;left:1447195;top:677525;height:288310;width:1979894;" fillcolor="#FFFFFF" filled="t" stroked="t" coordsize="21600,21600" o:gfxdata="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Bdi1nfVAAAABQEAAA8AAAAAAAAAAQAgAAAAIgAAAGRycy9kb3ducmV2&#10;LnhtbFBLAQIUABQAAAAIAIdO4kCIfFCKOAIAAIsEAAAOAAAAAAAAAAEAIAAAACQBAABkcnMvZTJv&#10;RG9jLnhtbFBLBQYAAAAABgAGAFkBAADOBQAAAAA=&#10;">
                  <v:fill on="t" focussize="0,0"/>
                  <v:stroke color="#000000" miterlimit="8" joinstyle="miter"/>
                  <v:imagedata o:title=""/>
                  <o:lock v:ext="edit" aspectratio="f"/>
                  <v:textbox>
                    <w:txbxContent>
                      <w:p w14:paraId="29D9E487">
                        <w:pPr>
                          <w:jc w:val="center"/>
                          <w:rPr>
                            <w:rFonts w:ascii="宋体" w:hAnsi="宋体"/>
                            <w:b w:val="0"/>
                            <w:szCs w:val="21"/>
                          </w:rPr>
                        </w:pPr>
                        <w:r>
                          <w:rPr>
                            <w:rFonts w:hint="eastAsia" w:ascii="宋体" w:hAnsi="宋体"/>
                            <w:b w:val="0"/>
                            <w:szCs w:val="21"/>
                          </w:rPr>
                          <w:t>辩识与分析危险、有害因素</w:t>
                        </w:r>
                      </w:p>
                    </w:txbxContent>
                  </v:textbox>
                </v:rect>
                <v:rect id="Rectangle 31" o:spid="_x0000_s1026" o:spt="1" style="position:absolute;left:1447195;top:1252245;height:288210;width:1979894;" fillcolor="#FFFFFF" filled="t" stroked="t" coordsize="21600,21600" o:gfxdata="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Bdi1nfVAAAABQEAAA8AAAAAAAAAAQAgAAAAIgAAAGRycy9kb3du&#10;cmV2LnhtbFBLAQIUABQAAAAIAIdO4kBNv8MnOwIAAIwEAAAOAAAAAAAAAAEAIAAAACQBAABkcnMv&#10;ZTJvRG9jLnhtbFBLBQYAAAAABgAGAFkBAADRBQAAAAA=&#10;">
                  <v:fill on="t" focussize="0,0"/>
                  <v:stroke color="#000000" miterlimit="8" joinstyle="miter"/>
                  <v:imagedata o:title=""/>
                  <o:lock v:ext="edit" aspectratio="f"/>
                  <v:textbox>
                    <w:txbxContent>
                      <w:p w14:paraId="16832E9A">
                        <w:pPr>
                          <w:jc w:val="center"/>
                          <w:rPr>
                            <w:rFonts w:ascii="宋体" w:hAnsi="宋体"/>
                            <w:b w:val="0"/>
                            <w:szCs w:val="21"/>
                          </w:rPr>
                        </w:pPr>
                        <w:r>
                          <w:rPr>
                            <w:rFonts w:hint="eastAsia" w:ascii="宋体" w:hAnsi="宋体"/>
                            <w:b w:val="0"/>
                            <w:szCs w:val="21"/>
                          </w:rPr>
                          <w:t>划分评价单元</w:t>
                        </w:r>
                      </w:p>
                    </w:txbxContent>
                  </v:textbox>
                </v:rect>
                <v:rect id="Rectangle 32" o:spid="_x0000_s1026" o:spt="1" style="position:absolute;left:1447195;top:1827566;height:288210;width:1979894;" fillcolor="#FFFFFF" filled="t" stroked="t" coordsize="21600,21600" o:gfxdata="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XYtZ31QAAAAUBAAAPAAAAAAAAAAEAIAAAACIAAABkcnMvZG93&#10;bnJldi54bWxQSwECFAAUAAAACACHTuJAUpMfWTwCAACMBAAADgAAAAAAAAABACAAAAAkAQAAZHJz&#10;L2Uyb0RvYy54bWxQSwUGAAAAAAYABgBZAQAA0gUAAAAA&#10;">
                  <v:fill on="t" focussize="0,0"/>
                  <v:stroke color="#000000" miterlimit="8" joinstyle="miter"/>
                  <v:imagedata o:title=""/>
                  <o:lock v:ext="edit" aspectratio="f"/>
                  <v:textbox>
                    <w:txbxContent>
                      <w:p w14:paraId="6DB988FB">
                        <w:pPr>
                          <w:jc w:val="center"/>
                          <w:rPr>
                            <w:rFonts w:ascii="宋体" w:hAnsi="宋体"/>
                            <w:b w:val="0"/>
                            <w:szCs w:val="21"/>
                          </w:rPr>
                        </w:pPr>
                        <w:r>
                          <w:rPr>
                            <w:rFonts w:hint="eastAsia" w:ascii="宋体" w:hAnsi="宋体"/>
                            <w:b w:val="0"/>
                            <w:szCs w:val="21"/>
                          </w:rPr>
                          <w:t>选择安全评价方法</w:t>
                        </w:r>
                      </w:p>
                    </w:txbxContent>
                  </v:textbox>
                </v:rect>
                <v:rect id="Rectangle 33" o:spid="_x0000_s1026" o:spt="1" style="position:absolute;left:1447195;top:2402187;height:288310;width:1979894;" fillcolor="#FFFFFF" filled="t" stroked="t" coordsize="21600,21600" o:gfxdata="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F2LWd9UAAAAFAQAADwAAAAAAAAABACAAAAAiAAAAZHJzL2Rv&#10;d25yZXYueG1sUEsBAhQAFAAAAAgAh07iQDNoBzM9AgAAjAQAAA4AAAAAAAAAAQAgAAAAJAEAAGRy&#10;cy9lMm9Eb2MueG1sUEsFBgAAAAAGAAYAWQEAANMFAAAAAA==&#10;">
                  <v:fill on="t" focussize="0,0"/>
                  <v:stroke color="#000000" miterlimit="8" joinstyle="miter"/>
                  <v:imagedata o:title=""/>
                  <o:lock v:ext="edit" aspectratio="f"/>
                  <v:textbox>
                    <w:txbxContent>
                      <w:p w14:paraId="1A4093D8">
                        <w:pPr>
                          <w:jc w:val="center"/>
                          <w:rPr>
                            <w:rFonts w:ascii="宋体" w:hAnsi="宋体"/>
                            <w:b w:val="0"/>
                            <w:szCs w:val="21"/>
                          </w:rPr>
                        </w:pPr>
                        <w:r>
                          <w:rPr>
                            <w:rFonts w:hint="eastAsia" w:ascii="宋体" w:hAnsi="宋体"/>
                            <w:b w:val="0"/>
                            <w:szCs w:val="21"/>
                          </w:rPr>
                          <w:t>定性、定量分析</w:t>
                        </w:r>
                      </w:p>
                      <w:p w14:paraId="10975B83">
                        <w:pPr>
                          <w:jc w:val="center"/>
                          <w:rPr>
                            <w:rFonts w:ascii="宋体" w:hAnsi="宋体"/>
                            <w:szCs w:val="21"/>
                          </w:rPr>
                        </w:pPr>
                      </w:p>
                    </w:txbxContent>
                  </v:textbox>
                </v:rect>
                <v:rect id="Rectangle 34" o:spid="_x0000_s1026" o:spt="1" style="position:absolute;left:1447195;top:2969308;height:288310;width:1979894;" fillcolor="#FFFFFF" filled="t" stroked="t" coordsize="21600,21600" o:gfxdata="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F2LWd9UAAAAFAQAADwAAAAAAAAABACAAAAAiAAAAZHJz&#10;L2Rvd25yZXYueG1sUEsBAhQAFAAAAAgAh07iQIPNJoFAAgAAjQQAAA4AAAAAAAAAAQAgAAAAJAEA&#10;AGRycy9lMm9Eb2MueG1sUEsFBgAAAAAGAAYAWQEAANYFAAAAAA==&#10;">
                  <v:fill on="t" focussize="0,0"/>
                  <v:stroke color="#000000" miterlimit="8" joinstyle="miter"/>
                  <v:imagedata o:title=""/>
                  <o:lock v:ext="edit" aspectratio="f"/>
                  <v:textbox>
                    <w:txbxContent>
                      <w:p w14:paraId="5026300F">
                        <w:pPr>
                          <w:jc w:val="center"/>
                          <w:rPr>
                            <w:rFonts w:ascii="宋体" w:hAnsi="宋体"/>
                            <w:b w:val="0"/>
                            <w:szCs w:val="21"/>
                          </w:rPr>
                        </w:pPr>
                        <w:r>
                          <w:rPr>
                            <w:rFonts w:hint="eastAsia" w:ascii="宋体" w:hAnsi="宋体"/>
                            <w:b w:val="0"/>
                            <w:szCs w:val="21"/>
                          </w:rPr>
                          <w:t>提出安全对策措施建议</w:t>
                        </w:r>
                      </w:p>
                      <w:p w14:paraId="60071C79">
                        <w:pPr>
                          <w:jc w:val="center"/>
                          <w:rPr>
                            <w:rFonts w:ascii="宋体" w:hAnsi="宋体"/>
                            <w:szCs w:val="21"/>
                          </w:rPr>
                        </w:pPr>
                      </w:p>
                    </w:txbxContent>
                  </v:textbox>
                </v:rect>
                <v:rect id="Rectangle 35" o:spid="_x0000_s1026" o:spt="1" style="position:absolute;left:1447195;top:3533128;height:288310;width:1979894;" fillcolor="#FFFFFF" filled="t" stroked="t" coordsize="21600,21600" o:gfxdata="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XYtZ31QAAAAUBAAAPAAAAAAAAAAEAIAAAACIAAABkcnMv&#10;ZG93bnJldi54bWxQSwECFAAUAAAACACHTuJAXpzjiT8CAACNBAAADgAAAAAAAAABACAAAAAkAQAA&#10;ZHJzL2Uyb0RvYy54bWxQSwUGAAAAAAYABgBZAQAA1QUAAAAA&#10;">
                  <v:fill on="t" focussize="0,0"/>
                  <v:stroke color="#000000" miterlimit="8" joinstyle="miter"/>
                  <v:imagedata o:title=""/>
                  <o:lock v:ext="edit" aspectratio="f"/>
                  <v:textbox>
                    <w:txbxContent>
                      <w:p w14:paraId="56E0B65F">
                        <w:pPr>
                          <w:jc w:val="center"/>
                          <w:rPr>
                            <w:rFonts w:ascii="宋体" w:hAnsi="宋体"/>
                            <w:b w:val="0"/>
                            <w:szCs w:val="21"/>
                          </w:rPr>
                        </w:pPr>
                        <w:r>
                          <w:rPr>
                            <w:rFonts w:hint="eastAsia" w:ascii="宋体" w:hAnsi="宋体"/>
                            <w:b w:val="0"/>
                            <w:szCs w:val="21"/>
                          </w:rPr>
                          <w:t>做出评价结论</w:t>
                        </w:r>
                      </w:p>
                    </w:txbxContent>
                  </v:textbox>
                </v:rect>
                <v:group id="Group 25" o:spid="_x0000_s1026" o:spt="203" style="position:absolute;left:2401492;top:3817665;height:302311;width:76900;" coordorigin="5755,-3877" coordsize="120,475" o:gfxdata="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">
                  <o:lock v:ext="edit" aspectratio="f"/>
                  <v:shape id="Freeform 26" o:spid="_x0000_s1026" o:spt="100" style="position:absolute;left:5755;top:-3877;height:475;width:120;" fillcolor="#000000" filled="t" stroked="f" coordsize="120,475" o:gfxdata="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5xpdVvQAA&#10;AN0AAAAPAAAAAAAAAAEAIAAAACIAAABkcnMvZG93bnJldi54bWxQSwECFAAUAAAACACHTuJAMy8F&#10;njsAAAA5AAAAEAAAAAAAAAABACAAAAAMAQAAZHJzL3NoYXBleG1sLnhtbFBLBQYAAAAABgAGAFsB&#10;AAC2AwAAAAA=&#10;" path="m53,355l0,355,60,475,107,382,60,382,55,379,53,374,53,355xe">
                    <v:path o:connectlocs="53,-3522;0,-3522;60,-3402;107,-3495;60,-3495;55,-3498;53,-3503;53,-3522" o:connectangles="0,0,0,0,0,0,0,0"/>
                    <v:fill on="t" focussize="0,0"/>
                    <v:stroke on="f"/>
                    <v:imagedata o:title=""/>
                    <o:lock v:ext="edit" aspectratio="f"/>
                  </v:shape>
                  <v:shape id="Freeform 27" o:spid="_x0000_s1026" o:spt="100" style="position:absolute;left:5755;top:-3877;height:475;width:120;" fillcolor="#000000" filled="t" stroked="f" coordsize="120,475" o:gfxdata="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Lw8hvQAA&#10;AN0AAAAPAAAAAAAAAAEAIAAAACIAAABkcnMvZG93bnJldi54bWxQSwECFAAUAAAACACHTuJAMy8F&#10;njsAAAA5AAAAEAAAAAAAAAABACAAAAAMAQAAZHJzL3NoYXBleG1sLnhtbFBLBQYAAAAABgAGAFsB&#10;AAC2AwAAAAA=&#10;" path="m60,0l55,2,53,7,53,374,55,379,60,382,65,379,67,374,67,7,65,2,60,0xe">
                    <v:path o:connectlocs="60,-3877;55,-3875;53,-3870;53,-3503;55,-3498;60,-3495;65,-3498;67,-3503;67,-3870;65,-3875;60,-3877" o:connectangles="0,0,0,0,0,0,0,0,0,0,0"/>
                    <v:fill on="t" focussize="0,0"/>
                    <v:stroke on="f"/>
                    <v:imagedata o:title=""/>
                    <o:lock v:ext="edit" aspectratio="f"/>
                  </v:shape>
                  <v:shape id="Freeform 28" o:spid="_x0000_s1026" o:spt="100" style="position:absolute;left:5755;top:-3877;height:475;width:120;" fillcolor="#000000" filled="t" stroked="f" coordsize="120,475" o:gfxdata="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Y6q6vQAA&#10;AN0AAAAPAAAAAAAAAAEAIAAAACIAAABkcnMvZG93bnJldi54bWxQSwECFAAUAAAACACHTuJAMy8F&#10;njsAAAA5AAAAEAAAAAAAAAABACAAAAAMAQAAZHJzL3NoYXBleG1sLnhtbFBLBQYAAAAABgAGAFsB&#10;AAC2AwAAAAA=&#10;" path="m120,355l67,355,67,374,65,379,60,382,107,382,120,355xe">
                    <v:path o:connectlocs="120,-3522;67,-3522;67,-3503;65,-3498;60,-3495;107,-3495;120,-3522" o:connectangles="0,0,0,0,0,0,0"/>
                    <v:fill on="t" focussize="0,0"/>
                    <v:stroke on="f"/>
                    <v:imagedata o:title=""/>
                    <o:lock v:ext="edit" aspectratio="f"/>
                  </v:shape>
                </v:group>
                <v:rect id="Rectangle 35" o:spid="_x0000_s1026" o:spt="1" style="position:absolute;left:1447195;top:4126276;height:288310;width:1979894;" fillcolor="#FFFFFF" filled="t" stroked="t" coordsize="21600,21600" o:gfxdata="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Bdi1nfVAAAABQEAAA8AAAAAAAAAAQAgAAAAIgAAAGRycy9k&#10;b3ducmV2LnhtbFBLAQIUABQAAAAIAIdO4kANCtqLPgIAAI0EAAAOAAAAAAAAAAEAIAAAACQBAABk&#10;cnMvZTJvRG9jLnhtbFBLBQYAAAAABgAGAFkBAADUBQAAAAA=&#10;">
                  <v:fill on="t" focussize="0,0"/>
                  <v:stroke color="#000000" miterlimit="8" joinstyle="miter"/>
                  <v:imagedata o:title=""/>
                  <o:lock v:ext="edit" aspectratio="f"/>
                  <v:textbox>
                    <w:txbxContent>
                      <w:p w14:paraId="1D4E1074">
                        <w:pPr>
                          <w:jc w:val="center"/>
                          <w:rPr>
                            <w:rFonts w:ascii="宋体" w:hAnsi="宋体"/>
                            <w:b w:val="0"/>
                            <w:szCs w:val="21"/>
                          </w:rPr>
                        </w:pPr>
                        <w:r>
                          <w:rPr>
                            <w:rFonts w:hint="eastAsia" w:ascii="宋体" w:hAnsi="宋体"/>
                            <w:b w:val="0"/>
                            <w:szCs w:val="21"/>
                          </w:rPr>
                          <w:t>编制安全评价报告</w:t>
                        </w:r>
                      </w:p>
                    </w:txbxContent>
                  </v:textbox>
                </v:rect>
                <w10:wrap type="none"/>
                <w10:anchorlock/>
              </v:group>
            </w:pict>
          </mc:Fallback>
        </mc:AlternateContent>
      </w:r>
    </w:p>
    <w:p w14:paraId="47D977D0">
      <w:pPr>
        <w:spacing w:line="360" w:lineRule="auto"/>
        <w:jc w:val="center"/>
        <w:rPr>
          <w:rFonts w:ascii="Arial" w:hAnsi="Arial" w:eastAsia="黑体" w:cs="Arial"/>
          <w:b w:val="0"/>
          <w:sz w:val="24"/>
        </w:rPr>
      </w:pPr>
    </w:p>
    <w:p w14:paraId="4813BAEF">
      <w:pPr>
        <w:spacing w:line="360" w:lineRule="auto"/>
        <w:jc w:val="center"/>
        <w:rPr>
          <w:rFonts w:ascii="Arial" w:hAnsi="Arial" w:eastAsia="黑体" w:cs="Arial"/>
          <w:b w:val="0"/>
          <w:sz w:val="24"/>
        </w:rPr>
      </w:pPr>
      <w:r>
        <w:rPr>
          <w:rFonts w:ascii="Arial" w:hAnsi="Arial" w:eastAsia="黑体" w:cs="Arial"/>
          <w:b w:val="0"/>
          <w:sz w:val="24"/>
        </w:rPr>
        <w:t>图1.</w:t>
      </w:r>
      <w:r>
        <w:rPr>
          <w:rFonts w:hint="eastAsia" w:ascii="Arial" w:hAnsi="Arial" w:eastAsia="黑体" w:cs="Arial"/>
          <w:b w:val="0"/>
          <w:sz w:val="24"/>
        </w:rPr>
        <w:t>4-1</w:t>
      </w:r>
      <w:r>
        <w:rPr>
          <w:rFonts w:ascii="Arial" w:hAnsi="Arial" w:eastAsia="黑体" w:cs="Arial"/>
          <w:b w:val="0"/>
          <w:sz w:val="24"/>
        </w:rPr>
        <w:t>　安全预评价程序框图</w:t>
      </w:r>
      <w:r>
        <w:rPr>
          <w:rFonts w:hint="eastAsia" w:ascii="Arial" w:hAnsi="Arial" w:eastAsia="黑体" w:cs="Arial"/>
          <w:b w:val="0"/>
          <w:sz w:val="24"/>
        </w:rPr>
        <w:t xml:space="preserve"> </w:t>
      </w:r>
    </w:p>
    <w:p w14:paraId="50BB30C6">
      <w:pPr>
        <w:keepNext/>
        <w:pageBreakBefore/>
        <w:widowControl/>
        <w:spacing w:before="120" w:beforeLines="50" w:line="360" w:lineRule="auto"/>
        <w:jc w:val="center"/>
        <w:outlineLvl w:val="0"/>
        <w:rPr>
          <w:rFonts w:ascii="黑体" w:hAnsi="宋体" w:eastAsia="黑体"/>
          <w:b w:val="0"/>
          <w:sz w:val="32"/>
          <w:szCs w:val="32"/>
        </w:rPr>
      </w:pPr>
      <w:bookmarkStart w:id="98" w:name="_Toc22711"/>
      <w:r>
        <w:rPr>
          <w:rFonts w:hint="eastAsia" w:ascii="黑体" w:hAnsi="宋体" w:eastAsia="黑体"/>
          <w:b w:val="0"/>
          <w:sz w:val="32"/>
          <w:szCs w:val="32"/>
        </w:rPr>
        <w:t>第二章  建设项目概况</w:t>
      </w:r>
      <w:bookmarkEnd w:id="98"/>
    </w:p>
    <w:p w14:paraId="67965EBB">
      <w:pPr>
        <w:keepNext/>
        <w:keepLines/>
        <w:spacing w:before="120" w:beforeLines="50" w:line="360" w:lineRule="auto"/>
        <w:outlineLvl w:val="1"/>
        <w:rPr>
          <w:rFonts w:ascii="黑体" w:hAnsi="宋体" w:eastAsia="黑体"/>
          <w:b w:val="0"/>
          <w:bCs/>
          <w:snapToGrid w:val="0"/>
          <w:sz w:val="30"/>
          <w:szCs w:val="30"/>
        </w:rPr>
      </w:pPr>
      <w:bookmarkStart w:id="99" w:name="_Toc233449762"/>
      <w:bookmarkStart w:id="100" w:name="_Toc31774"/>
      <w:r>
        <w:rPr>
          <w:rFonts w:hint="eastAsia" w:ascii="黑体" w:hAnsi="宋体" w:eastAsia="黑体"/>
          <w:b w:val="0"/>
          <w:bCs/>
          <w:snapToGrid w:val="0"/>
          <w:sz w:val="30"/>
          <w:szCs w:val="30"/>
        </w:rPr>
        <w:t>2.1</w:t>
      </w:r>
      <w:bookmarkEnd w:id="99"/>
      <w:r>
        <w:rPr>
          <w:rFonts w:hint="eastAsia" w:ascii="黑体" w:hAnsi="宋体" w:eastAsia="黑体"/>
          <w:b w:val="0"/>
          <w:bCs/>
          <w:snapToGrid w:val="0"/>
          <w:sz w:val="30"/>
          <w:szCs w:val="30"/>
        </w:rPr>
        <w:t>建设单位概况</w:t>
      </w:r>
      <w:bookmarkEnd w:id="100"/>
    </w:p>
    <w:p w14:paraId="5C595178">
      <w:pPr>
        <w:adjustRightInd w:val="0"/>
        <w:snapToGrid w:val="0"/>
        <w:spacing w:line="360" w:lineRule="auto"/>
        <w:ind w:firstLine="560" w:firstLineChars="200"/>
        <w:rPr>
          <w:rFonts w:ascii="宋体" w:hAnsi="宋体" w:cs="Arial"/>
          <w:b w:val="0"/>
          <w:sz w:val="28"/>
        </w:rPr>
      </w:pPr>
      <w:bookmarkStart w:id="101" w:name="_Toc372793485"/>
      <w:r>
        <w:rPr>
          <w:rFonts w:hint="eastAsia" w:ascii="宋体" w:hAnsi="宋体" w:cs="Arial"/>
          <w:b w:val="0"/>
          <w:sz w:val="28"/>
        </w:rPr>
        <w:tab/>
      </w:r>
      <w:r>
        <w:rPr>
          <w:rFonts w:hint="eastAsia" w:ascii="宋体" w:hAnsi="宋体" w:cs="Arial"/>
          <w:b w:val="0"/>
          <w:sz w:val="28"/>
        </w:rPr>
        <w:t>浏阳市太平复兴花炮厂（个人独资）成立于</w:t>
      </w:r>
      <w:r>
        <w:rPr>
          <w:rFonts w:ascii="宋体" w:hAnsi="宋体" w:cs="Arial"/>
          <w:b w:val="0"/>
          <w:sz w:val="28"/>
        </w:rPr>
        <w:t>200</w:t>
      </w:r>
      <w:r>
        <w:rPr>
          <w:rFonts w:hint="eastAsia" w:ascii="宋体" w:hAnsi="宋体" w:cs="Arial"/>
          <w:b w:val="0"/>
          <w:sz w:val="28"/>
        </w:rPr>
        <w:t>7</w:t>
      </w:r>
      <w:r>
        <w:rPr>
          <w:rFonts w:ascii="宋体" w:hAnsi="宋体" w:cs="Arial"/>
          <w:b w:val="0"/>
          <w:sz w:val="28"/>
        </w:rPr>
        <w:t>年0</w:t>
      </w:r>
      <w:r>
        <w:rPr>
          <w:rFonts w:hint="eastAsia" w:ascii="宋体" w:hAnsi="宋体" w:cs="Arial"/>
          <w:b w:val="0"/>
          <w:sz w:val="28"/>
        </w:rPr>
        <w:t>5</w:t>
      </w:r>
      <w:r>
        <w:rPr>
          <w:rFonts w:ascii="宋体" w:hAnsi="宋体" w:cs="Arial"/>
          <w:b w:val="0"/>
          <w:sz w:val="28"/>
        </w:rPr>
        <w:t>月</w:t>
      </w:r>
      <w:r>
        <w:rPr>
          <w:rFonts w:hint="eastAsia" w:ascii="宋体" w:hAnsi="宋体" w:cs="Arial"/>
          <w:b w:val="0"/>
          <w:sz w:val="28"/>
        </w:rPr>
        <w:t>31</w:t>
      </w:r>
      <w:r>
        <w:rPr>
          <w:rFonts w:ascii="宋体" w:hAnsi="宋体" w:cs="Arial"/>
          <w:b w:val="0"/>
          <w:sz w:val="28"/>
        </w:rPr>
        <w:t>日</w:t>
      </w:r>
      <w:r>
        <w:rPr>
          <w:rFonts w:hint="eastAsia" w:ascii="宋体" w:hAnsi="宋体" w:cs="Arial"/>
          <w:b w:val="0"/>
          <w:sz w:val="28"/>
        </w:rPr>
        <w:t>，于2</w:t>
      </w:r>
      <w:r>
        <w:rPr>
          <w:rFonts w:ascii="宋体" w:hAnsi="宋体" w:cs="Arial"/>
          <w:b w:val="0"/>
          <w:sz w:val="28"/>
        </w:rPr>
        <w:t>02</w:t>
      </w:r>
      <w:r>
        <w:rPr>
          <w:rFonts w:hint="eastAsia" w:ascii="宋体" w:hAnsi="宋体" w:cs="Arial"/>
          <w:b w:val="0"/>
          <w:sz w:val="28"/>
        </w:rPr>
        <w:t>4年11月29日取得浏阳市市场监督管理局核发的营业执照。住所：浏阳市集里街道办事处合盛村，公司类型：个人独资企业，统一社会信用代码:91430181712117522R，法定代表人：黄先承。2</w:t>
      </w:r>
      <w:r>
        <w:rPr>
          <w:rFonts w:ascii="宋体" w:hAnsi="宋体" w:cs="Arial"/>
          <w:b w:val="0"/>
          <w:sz w:val="28"/>
        </w:rPr>
        <w:t>02</w:t>
      </w:r>
      <w:r>
        <w:rPr>
          <w:rFonts w:hint="eastAsia" w:ascii="宋体" w:hAnsi="宋体" w:cs="Arial"/>
          <w:b w:val="0"/>
          <w:sz w:val="28"/>
        </w:rPr>
        <w:t>4年11月27日取得湖南省应急管理厅核发的烟花爆竹安全生产许可证，编号：（湘）YH安许证字〔2024〕010902号，有效期：2024年11月28日至2027年11月27日，许可范围：组合烟花类（C级）。</w:t>
      </w:r>
    </w:p>
    <w:p w14:paraId="5CFB966E">
      <w:pPr>
        <w:jc w:val="center"/>
        <w:rPr>
          <w:rFonts w:ascii="黑体" w:hAnsi="黑体" w:eastAsia="黑体"/>
          <w:b w:val="0"/>
          <w:bCs/>
          <w:kern w:val="0"/>
          <w:sz w:val="24"/>
          <w:szCs w:val="28"/>
        </w:rPr>
      </w:pPr>
      <w:r>
        <w:rPr>
          <w:rFonts w:hint="eastAsia" w:ascii="黑体" w:hAnsi="黑体" w:eastAsia="黑体"/>
          <w:b w:val="0"/>
          <w:bCs/>
          <w:kern w:val="0"/>
          <w:sz w:val="24"/>
          <w:szCs w:val="28"/>
        </w:rPr>
        <w:t>表</w:t>
      </w:r>
      <w:r>
        <w:rPr>
          <w:rFonts w:ascii="黑体" w:hAnsi="黑体" w:eastAsia="黑体"/>
          <w:b w:val="0"/>
          <w:bCs/>
          <w:kern w:val="0"/>
          <w:sz w:val="24"/>
          <w:szCs w:val="28"/>
        </w:rPr>
        <w:t>2.1</w:t>
      </w:r>
      <w:r>
        <w:rPr>
          <w:rFonts w:hint="eastAsia" w:ascii="黑体" w:hAnsi="黑体" w:eastAsia="黑体"/>
          <w:b w:val="0"/>
          <w:bCs/>
          <w:kern w:val="0"/>
          <w:sz w:val="24"/>
          <w:szCs w:val="28"/>
        </w:rPr>
        <w:t>-</w:t>
      </w:r>
      <w:r>
        <w:rPr>
          <w:rFonts w:ascii="黑体" w:hAnsi="黑体" w:eastAsia="黑体"/>
          <w:b w:val="0"/>
          <w:bCs/>
          <w:kern w:val="0"/>
          <w:sz w:val="24"/>
          <w:szCs w:val="28"/>
        </w:rPr>
        <w:t xml:space="preserve">1  </w:t>
      </w:r>
      <w:r>
        <w:rPr>
          <w:rFonts w:hint="eastAsia" w:ascii="黑体" w:hAnsi="黑体" w:eastAsia="黑体"/>
          <w:b w:val="0"/>
          <w:bCs/>
          <w:kern w:val="0"/>
          <w:sz w:val="24"/>
          <w:szCs w:val="28"/>
        </w:rPr>
        <w:t>浏阳市太平复兴花炮厂（个人独资）基本情况表</w:t>
      </w:r>
    </w:p>
    <w:tbl>
      <w:tblPr>
        <w:tblStyle w:val="88"/>
        <w:tblW w:w="855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91"/>
        <w:gridCol w:w="3839"/>
        <w:gridCol w:w="1578"/>
        <w:gridCol w:w="1542"/>
      </w:tblGrid>
      <w:tr w14:paraId="184624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1" w:type="dxa"/>
            <w:vAlign w:val="center"/>
          </w:tcPr>
          <w:p w14:paraId="0D2109A4">
            <w:pPr>
              <w:spacing w:line="300" w:lineRule="exact"/>
              <w:jc w:val="distribute"/>
              <w:rPr>
                <w:rFonts w:ascii="宋体" w:hAnsi="宋体"/>
                <w:b w:val="0"/>
                <w:bCs/>
                <w:szCs w:val="21"/>
              </w:rPr>
            </w:pPr>
            <w:bookmarkStart w:id="102" w:name="_Hlk71794174"/>
            <w:r>
              <w:rPr>
                <w:rFonts w:hint="eastAsia" w:ascii="宋体" w:hAnsi="宋体"/>
                <w:b w:val="0"/>
                <w:bCs/>
                <w:szCs w:val="21"/>
              </w:rPr>
              <w:t>企业名称</w:t>
            </w:r>
          </w:p>
        </w:tc>
        <w:tc>
          <w:tcPr>
            <w:tcW w:w="6959" w:type="dxa"/>
            <w:gridSpan w:val="3"/>
            <w:vAlign w:val="center"/>
          </w:tcPr>
          <w:p w14:paraId="6A7AC23A">
            <w:pPr>
              <w:spacing w:line="300" w:lineRule="exact"/>
              <w:jc w:val="left"/>
              <w:rPr>
                <w:rFonts w:ascii="宋体" w:hAnsi="宋体"/>
                <w:b w:val="0"/>
                <w:bCs/>
                <w:szCs w:val="21"/>
              </w:rPr>
            </w:pPr>
            <w:r>
              <w:rPr>
                <w:rFonts w:hint="eastAsia" w:ascii="宋体" w:hAnsi="宋体"/>
                <w:b w:val="0"/>
                <w:bCs/>
                <w:szCs w:val="21"/>
              </w:rPr>
              <w:t>浏阳市太平复兴花炮厂（个人独资）</w:t>
            </w:r>
          </w:p>
        </w:tc>
      </w:tr>
      <w:bookmarkEnd w:id="102"/>
      <w:tr w14:paraId="261300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1" w:type="dxa"/>
            <w:vAlign w:val="center"/>
          </w:tcPr>
          <w:p w14:paraId="359B8DEC">
            <w:pPr>
              <w:spacing w:line="300" w:lineRule="exact"/>
              <w:jc w:val="distribute"/>
              <w:rPr>
                <w:rFonts w:ascii="宋体" w:hAnsi="宋体"/>
                <w:b w:val="0"/>
                <w:bCs/>
                <w:szCs w:val="21"/>
              </w:rPr>
            </w:pPr>
            <w:r>
              <w:rPr>
                <w:rFonts w:hint="eastAsia" w:ascii="宋体" w:hAnsi="宋体"/>
                <w:b w:val="0"/>
                <w:bCs/>
                <w:szCs w:val="21"/>
              </w:rPr>
              <w:t>办公地址</w:t>
            </w:r>
          </w:p>
        </w:tc>
        <w:tc>
          <w:tcPr>
            <w:tcW w:w="6959" w:type="dxa"/>
            <w:gridSpan w:val="3"/>
            <w:vAlign w:val="center"/>
          </w:tcPr>
          <w:p w14:paraId="089AC9E9">
            <w:pPr>
              <w:spacing w:line="300" w:lineRule="exact"/>
              <w:jc w:val="left"/>
              <w:rPr>
                <w:rFonts w:ascii="宋体" w:hAnsi="宋体"/>
                <w:b w:val="0"/>
                <w:bCs/>
                <w:szCs w:val="21"/>
              </w:rPr>
            </w:pPr>
            <w:r>
              <w:rPr>
                <w:rFonts w:hint="eastAsia" w:ascii="宋体" w:hAnsi="宋体"/>
                <w:b w:val="0"/>
                <w:bCs/>
                <w:szCs w:val="21"/>
              </w:rPr>
              <w:t>浏阳市集里街道办事处合盛村</w:t>
            </w:r>
          </w:p>
        </w:tc>
      </w:tr>
      <w:tr w14:paraId="7F3DF6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1" w:type="dxa"/>
            <w:vAlign w:val="center"/>
          </w:tcPr>
          <w:p w14:paraId="1669FA5F">
            <w:pPr>
              <w:spacing w:line="300" w:lineRule="exact"/>
              <w:jc w:val="distribute"/>
              <w:rPr>
                <w:rFonts w:ascii="宋体" w:hAnsi="宋体"/>
                <w:b w:val="0"/>
                <w:bCs/>
                <w:szCs w:val="21"/>
              </w:rPr>
            </w:pPr>
            <w:r>
              <w:rPr>
                <w:rFonts w:hint="eastAsia" w:ascii="宋体" w:hAnsi="宋体"/>
                <w:b w:val="0"/>
                <w:bCs/>
                <w:szCs w:val="21"/>
              </w:rPr>
              <w:t>统一社会信用</w:t>
            </w:r>
            <w:r>
              <w:rPr>
                <w:rFonts w:ascii="宋体" w:hAnsi="宋体"/>
                <w:b w:val="0"/>
                <w:bCs/>
                <w:szCs w:val="21"/>
              </w:rPr>
              <w:t>代码</w:t>
            </w:r>
          </w:p>
        </w:tc>
        <w:tc>
          <w:tcPr>
            <w:tcW w:w="6959" w:type="dxa"/>
            <w:gridSpan w:val="3"/>
            <w:vAlign w:val="center"/>
          </w:tcPr>
          <w:p w14:paraId="7CF9EE1A">
            <w:pPr>
              <w:spacing w:line="300" w:lineRule="exact"/>
              <w:jc w:val="left"/>
              <w:rPr>
                <w:rFonts w:ascii="宋体" w:hAnsi="宋体"/>
                <w:b w:val="0"/>
                <w:bCs/>
                <w:szCs w:val="21"/>
              </w:rPr>
            </w:pPr>
            <w:r>
              <w:rPr>
                <w:rFonts w:hint="eastAsia" w:ascii="宋体" w:hAnsi="宋体"/>
                <w:b w:val="0"/>
                <w:bCs/>
                <w:szCs w:val="21"/>
              </w:rPr>
              <w:t>91430181712117522R</w:t>
            </w:r>
          </w:p>
        </w:tc>
      </w:tr>
      <w:tr w14:paraId="4FC64D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1" w:type="dxa"/>
            <w:vAlign w:val="center"/>
          </w:tcPr>
          <w:p w14:paraId="38C44E61">
            <w:pPr>
              <w:spacing w:line="300" w:lineRule="exact"/>
              <w:jc w:val="distribute"/>
              <w:rPr>
                <w:rFonts w:ascii="宋体" w:hAnsi="宋体"/>
                <w:b w:val="0"/>
                <w:bCs/>
                <w:szCs w:val="21"/>
              </w:rPr>
            </w:pPr>
            <w:r>
              <w:rPr>
                <w:rFonts w:hint="eastAsia" w:ascii="宋体" w:hAnsi="宋体"/>
                <w:b w:val="0"/>
                <w:bCs/>
                <w:szCs w:val="21"/>
              </w:rPr>
              <w:t>登记机关</w:t>
            </w:r>
          </w:p>
        </w:tc>
        <w:tc>
          <w:tcPr>
            <w:tcW w:w="3839" w:type="dxa"/>
            <w:vAlign w:val="center"/>
          </w:tcPr>
          <w:p w14:paraId="57A32A8B">
            <w:pPr>
              <w:spacing w:line="300" w:lineRule="exact"/>
              <w:rPr>
                <w:rFonts w:ascii="宋体" w:hAnsi="宋体"/>
                <w:b w:val="0"/>
                <w:bCs/>
                <w:szCs w:val="21"/>
              </w:rPr>
            </w:pPr>
            <w:r>
              <w:rPr>
                <w:rFonts w:hint="eastAsia" w:ascii="宋体" w:hAnsi="宋体"/>
                <w:b w:val="0"/>
                <w:bCs/>
                <w:szCs w:val="21"/>
              </w:rPr>
              <w:t>浏阳市市场监督管理局</w:t>
            </w:r>
          </w:p>
        </w:tc>
        <w:tc>
          <w:tcPr>
            <w:tcW w:w="1578" w:type="dxa"/>
            <w:vAlign w:val="center"/>
          </w:tcPr>
          <w:p w14:paraId="78ED9431">
            <w:pPr>
              <w:spacing w:line="300" w:lineRule="exact"/>
              <w:jc w:val="distribute"/>
              <w:rPr>
                <w:rFonts w:ascii="宋体" w:hAnsi="宋体"/>
                <w:b w:val="0"/>
                <w:bCs/>
                <w:szCs w:val="21"/>
              </w:rPr>
            </w:pPr>
            <w:r>
              <w:rPr>
                <w:rFonts w:hint="eastAsia" w:ascii="宋体" w:hAnsi="宋体"/>
                <w:b w:val="0"/>
                <w:bCs/>
                <w:szCs w:val="21"/>
              </w:rPr>
              <w:t>成立日期</w:t>
            </w:r>
          </w:p>
        </w:tc>
        <w:tc>
          <w:tcPr>
            <w:tcW w:w="1542" w:type="dxa"/>
            <w:vAlign w:val="center"/>
          </w:tcPr>
          <w:p w14:paraId="094FE807">
            <w:pPr>
              <w:spacing w:line="300" w:lineRule="exact"/>
              <w:rPr>
                <w:rFonts w:ascii="宋体" w:hAnsi="宋体"/>
                <w:b w:val="0"/>
                <w:bCs/>
                <w:szCs w:val="21"/>
              </w:rPr>
            </w:pPr>
            <w:r>
              <w:rPr>
                <w:rFonts w:hint="eastAsia" w:ascii="宋体" w:hAnsi="宋体"/>
                <w:b w:val="0"/>
                <w:bCs/>
                <w:szCs w:val="21"/>
              </w:rPr>
              <w:t>20</w:t>
            </w:r>
            <w:r>
              <w:rPr>
                <w:rFonts w:ascii="宋体" w:hAnsi="宋体"/>
                <w:b w:val="0"/>
                <w:bCs/>
                <w:szCs w:val="21"/>
              </w:rPr>
              <w:t>0</w:t>
            </w:r>
            <w:r>
              <w:rPr>
                <w:rFonts w:hint="eastAsia" w:ascii="宋体" w:hAnsi="宋体"/>
                <w:b w:val="0"/>
                <w:bCs/>
                <w:szCs w:val="21"/>
              </w:rPr>
              <w:t>7年5月</w:t>
            </w:r>
          </w:p>
        </w:tc>
      </w:tr>
      <w:tr w14:paraId="78D57F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1" w:type="dxa"/>
            <w:vAlign w:val="center"/>
          </w:tcPr>
          <w:p w14:paraId="727CBF49">
            <w:pPr>
              <w:spacing w:line="300" w:lineRule="exact"/>
              <w:rPr>
                <w:rFonts w:ascii="宋体" w:hAnsi="宋体"/>
                <w:b w:val="0"/>
                <w:bCs/>
                <w:szCs w:val="21"/>
              </w:rPr>
            </w:pPr>
            <w:r>
              <w:rPr>
                <w:rFonts w:hint="eastAsia" w:ascii="宋体" w:hAnsi="宋体"/>
                <w:b w:val="0"/>
                <w:bCs/>
                <w:spacing w:val="0"/>
                <w:kern w:val="0"/>
                <w:szCs w:val="21"/>
                <w:fitText w:val="1155" w:id="-393541376"/>
              </w:rPr>
              <w:t>经 济 类 型</w:t>
            </w:r>
          </w:p>
        </w:tc>
        <w:tc>
          <w:tcPr>
            <w:tcW w:w="3839" w:type="dxa"/>
            <w:vAlign w:val="center"/>
          </w:tcPr>
          <w:p w14:paraId="344C30B5">
            <w:pPr>
              <w:spacing w:line="300" w:lineRule="exact"/>
              <w:rPr>
                <w:rFonts w:ascii="宋体" w:hAnsi="宋体"/>
                <w:b w:val="0"/>
                <w:bCs/>
                <w:szCs w:val="21"/>
              </w:rPr>
            </w:pPr>
            <w:r>
              <w:rPr>
                <w:rFonts w:hint="eastAsia" w:ascii="宋体" w:hAnsi="宋体"/>
                <w:b w:val="0"/>
                <w:bCs/>
                <w:szCs w:val="21"/>
              </w:rPr>
              <w:t>个人独资企业</w:t>
            </w:r>
          </w:p>
        </w:tc>
        <w:tc>
          <w:tcPr>
            <w:tcW w:w="1578" w:type="dxa"/>
            <w:vAlign w:val="center"/>
          </w:tcPr>
          <w:p w14:paraId="5B41B80D">
            <w:pPr>
              <w:spacing w:line="300" w:lineRule="exact"/>
              <w:jc w:val="distribute"/>
              <w:rPr>
                <w:rFonts w:ascii="宋体" w:hAnsi="宋体"/>
                <w:b w:val="0"/>
                <w:bCs/>
                <w:szCs w:val="21"/>
              </w:rPr>
            </w:pPr>
            <w:r>
              <w:rPr>
                <w:rFonts w:hint="eastAsia" w:ascii="宋体" w:hAnsi="宋体"/>
                <w:b w:val="0"/>
                <w:bCs/>
                <w:szCs w:val="21"/>
              </w:rPr>
              <w:t>注册资本</w:t>
            </w:r>
          </w:p>
        </w:tc>
        <w:tc>
          <w:tcPr>
            <w:tcW w:w="1542" w:type="dxa"/>
            <w:vAlign w:val="center"/>
          </w:tcPr>
          <w:p w14:paraId="16ABB6A0">
            <w:pPr>
              <w:spacing w:line="300" w:lineRule="exact"/>
              <w:rPr>
                <w:rFonts w:ascii="宋体" w:hAnsi="宋体"/>
                <w:b w:val="0"/>
                <w:bCs/>
                <w:szCs w:val="21"/>
              </w:rPr>
            </w:pPr>
            <w:r>
              <w:rPr>
                <w:rFonts w:hint="eastAsia" w:ascii="宋体" w:hAnsi="宋体"/>
                <w:b w:val="0"/>
                <w:bCs/>
                <w:szCs w:val="21"/>
              </w:rPr>
              <w:t>12</w:t>
            </w:r>
            <w:r>
              <w:rPr>
                <w:rFonts w:ascii="宋体" w:hAnsi="宋体"/>
                <w:b w:val="0"/>
                <w:bCs/>
                <w:szCs w:val="21"/>
              </w:rPr>
              <w:t>0</w:t>
            </w:r>
            <w:r>
              <w:rPr>
                <w:rFonts w:hint="eastAsia" w:ascii="宋体" w:hAnsi="宋体"/>
                <w:b w:val="0"/>
                <w:bCs/>
                <w:szCs w:val="21"/>
              </w:rPr>
              <w:t>万元</w:t>
            </w:r>
          </w:p>
        </w:tc>
      </w:tr>
      <w:tr w14:paraId="591FAF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1" w:type="dxa"/>
            <w:vAlign w:val="center"/>
          </w:tcPr>
          <w:p w14:paraId="14F23AFE">
            <w:pPr>
              <w:spacing w:line="300" w:lineRule="exact"/>
              <w:jc w:val="distribute"/>
              <w:rPr>
                <w:rFonts w:ascii="宋体" w:hAnsi="宋体"/>
                <w:b w:val="0"/>
                <w:bCs/>
                <w:szCs w:val="21"/>
              </w:rPr>
            </w:pPr>
            <w:r>
              <w:rPr>
                <w:rFonts w:hint="eastAsia" w:ascii="宋体" w:hAnsi="宋体"/>
                <w:b w:val="0"/>
                <w:bCs/>
                <w:szCs w:val="21"/>
              </w:rPr>
              <w:t>主要负责人</w:t>
            </w:r>
          </w:p>
        </w:tc>
        <w:tc>
          <w:tcPr>
            <w:tcW w:w="3839" w:type="dxa"/>
            <w:vAlign w:val="center"/>
          </w:tcPr>
          <w:p w14:paraId="4CF8D8C2">
            <w:pPr>
              <w:spacing w:line="300" w:lineRule="exact"/>
              <w:jc w:val="left"/>
              <w:rPr>
                <w:rFonts w:ascii="宋体" w:hAnsi="宋体"/>
                <w:b w:val="0"/>
                <w:bCs/>
                <w:szCs w:val="21"/>
              </w:rPr>
            </w:pPr>
            <w:r>
              <w:rPr>
                <w:rFonts w:hint="eastAsia" w:ascii="宋体" w:hAnsi="宋体"/>
                <w:b w:val="0"/>
                <w:bCs/>
                <w:kern w:val="0"/>
                <w:szCs w:val="21"/>
              </w:rPr>
              <w:t>黄先承</w:t>
            </w:r>
          </w:p>
        </w:tc>
        <w:tc>
          <w:tcPr>
            <w:tcW w:w="1578" w:type="dxa"/>
            <w:vAlign w:val="center"/>
          </w:tcPr>
          <w:p w14:paraId="129304A8">
            <w:pPr>
              <w:spacing w:line="300" w:lineRule="exact"/>
              <w:jc w:val="distribute"/>
              <w:rPr>
                <w:rFonts w:ascii="宋体" w:hAnsi="宋体"/>
                <w:b w:val="0"/>
                <w:bCs/>
                <w:szCs w:val="21"/>
              </w:rPr>
            </w:pPr>
            <w:r>
              <w:rPr>
                <w:rFonts w:hint="eastAsia" w:ascii="宋体" w:hAnsi="宋体"/>
                <w:b w:val="0"/>
                <w:bCs/>
                <w:szCs w:val="21"/>
              </w:rPr>
              <w:t>联系电话</w:t>
            </w:r>
          </w:p>
        </w:tc>
        <w:tc>
          <w:tcPr>
            <w:tcW w:w="1542" w:type="dxa"/>
            <w:vAlign w:val="center"/>
          </w:tcPr>
          <w:p w14:paraId="0306A7EA">
            <w:pPr>
              <w:spacing w:line="300" w:lineRule="exact"/>
              <w:rPr>
                <w:rFonts w:ascii="宋体" w:hAnsi="宋体"/>
                <w:b w:val="0"/>
                <w:bCs/>
                <w:szCs w:val="21"/>
              </w:rPr>
            </w:pPr>
            <w:r>
              <w:rPr>
                <w:rFonts w:ascii="宋体" w:hAnsi="宋体"/>
                <w:b w:val="0"/>
                <w:bCs/>
                <w:szCs w:val="21"/>
              </w:rPr>
              <w:t>13627422355</w:t>
            </w:r>
          </w:p>
        </w:tc>
      </w:tr>
      <w:tr w14:paraId="1EA2E6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1" w:type="dxa"/>
            <w:vAlign w:val="center"/>
          </w:tcPr>
          <w:p w14:paraId="11EA9077">
            <w:pPr>
              <w:spacing w:line="300" w:lineRule="exact"/>
              <w:jc w:val="distribute"/>
              <w:rPr>
                <w:rFonts w:ascii="宋体" w:hAnsi="宋体"/>
                <w:b w:val="0"/>
                <w:bCs/>
                <w:szCs w:val="21"/>
              </w:rPr>
            </w:pPr>
            <w:r>
              <w:rPr>
                <w:rFonts w:hint="eastAsia" w:ascii="宋体" w:hAnsi="宋体"/>
                <w:b w:val="0"/>
                <w:bCs/>
                <w:szCs w:val="21"/>
              </w:rPr>
              <w:t>占地面积</w:t>
            </w:r>
          </w:p>
        </w:tc>
        <w:tc>
          <w:tcPr>
            <w:tcW w:w="3839" w:type="dxa"/>
            <w:vAlign w:val="center"/>
          </w:tcPr>
          <w:p w14:paraId="63436996">
            <w:pPr>
              <w:spacing w:line="300" w:lineRule="exact"/>
              <w:jc w:val="left"/>
              <w:rPr>
                <w:rFonts w:ascii="宋体" w:hAnsi="宋体"/>
                <w:b w:val="0"/>
                <w:bCs/>
                <w:kern w:val="0"/>
                <w:szCs w:val="21"/>
              </w:rPr>
            </w:pPr>
            <w:r>
              <w:rPr>
                <w:rFonts w:hint="eastAsia" w:ascii="宋体" w:hAnsi="宋体"/>
                <w:b w:val="0"/>
                <w:bCs/>
                <w:kern w:val="0"/>
                <w:szCs w:val="21"/>
              </w:rPr>
              <w:t>约40000m</w:t>
            </w:r>
          </w:p>
        </w:tc>
        <w:tc>
          <w:tcPr>
            <w:tcW w:w="1578" w:type="dxa"/>
            <w:vAlign w:val="center"/>
          </w:tcPr>
          <w:p w14:paraId="6A83F595">
            <w:pPr>
              <w:spacing w:line="300" w:lineRule="exact"/>
              <w:jc w:val="distribute"/>
              <w:rPr>
                <w:rFonts w:ascii="宋体" w:hAnsi="宋体"/>
                <w:b w:val="0"/>
                <w:bCs/>
                <w:szCs w:val="21"/>
              </w:rPr>
            </w:pPr>
            <w:r>
              <w:rPr>
                <w:rFonts w:hint="eastAsia" w:ascii="宋体" w:hAnsi="宋体"/>
                <w:b w:val="0"/>
                <w:bCs/>
                <w:szCs w:val="21"/>
              </w:rPr>
              <w:t>总建筑面积</w:t>
            </w:r>
          </w:p>
        </w:tc>
        <w:tc>
          <w:tcPr>
            <w:tcW w:w="1542" w:type="dxa"/>
            <w:vAlign w:val="center"/>
          </w:tcPr>
          <w:p w14:paraId="7945EFFB">
            <w:pPr>
              <w:spacing w:line="300" w:lineRule="exact"/>
              <w:rPr>
                <w:rFonts w:ascii="宋体" w:hAnsi="宋体"/>
                <w:b w:val="0"/>
                <w:bCs/>
                <w:szCs w:val="21"/>
              </w:rPr>
            </w:pPr>
            <w:r>
              <w:rPr>
                <w:rFonts w:ascii="宋体" w:hAnsi="宋体"/>
                <w:b w:val="0"/>
                <w:bCs/>
                <w:szCs w:val="21"/>
              </w:rPr>
              <w:t>8038m</w:t>
            </w:r>
            <w:r>
              <w:rPr>
                <w:rFonts w:ascii="宋体" w:hAnsi="宋体"/>
                <w:b w:val="0"/>
                <w:bCs/>
                <w:szCs w:val="21"/>
                <w:vertAlign w:val="superscript"/>
              </w:rPr>
              <w:t>2</w:t>
            </w:r>
          </w:p>
        </w:tc>
      </w:tr>
      <w:tr w14:paraId="72ABDA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1" w:type="dxa"/>
            <w:vAlign w:val="center"/>
          </w:tcPr>
          <w:p w14:paraId="0B61BA78">
            <w:pPr>
              <w:spacing w:line="300" w:lineRule="exact"/>
              <w:jc w:val="distribute"/>
              <w:rPr>
                <w:rFonts w:ascii="宋体" w:hAnsi="宋体"/>
                <w:b w:val="0"/>
                <w:bCs/>
                <w:szCs w:val="21"/>
              </w:rPr>
            </w:pPr>
            <w:r>
              <w:rPr>
                <w:rFonts w:hint="eastAsia" w:ascii="宋体" w:hAnsi="宋体"/>
                <w:b w:val="0"/>
                <w:bCs/>
                <w:szCs w:val="21"/>
              </w:rPr>
              <w:t>原许可范围</w:t>
            </w:r>
          </w:p>
        </w:tc>
        <w:tc>
          <w:tcPr>
            <w:tcW w:w="6959" w:type="dxa"/>
            <w:gridSpan w:val="3"/>
            <w:vAlign w:val="center"/>
          </w:tcPr>
          <w:p w14:paraId="4AF3AFE4">
            <w:pPr>
              <w:spacing w:line="300" w:lineRule="exact"/>
              <w:jc w:val="left"/>
              <w:rPr>
                <w:rFonts w:ascii="宋体" w:hAnsi="宋体"/>
                <w:b w:val="0"/>
                <w:bCs/>
                <w:szCs w:val="21"/>
              </w:rPr>
            </w:pPr>
            <w:r>
              <w:rPr>
                <w:rFonts w:hint="eastAsia" w:ascii="宋体" w:hAnsi="宋体"/>
                <w:b w:val="0"/>
                <w:bCs/>
                <w:szCs w:val="21"/>
              </w:rPr>
              <w:t>组合烟花类（C级）</w:t>
            </w:r>
          </w:p>
        </w:tc>
      </w:tr>
      <w:tr w14:paraId="1697E9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1" w:type="dxa"/>
            <w:vAlign w:val="center"/>
          </w:tcPr>
          <w:p w14:paraId="54BD2FCB">
            <w:pPr>
              <w:spacing w:line="300" w:lineRule="exact"/>
              <w:jc w:val="distribute"/>
              <w:rPr>
                <w:rFonts w:ascii="宋体" w:hAnsi="宋体"/>
                <w:b w:val="0"/>
                <w:bCs/>
                <w:szCs w:val="21"/>
              </w:rPr>
            </w:pPr>
            <w:r>
              <w:rPr>
                <w:rFonts w:hint="eastAsia" w:ascii="宋体" w:hAnsi="宋体"/>
                <w:b w:val="0"/>
                <w:bCs/>
                <w:szCs w:val="21"/>
              </w:rPr>
              <w:t>设计生产范围</w:t>
            </w:r>
          </w:p>
        </w:tc>
        <w:tc>
          <w:tcPr>
            <w:tcW w:w="6959" w:type="dxa"/>
            <w:gridSpan w:val="3"/>
            <w:vAlign w:val="center"/>
          </w:tcPr>
          <w:p w14:paraId="3EF00763">
            <w:pPr>
              <w:spacing w:line="300" w:lineRule="exact"/>
              <w:jc w:val="left"/>
              <w:rPr>
                <w:rFonts w:ascii="宋体" w:hAnsi="宋体" w:cs="宋体"/>
                <w:b w:val="0"/>
                <w:bCs/>
                <w:szCs w:val="21"/>
              </w:rPr>
            </w:pPr>
            <w:r>
              <w:rPr>
                <w:rFonts w:hint="eastAsia" w:ascii="宋体" w:hAnsi="宋体" w:cs="Arial"/>
                <w:b w:val="0"/>
                <w:szCs w:val="21"/>
              </w:rPr>
              <w:t>喷花类（C1级、C2级、D级）、组合烟花（喷花组合，C1级、C2级、D级））</w:t>
            </w:r>
          </w:p>
        </w:tc>
      </w:tr>
    </w:tbl>
    <w:p w14:paraId="43BA5010">
      <w:pPr>
        <w:keepNext/>
        <w:keepLines/>
        <w:spacing w:before="120" w:beforeLines="50" w:line="360" w:lineRule="auto"/>
        <w:outlineLvl w:val="1"/>
        <w:rPr>
          <w:rFonts w:ascii="黑体" w:hAnsi="宋体" w:eastAsia="黑体"/>
          <w:b w:val="0"/>
          <w:bCs/>
          <w:snapToGrid w:val="0"/>
          <w:sz w:val="30"/>
          <w:szCs w:val="30"/>
        </w:rPr>
      </w:pPr>
      <w:bookmarkStart w:id="103" w:name="_Toc7412"/>
      <w:r>
        <w:rPr>
          <w:rFonts w:hint="eastAsia" w:ascii="黑体" w:hAnsi="宋体" w:eastAsia="黑体"/>
          <w:b w:val="0"/>
          <w:bCs/>
          <w:snapToGrid w:val="0"/>
          <w:sz w:val="30"/>
          <w:szCs w:val="30"/>
        </w:rPr>
        <w:t>2.2建设项目概况</w:t>
      </w:r>
      <w:bookmarkEnd w:id="101"/>
      <w:bookmarkEnd w:id="103"/>
    </w:p>
    <w:p w14:paraId="44DE788E">
      <w:pPr>
        <w:spacing w:line="360" w:lineRule="auto"/>
        <w:ind w:firstLine="560" w:firstLineChars="200"/>
        <w:rPr>
          <w:rFonts w:cs="宋体" w:asciiTheme="minorEastAsia" w:hAnsiTheme="minorEastAsia" w:eastAsiaTheme="minorEastAsia"/>
          <w:b w:val="0"/>
          <w:sz w:val="28"/>
          <w:szCs w:val="28"/>
        </w:rPr>
      </w:pPr>
      <w:bookmarkStart w:id="104" w:name="_Toc165038765"/>
      <w:r>
        <w:rPr>
          <w:rFonts w:hint="eastAsia" w:ascii="宋体" w:hAnsi="宋体" w:cs="Arial"/>
          <w:b w:val="0"/>
          <w:sz w:val="28"/>
        </w:rPr>
        <w:t>为响应应急管理部门关于烟花爆竹企业对标改造的号召，结合自身产业转型升级需要，该企业拟实施厂区改造工程，旨在提升安全生产条件，适应市场需求，实现更安全高效的生产目标。具体内容：①变更许可范围；②调整生产类别，拟申请生产类别为</w:t>
      </w:r>
      <w:r>
        <w:rPr>
          <w:rFonts w:hint="eastAsia" w:ascii="宋体" w:hAnsi="宋体" w:cs="Arial"/>
          <w:b w:val="0"/>
          <w:color w:val="000000" w:themeColor="text1"/>
          <w:sz w:val="28"/>
          <w14:textFill>
            <w14:solidFill>
              <w14:schemeClr w14:val="tx1"/>
            </w14:solidFill>
          </w14:textFill>
        </w:rPr>
        <w:t>喷花类（C</w:t>
      </w:r>
      <w:r>
        <w:rPr>
          <w:rFonts w:hint="eastAsia" w:ascii="宋体" w:hAnsi="宋体" w:cs="Arial"/>
          <w:b w:val="0"/>
          <w:color w:val="000000" w:themeColor="text1"/>
          <w:sz w:val="28"/>
          <w:vertAlign w:val="subscript"/>
          <w14:textFill>
            <w14:solidFill>
              <w14:schemeClr w14:val="tx1"/>
            </w14:solidFill>
          </w14:textFill>
        </w:rPr>
        <w:t>1</w:t>
      </w:r>
      <w:r>
        <w:rPr>
          <w:rFonts w:hint="eastAsia" w:ascii="宋体" w:hAnsi="宋体" w:cs="Arial"/>
          <w:b w:val="0"/>
          <w:color w:val="000000" w:themeColor="text1"/>
          <w:sz w:val="28"/>
          <w14:textFill>
            <w14:solidFill>
              <w14:schemeClr w14:val="tx1"/>
            </w14:solidFill>
          </w14:textFill>
        </w:rPr>
        <w:t>级</w:t>
      </w:r>
      <w:r>
        <w:rPr>
          <w:rFonts w:hint="eastAsia" w:ascii="宋体" w:hAnsi="宋体" w:cs="Arial"/>
          <w:b w:val="0"/>
          <w:sz w:val="28"/>
        </w:rPr>
        <w:t>、C</w:t>
      </w:r>
      <w:r>
        <w:rPr>
          <w:rFonts w:hint="eastAsia" w:ascii="宋体" w:hAnsi="宋体" w:cs="Arial"/>
          <w:b w:val="0"/>
          <w:sz w:val="28"/>
          <w:vertAlign w:val="subscript"/>
        </w:rPr>
        <w:t>2</w:t>
      </w:r>
      <w:r>
        <w:rPr>
          <w:rFonts w:hint="eastAsia" w:ascii="宋体" w:hAnsi="宋体" w:cs="Arial"/>
          <w:b w:val="0"/>
          <w:sz w:val="28"/>
        </w:rPr>
        <w:t>级、D级）、组合烟花（喷花组合，C</w:t>
      </w:r>
      <w:r>
        <w:rPr>
          <w:rFonts w:hint="eastAsia" w:ascii="宋体" w:hAnsi="宋体" w:cs="Arial"/>
          <w:b w:val="0"/>
          <w:sz w:val="28"/>
          <w:vertAlign w:val="subscript"/>
        </w:rPr>
        <w:t>1</w:t>
      </w:r>
      <w:r>
        <w:rPr>
          <w:rFonts w:hint="eastAsia" w:ascii="宋体" w:hAnsi="宋体" w:cs="Arial"/>
          <w:b w:val="0"/>
          <w:sz w:val="28"/>
        </w:rPr>
        <w:t>级、C</w:t>
      </w:r>
      <w:r>
        <w:rPr>
          <w:rFonts w:hint="eastAsia" w:ascii="宋体" w:hAnsi="宋体" w:cs="Arial"/>
          <w:b w:val="0"/>
          <w:sz w:val="28"/>
          <w:vertAlign w:val="subscript"/>
        </w:rPr>
        <w:t>2</w:t>
      </w:r>
      <w:r>
        <w:rPr>
          <w:rFonts w:hint="eastAsia" w:ascii="宋体" w:hAnsi="宋体" w:cs="Arial"/>
          <w:b w:val="0"/>
          <w:sz w:val="28"/>
        </w:rPr>
        <w:t>级、D级）；拟将原组合烟花类生产线改建为喷花类生产线。</w:t>
      </w:r>
      <w:r>
        <w:rPr>
          <w:rFonts w:cs="Calibri"/>
          <w:b w:val="0"/>
          <w:sz w:val="28"/>
        </w:rPr>
        <w:t>③</w:t>
      </w:r>
      <w:r>
        <w:rPr>
          <w:rFonts w:hint="eastAsia" w:ascii="宋体" w:hAnsi="宋体" w:cs="Arial"/>
          <w:b w:val="0"/>
          <w:sz w:val="28"/>
        </w:rPr>
        <w:t>对装药生产线、亮珠生产线、药物中转库及1.3级生产车间等进行改建升级；④全面完善厂区各项安全设施，系统提升安全生产配套条件，确保整体达标运行。拟改建后厂区共有工库房93栋，其中</w:t>
      </w:r>
      <w:r>
        <w:rPr>
          <w:rFonts w:hint="eastAsia" w:ascii="宋体" w:hAnsi="宋体" w:cs="Arial"/>
          <w:b w:val="0"/>
          <w:color w:val="000000" w:themeColor="text1"/>
          <w:sz w:val="28"/>
          <w14:textFill>
            <w14:solidFill>
              <w14:schemeClr w14:val="tx1"/>
            </w14:solidFill>
          </w14:textFill>
        </w:rPr>
        <w:t>新建9栋、改建71栋，利旧11栋，</w:t>
      </w:r>
      <w:r>
        <w:rPr>
          <w:rFonts w:hint="eastAsia" w:ascii="宋体" w:hAnsi="宋体" w:cs="Arial"/>
          <w:b w:val="0"/>
          <w:sz w:val="28"/>
        </w:rPr>
        <w:t>申请生产范围变更为：喷花类（C</w:t>
      </w:r>
      <w:r>
        <w:rPr>
          <w:rFonts w:hint="eastAsia" w:ascii="宋体" w:hAnsi="宋体" w:cs="Arial"/>
          <w:b w:val="0"/>
          <w:sz w:val="28"/>
          <w:vertAlign w:val="subscript"/>
        </w:rPr>
        <w:t>1</w:t>
      </w:r>
      <w:r>
        <w:rPr>
          <w:rFonts w:hint="eastAsia" w:ascii="宋体" w:hAnsi="宋体" w:cs="Arial"/>
          <w:b w:val="0"/>
          <w:sz w:val="28"/>
        </w:rPr>
        <w:t>级、C</w:t>
      </w:r>
      <w:r>
        <w:rPr>
          <w:rFonts w:hint="eastAsia" w:ascii="宋体" w:hAnsi="宋体" w:cs="Arial"/>
          <w:b w:val="0"/>
          <w:sz w:val="28"/>
          <w:vertAlign w:val="subscript"/>
        </w:rPr>
        <w:t>2</w:t>
      </w:r>
      <w:r>
        <w:rPr>
          <w:rFonts w:hint="eastAsia" w:ascii="宋体" w:hAnsi="宋体" w:cs="Arial"/>
          <w:b w:val="0"/>
          <w:sz w:val="28"/>
        </w:rPr>
        <w:t>级、D级）、组合烟花（喷花组合，C</w:t>
      </w:r>
      <w:r>
        <w:rPr>
          <w:rFonts w:hint="eastAsia" w:ascii="宋体" w:hAnsi="宋体" w:cs="Arial"/>
          <w:b w:val="0"/>
          <w:sz w:val="28"/>
          <w:vertAlign w:val="subscript"/>
        </w:rPr>
        <w:t>1</w:t>
      </w:r>
      <w:r>
        <w:rPr>
          <w:rFonts w:hint="eastAsia" w:ascii="宋体" w:hAnsi="宋体" w:cs="Arial"/>
          <w:b w:val="0"/>
          <w:sz w:val="28"/>
        </w:rPr>
        <w:t>级、C</w:t>
      </w:r>
      <w:r>
        <w:rPr>
          <w:rFonts w:hint="eastAsia" w:ascii="宋体" w:hAnsi="宋体" w:cs="Arial"/>
          <w:b w:val="0"/>
          <w:sz w:val="28"/>
          <w:vertAlign w:val="subscript"/>
        </w:rPr>
        <w:t>2</w:t>
      </w:r>
      <w:r>
        <w:rPr>
          <w:rFonts w:hint="eastAsia" w:ascii="宋体" w:hAnsi="宋体" w:cs="Arial"/>
          <w:b w:val="0"/>
          <w:sz w:val="28"/>
        </w:rPr>
        <w:t>级、D级））。</w:t>
      </w:r>
    </w:p>
    <w:p w14:paraId="4B5439A2">
      <w:pPr>
        <w:pStyle w:val="5"/>
        <w:spacing w:before="120" w:beforeLines="50"/>
        <w:rPr>
          <w:rFonts w:ascii="黑体" w:hAnsi="宋体" w:eastAsia="黑体"/>
          <w:b w:val="0"/>
          <w:bCs w:val="0"/>
          <w:snapToGrid w:val="0"/>
          <w:sz w:val="30"/>
          <w:szCs w:val="30"/>
        </w:rPr>
      </w:pPr>
      <w:r>
        <w:rPr>
          <w:rFonts w:hint="eastAsia" w:ascii="黑体" w:hAnsi="宋体" w:eastAsia="黑体"/>
          <w:b w:val="0"/>
          <w:bCs w:val="0"/>
          <w:snapToGrid w:val="0"/>
          <w:sz w:val="30"/>
          <w:szCs w:val="30"/>
        </w:rPr>
        <w:t>2.2.1</w:t>
      </w:r>
      <w:bookmarkEnd w:id="104"/>
      <w:r>
        <w:rPr>
          <w:rFonts w:hint="eastAsia" w:ascii="黑体" w:hAnsi="宋体" w:eastAsia="黑体"/>
          <w:b w:val="0"/>
          <w:bCs w:val="0"/>
          <w:snapToGrid w:val="0"/>
          <w:sz w:val="30"/>
          <w:szCs w:val="30"/>
        </w:rPr>
        <w:t>建设依据</w:t>
      </w:r>
    </w:p>
    <w:p w14:paraId="351A82A9">
      <w:pPr>
        <w:spacing w:line="360" w:lineRule="auto"/>
        <w:ind w:firstLine="560" w:firstLineChars="200"/>
        <w:rPr>
          <w:rFonts w:cs="宋体" w:asciiTheme="minorEastAsia" w:hAnsiTheme="minorEastAsia" w:eastAsiaTheme="minorEastAsia"/>
          <w:b w:val="0"/>
          <w:sz w:val="28"/>
          <w:szCs w:val="28"/>
        </w:rPr>
      </w:pPr>
      <w:bookmarkStart w:id="105" w:name="_Toc165038766"/>
      <w:bookmarkStart w:id="106" w:name="_Toc300329554"/>
      <w:bookmarkStart w:id="107" w:name="_Toc278054168"/>
      <w:bookmarkStart w:id="108" w:name="_Toc300256179"/>
      <w:bookmarkStart w:id="109" w:name="_Toc300344376"/>
      <w:r>
        <w:rPr>
          <w:rFonts w:hint="eastAsia" w:cs="宋体" w:asciiTheme="minorEastAsia" w:hAnsiTheme="minorEastAsia" w:eastAsiaTheme="minorEastAsia"/>
          <w:b w:val="0"/>
          <w:sz w:val="28"/>
          <w:szCs w:val="28"/>
        </w:rPr>
        <w:t>1）2026年8月，浏阳市太平复兴花炮厂（个人独资）取得《烟花爆竹生产企业扩、改建项目申请表》。</w:t>
      </w:r>
    </w:p>
    <w:p w14:paraId="0324F997">
      <w:pPr>
        <w:spacing w:line="360" w:lineRule="auto"/>
        <w:ind w:firstLine="560" w:firstLineChars="200"/>
        <w:rPr>
          <w:rFonts w:cs="宋体" w:asciiTheme="minorEastAsia" w:hAnsiTheme="minorEastAsia" w:eastAsiaTheme="minorEastAsia"/>
          <w:b w:val="0"/>
          <w:sz w:val="28"/>
          <w:szCs w:val="28"/>
        </w:rPr>
      </w:pPr>
      <w:r>
        <w:rPr>
          <w:rFonts w:hint="eastAsia" w:cs="宋体" w:asciiTheme="minorEastAsia" w:hAnsiTheme="minorEastAsia" w:eastAsiaTheme="minorEastAsia"/>
          <w:b w:val="0"/>
          <w:sz w:val="28"/>
          <w:szCs w:val="28"/>
        </w:rPr>
        <w:t>2）2026年8月，浏阳市太平复兴花炮厂（个人独资）取得浏阳市发展和改革局的企业投资项目备案告知承诺信息表，备案编号：2</w:t>
      </w:r>
      <w:r>
        <w:rPr>
          <w:rFonts w:cs="宋体" w:asciiTheme="minorEastAsia" w:hAnsiTheme="minorEastAsia" w:eastAsiaTheme="minorEastAsia"/>
          <w:b w:val="0"/>
          <w:sz w:val="28"/>
          <w:szCs w:val="28"/>
        </w:rPr>
        <w:t>026580</w:t>
      </w:r>
      <w:r>
        <w:rPr>
          <w:rFonts w:hint="eastAsia" w:cs="宋体" w:asciiTheme="minorEastAsia" w:hAnsiTheme="minorEastAsia" w:eastAsiaTheme="minorEastAsia"/>
          <w:b w:val="0"/>
          <w:sz w:val="28"/>
          <w:szCs w:val="28"/>
        </w:rPr>
        <w:t>，项目名称：浏阳市太平复兴花炮厂（个人独资）厂房升级改造项目，项目代码：2608-430181-04-01-380137。</w:t>
      </w:r>
    </w:p>
    <w:p w14:paraId="5FD17450">
      <w:pPr>
        <w:pStyle w:val="5"/>
        <w:spacing w:before="120" w:beforeLines="50"/>
        <w:rPr>
          <w:rFonts w:ascii="黑体" w:hAnsi="宋体" w:eastAsia="黑体"/>
          <w:b w:val="0"/>
          <w:bCs w:val="0"/>
          <w:snapToGrid w:val="0"/>
          <w:sz w:val="30"/>
          <w:szCs w:val="30"/>
        </w:rPr>
      </w:pPr>
      <w:r>
        <w:rPr>
          <w:rFonts w:hint="eastAsia" w:ascii="黑体" w:hAnsi="宋体" w:eastAsia="黑体"/>
          <w:b w:val="0"/>
          <w:bCs w:val="0"/>
          <w:snapToGrid w:val="0"/>
          <w:sz w:val="30"/>
          <w:szCs w:val="30"/>
        </w:rPr>
        <w:t>2.2.2</w:t>
      </w:r>
      <w:r>
        <w:rPr>
          <w:rFonts w:ascii="黑体" w:hAnsi="宋体" w:eastAsia="黑体"/>
          <w:b w:val="0"/>
          <w:bCs w:val="0"/>
          <w:snapToGrid w:val="0"/>
          <w:sz w:val="30"/>
          <w:szCs w:val="30"/>
        </w:rPr>
        <w:t>项目可行性说明</w:t>
      </w:r>
    </w:p>
    <w:p w14:paraId="5571AF46">
      <w:pPr>
        <w:spacing w:line="360" w:lineRule="auto"/>
        <w:ind w:firstLine="560" w:firstLineChars="200"/>
        <w:rPr>
          <w:rFonts w:cs="宋体" w:asciiTheme="minorEastAsia" w:hAnsiTheme="minorEastAsia" w:eastAsiaTheme="minorEastAsia"/>
          <w:b w:val="0"/>
          <w:sz w:val="28"/>
          <w:szCs w:val="28"/>
        </w:rPr>
      </w:pPr>
      <w:r>
        <w:rPr>
          <w:rFonts w:hint="eastAsia" w:cs="宋体" w:asciiTheme="minorEastAsia" w:hAnsiTheme="minorEastAsia" w:eastAsiaTheme="minorEastAsia"/>
          <w:b w:val="0"/>
          <w:sz w:val="28"/>
          <w:szCs w:val="28"/>
        </w:rPr>
        <w:t>该项目《浏阳市太平复兴花炮厂（个人独资）厂房升级改造项目总平面布置图》（初步设计方案图）由具有相应设计资质的大连化工设计院有限公司出具，方案图</w:t>
      </w:r>
      <w:r>
        <w:rPr>
          <w:rFonts w:cs="宋体" w:asciiTheme="minorEastAsia" w:hAnsiTheme="minorEastAsia" w:eastAsiaTheme="minorEastAsia"/>
          <w:b w:val="0"/>
          <w:sz w:val="28"/>
          <w:szCs w:val="28"/>
        </w:rPr>
        <w:t>中对该项目总平面布置、选址进行了规划设计</w:t>
      </w:r>
      <w:r>
        <w:rPr>
          <w:rFonts w:hint="eastAsia" w:cs="宋体" w:asciiTheme="minorEastAsia" w:hAnsiTheme="minorEastAsia" w:eastAsiaTheme="minorEastAsia"/>
          <w:b w:val="0"/>
          <w:sz w:val="28"/>
          <w:szCs w:val="28"/>
        </w:rPr>
        <w:t>。</w:t>
      </w:r>
    </w:p>
    <w:p w14:paraId="0F7737F0">
      <w:pPr>
        <w:spacing w:line="360" w:lineRule="auto"/>
        <w:ind w:firstLine="560" w:firstLineChars="200"/>
        <w:rPr>
          <w:rFonts w:ascii="宋体" w:hAnsi="宋体"/>
          <w:b w:val="0"/>
          <w:sz w:val="28"/>
          <w:szCs w:val="28"/>
        </w:rPr>
      </w:pPr>
      <w:r>
        <w:rPr>
          <w:rFonts w:hint="eastAsia" w:asciiTheme="minorEastAsia" w:hAnsiTheme="minorEastAsia" w:eastAsiaTheme="minorEastAsia"/>
          <w:b w:val="0"/>
          <w:sz w:val="28"/>
          <w:szCs w:val="28"/>
        </w:rPr>
        <w:t>该项目建筑规划设计</w:t>
      </w:r>
      <w:r>
        <w:rPr>
          <w:rFonts w:hint="eastAsia" w:ascii="宋体" w:hAnsi="宋体" w:cs="宋体"/>
          <w:b w:val="0"/>
          <w:sz w:val="28"/>
          <w:szCs w:val="28"/>
        </w:rPr>
        <w:t>见表2</w:t>
      </w:r>
      <w:r>
        <w:rPr>
          <w:rFonts w:ascii="宋体" w:hAnsi="宋体" w:cs="宋体"/>
          <w:b w:val="0"/>
          <w:sz w:val="28"/>
          <w:szCs w:val="28"/>
        </w:rPr>
        <w:t>.2-2</w:t>
      </w:r>
      <w:r>
        <w:rPr>
          <w:rFonts w:hint="eastAsia" w:ascii="宋体" w:hAnsi="宋体" w:cs="宋体"/>
          <w:b w:val="0"/>
          <w:sz w:val="28"/>
          <w:szCs w:val="28"/>
        </w:rPr>
        <w:t>：</w:t>
      </w:r>
    </w:p>
    <w:p w14:paraId="5CB3F9CE">
      <w:pPr>
        <w:jc w:val="center"/>
        <w:rPr>
          <w:rFonts w:ascii="黑体" w:hAnsi="黑体" w:eastAsia="黑体"/>
          <w:b w:val="0"/>
          <w:bCs/>
          <w:spacing w:val="-2"/>
          <w:sz w:val="24"/>
        </w:rPr>
      </w:pPr>
      <w:r>
        <w:rPr>
          <w:rFonts w:hint="eastAsia" w:ascii="黑体" w:hAnsi="黑体" w:eastAsia="黑体"/>
          <w:b w:val="0"/>
          <w:bCs/>
          <w:spacing w:val="-2"/>
          <w:sz w:val="24"/>
        </w:rPr>
        <w:t>表2.2-</w:t>
      </w:r>
      <w:r>
        <w:rPr>
          <w:rFonts w:ascii="黑体" w:hAnsi="黑体" w:eastAsia="黑体"/>
          <w:b w:val="0"/>
          <w:bCs/>
          <w:spacing w:val="-2"/>
          <w:sz w:val="24"/>
        </w:rPr>
        <w:t>2</w:t>
      </w:r>
      <w:r>
        <w:rPr>
          <w:rFonts w:hint="eastAsia" w:ascii="黑体" w:hAnsi="黑体" w:eastAsia="黑体"/>
          <w:b w:val="0"/>
          <w:bCs/>
          <w:spacing w:val="-2"/>
          <w:sz w:val="24"/>
        </w:rPr>
        <w:t xml:space="preserve">  建设项目新、改建（构）筑物情况表</w:t>
      </w:r>
    </w:p>
    <w:tbl>
      <w:tblPr>
        <w:tblStyle w:val="88"/>
        <w:tblW w:w="9142" w:type="dxa"/>
        <w:tblInd w:w="93" w:type="dxa"/>
        <w:tblLayout w:type="fixed"/>
        <w:tblCellMar>
          <w:top w:w="0" w:type="dxa"/>
          <w:left w:w="108" w:type="dxa"/>
          <w:bottom w:w="0" w:type="dxa"/>
          <w:right w:w="108" w:type="dxa"/>
        </w:tblCellMar>
      </w:tblPr>
      <w:tblGrid>
        <w:gridCol w:w="426"/>
        <w:gridCol w:w="1171"/>
        <w:gridCol w:w="1345"/>
        <w:gridCol w:w="909"/>
        <w:gridCol w:w="1009"/>
        <w:gridCol w:w="982"/>
        <w:gridCol w:w="1046"/>
        <w:gridCol w:w="663"/>
        <w:gridCol w:w="691"/>
        <w:gridCol w:w="900"/>
      </w:tblGrid>
      <w:tr w14:paraId="4CB072ED">
        <w:tblPrEx>
          <w:tblCellMar>
            <w:top w:w="0" w:type="dxa"/>
            <w:left w:w="108" w:type="dxa"/>
            <w:bottom w:w="0" w:type="dxa"/>
            <w:right w:w="108" w:type="dxa"/>
          </w:tblCellMar>
        </w:tblPrEx>
        <w:trPr>
          <w:trHeight w:val="150" w:hRule="atLeast"/>
        </w:trPr>
        <w:tc>
          <w:tcPr>
            <w:tcW w:w="426" w:type="dxa"/>
            <w:vMerge w:val="restart"/>
            <w:tcBorders>
              <w:top w:val="single" w:color="000000" w:sz="12" w:space="0"/>
              <w:left w:val="single" w:color="000000" w:sz="12" w:space="0"/>
              <w:bottom w:val="single" w:color="000000" w:sz="4" w:space="0"/>
              <w:right w:val="single" w:color="000000" w:sz="4" w:space="0"/>
            </w:tcBorders>
            <w:shd w:val="clear" w:color="auto" w:fill="auto"/>
            <w:vAlign w:val="center"/>
          </w:tcPr>
          <w:p w14:paraId="13225FD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编号</w:t>
            </w:r>
          </w:p>
        </w:tc>
        <w:tc>
          <w:tcPr>
            <w:tcW w:w="1171" w:type="dxa"/>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14:paraId="093EFCC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工房名称</w:t>
            </w:r>
          </w:p>
        </w:tc>
        <w:tc>
          <w:tcPr>
            <w:tcW w:w="1345" w:type="dxa"/>
            <w:tcBorders>
              <w:top w:val="single" w:color="000000" w:sz="12" w:space="0"/>
              <w:left w:val="single" w:color="000000" w:sz="4" w:space="0"/>
              <w:bottom w:val="single" w:color="000000" w:sz="4" w:space="0"/>
              <w:right w:val="single" w:color="000000" w:sz="4" w:space="0"/>
            </w:tcBorders>
            <w:shd w:val="clear" w:color="auto" w:fill="auto"/>
            <w:vAlign w:val="center"/>
          </w:tcPr>
          <w:p w14:paraId="40A9DE5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工房规格</w:t>
            </w:r>
          </w:p>
        </w:tc>
        <w:tc>
          <w:tcPr>
            <w:tcW w:w="909" w:type="dxa"/>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14:paraId="4DE2DDE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面积(㎡)</w:t>
            </w:r>
          </w:p>
        </w:tc>
        <w:tc>
          <w:tcPr>
            <w:tcW w:w="1009" w:type="dxa"/>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14:paraId="0F2BE17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耐火等级</w:t>
            </w:r>
          </w:p>
        </w:tc>
        <w:tc>
          <w:tcPr>
            <w:tcW w:w="982" w:type="dxa"/>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14:paraId="452AA78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危险等级</w:t>
            </w:r>
          </w:p>
        </w:tc>
        <w:tc>
          <w:tcPr>
            <w:tcW w:w="1046" w:type="dxa"/>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14:paraId="578DAA6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计算药量(kg)</w:t>
            </w:r>
          </w:p>
        </w:tc>
        <w:tc>
          <w:tcPr>
            <w:tcW w:w="663" w:type="dxa"/>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14:paraId="371CC04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限员(人)</w:t>
            </w:r>
          </w:p>
        </w:tc>
        <w:tc>
          <w:tcPr>
            <w:tcW w:w="691" w:type="dxa"/>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14:paraId="2AE7A19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限机(台)</w:t>
            </w:r>
          </w:p>
        </w:tc>
        <w:tc>
          <w:tcPr>
            <w:tcW w:w="900" w:type="dxa"/>
            <w:vMerge w:val="restart"/>
            <w:tcBorders>
              <w:top w:val="single" w:color="000000" w:sz="12" w:space="0"/>
              <w:left w:val="single" w:color="000000" w:sz="4" w:space="0"/>
              <w:bottom w:val="single" w:color="000000" w:sz="4" w:space="0"/>
              <w:right w:val="single" w:color="000000" w:sz="12" w:space="0"/>
            </w:tcBorders>
            <w:shd w:val="clear" w:color="auto" w:fill="auto"/>
            <w:vAlign w:val="center"/>
          </w:tcPr>
          <w:p w14:paraId="5130F0F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备注</w:t>
            </w:r>
          </w:p>
        </w:tc>
      </w:tr>
      <w:tr w14:paraId="4A0AE6C1">
        <w:tblPrEx>
          <w:tblCellMar>
            <w:top w:w="0" w:type="dxa"/>
            <w:left w:w="108" w:type="dxa"/>
            <w:bottom w:w="0" w:type="dxa"/>
            <w:right w:w="108" w:type="dxa"/>
          </w:tblCellMar>
        </w:tblPrEx>
        <w:trPr>
          <w:trHeight w:val="175" w:hRule="atLeast"/>
        </w:trPr>
        <w:tc>
          <w:tcPr>
            <w:tcW w:w="426"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14:paraId="1ED52AF7">
            <w:pPr>
              <w:jc w:val="center"/>
              <w:rPr>
                <w:rFonts w:asciiTheme="minorEastAsia" w:hAnsiTheme="minorEastAsia" w:eastAsiaTheme="minorEastAsia" w:cstheme="minorEastAsia"/>
                <w:b w:val="0"/>
                <w:bCs/>
                <w:color w:val="000000"/>
                <w:szCs w:val="21"/>
              </w:rPr>
            </w:pPr>
          </w:p>
        </w:tc>
        <w:tc>
          <w:tcPr>
            <w:tcW w:w="1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E1B8E">
            <w:pPr>
              <w:jc w:val="center"/>
              <w:rPr>
                <w:rFonts w:asciiTheme="minorEastAsia" w:hAnsiTheme="minorEastAsia" w:eastAsiaTheme="minorEastAsia" w:cstheme="minorEastAsia"/>
                <w:b w:val="0"/>
                <w:bCs/>
                <w:color w:val="000000"/>
                <w:szCs w:val="21"/>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B8DA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长×宽</w:t>
            </w: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EE32E">
            <w:pPr>
              <w:jc w:val="center"/>
              <w:rPr>
                <w:rFonts w:asciiTheme="minorEastAsia" w:hAnsiTheme="minorEastAsia" w:eastAsiaTheme="minorEastAsia" w:cstheme="minorEastAsia"/>
                <w:b w:val="0"/>
                <w:bCs/>
                <w:color w:val="000000"/>
                <w:szCs w:val="21"/>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07B85">
            <w:pPr>
              <w:jc w:val="center"/>
              <w:rPr>
                <w:rFonts w:asciiTheme="minorEastAsia" w:hAnsiTheme="minorEastAsia" w:eastAsiaTheme="minorEastAsia" w:cstheme="minorEastAsia"/>
                <w:b w:val="0"/>
                <w:bCs/>
                <w:color w:val="000000"/>
                <w:szCs w:val="21"/>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E489B">
            <w:pPr>
              <w:jc w:val="center"/>
              <w:rPr>
                <w:rFonts w:asciiTheme="minorEastAsia" w:hAnsiTheme="minorEastAsia" w:eastAsiaTheme="minorEastAsia" w:cstheme="minorEastAsia"/>
                <w:b w:val="0"/>
                <w:bCs/>
                <w:color w:val="000000"/>
                <w:szCs w:val="21"/>
              </w:rPr>
            </w:pPr>
          </w:p>
        </w:tc>
        <w:tc>
          <w:tcPr>
            <w:tcW w:w="1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00DAE">
            <w:pPr>
              <w:jc w:val="center"/>
              <w:rPr>
                <w:rFonts w:asciiTheme="minorEastAsia" w:hAnsiTheme="minorEastAsia" w:eastAsiaTheme="minorEastAsia" w:cstheme="minorEastAsia"/>
                <w:b w:val="0"/>
                <w:bCs/>
                <w:color w:val="000000"/>
                <w:szCs w:val="21"/>
              </w:rPr>
            </w:p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FF57F">
            <w:pPr>
              <w:jc w:val="center"/>
              <w:rPr>
                <w:rFonts w:asciiTheme="minorEastAsia" w:hAnsiTheme="minorEastAsia" w:eastAsiaTheme="minorEastAsia" w:cstheme="minorEastAsia"/>
                <w:b w:val="0"/>
                <w:bCs/>
                <w:color w:val="000000"/>
                <w:szCs w:val="21"/>
              </w:rPr>
            </w:pPr>
          </w:p>
        </w:tc>
        <w:tc>
          <w:tcPr>
            <w:tcW w:w="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9767B">
            <w:pPr>
              <w:jc w:val="center"/>
              <w:rPr>
                <w:rFonts w:asciiTheme="minorEastAsia" w:hAnsiTheme="minorEastAsia" w:eastAsiaTheme="minorEastAsia" w:cstheme="minorEastAsia"/>
                <w:b w:val="0"/>
                <w:bCs/>
                <w:color w:val="000000"/>
                <w:szCs w:val="21"/>
              </w:rPr>
            </w:pPr>
          </w:p>
        </w:tc>
        <w:tc>
          <w:tcPr>
            <w:tcW w:w="900"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14:paraId="497311E8">
            <w:pPr>
              <w:jc w:val="center"/>
              <w:rPr>
                <w:rFonts w:asciiTheme="minorEastAsia" w:hAnsiTheme="minorEastAsia" w:eastAsiaTheme="minorEastAsia" w:cstheme="minorEastAsia"/>
                <w:b w:val="0"/>
                <w:bCs/>
                <w:color w:val="000000"/>
                <w:szCs w:val="21"/>
              </w:rPr>
            </w:pPr>
          </w:p>
        </w:tc>
      </w:tr>
      <w:tr w14:paraId="467DB796">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745BF8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778A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电瓶车充电棚</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7E53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28.0×9.0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F423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252.0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4408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三</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D6143">
            <w:pPr>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30BF8">
            <w:pPr>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7F23B">
            <w:pPr>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82C95">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8AD51F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50EA15B9">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DAAE36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AA15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值班室</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D824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8.0×4.0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4870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32.0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D03C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63ECF">
            <w:pPr>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C8FA4">
            <w:pPr>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0C6DB">
            <w:pPr>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A790B">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0A033F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1612B871">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AC5D99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7</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3F41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pacing w:val="-17"/>
                <w:kern w:val="0"/>
                <w:szCs w:val="21"/>
                <w:lang w:bidi="ar"/>
              </w:rPr>
              <w:t>包装材料库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2E5F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24.0×14.0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1690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336.0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7B87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0B9CE">
            <w:pPr>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8D6E3">
            <w:pPr>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45428">
            <w:pPr>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4BE26">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3B6211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79476E0B">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7ABB77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717B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pacing w:val="-17"/>
                <w:kern w:val="0"/>
                <w:szCs w:val="21"/>
                <w:lang w:bidi="ar"/>
              </w:rPr>
              <w:t>辅助材料库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C991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38.0×10.0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D8C8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380.0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0C38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5996B">
            <w:pPr>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F8354">
            <w:pPr>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01D95">
            <w:pPr>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6577B">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BC4E64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45E4FEFC">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626BCD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9</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35CC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引中转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F36F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3.0×2.0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5ECF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6.0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5DAB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23E7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41A6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EB50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312FC">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D9CD17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09B8947A">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E2E241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1FA7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半成品中转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9097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12.0×4.0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BA4E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48.0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007C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35E0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7CF4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6B54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CEDB3">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A0C2D8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29144F5A">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3E2734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8AD4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组装/包装</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531C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24.0×10.0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8416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240.0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1F18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0DE5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DE60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360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6AA1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24</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055A3">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A3206F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0C5418D4">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9E3E64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12</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6A36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组装/包装</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4FBB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24.0×10.0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B1AB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240.0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01B1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7C09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11C5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360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C4B2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24</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8AEBB">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1A0C8C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758D4F5F">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E69368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9C81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组装/包装</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CFFC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24.0×10.0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674B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240.0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C26A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522A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307F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360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BE1C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24</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8A862">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46E0AC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70625387">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F3FD07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14</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E11B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组装/包装</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5FBC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24.0×10.0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A7A1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240.0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E27C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6A11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8E07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360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8812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24</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6C58B">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434123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2AAEDFFF">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52DDB6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15</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F054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组装/包装</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6FC8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24.0×10.0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E834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240.0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66E2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3824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0042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360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48C4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24</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13EEC">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F287A7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0CA26C67">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61F8CA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16</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4734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引中转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FE06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4662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5C79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F3B2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C7FB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F9E1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EB378">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4EC3E6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75948B23">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724A35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17</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3B6AC">
            <w:pPr>
              <w:widowControl/>
              <w:jc w:val="center"/>
              <w:textAlignment w:val="center"/>
              <w:rPr>
                <w:rFonts w:asciiTheme="minorEastAsia" w:hAnsiTheme="minorEastAsia" w:eastAsiaTheme="minorEastAsia" w:cstheme="minorEastAsia"/>
                <w:b w:val="0"/>
                <w:bCs/>
                <w:color w:val="000000"/>
                <w:spacing w:val="-17"/>
                <w:kern w:val="0"/>
                <w:szCs w:val="21"/>
                <w:lang w:bidi="ar"/>
              </w:rPr>
            </w:pPr>
            <w:r>
              <w:rPr>
                <w:rFonts w:hint="eastAsia" w:asciiTheme="minorEastAsia" w:hAnsiTheme="minorEastAsia" w:eastAsiaTheme="minorEastAsia" w:cstheme="minorEastAsia"/>
                <w:b w:val="0"/>
                <w:bCs/>
                <w:color w:val="000000"/>
                <w:spacing w:val="-17"/>
                <w:kern w:val="0"/>
                <w:szCs w:val="21"/>
                <w:lang w:bidi="ar"/>
              </w:rPr>
              <w:t>半成品中转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E7D4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6.0×4.0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0135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24.0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776C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4B7E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ED72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5A39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3C9A4">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251A67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728D85E2">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805DD9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18</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E9E30">
            <w:pPr>
              <w:widowControl/>
              <w:jc w:val="center"/>
              <w:textAlignment w:val="center"/>
              <w:rPr>
                <w:rFonts w:asciiTheme="minorEastAsia" w:hAnsiTheme="minorEastAsia" w:eastAsiaTheme="minorEastAsia" w:cstheme="minorEastAsia"/>
                <w:b w:val="0"/>
                <w:bCs/>
                <w:color w:val="000000"/>
                <w:spacing w:val="-17"/>
                <w:kern w:val="0"/>
                <w:szCs w:val="21"/>
                <w:lang w:bidi="ar"/>
              </w:rPr>
            </w:pPr>
            <w:r>
              <w:rPr>
                <w:rFonts w:hint="eastAsia" w:asciiTheme="minorEastAsia" w:hAnsiTheme="minorEastAsia" w:eastAsiaTheme="minorEastAsia" w:cstheme="minorEastAsia"/>
                <w:b w:val="0"/>
                <w:bCs/>
                <w:color w:val="000000"/>
                <w:spacing w:val="-17"/>
                <w:kern w:val="0"/>
                <w:szCs w:val="21"/>
                <w:lang w:bidi="ar"/>
              </w:rPr>
              <w:t>半成品中转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B78F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6.0×4.0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9067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24.0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14BD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6BB2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406F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6C44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1D582">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AF8D78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28EF87BC">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1A95EA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19</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BB558">
            <w:pPr>
              <w:widowControl/>
              <w:jc w:val="center"/>
              <w:textAlignment w:val="center"/>
              <w:rPr>
                <w:rFonts w:asciiTheme="minorEastAsia" w:hAnsiTheme="minorEastAsia" w:eastAsiaTheme="minorEastAsia" w:cstheme="minorEastAsia"/>
                <w:b w:val="0"/>
                <w:bCs/>
                <w:color w:val="000000"/>
                <w:spacing w:val="-17"/>
                <w:kern w:val="0"/>
                <w:szCs w:val="21"/>
                <w:lang w:bidi="ar"/>
              </w:rPr>
            </w:pPr>
            <w:r>
              <w:rPr>
                <w:rFonts w:hint="eastAsia" w:asciiTheme="minorEastAsia" w:hAnsiTheme="minorEastAsia" w:eastAsiaTheme="minorEastAsia" w:cstheme="minorEastAsia"/>
                <w:b w:val="0"/>
                <w:bCs/>
                <w:color w:val="000000"/>
                <w:spacing w:val="-17"/>
                <w:kern w:val="0"/>
                <w:szCs w:val="21"/>
                <w:lang w:bidi="ar"/>
              </w:rPr>
              <w:t>半成品中转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B03B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12.0×5.0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F379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60.0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6F93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5722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77DC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2C52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FD6A6">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8FF939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6F0BE91D">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C21E64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C2AF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pacing w:val="-17"/>
                <w:kern w:val="0"/>
                <w:szCs w:val="21"/>
                <w:lang w:bidi="ar"/>
              </w:rPr>
              <w:t>辅助材料库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5F70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20.0×5.0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4994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100.0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29BB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CAB57">
            <w:pPr>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1E035">
            <w:pPr>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DE96C">
            <w:pPr>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A9300">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726868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3B7C3923">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6B5CEE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21</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0F3E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筒子库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D421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20.0×5.0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A073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100.0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D556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696F2">
            <w:pPr>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9A9AC">
            <w:pPr>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7CE85">
            <w:pPr>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C090D">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ECBDE0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230964A4">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17FFD4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22</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5D05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厕所</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341C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3.8×3.0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2F84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11.4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BDF4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三</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249D1">
            <w:pPr>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117BE">
            <w:pPr>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50581">
            <w:pPr>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D8192">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5DFE47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利旧</w:t>
            </w:r>
          </w:p>
        </w:tc>
      </w:tr>
      <w:tr w14:paraId="7F9D55F0">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2EA64C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23</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89E3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pacing w:val="-17"/>
                <w:kern w:val="0"/>
                <w:szCs w:val="21"/>
                <w:lang w:bidi="ar"/>
              </w:rPr>
              <w:t>半成品中转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900F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D6D2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15.0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92BB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A58D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57F3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97B4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AC758">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EBA1D6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68049AA2">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1EDD92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25</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9740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装药/压药</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9643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5.0×4.0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E158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949F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B164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EACB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6FFD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FFFD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D607ED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37D0CCBE">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B1AF77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26</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53FC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存药洞</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82DB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0.8×0.6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9898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0.5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135A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03FF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B2D3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4E36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4EDAC">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28747D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2DDDFE56">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F2FAC6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28</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24F8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存药洞</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2960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0.8×0.6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DAF5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0.5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FC8B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AD86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9C0A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4984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211CB">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BDE8EA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220078A6">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AE3850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29</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5FB9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装药/压药</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CC6D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30B8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749C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8C5B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3BBF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946C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7479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D4E053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77E9E02F">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07396D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615D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存药洞</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FACF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0.8×0.6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10EF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0.5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47D5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96CE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22B5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D197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D5C10">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871E29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2BF5D654">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6A1478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31</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6C67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pacing w:val="-17"/>
                <w:kern w:val="0"/>
                <w:szCs w:val="21"/>
                <w:lang w:bidi="ar"/>
              </w:rPr>
              <w:t>半成品中转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A5F7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CAC1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D20B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FB08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B6DD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621A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DF4B6">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666EFC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5D884E7E">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8029282">
            <w:pPr>
              <w:widowControl/>
              <w:jc w:val="center"/>
              <w:textAlignment w:val="center"/>
              <w:rPr>
                <w:rFonts w:asciiTheme="minorEastAsia" w:hAnsiTheme="minorEastAsia" w:eastAsiaTheme="minorEastAsia" w:cstheme="minorEastAsia"/>
                <w:b w:val="0"/>
                <w:bCs/>
                <w:color w:val="000000"/>
                <w:kern w:val="0"/>
                <w:szCs w:val="21"/>
                <w:lang w:bidi="ar"/>
              </w:rPr>
            </w:pPr>
            <w:r>
              <w:rPr>
                <w:rFonts w:hint="eastAsia" w:asciiTheme="minorEastAsia" w:hAnsiTheme="minorEastAsia" w:eastAsiaTheme="minorEastAsia" w:cstheme="minorEastAsia"/>
                <w:b w:val="0"/>
                <w:bCs/>
                <w:color w:val="000000"/>
                <w:kern w:val="0"/>
                <w:szCs w:val="21"/>
                <w:lang w:bidi="ar"/>
              </w:rPr>
              <w:t>32</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F325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存药洞</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BF95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0.8×0.6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925D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0.5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9007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3F81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FD98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3C75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55CC8">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80F872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75D2E6C3">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6A7FF5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33</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E4B2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装药/压药</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E1D2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5.0×4.0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BFD1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8C34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DD0C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94FA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DA38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577C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07588F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4CCE8876">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4B637B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34</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4227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药物中转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2FD6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F79E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15E0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C0CF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C814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FC0F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99859">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664004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5C0AB32F">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E4E2FD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35</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698A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装药/压药</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82C7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5.0×4.0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DD48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0995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52F4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8BF6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8592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0687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DF6C76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21C9420D">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5E7A84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36</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AD76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存药洞</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61B0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0.8×0.6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53D8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0.5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D067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F33A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BBC2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0A32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7EAAF">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A2E34D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7F998B33">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8D2209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37</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3903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pacing w:val="-17"/>
                <w:kern w:val="0"/>
                <w:szCs w:val="21"/>
                <w:lang w:bidi="ar"/>
              </w:rPr>
              <w:t>半成品中转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1E44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4393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12.0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88DF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1316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2DAF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A9F1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2C5E6">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CB1CD2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5C8B0D59">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F7E499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38</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3DA0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筑药</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4B2B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AD22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F116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7EE5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8046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D6E0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05FB5">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DDA740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4F5AB70E">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6AE5B8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39</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8925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存药洞</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FC96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0.8×0.6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DA17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0.5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11D9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AEA2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4B9F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DF2D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72025">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AED6D3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6A9B74D3">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D68509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C8A3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药物中转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8B18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4.4×3.6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4CBD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15.8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9DE1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83EA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56E3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55EA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424D4">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C936E0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572209C2">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C37BF5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41</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AAD6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存药洞</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D32B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0.8×0.6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8B0F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0.5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A83D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C3E5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B17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95CE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8DEAA">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A2BB05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35BD8869">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0D249C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42</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8BA3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筑药</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2DCA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7780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91DB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6BDD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4D10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38B2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E0E0C">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1F902B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67622C18">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ABB3F3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43</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32C3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pacing w:val="-17"/>
                <w:kern w:val="0"/>
                <w:szCs w:val="21"/>
                <w:lang w:bidi="ar"/>
              </w:rPr>
              <w:t>半成品中转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2A49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3.9×3.1</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E393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12.1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1534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949E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33AA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6D77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6EA79">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EC40C4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09C5A8BD">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00117D3">
            <w:pPr>
              <w:widowControl/>
              <w:jc w:val="center"/>
              <w:textAlignment w:val="center"/>
              <w:rPr>
                <w:rFonts w:asciiTheme="minorEastAsia" w:hAnsiTheme="minorEastAsia" w:eastAsiaTheme="minorEastAsia" w:cstheme="minorEastAsia"/>
                <w:b w:val="0"/>
                <w:bCs/>
                <w:color w:val="000000"/>
                <w:kern w:val="0"/>
                <w:szCs w:val="21"/>
                <w:lang w:bidi="ar"/>
              </w:rPr>
            </w:pPr>
            <w:r>
              <w:rPr>
                <w:rFonts w:hint="eastAsia" w:asciiTheme="minorEastAsia" w:hAnsiTheme="minorEastAsia" w:eastAsiaTheme="minorEastAsia" w:cstheme="minorEastAsia"/>
                <w:b w:val="0"/>
                <w:bCs/>
                <w:color w:val="000000"/>
                <w:kern w:val="0"/>
                <w:szCs w:val="21"/>
                <w:lang w:bidi="ar"/>
              </w:rPr>
              <w:t>44</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7173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筑药</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69AD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47BB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D968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7D6C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4B75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130B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4CBA0">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92E3DB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2E44AE1F">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2EFFB8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45</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C061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存药洞</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FCBC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0.8×0.6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D884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0.5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AAD5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AD61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25B9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E3B3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B0B7F">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A2B208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107E9099">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967572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46</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7AD3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药物中转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0A13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B297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036E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9804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3867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607F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50E79">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2E9E6B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21F2B89B">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1E1182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47</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969A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pacing w:val="-17"/>
                <w:kern w:val="0"/>
                <w:szCs w:val="21"/>
                <w:lang w:bidi="ar"/>
              </w:rPr>
              <w:t>机械药混合</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31DF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5.0×4.0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8B92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3680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A7A3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E3F3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1594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3C3A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D92166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20C5B0DC">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02BCF9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48</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B3AA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电控</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9208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100B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055E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2D80F">
            <w:pPr>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A7E3C">
            <w:pPr>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A1982">
            <w:pPr>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8F748">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5CCAF0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036F2675">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EAFE75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49</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60D3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称料</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6F7D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DF51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24.0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7ED3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9780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69CE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30/200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BBB1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6F240">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182884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036BF2A7">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CA28CA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08D8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化工原材料中转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2A60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EE54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18.0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01D2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6FDC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甲类</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A76E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64AA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AB47F">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B0653F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1D6827DC">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B64182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51</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05FB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亮珠中转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052D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3.0×2.0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1EC2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6.0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E6AE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A6DB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4B47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188B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F6A74">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C9327C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6935C9D1">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69A919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52</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A54D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pacing w:val="-17"/>
                <w:kern w:val="0"/>
                <w:szCs w:val="21"/>
                <w:lang w:bidi="ar"/>
              </w:rPr>
              <w:t>黑火药中转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CA6F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2.0×2.0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0F9B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4.0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03E3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0E8D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C7DD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BE73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C2A19">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FAA4F1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647DCC36">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001974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53</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4BB1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单基火药中转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4A8C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BDEE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6909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1CC3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E685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267F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EF613">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5BF533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3FB70308">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766B11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54</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016C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亮珠库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602D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03D2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70DA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C027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018F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9DBF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7C86A">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AFA92B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35EB2B80">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A6988D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55</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7724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亮珠库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EB46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B9C8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B4E7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70E8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E7BA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5A68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E40F1">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C7A9E5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72A387E2">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D8DF62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56</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42B6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亮珠库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D003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C6DC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1F4A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57D9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6B08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74FA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6E208">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297CBF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7B250AD7">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7201A2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57</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4849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亮珠库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C07F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0851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1C63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AFF0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6481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1713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0C5C4">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60AC38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3C9A6406">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E93E95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58</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BA70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黑火药库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A196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CEBD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90D5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9B0D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6A6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2F89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F8082">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14EB98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1976230C">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A4CD0D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59</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9C0E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黑火药库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8D9F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3.0×2.5</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0A4D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7.5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5067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E8CA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A4BC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36B8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31BCB">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8808C8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76C0B739">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5EC7DA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2BD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黑火药库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0529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3FAF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03F5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C34D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3CAB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1C2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80D36">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FD60DA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674D554F">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AE843F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61</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7448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单基火药库(湿）</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3319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3.0×2.0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0702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6.0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3943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9735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F8AF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6207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3F0C0">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34EC1D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3A228B73">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504FCE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62</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5DC3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单基火药库(湿）</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2DEC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3.0×2.0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862B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6.0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08EC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1844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6642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A555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E9D5D">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C40D63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5B499B95">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46319A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63</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1345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引线库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4001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DEDA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86C5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6941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69F0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EF5C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D1172">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CC3A30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7AC6AC93">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A941B6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65</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6A6F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包装中转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904F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BC58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F736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B921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C016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E301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27584">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546590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42248727">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12F9E5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66</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7348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包装</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9BC2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E6B0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08A0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9D2A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E661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8CD2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CFFE5">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A1EE72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36F9F28C">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C46F71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67</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F99D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pacing w:val="-20"/>
                <w:kern w:val="0"/>
                <w:szCs w:val="21"/>
                <w:lang w:bidi="ar"/>
              </w:rPr>
              <w:t>电烘房/散热</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BB4C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8.0×5.0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0285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40.0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9AF0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AB66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D860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5074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E03E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3A13D1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171E90C7">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7948F8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68</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1ACD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电控</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0989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1.6×1.6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A26F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2.6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FF7B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B213D">
            <w:pPr>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7DDD1">
            <w:pPr>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4E3AF">
            <w:pPr>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5D191">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9DCF47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0F66EF00">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AA5B7A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69</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5B1C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摊晾</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F78F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06F1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3A4C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D127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5D32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A7DA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091BA">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F652A5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新建</w:t>
            </w:r>
          </w:p>
        </w:tc>
      </w:tr>
      <w:tr w14:paraId="23E10AF2">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49D436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70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CAC1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筛选中转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389D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7DDB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FF91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E20A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9A27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359B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F5BD3">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6EDC9E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2ADA1C02">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A7FD3A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71</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2186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机械筛选</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89B9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1388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12.0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7115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57B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0494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924E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0E7E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79E677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396CB230">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305CEC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72</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9E34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亮珠中转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DE85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3.0×2.0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7BFF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6.0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31DC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630E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FE84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7062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24B4">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8DFE06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1AD0BDDB">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98021E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73</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7AF2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造粒</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D109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6F2C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12.0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748C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D292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46DA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10DF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69AE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72A75E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165B4D86">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69B2C8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74</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F539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药物中转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871F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2.6×2.3</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C7C1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6.0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3265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AAA3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B191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B3A9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03ED0">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135C72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4AE9E8DD">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4EB455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75</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B5A1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电控</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FA31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1.0×1.0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88FC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B54F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76B3A">
            <w:pPr>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BA878">
            <w:pPr>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52AFB">
            <w:pPr>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44696">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004EE1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3475CC20">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8BA48D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76</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E415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pacing w:val="-17"/>
                <w:kern w:val="0"/>
                <w:szCs w:val="21"/>
                <w:lang w:bidi="ar"/>
              </w:rPr>
              <w:t>机械药混合</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F9AF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4.0×3.5</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EAB4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14.0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3817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2111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90E6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D0D5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30F2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383094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46F20530">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D56BC9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77</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6D2E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称料</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70F5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7.4×3.4</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A537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25.2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8A80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E1CC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3121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30/200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8F89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DC930">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E99B0D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7A8AEDC3">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DA074B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78</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FD6C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pacing w:val="-17"/>
                <w:kern w:val="0"/>
                <w:szCs w:val="21"/>
                <w:lang w:bidi="ar"/>
              </w:rPr>
              <w:t>黑火药中转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4CCD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6E83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2466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1F8A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61E4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44A3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9C874">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8F220C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209FBF55">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B13652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79</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3D19A">
            <w:pPr>
              <w:widowControl/>
              <w:jc w:val="center"/>
              <w:textAlignment w:val="center"/>
              <w:rPr>
                <w:rFonts w:asciiTheme="minorEastAsia" w:hAnsiTheme="minorEastAsia" w:eastAsiaTheme="minorEastAsia" w:cstheme="minorEastAsia"/>
                <w:b w:val="0"/>
                <w:bCs/>
                <w:color w:val="000000"/>
                <w:spacing w:val="-17"/>
                <w:kern w:val="0"/>
                <w:szCs w:val="21"/>
                <w:lang w:bidi="ar"/>
              </w:rPr>
            </w:pPr>
            <w:r>
              <w:rPr>
                <w:rFonts w:hint="eastAsia" w:asciiTheme="minorEastAsia" w:hAnsiTheme="minorEastAsia" w:eastAsiaTheme="minorEastAsia" w:cstheme="minorEastAsia"/>
                <w:b w:val="0"/>
                <w:bCs/>
                <w:color w:val="000000"/>
                <w:spacing w:val="-17"/>
                <w:kern w:val="0"/>
                <w:szCs w:val="21"/>
                <w:lang w:bidi="ar"/>
              </w:rPr>
              <w:t>还原剂粉碎</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63E6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A58A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12.0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ACCC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05BC5">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E5D1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BD11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CC85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16922D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701EF525">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DF854F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56FC1">
            <w:pPr>
              <w:widowControl/>
              <w:jc w:val="center"/>
              <w:textAlignment w:val="center"/>
              <w:rPr>
                <w:rFonts w:asciiTheme="minorEastAsia" w:hAnsiTheme="minorEastAsia" w:eastAsiaTheme="minorEastAsia" w:cstheme="minorEastAsia"/>
                <w:b w:val="0"/>
                <w:bCs/>
                <w:color w:val="000000"/>
                <w:spacing w:val="-17"/>
                <w:kern w:val="0"/>
                <w:szCs w:val="21"/>
                <w:lang w:bidi="ar"/>
              </w:rPr>
            </w:pPr>
            <w:r>
              <w:rPr>
                <w:rFonts w:hint="eastAsia" w:asciiTheme="minorEastAsia" w:hAnsiTheme="minorEastAsia" w:eastAsiaTheme="minorEastAsia" w:cstheme="minorEastAsia"/>
                <w:b w:val="0"/>
                <w:bCs/>
                <w:color w:val="000000"/>
                <w:spacing w:val="-17"/>
                <w:kern w:val="0"/>
                <w:szCs w:val="21"/>
                <w:lang w:bidi="ar"/>
              </w:rPr>
              <w:t>氧化剂粉碎</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AE9B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0376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12.0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BBFD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D7A5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20E5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61BE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5D76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E5AACD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1CEE1A35">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CDB3BB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81</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8C09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化工原材料库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1EC7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14.0×3.5</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8628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49.0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C27C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BC0A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甲类</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A3BF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40000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785A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35977">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69FFE1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64D3DA32">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037A5C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82</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58E3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酒精库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BAC7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B474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12.0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5EE4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412C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甲类</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4704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DA94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6E087">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DC1D22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3664D9FB">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F309763">
            <w:pPr>
              <w:widowControl/>
              <w:jc w:val="center"/>
              <w:textAlignment w:val="center"/>
              <w:rPr>
                <w:rFonts w:asciiTheme="minorEastAsia" w:hAnsiTheme="minorEastAsia" w:eastAsiaTheme="minorEastAsia" w:cstheme="minorEastAsia"/>
                <w:b w:val="0"/>
                <w:bCs/>
                <w:color w:val="000000"/>
                <w:kern w:val="0"/>
                <w:szCs w:val="21"/>
                <w:lang w:bidi="ar"/>
              </w:rPr>
            </w:pPr>
            <w:r>
              <w:rPr>
                <w:rFonts w:hint="eastAsia" w:asciiTheme="minorEastAsia" w:hAnsiTheme="minorEastAsia" w:eastAsiaTheme="minorEastAsia" w:cstheme="minorEastAsia"/>
                <w:b w:val="0"/>
                <w:bCs/>
                <w:color w:val="000000"/>
                <w:kern w:val="0"/>
                <w:szCs w:val="21"/>
                <w:lang w:bidi="ar"/>
              </w:rPr>
              <w:t>83</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D0C9A">
            <w:pPr>
              <w:widowControl/>
              <w:jc w:val="center"/>
              <w:textAlignment w:val="center"/>
              <w:rPr>
                <w:rFonts w:asciiTheme="minorEastAsia" w:hAnsiTheme="minorEastAsia" w:eastAsiaTheme="minorEastAsia" w:cstheme="minorEastAsia"/>
                <w:b w:val="0"/>
                <w:bCs/>
                <w:color w:val="000000"/>
                <w:kern w:val="0"/>
                <w:szCs w:val="21"/>
                <w:lang w:bidi="ar"/>
              </w:rPr>
            </w:pPr>
            <w:r>
              <w:rPr>
                <w:rFonts w:hint="eastAsia" w:asciiTheme="minorEastAsia" w:hAnsiTheme="minorEastAsia" w:eastAsiaTheme="minorEastAsia" w:cstheme="minorEastAsia"/>
                <w:b w:val="0"/>
                <w:bCs/>
                <w:color w:val="000000"/>
                <w:spacing w:val="-17"/>
                <w:kern w:val="0"/>
                <w:szCs w:val="21"/>
                <w:lang w:bidi="ar"/>
              </w:rPr>
              <w:t>危废暂存间</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2057C">
            <w:pPr>
              <w:widowControl/>
              <w:jc w:val="center"/>
              <w:textAlignment w:val="center"/>
              <w:rPr>
                <w:rFonts w:asciiTheme="minorEastAsia" w:hAnsiTheme="minorEastAsia" w:eastAsiaTheme="minorEastAsia" w:cstheme="minorEastAsia"/>
                <w:b w:val="0"/>
                <w:bCs/>
                <w:color w:val="000000"/>
                <w:kern w:val="0"/>
                <w:szCs w:val="21"/>
                <w:lang w:bidi="ar"/>
              </w:rPr>
            </w:pPr>
            <w:r>
              <w:rPr>
                <w:rFonts w:hint="eastAsia" w:asciiTheme="minorEastAsia" w:hAnsiTheme="minorEastAsia" w:eastAsiaTheme="minorEastAsia" w:cstheme="minorEastAsia"/>
                <w:b w:val="0"/>
                <w:bCs/>
                <w:color w:val="000000"/>
                <w:kern w:val="0"/>
                <w:szCs w:val="21"/>
                <w:lang w:bidi="ar"/>
              </w:rPr>
              <w:t>4.0×3.0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1DA9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12.0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04A0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E2D2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8331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F2B9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8DA30">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FAEFCC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新建</w:t>
            </w:r>
          </w:p>
        </w:tc>
      </w:tr>
      <w:tr w14:paraId="1980B4CA">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34A00F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84</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B3CC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单基火药中转（湿）</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E366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1A7C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CABF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717C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5997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751E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F6EAF">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FDD0CB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新建</w:t>
            </w:r>
          </w:p>
        </w:tc>
      </w:tr>
      <w:tr w14:paraId="10DE4CB3">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78CB51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85</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8561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晒坪/凉棚</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4BB3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12.0×5.0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AF5F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60.0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25AD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3704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6F74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32B4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0B1D7">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795B3D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新建</w:t>
            </w:r>
          </w:p>
        </w:tc>
      </w:tr>
      <w:tr w14:paraId="40C3BE75">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F736A3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86</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478E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包装</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48C9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4A6F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096A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A9CD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57A7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B807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9437F">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1EECB08">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新建</w:t>
            </w:r>
          </w:p>
        </w:tc>
      </w:tr>
      <w:tr w14:paraId="469476C4">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A1BDEB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87</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CB12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单基火药中转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945D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4448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1F92D">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DB8B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2887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20DD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15A30">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9FDA62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新建</w:t>
            </w:r>
          </w:p>
        </w:tc>
      </w:tr>
      <w:tr w14:paraId="5B2923BB">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D29C636">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91</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DBAB3">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消防泵房/发电机房</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FCBB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12.5×4.8</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D323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60.0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F83AB">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C2019">
            <w:pPr>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0A3C7">
            <w:pPr>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ECBA7">
            <w:pPr>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EBCA7">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14D349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新建</w:t>
            </w:r>
          </w:p>
        </w:tc>
      </w:tr>
      <w:tr w14:paraId="2CC877E1">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DE4DF0E">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92</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1CAB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消防水池</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AD1E2">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10.0×10.0×3.0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7565C">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300m³</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D1179">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1EE74">
            <w:pPr>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63175">
            <w:pPr>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3A5B2">
            <w:pPr>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FC865">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03A710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新建</w:t>
            </w:r>
          </w:p>
        </w:tc>
      </w:tr>
      <w:tr w14:paraId="748B9428">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12" w:space="0"/>
              <w:right w:val="single" w:color="000000" w:sz="4" w:space="0"/>
            </w:tcBorders>
            <w:shd w:val="clear" w:color="auto" w:fill="auto"/>
            <w:vAlign w:val="center"/>
          </w:tcPr>
          <w:p w14:paraId="4966F4E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zCs w:val="21"/>
              </w:rPr>
              <w:t>93</w:t>
            </w:r>
          </w:p>
        </w:tc>
        <w:tc>
          <w:tcPr>
            <w:tcW w:w="1171" w:type="dxa"/>
            <w:tcBorders>
              <w:top w:val="single" w:color="000000" w:sz="4" w:space="0"/>
              <w:left w:val="single" w:color="000000" w:sz="4" w:space="0"/>
              <w:bottom w:val="single" w:color="000000" w:sz="12" w:space="0"/>
              <w:right w:val="single" w:color="000000" w:sz="4" w:space="0"/>
            </w:tcBorders>
            <w:shd w:val="clear" w:color="auto" w:fill="auto"/>
            <w:vAlign w:val="center"/>
          </w:tcPr>
          <w:p w14:paraId="7F2B06C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余废药销毁场</w:t>
            </w:r>
          </w:p>
        </w:tc>
        <w:tc>
          <w:tcPr>
            <w:tcW w:w="1345" w:type="dxa"/>
            <w:tcBorders>
              <w:top w:val="single" w:color="000000" w:sz="4" w:space="0"/>
              <w:left w:val="single" w:color="000000" w:sz="4" w:space="0"/>
              <w:bottom w:val="single" w:color="000000" w:sz="12" w:space="0"/>
              <w:right w:val="single" w:color="000000" w:sz="4" w:space="0"/>
            </w:tcBorders>
            <w:shd w:val="clear" w:color="auto" w:fill="auto"/>
            <w:vAlign w:val="center"/>
          </w:tcPr>
          <w:p w14:paraId="684D3D90">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12" w:space="0"/>
              <w:right w:val="single" w:color="000000" w:sz="4" w:space="0"/>
            </w:tcBorders>
            <w:shd w:val="clear" w:color="auto" w:fill="auto"/>
            <w:vAlign w:val="center"/>
          </w:tcPr>
          <w:p w14:paraId="47A1816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12" w:space="0"/>
              <w:right w:val="single" w:color="000000" w:sz="4" w:space="0"/>
            </w:tcBorders>
            <w:shd w:val="clear" w:color="auto" w:fill="auto"/>
            <w:vAlign w:val="center"/>
          </w:tcPr>
          <w:p w14:paraId="1ED97D54">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w:t>
            </w:r>
          </w:p>
        </w:tc>
        <w:tc>
          <w:tcPr>
            <w:tcW w:w="982" w:type="dxa"/>
            <w:tcBorders>
              <w:top w:val="single" w:color="000000" w:sz="4" w:space="0"/>
              <w:left w:val="single" w:color="000000" w:sz="4" w:space="0"/>
              <w:bottom w:val="single" w:color="000000" w:sz="12" w:space="0"/>
              <w:right w:val="single" w:color="000000" w:sz="4" w:space="0"/>
            </w:tcBorders>
            <w:shd w:val="clear" w:color="auto" w:fill="auto"/>
            <w:vAlign w:val="center"/>
          </w:tcPr>
          <w:p w14:paraId="582BFAB1">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12" w:space="0"/>
              <w:right w:val="single" w:color="000000" w:sz="4" w:space="0"/>
            </w:tcBorders>
            <w:shd w:val="clear" w:color="auto" w:fill="auto"/>
            <w:vAlign w:val="center"/>
          </w:tcPr>
          <w:p w14:paraId="0B9E054F">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w:t>
            </w:r>
          </w:p>
        </w:tc>
        <w:tc>
          <w:tcPr>
            <w:tcW w:w="663" w:type="dxa"/>
            <w:tcBorders>
              <w:top w:val="single" w:color="000000" w:sz="4" w:space="0"/>
              <w:left w:val="single" w:color="000000" w:sz="4" w:space="0"/>
              <w:bottom w:val="single" w:color="000000" w:sz="12" w:space="0"/>
              <w:right w:val="single" w:color="000000" w:sz="4" w:space="0"/>
            </w:tcBorders>
            <w:shd w:val="clear" w:color="auto" w:fill="auto"/>
            <w:vAlign w:val="center"/>
          </w:tcPr>
          <w:p w14:paraId="1BF1F0B7">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12" w:space="0"/>
              <w:right w:val="single" w:color="000000" w:sz="4" w:space="0"/>
            </w:tcBorders>
            <w:shd w:val="clear" w:color="auto" w:fill="auto"/>
            <w:vAlign w:val="center"/>
          </w:tcPr>
          <w:p w14:paraId="10542663">
            <w:pPr>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12" w:space="0"/>
              <w:right w:val="single" w:color="000000" w:sz="12" w:space="0"/>
            </w:tcBorders>
            <w:shd w:val="clear" w:color="auto" w:fill="auto"/>
            <w:vAlign w:val="center"/>
          </w:tcPr>
          <w:p w14:paraId="44B80FEA">
            <w:pPr>
              <w:widowControl/>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新建</w:t>
            </w:r>
          </w:p>
        </w:tc>
      </w:tr>
    </w:tbl>
    <w:p w14:paraId="3E607A6A">
      <w:pPr>
        <w:pStyle w:val="5"/>
        <w:spacing w:before="120" w:beforeLines="50"/>
        <w:rPr>
          <w:rFonts w:ascii="黑体" w:hAnsi="宋体" w:eastAsia="黑体"/>
          <w:b w:val="0"/>
          <w:bCs w:val="0"/>
          <w:snapToGrid w:val="0"/>
          <w:sz w:val="30"/>
          <w:szCs w:val="30"/>
        </w:rPr>
      </w:pPr>
      <w:r>
        <w:rPr>
          <w:rFonts w:hint="eastAsia" w:ascii="黑体" w:hAnsi="宋体" w:eastAsia="黑体"/>
          <w:b w:val="0"/>
          <w:bCs w:val="0"/>
          <w:snapToGrid w:val="0"/>
          <w:sz w:val="30"/>
          <w:szCs w:val="30"/>
        </w:rPr>
        <w:t>2.</w:t>
      </w:r>
      <w:bookmarkEnd w:id="105"/>
      <w:bookmarkEnd w:id="106"/>
      <w:bookmarkEnd w:id="107"/>
      <w:bookmarkEnd w:id="108"/>
      <w:bookmarkEnd w:id="109"/>
      <w:r>
        <w:rPr>
          <w:rFonts w:hint="eastAsia" w:ascii="黑体" w:hAnsi="宋体" w:eastAsia="黑体"/>
          <w:b w:val="0"/>
          <w:bCs w:val="0"/>
          <w:snapToGrid w:val="0"/>
          <w:sz w:val="30"/>
          <w:szCs w:val="30"/>
        </w:rPr>
        <w:t>2.3项目选址、周边环境</w:t>
      </w:r>
    </w:p>
    <w:p w14:paraId="5A6DF3F2">
      <w:pPr>
        <w:adjustRightInd w:val="0"/>
        <w:snapToGrid w:val="0"/>
        <w:spacing w:line="360" w:lineRule="auto"/>
        <w:ind w:firstLine="560" w:firstLineChars="200"/>
        <w:rPr>
          <w:rFonts w:ascii="Arial" w:hAnsi="Arial" w:cs="Arial"/>
          <w:b w:val="0"/>
          <w:sz w:val="28"/>
        </w:rPr>
      </w:pPr>
      <w:r>
        <w:rPr>
          <w:rFonts w:hint="eastAsia" w:ascii="宋体" w:hAnsi="宋体"/>
          <w:b w:val="0"/>
          <w:sz w:val="28"/>
          <w:szCs w:val="28"/>
          <w:lang w:val="en-GB"/>
        </w:rPr>
        <w:t>浏阳市太平复兴花炮厂（个人独资）位于浏阳市集里街道办事处合盛村。</w:t>
      </w:r>
      <w:r>
        <w:rPr>
          <w:rFonts w:hint="eastAsia" w:asciiTheme="minorEastAsia" w:hAnsiTheme="minorEastAsia" w:eastAsiaTheme="minorEastAsia"/>
          <w:b w:val="0"/>
          <w:sz w:val="28"/>
          <w:szCs w:val="28"/>
        </w:rPr>
        <w:t>厂区周边分布有民房，与民房距离在安全距离之外，西边与其他烟花企业（浏阳市文龙鞭炮烟花烟制造有限公司，50人以上企业）围墙距离符合标准要求</w:t>
      </w:r>
      <w:r>
        <w:rPr>
          <w:rFonts w:hint="eastAsia" w:ascii="宋体" w:hAnsi="宋体"/>
          <w:b w:val="0"/>
          <w:sz w:val="28"/>
          <w:szCs w:val="28"/>
        </w:rPr>
        <w:t>。项目选址地远离</w:t>
      </w:r>
      <w:r>
        <w:rPr>
          <w:rFonts w:hint="eastAsia" w:ascii="宋体" w:hAnsi="宋体"/>
          <w:b w:val="0"/>
          <w:sz w:val="28"/>
          <w:szCs w:val="28"/>
          <w:lang w:val="en-GB"/>
        </w:rPr>
        <w:t>城镇规划区、工业区、旅游区；生产厂区</w:t>
      </w:r>
      <w:r>
        <w:rPr>
          <w:rFonts w:hint="eastAsia" w:ascii="宋体" w:hAnsi="宋体"/>
          <w:b w:val="0"/>
          <w:sz w:val="28"/>
          <w:szCs w:val="28"/>
        </w:rPr>
        <w:t>已修建专用道路与厂外公路相连，交通较为便利。项目位置图见图2.2-</w:t>
      </w:r>
      <w:r>
        <w:rPr>
          <w:rFonts w:ascii="宋体" w:hAnsi="宋体"/>
          <w:b w:val="0"/>
          <w:sz w:val="28"/>
          <w:szCs w:val="28"/>
        </w:rPr>
        <w:t>1</w:t>
      </w:r>
      <w:r>
        <w:rPr>
          <w:rFonts w:hint="eastAsia" w:ascii="Arial" w:hAnsi="Arial" w:cs="Arial"/>
          <w:b w:val="0"/>
          <w:sz w:val="28"/>
        </w:rPr>
        <w:t>。</w:t>
      </w:r>
    </w:p>
    <w:p w14:paraId="4751A6BA">
      <w:pPr>
        <w:pStyle w:val="87"/>
        <w:spacing w:line="240" w:lineRule="auto"/>
        <w:ind w:firstLine="0" w:firstLineChars="0"/>
        <w:jc w:val="center"/>
      </w:pPr>
      <w:r>
        <w:drawing>
          <wp:inline distT="0" distB="0" distL="0" distR="0">
            <wp:extent cx="5434965" cy="3759200"/>
            <wp:effectExtent l="0" t="0" r="0" b="0"/>
            <wp:docPr id="46" name="图片 46" descr="C:\Users\Administrator\Desktop\ScreenShot_2026-08-31_165554_7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C:\Users\Administrator\Desktop\ScreenShot_2026-08-31_165554_78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438647" cy="3762073"/>
                    </a:xfrm>
                    <a:prstGeom prst="rect">
                      <a:avLst/>
                    </a:prstGeom>
                    <a:noFill/>
                    <a:ln>
                      <a:noFill/>
                    </a:ln>
                  </pic:spPr>
                </pic:pic>
              </a:graphicData>
            </a:graphic>
          </wp:inline>
        </w:drawing>
      </w:r>
    </w:p>
    <w:p w14:paraId="4AF3C8B0">
      <w:pPr>
        <w:adjustRightInd w:val="0"/>
        <w:snapToGrid w:val="0"/>
        <w:jc w:val="center"/>
        <w:rPr>
          <w:rFonts w:ascii="黑体" w:hAnsi="黑体" w:eastAsia="黑体" w:cs="Arial"/>
          <w:b w:val="0"/>
          <w:sz w:val="24"/>
        </w:rPr>
      </w:pPr>
      <w:r>
        <w:rPr>
          <w:rFonts w:hint="eastAsia" w:ascii="黑体" w:hAnsi="黑体" w:eastAsia="黑体" w:cs="Arial"/>
          <w:b w:val="0"/>
          <w:sz w:val="24"/>
        </w:rPr>
        <w:t>图2</w:t>
      </w:r>
      <w:r>
        <w:rPr>
          <w:rFonts w:ascii="黑体" w:hAnsi="黑体" w:eastAsia="黑体" w:cs="Arial"/>
          <w:b w:val="0"/>
          <w:sz w:val="24"/>
        </w:rPr>
        <w:t xml:space="preserve">.2-1 </w:t>
      </w:r>
      <w:r>
        <w:rPr>
          <w:rFonts w:hint="eastAsia" w:ascii="黑体" w:hAnsi="黑体" w:eastAsia="黑体" w:cs="Arial"/>
          <w:b w:val="0"/>
          <w:sz w:val="24"/>
        </w:rPr>
        <w:t>建设项目区域位置图</w:t>
      </w:r>
    </w:p>
    <w:p w14:paraId="092C3F1B">
      <w:pPr>
        <w:pStyle w:val="87"/>
        <w:spacing w:before="120" w:beforeLines="50"/>
        <w:ind w:firstLine="560"/>
        <w:rPr>
          <w:rFonts w:asciiTheme="minorEastAsia" w:hAnsiTheme="minorEastAsia" w:eastAsiaTheme="minorEastAsia"/>
          <w:b w:val="0"/>
          <w:bCs/>
        </w:rPr>
      </w:pPr>
      <w:r>
        <w:rPr>
          <w:rFonts w:hint="eastAsia" w:asciiTheme="minorEastAsia" w:hAnsiTheme="minorEastAsia" w:eastAsiaTheme="minorEastAsia"/>
          <w:b w:val="0"/>
          <w:bCs/>
        </w:rPr>
        <w:t>建设项目周边环境相对简单，周边安全距离内无城镇规划区、工业区、旅游区等建（构）筑物。</w:t>
      </w:r>
      <w:r>
        <w:rPr>
          <w:rFonts w:hint="eastAsia" w:ascii="宋体" w:hAnsi="宋体" w:eastAsia="宋体"/>
          <w:b w:val="0"/>
          <w:szCs w:val="28"/>
          <w:lang w:val="en-GB"/>
        </w:rPr>
        <w:t>该项目周边分布有民房及其他烟花企业（浏阳市文龙鞭炮烟花烟制造有限公司）</w:t>
      </w:r>
      <w:r>
        <w:rPr>
          <w:rFonts w:hint="eastAsia" w:ascii="宋体" w:hAnsi="宋体" w:eastAsia="宋体"/>
          <w:b w:val="0"/>
          <w:szCs w:val="28"/>
        </w:rPr>
        <w:t>，与厂内工库房均保持有安全距离</w:t>
      </w:r>
      <w:r>
        <w:rPr>
          <w:rFonts w:hint="eastAsia" w:ascii="宋体" w:hAnsi="宋体" w:eastAsia="宋体"/>
          <w:b w:val="0"/>
          <w:szCs w:val="28"/>
          <w:lang w:val="en-GB"/>
        </w:rPr>
        <w:t>。项目周边环境图见图2</w:t>
      </w:r>
      <w:r>
        <w:rPr>
          <w:rFonts w:ascii="宋体" w:hAnsi="宋体" w:eastAsia="宋体"/>
          <w:b w:val="0"/>
          <w:szCs w:val="28"/>
          <w:lang w:val="en-GB"/>
        </w:rPr>
        <w:t>.2-2</w:t>
      </w:r>
      <w:r>
        <w:rPr>
          <w:rFonts w:hint="eastAsia" w:asciiTheme="minorEastAsia" w:hAnsiTheme="minorEastAsia" w:eastAsiaTheme="minorEastAsia"/>
          <w:b w:val="0"/>
          <w:bCs/>
        </w:rPr>
        <w:t>。</w:t>
      </w:r>
    </w:p>
    <w:p w14:paraId="713ED4BD">
      <w:pPr>
        <w:pStyle w:val="87"/>
        <w:spacing w:line="240" w:lineRule="auto"/>
        <w:ind w:firstLine="0" w:firstLineChars="0"/>
        <w:jc w:val="center"/>
        <w:rPr>
          <w:rFonts w:asciiTheme="minorEastAsia" w:hAnsiTheme="minorEastAsia" w:eastAsiaTheme="minorEastAsia"/>
          <w:b w:val="0"/>
          <w:bCs/>
        </w:rPr>
      </w:pPr>
      <w:r>
        <mc:AlternateContent>
          <mc:Choice Requires="wps">
            <w:drawing>
              <wp:anchor distT="0" distB="0" distL="114300" distR="114300" simplePos="0" relativeHeight="251681792" behindDoc="0" locked="0" layoutInCell="1" allowOverlap="1">
                <wp:simplePos x="0" y="0"/>
                <wp:positionH relativeFrom="column">
                  <wp:posOffset>2568575</wp:posOffset>
                </wp:positionH>
                <wp:positionV relativeFrom="paragraph">
                  <wp:posOffset>67945</wp:posOffset>
                </wp:positionV>
                <wp:extent cx="2324100" cy="1490345"/>
                <wp:effectExtent l="6350" t="6350" r="12700" b="8255"/>
                <wp:wrapNone/>
                <wp:docPr id="10" name="任意多边形 10"/>
                <wp:cNvGraphicFramePr/>
                <a:graphic xmlns:a="http://schemas.openxmlformats.org/drawingml/2006/main">
                  <a:graphicData uri="http://schemas.microsoft.com/office/word/2010/wordprocessingShape">
                    <wps:wsp>
                      <wps:cNvSpPr/>
                      <wps:spPr>
                        <a:xfrm>
                          <a:off x="3468370" y="5906135"/>
                          <a:ext cx="2324100" cy="1490345"/>
                        </a:xfrm>
                        <a:custGeom>
                          <a:avLst/>
                          <a:gdLst>
                            <a:gd name="connisteX0" fmla="*/ 103579 w 2324321"/>
                            <a:gd name="connsiteY0" fmla="*/ 204226 h 1490362"/>
                            <a:gd name="connisteX1" fmla="*/ 424254 w 2324321"/>
                            <a:gd name="connsiteY1" fmla="*/ 47381 h 1490362"/>
                            <a:gd name="connisteX2" fmla="*/ 900504 w 2324321"/>
                            <a:gd name="connsiteY2" fmla="*/ 4836 h 1490362"/>
                            <a:gd name="connisteX3" fmla="*/ 1515184 w 2324321"/>
                            <a:gd name="connsiteY3" fmla="*/ 13726 h 1490362"/>
                            <a:gd name="connisteX4" fmla="*/ 2095574 w 2324321"/>
                            <a:gd name="connsiteY4" fmla="*/ 91196 h 1490362"/>
                            <a:gd name="connisteX5" fmla="*/ 2320364 w 2324321"/>
                            <a:gd name="connsiteY5" fmla="*/ 576336 h 1490362"/>
                            <a:gd name="connisteX6" fmla="*/ 1974289 w 2324321"/>
                            <a:gd name="connsiteY6" fmla="*/ 1312301 h 1490362"/>
                            <a:gd name="connisteX7" fmla="*/ 986864 w 2324321"/>
                            <a:gd name="connsiteY7" fmla="*/ 1476131 h 1490362"/>
                            <a:gd name="connisteX8" fmla="*/ 346149 w 2324321"/>
                            <a:gd name="connsiteY8" fmla="*/ 1415806 h 1490362"/>
                            <a:gd name="connisteX9" fmla="*/ 164539 w 2324321"/>
                            <a:gd name="connsiteY9" fmla="*/ 1017661 h 1490362"/>
                            <a:gd name="connisteX10" fmla="*/ 74 w 2324321"/>
                            <a:gd name="connsiteY10" fmla="*/ 653806 h 1490362"/>
                            <a:gd name="connisteX11" fmla="*/ 181684 w 2324321"/>
                            <a:gd name="connsiteY11" fmla="*/ 152156 h 1490362"/>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Lst>
                          <a:rect l="l" t="t" r="r" b="b"/>
                          <a:pathLst>
                            <a:path w="2324322" h="1490363">
                              <a:moveTo>
                                <a:pt x="103580" y="204226"/>
                              </a:moveTo>
                              <a:cubicBezTo>
                                <a:pt x="158190" y="173746"/>
                                <a:pt x="264870" y="87386"/>
                                <a:pt x="424255" y="47381"/>
                              </a:cubicBezTo>
                              <a:cubicBezTo>
                                <a:pt x="583640" y="7376"/>
                                <a:pt x="682065" y="11821"/>
                                <a:pt x="900505" y="4836"/>
                              </a:cubicBezTo>
                              <a:cubicBezTo>
                                <a:pt x="1118945" y="-2149"/>
                                <a:pt x="1276425" y="-3419"/>
                                <a:pt x="1515185" y="13726"/>
                              </a:cubicBezTo>
                              <a:cubicBezTo>
                                <a:pt x="1753945" y="30871"/>
                                <a:pt x="1934285" y="-21199"/>
                                <a:pt x="2095575" y="91196"/>
                              </a:cubicBezTo>
                              <a:cubicBezTo>
                                <a:pt x="2256865" y="203591"/>
                                <a:pt x="2344495" y="331861"/>
                                <a:pt x="2320365" y="576336"/>
                              </a:cubicBezTo>
                              <a:cubicBezTo>
                                <a:pt x="2296235" y="820811"/>
                                <a:pt x="2240990" y="1132596"/>
                                <a:pt x="1974290" y="1312301"/>
                              </a:cubicBezTo>
                              <a:cubicBezTo>
                                <a:pt x="1707590" y="1492006"/>
                                <a:pt x="1312620" y="1455176"/>
                                <a:pt x="986865" y="1476131"/>
                              </a:cubicBezTo>
                              <a:cubicBezTo>
                                <a:pt x="661110" y="1497086"/>
                                <a:pt x="510615" y="1507246"/>
                                <a:pt x="346150" y="1415806"/>
                              </a:cubicBezTo>
                              <a:cubicBezTo>
                                <a:pt x="181685" y="1324366"/>
                                <a:pt x="233755" y="1170061"/>
                                <a:pt x="164540" y="1017661"/>
                              </a:cubicBezTo>
                              <a:cubicBezTo>
                                <a:pt x="95325" y="865261"/>
                                <a:pt x="-3100" y="827161"/>
                                <a:pt x="75" y="653806"/>
                              </a:cubicBezTo>
                              <a:cubicBezTo>
                                <a:pt x="3250" y="480451"/>
                                <a:pt x="142315" y="245501"/>
                                <a:pt x="181685" y="152156"/>
                              </a:cubicBezTo>
                            </a:path>
                          </a:pathLst>
                        </a:cu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544053B">
                            <w:pPr>
                              <w:jc w:val="center"/>
                            </w:pPr>
                          </w:p>
                        </w:txbxContent>
                      </wps:txbx>
                      <wps:bodyPr/>
                    </wps:wsp>
                  </a:graphicData>
                </a:graphic>
              </wp:anchor>
            </w:drawing>
          </mc:Choice>
          <mc:Fallback>
            <w:pict>
              <v:shape id="_x0000_s1026" o:spid="_x0000_s1026" o:spt="100" style="position:absolute;left:0pt;margin-left:202.25pt;margin-top:5.35pt;height:117.35pt;width:183pt;z-index:251681792;mso-width-relative:page;mso-height-relative:page;" filled="f" stroked="t" coordsize="2324322,1490363" o:gfxdata="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" path="m103580,204226c158190,173746,264870,87386,424255,47381c583640,7376,682065,11821,900505,4836c1118945,-2149,1276425,-3419,1515185,13726c1753945,30871,1934285,-21199,2095575,91196c2256865,203591,2344495,331861,2320365,576336c2296235,820811,2240990,1132596,1974290,1312301c1707590,1492006,1312620,1455176,986865,1476131c661110,1497086,510615,1507246,346150,1415806c181685,1324366,233755,1170061,164540,1017661c95325,865261,-3100,827161,75,653806c3250,480451,142315,245501,181685,152156e">
                <v:path textboxrect="0,0,2324322,1490363" o:connectlocs="103569,204223;424213,47380;900418,4835;1515039,13725;2095374,91194;2320143,576329;1974101,1312286;986770,1476114;346116,1415789;164523,1017649;73,653798;181666,152154" o:connectangles="0,0,0,0,0,0,0,0,0,0,0,0"/>
                <v:fill on="f" focussize="0,0"/>
                <v:stroke weight="1pt" color="#FF0000 [2404]" miterlimit="8" joinstyle="miter"/>
                <v:imagedata o:title=""/>
                <o:lock v:ext="edit" aspectratio="f"/>
                <v:textbox>
                  <w:txbxContent>
                    <w:p w14:paraId="6544053B">
                      <w:pPr>
                        <w:jc w:val="center"/>
                      </w:pPr>
                    </w:p>
                  </w:txbxContent>
                </v:textbox>
              </v:shape>
            </w:pict>
          </mc:Fallback>
        </mc:AlternateContent>
      </w:r>
      <w:r>
        <w:rPr>
          <w:rFonts w:hint="eastAsia" w:asciiTheme="minorEastAsia" w:hAnsiTheme="minorEastAsia" w:eastAsiaTheme="minorEastAsia"/>
          <w:b w:val="0"/>
          <w:bCs/>
        </w:rPr>
        <w:drawing>
          <wp:inline distT="0" distB="0" distL="114300" distR="114300">
            <wp:extent cx="5486400" cy="3028315"/>
            <wp:effectExtent l="0" t="0" r="0" b="635"/>
            <wp:docPr id="3" name="图片 3" descr="652bfa55b4cf0af464e89a953f724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52bfa55b4cf0af464e89a953f724406"/>
                    <pic:cNvPicPr>
                      <a:picLocks noChangeAspect="1"/>
                    </pic:cNvPicPr>
                  </pic:nvPicPr>
                  <pic:blipFill>
                    <a:blip r:embed="rId18"/>
                    <a:stretch>
                      <a:fillRect/>
                    </a:stretch>
                  </pic:blipFill>
                  <pic:spPr>
                    <a:xfrm>
                      <a:off x="0" y="0"/>
                      <a:ext cx="5491615" cy="3031110"/>
                    </a:xfrm>
                    <a:prstGeom prst="rect">
                      <a:avLst/>
                    </a:prstGeom>
                  </pic:spPr>
                </pic:pic>
              </a:graphicData>
            </a:graphic>
          </wp:inline>
        </w:drawing>
      </w:r>
    </w:p>
    <w:p w14:paraId="45F9388B">
      <w:pPr>
        <w:adjustRightInd w:val="0"/>
        <w:snapToGrid w:val="0"/>
        <w:jc w:val="center"/>
        <w:rPr>
          <w:rFonts w:ascii="黑体" w:hAnsi="黑体" w:eastAsia="黑体" w:cs="Arial"/>
          <w:b w:val="0"/>
          <w:color w:val="000000" w:themeColor="text1"/>
          <w:sz w:val="24"/>
          <w14:textFill>
            <w14:solidFill>
              <w14:schemeClr w14:val="tx1"/>
            </w14:solidFill>
          </w14:textFill>
        </w:rPr>
      </w:pPr>
      <w:r>
        <w:rPr>
          <w:rFonts w:hint="eastAsia" w:ascii="黑体" w:hAnsi="黑体" w:eastAsia="黑体" w:cs="Arial"/>
          <w:b w:val="0"/>
          <w:color w:val="000000" w:themeColor="text1"/>
          <w:sz w:val="24"/>
          <w14:textFill>
            <w14:solidFill>
              <w14:schemeClr w14:val="tx1"/>
            </w14:solidFill>
          </w14:textFill>
        </w:rPr>
        <w:t>图2</w:t>
      </w:r>
      <w:r>
        <w:rPr>
          <w:rFonts w:ascii="黑体" w:hAnsi="黑体" w:eastAsia="黑体" w:cs="Arial"/>
          <w:b w:val="0"/>
          <w:color w:val="000000" w:themeColor="text1"/>
          <w:sz w:val="24"/>
          <w14:textFill>
            <w14:solidFill>
              <w14:schemeClr w14:val="tx1"/>
            </w14:solidFill>
          </w14:textFill>
        </w:rPr>
        <w:t xml:space="preserve">.2-2 </w:t>
      </w:r>
      <w:r>
        <w:rPr>
          <w:rFonts w:hint="eastAsia" w:ascii="黑体" w:hAnsi="黑体" w:eastAsia="黑体" w:cs="Arial"/>
          <w:b w:val="0"/>
          <w:color w:val="000000" w:themeColor="text1"/>
          <w:sz w:val="24"/>
          <w14:textFill>
            <w14:solidFill>
              <w14:schemeClr w14:val="tx1"/>
            </w14:solidFill>
          </w14:textFill>
        </w:rPr>
        <w:t>建设项目周边环境图</w:t>
      </w:r>
      <w:r>
        <w:rPr>
          <w:rFonts w:ascii="黑体" w:hAnsi="黑体" w:eastAsia="黑体" w:cs="Arial"/>
          <w:b w:val="0"/>
          <w:color w:val="000000" w:themeColor="text1"/>
          <w:sz w:val="24"/>
          <w14:textFill>
            <w14:solidFill>
              <w14:schemeClr w14:val="tx1"/>
            </w14:solidFill>
          </w14:textFill>
        </w:rPr>
        <w:t xml:space="preserve"> </w:t>
      </w:r>
    </w:p>
    <w:p w14:paraId="7A466BC9">
      <w:pPr>
        <w:keepNext/>
        <w:keepLines/>
        <w:spacing w:before="120" w:beforeLines="50" w:line="360" w:lineRule="auto"/>
        <w:outlineLvl w:val="1"/>
        <w:rPr>
          <w:rFonts w:ascii="黑体" w:hAnsi="宋体" w:eastAsia="黑体"/>
          <w:b w:val="0"/>
          <w:bCs/>
          <w:snapToGrid w:val="0"/>
          <w:sz w:val="30"/>
          <w:szCs w:val="30"/>
        </w:rPr>
      </w:pPr>
      <w:bookmarkStart w:id="110" w:name="_Toc12092"/>
      <w:bookmarkStart w:id="111" w:name="_Toc165038768"/>
      <w:bookmarkStart w:id="112" w:name="_Toc300329556"/>
      <w:bookmarkStart w:id="113" w:name="_Toc300256181"/>
      <w:bookmarkStart w:id="114" w:name="_Toc278054170"/>
      <w:bookmarkStart w:id="115" w:name="_Toc300344378"/>
      <w:r>
        <w:rPr>
          <w:rFonts w:hint="eastAsia" w:ascii="黑体" w:hAnsi="宋体" w:eastAsia="黑体"/>
          <w:b w:val="0"/>
          <w:bCs/>
          <w:snapToGrid w:val="0"/>
          <w:sz w:val="30"/>
          <w:szCs w:val="30"/>
        </w:rPr>
        <w:t>2.3气象、水文、地质资料</w:t>
      </w:r>
      <w:bookmarkEnd w:id="110"/>
    </w:p>
    <w:p w14:paraId="326FD12C">
      <w:pPr>
        <w:spacing w:line="360" w:lineRule="auto"/>
        <w:ind w:firstLine="560" w:firstLineChars="200"/>
        <w:rPr>
          <w:rFonts w:ascii="宋体" w:hAnsi="宋体" w:cs="宋体"/>
          <w:b w:val="0"/>
          <w:color w:val="000000"/>
          <w:sz w:val="28"/>
          <w:szCs w:val="28"/>
        </w:rPr>
      </w:pPr>
      <w:r>
        <w:rPr>
          <w:rFonts w:hint="eastAsia" w:ascii="宋体" w:hAnsi="宋体" w:cs="宋体"/>
          <w:b w:val="0"/>
          <w:color w:val="000000"/>
          <w:sz w:val="28"/>
          <w:szCs w:val="28"/>
        </w:rPr>
        <w:t>1、气象条件</w:t>
      </w:r>
    </w:p>
    <w:p w14:paraId="79A2903B">
      <w:pPr>
        <w:spacing w:line="360" w:lineRule="auto"/>
        <w:ind w:firstLine="560" w:firstLineChars="200"/>
        <w:rPr>
          <w:rFonts w:ascii="宋体" w:hAnsi="宋体" w:cs="宋体"/>
          <w:b w:val="0"/>
          <w:color w:val="000000"/>
          <w:sz w:val="28"/>
          <w:szCs w:val="28"/>
        </w:rPr>
      </w:pPr>
      <w:r>
        <w:rPr>
          <w:rFonts w:hint="eastAsia" w:ascii="宋体" w:hAnsi="宋体" w:cs="宋体"/>
          <w:b w:val="0"/>
          <w:color w:val="000000"/>
          <w:sz w:val="28"/>
          <w:szCs w:val="28"/>
        </w:rPr>
        <w:t>湖南浏阳市属中亚热带季风湿润气候，其特点是热量充足，降水丰沛，光照较足，气候变化随山地垂直差异明显，全年主导风向：西北风、次风向为南风。春季温和，暮春初夏雨多，盛夏晴热高温，秋季凉而不寒，冬季寒冷，但严寒期短。多年平均气温17.5℃，1月平均气温5.4℃，7月平均气温28.7℃。境内主要气象灾害有暴雨洪涝、龙卷风、干旱、雷雨大风、寒潮、低温冷害、高温热害、强雷暴、冰雹等。</w:t>
      </w:r>
    </w:p>
    <w:p w14:paraId="62A61C1C">
      <w:pPr>
        <w:spacing w:line="360" w:lineRule="auto"/>
        <w:ind w:firstLine="560" w:firstLineChars="200"/>
        <w:rPr>
          <w:rFonts w:ascii="宋体" w:hAnsi="宋体" w:cs="宋体"/>
          <w:b w:val="0"/>
          <w:color w:val="000000"/>
          <w:sz w:val="28"/>
          <w:szCs w:val="28"/>
        </w:rPr>
      </w:pPr>
      <w:r>
        <w:rPr>
          <w:rFonts w:hint="eastAsia" w:ascii="宋体" w:hAnsi="宋体" w:cs="宋体"/>
          <w:b w:val="0"/>
          <w:color w:val="000000"/>
          <w:sz w:val="28"/>
          <w:szCs w:val="28"/>
        </w:rPr>
        <w:t>2、水文、地质条件</w:t>
      </w:r>
    </w:p>
    <w:p w14:paraId="6B9DE23E">
      <w:pPr>
        <w:spacing w:line="360" w:lineRule="auto"/>
        <w:ind w:firstLine="544" w:firstLineChars="200"/>
        <w:rPr>
          <w:rFonts w:ascii="宋体" w:hAnsi="宋体" w:cs="宋体"/>
          <w:b w:val="0"/>
          <w:color w:val="000000"/>
          <w:spacing w:val="-4"/>
          <w:sz w:val="28"/>
          <w:szCs w:val="28"/>
        </w:rPr>
      </w:pPr>
      <w:r>
        <w:rPr>
          <w:rFonts w:hint="eastAsia" w:ascii="宋体" w:hAnsi="宋体" w:cs="宋体"/>
          <w:b w:val="0"/>
          <w:color w:val="000000"/>
          <w:spacing w:val="-4"/>
          <w:sz w:val="28"/>
          <w:szCs w:val="28"/>
        </w:rPr>
        <w:t>浏阳市境内山丘绵亘，西南稍平衍，东北半山谷，浏阳河横贯其中，萦回百折，西流注入湘江。有浏阳河、捞刀河、南川河三条主要河流，支流139条，全市多年平均径流总量43.85亿m</w:t>
      </w:r>
      <w:r>
        <w:rPr>
          <w:rFonts w:hint="eastAsia" w:ascii="宋体" w:hAnsi="宋体" w:cs="宋体"/>
          <w:b w:val="0"/>
          <w:color w:val="000000"/>
          <w:spacing w:val="-4"/>
          <w:sz w:val="28"/>
          <w:szCs w:val="28"/>
          <w:vertAlign w:val="superscript"/>
        </w:rPr>
        <w:t>3</w:t>
      </w:r>
      <w:r>
        <w:rPr>
          <w:rFonts w:hint="eastAsia" w:ascii="宋体" w:hAnsi="宋体" w:cs="宋体"/>
          <w:b w:val="0"/>
          <w:color w:val="000000"/>
          <w:spacing w:val="-4"/>
          <w:sz w:val="28"/>
          <w:szCs w:val="28"/>
        </w:rPr>
        <w:t>。境内以红壤为主，因地形不同而有非地带性土壤，如黄壤、黄棕壤及冲积土等。主要成土母质为板页岩、第四纪红色粘土，河流冲积物等，且各类土壤呈地域性分布。浏阳河、捞刀河、南川河谷地以冲积土为主。大围、连云、九山山脉以松散的紫色土为主。丘陵地带以粘重的红壤、黄壤为主。</w:t>
      </w:r>
    </w:p>
    <w:p w14:paraId="4BF719A1">
      <w:pPr>
        <w:spacing w:line="360" w:lineRule="auto"/>
        <w:ind w:firstLine="544" w:firstLineChars="200"/>
        <w:rPr>
          <w:rFonts w:ascii="宋体" w:hAnsi="宋体" w:cs="宋体"/>
          <w:b w:val="0"/>
          <w:color w:val="000000"/>
          <w:spacing w:val="-4"/>
          <w:sz w:val="28"/>
          <w:szCs w:val="28"/>
        </w:rPr>
      </w:pPr>
      <w:r>
        <w:rPr>
          <w:rFonts w:hint="eastAsia" w:ascii="宋体" w:hAnsi="宋体" w:cs="宋体"/>
          <w:b w:val="0"/>
          <w:color w:val="000000"/>
          <w:spacing w:val="-4"/>
          <w:sz w:val="28"/>
          <w:szCs w:val="28"/>
        </w:rPr>
        <w:t>建设项目场地地质自上而下为黄土、岩石基础。根据《中国地震动参数区划图》（</w:t>
      </w:r>
      <w:r>
        <w:rPr>
          <w:rFonts w:ascii="宋体" w:hAnsi="宋体" w:cs="宋体"/>
          <w:b w:val="0"/>
          <w:color w:val="000000"/>
          <w:spacing w:val="-4"/>
          <w:sz w:val="28"/>
          <w:szCs w:val="28"/>
        </w:rPr>
        <w:t>GB18306-2015</w:t>
      </w:r>
      <w:r>
        <w:rPr>
          <w:rFonts w:hint="eastAsia" w:ascii="宋体" w:hAnsi="宋体" w:cs="宋体"/>
          <w:b w:val="0"/>
          <w:color w:val="000000"/>
          <w:spacing w:val="-4"/>
          <w:sz w:val="28"/>
          <w:szCs w:val="28"/>
        </w:rPr>
        <w:t>）查到：浏阳地震基本烈度为</w:t>
      </w:r>
      <w:r>
        <w:rPr>
          <w:rFonts w:ascii="宋体" w:hAnsi="宋体" w:cs="宋体"/>
          <w:b w:val="0"/>
          <w:color w:val="000000"/>
          <w:spacing w:val="-4"/>
          <w:sz w:val="28"/>
          <w:szCs w:val="28"/>
        </w:rPr>
        <w:t>6</w:t>
      </w:r>
      <w:r>
        <w:rPr>
          <w:rFonts w:hint="eastAsia" w:ascii="宋体" w:hAnsi="宋体" w:cs="宋体"/>
          <w:b w:val="0"/>
          <w:color w:val="000000"/>
          <w:spacing w:val="-4"/>
          <w:sz w:val="28"/>
          <w:szCs w:val="28"/>
        </w:rPr>
        <w:t>度，</w:t>
      </w:r>
      <w:r>
        <w:rPr>
          <w:rFonts w:ascii="宋体" w:hAnsi="宋体" w:cs="宋体"/>
          <w:b w:val="0"/>
          <w:color w:val="000000"/>
          <w:spacing w:val="-4"/>
          <w:sz w:val="28"/>
          <w:szCs w:val="28"/>
        </w:rPr>
        <w:t>设计基本地震加速度值0.</w:t>
      </w:r>
      <w:r>
        <w:rPr>
          <w:rFonts w:hint="eastAsia" w:ascii="宋体" w:hAnsi="宋体" w:cs="宋体"/>
          <w:b w:val="0"/>
          <w:color w:val="000000"/>
          <w:spacing w:val="-4"/>
          <w:sz w:val="28"/>
          <w:szCs w:val="28"/>
        </w:rPr>
        <w:t>05</w:t>
      </w:r>
      <w:r>
        <w:rPr>
          <w:rFonts w:ascii="宋体" w:hAnsi="宋体" w:cs="宋体"/>
          <w:b w:val="0"/>
          <w:color w:val="000000"/>
          <w:spacing w:val="-4"/>
          <w:sz w:val="28"/>
          <w:szCs w:val="28"/>
        </w:rPr>
        <w:t>g</w:t>
      </w:r>
      <w:r>
        <w:rPr>
          <w:rFonts w:hint="eastAsia" w:ascii="宋体" w:hAnsi="宋体" w:cs="宋体"/>
          <w:b w:val="0"/>
          <w:color w:val="000000"/>
          <w:spacing w:val="-4"/>
          <w:sz w:val="28"/>
          <w:szCs w:val="28"/>
        </w:rPr>
        <w:t>。区内地震以轻弱有感震为主，地质结构相对稳定。</w:t>
      </w:r>
    </w:p>
    <w:p w14:paraId="0ABF2ACD">
      <w:pPr>
        <w:keepNext/>
        <w:keepLines/>
        <w:spacing w:before="120" w:beforeLines="50" w:line="360" w:lineRule="auto"/>
        <w:outlineLvl w:val="1"/>
        <w:rPr>
          <w:rFonts w:ascii="黑体" w:hAnsi="宋体" w:eastAsia="黑体"/>
          <w:b w:val="0"/>
          <w:bCs/>
          <w:snapToGrid w:val="0"/>
          <w:sz w:val="30"/>
          <w:szCs w:val="30"/>
        </w:rPr>
      </w:pPr>
      <w:bookmarkStart w:id="116" w:name="_Toc6201"/>
      <w:r>
        <w:rPr>
          <w:rFonts w:hint="eastAsia" w:ascii="黑体" w:hAnsi="宋体" w:eastAsia="黑体"/>
          <w:b w:val="0"/>
          <w:bCs/>
          <w:snapToGrid w:val="0"/>
          <w:sz w:val="30"/>
          <w:szCs w:val="30"/>
        </w:rPr>
        <w:t>2.4总平面布置</w:t>
      </w:r>
      <w:bookmarkEnd w:id="111"/>
      <w:bookmarkEnd w:id="112"/>
      <w:bookmarkEnd w:id="113"/>
      <w:bookmarkEnd w:id="114"/>
      <w:bookmarkEnd w:id="115"/>
      <w:bookmarkEnd w:id="116"/>
    </w:p>
    <w:p w14:paraId="3B958B67">
      <w:pPr>
        <w:spacing w:line="360" w:lineRule="auto"/>
        <w:ind w:firstLine="560" w:firstLineChars="200"/>
        <w:rPr>
          <w:rFonts w:ascii="宋体" w:hAnsi="宋体"/>
          <w:b w:val="0"/>
          <w:sz w:val="28"/>
          <w:szCs w:val="28"/>
        </w:rPr>
      </w:pPr>
      <w:r>
        <w:rPr>
          <w:rFonts w:hint="eastAsia" w:ascii="宋体" w:hAnsi="宋体"/>
          <w:b w:val="0"/>
          <w:sz w:val="28"/>
          <w:szCs w:val="28"/>
          <w:lang w:val="en-GB"/>
        </w:rPr>
        <w:t>该项目拟建工库房依据《浏阳市太平复兴花炮厂（个人独资）厂房升级改造项目总平面布置图》（初步设计方案图）（大连化工设计院有限公司</w:t>
      </w:r>
      <w:r>
        <w:rPr>
          <w:rFonts w:hint="eastAsia" w:ascii="宋体" w:hAnsi="宋体"/>
          <w:b w:val="0"/>
          <w:sz w:val="28"/>
          <w:szCs w:val="28"/>
        </w:rPr>
        <w:t>设计</w:t>
      </w:r>
      <w:r>
        <w:rPr>
          <w:rFonts w:hint="eastAsia" w:ascii="宋体" w:hAnsi="宋体"/>
          <w:b w:val="0"/>
          <w:sz w:val="28"/>
          <w:szCs w:val="28"/>
          <w:lang w:val="en-GB"/>
        </w:rPr>
        <w:t>）按功能分区，</w:t>
      </w:r>
      <w:r>
        <w:rPr>
          <w:rFonts w:hint="eastAsia" w:ascii="宋体" w:hAnsi="宋体"/>
          <w:b w:val="0"/>
          <w:sz w:val="28"/>
          <w:szCs w:val="28"/>
        </w:rPr>
        <w:t>该项目生产区布置在丘陵山地地带，生产线依山形设置呈不规则状。</w:t>
      </w:r>
    </w:p>
    <w:p w14:paraId="430BDEEE">
      <w:pPr>
        <w:spacing w:line="360" w:lineRule="auto"/>
        <w:ind w:firstLine="560" w:firstLineChars="200"/>
        <w:rPr>
          <w:rFonts w:ascii="宋体" w:hAnsi="宋体"/>
          <w:b w:val="0"/>
          <w:sz w:val="28"/>
          <w:szCs w:val="28"/>
          <w:lang w:val="en-GB"/>
        </w:rPr>
      </w:pPr>
      <w:r>
        <w:rPr>
          <w:rFonts w:hint="eastAsia" w:ascii="宋体" w:hAnsi="宋体"/>
          <w:b w:val="0"/>
          <w:sz w:val="28"/>
          <w:szCs w:val="28"/>
          <w:lang w:val="en-GB"/>
        </w:rPr>
        <w:t>该项目1.1级危险品生产工房采用掘进式建设，按产品生产流程顺序呈带状布置，以避免药物往返及交叉的情况。1.1级工房小型、分散，设天然凹形防护屏障；1.3级工房部分危险性大的工房亦小型、分散。</w:t>
      </w:r>
    </w:p>
    <w:p w14:paraId="6F8C9EF0">
      <w:pPr>
        <w:spacing w:line="360" w:lineRule="auto"/>
        <w:ind w:firstLine="560" w:firstLineChars="200"/>
        <w:rPr>
          <w:rFonts w:ascii="宋体" w:hAnsi="宋体"/>
          <w:b w:val="0"/>
          <w:sz w:val="28"/>
          <w:szCs w:val="28"/>
          <w:lang w:val="en-GB"/>
        </w:rPr>
      </w:pPr>
      <w:r>
        <w:rPr>
          <w:rFonts w:hint="eastAsia" w:ascii="宋体" w:hAnsi="宋体"/>
          <w:b w:val="0"/>
          <w:sz w:val="28"/>
          <w:szCs w:val="28"/>
          <w:lang w:val="en-GB"/>
        </w:rPr>
        <w:t>该项目危险品生产区内主要运输道路宽度与各生产工库房的次要道路相连通；路面硬化，建筑物之间的通道宽度能满足运输、通行和安全疏散要求。</w:t>
      </w:r>
    </w:p>
    <w:p w14:paraId="0959EF3A">
      <w:pPr>
        <w:spacing w:line="360" w:lineRule="auto"/>
        <w:ind w:firstLine="560" w:firstLineChars="200"/>
        <w:rPr>
          <w:rFonts w:ascii="宋体" w:hAnsi="宋体"/>
          <w:b w:val="0"/>
          <w:sz w:val="28"/>
          <w:szCs w:val="28"/>
          <w:lang w:val="en-GB"/>
        </w:rPr>
      </w:pPr>
      <w:r>
        <w:rPr>
          <w:rFonts w:hint="eastAsia" w:ascii="宋体" w:hAnsi="宋体"/>
          <w:b w:val="0"/>
          <w:sz w:val="28"/>
          <w:szCs w:val="28"/>
          <w:lang w:val="en-GB"/>
        </w:rPr>
        <w:t>厂区为不规则形状，厂区内有烟花生产工、库房，以及值班室等辅助设施。厂区内各建（构）筑物的距离详见2.7.2章节列表。</w:t>
      </w:r>
    </w:p>
    <w:p w14:paraId="3D3232D2">
      <w:pPr>
        <w:pStyle w:val="87"/>
        <w:ind w:firstLine="560"/>
        <w:rPr>
          <w:rFonts w:ascii="宋体" w:hAnsi="宋体" w:eastAsia="宋体"/>
          <w:b w:val="0"/>
          <w:bCs/>
          <w:lang w:val="en-GB"/>
        </w:rPr>
      </w:pPr>
      <w:r>
        <w:rPr>
          <w:rFonts w:hint="eastAsia" w:ascii="宋体" w:hAnsi="宋体" w:eastAsia="宋体"/>
          <w:b w:val="0"/>
          <w:bCs/>
          <w:lang w:val="en-GB"/>
        </w:rPr>
        <w:t>该企业具体建（构）筑物基本情况见表2</w:t>
      </w:r>
      <w:r>
        <w:rPr>
          <w:rFonts w:ascii="宋体" w:hAnsi="宋体" w:eastAsia="宋体"/>
          <w:b w:val="0"/>
          <w:bCs/>
          <w:lang w:val="en-GB"/>
        </w:rPr>
        <w:t>.2-3</w:t>
      </w:r>
      <w:r>
        <w:rPr>
          <w:rFonts w:hint="eastAsia" w:ascii="宋体" w:hAnsi="宋体" w:eastAsia="宋体"/>
          <w:b w:val="0"/>
          <w:bCs/>
          <w:lang w:val="en-GB"/>
        </w:rPr>
        <w:t>和2</w:t>
      </w:r>
      <w:r>
        <w:rPr>
          <w:rFonts w:ascii="宋体" w:hAnsi="宋体" w:eastAsia="宋体"/>
          <w:b w:val="0"/>
          <w:bCs/>
          <w:lang w:val="en-GB"/>
        </w:rPr>
        <w:t>.2-4</w:t>
      </w:r>
      <w:r>
        <w:rPr>
          <w:rFonts w:hint="eastAsia" w:ascii="宋体" w:hAnsi="宋体" w:eastAsia="宋体"/>
          <w:b w:val="0"/>
          <w:bCs/>
          <w:lang w:val="en-GB"/>
        </w:rPr>
        <w:t>所示。</w:t>
      </w:r>
    </w:p>
    <w:p w14:paraId="0FE6DAB0">
      <w:pPr>
        <w:jc w:val="center"/>
        <w:rPr>
          <w:rFonts w:ascii="黑体" w:hAnsi="宋体" w:eastAsia="黑体"/>
          <w:b w:val="0"/>
          <w:sz w:val="24"/>
        </w:rPr>
      </w:pPr>
      <w:r>
        <w:rPr>
          <w:rFonts w:hint="eastAsia" w:ascii="黑体" w:hAnsi="宋体" w:eastAsia="黑体"/>
          <w:b w:val="0"/>
          <w:sz w:val="24"/>
        </w:rPr>
        <w:t>表</w:t>
      </w:r>
      <w:r>
        <w:rPr>
          <w:rFonts w:ascii="黑体" w:hAnsi="宋体" w:eastAsia="黑体"/>
          <w:b w:val="0"/>
          <w:sz w:val="24"/>
        </w:rPr>
        <w:t xml:space="preserve">2.2-3 </w:t>
      </w:r>
      <w:r>
        <w:rPr>
          <w:rFonts w:hint="eastAsia" w:ascii="黑体" w:hAnsi="宋体" w:eastAsia="黑体"/>
          <w:b w:val="0"/>
          <w:sz w:val="24"/>
        </w:rPr>
        <w:t>建设项目各建（构）筑物基本情况统计表</w:t>
      </w:r>
    </w:p>
    <w:tbl>
      <w:tblPr>
        <w:tblStyle w:val="88"/>
        <w:tblW w:w="918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81"/>
        <w:gridCol w:w="2621"/>
        <w:gridCol w:w="2464"/>
        <w:gridCol w:w="1984"/>
        <w:gridCol w:w="1230"/>
      </w:tblGrid>
      <w:tr w14:paraId="4B936F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81" w:type="dxa"/>
            <w:tcBorders>
              <w:top w:val="single" w:color="auto" w:sz="12" w:space="0"/>
            </w:tcBorders>
            <w:vAlign w:val="center"/>
          </w:tcPr>
          <w:p w14:paraId="33AF6BFD">
            <w:pPr>
              <w:jc w:val="center"/>
              <w:rPr>
                <w:rFonts w:ascii="宋体" w:hAnsi="宋体"/>
                <w:bCs/>
              </w:rPr>
            </w:pPr>
            <w:r>
              <w:rPr>
                <w:rFonts w:hint="eastAsia" w:ascii="宋体" w:hAnsi="宋体"/>
                <w:bCs/>
              </w:rPr>
              <w:t>工房</w:t>
            </w:r>
          </w:p>
          <w:p w14:paraId="147EA419">
            <w:pPr>
              <w:jc w:val="center"/>
              <w:rPr>
                <w:rFonts w:ascii="宋体" w:hAnsi="宋体"/>
                <w:bCs/>
              </w:rPr>
            </w:pPr>
            <w:r>
              <w:rPr>
                <w:rFonts w:hint="eastAsia" w:ascii="宋体" w:hAnsi="宋体"/>
                <w:bCs/>
              </w:rPr>
              <w:t>栋数</w:t>
            </w:r>
          </w:p>
        </w:tc>
        <w:tc>
          <w:tcPr>
            <w:tcW w:w="2621" w:type="dxa"/>
            <w:tcBorders>
              <w:top w:val="single" w:color="auto" w:sz="12" w:space="0"/>
            </w:tcBorders>
            <w:vAlign w:val="center"/>
          </w:tcPr>
          <w:p w14:paraId="0C9DC15E">
            <w:pPr>
              <w:jc w:val="center"/>
              <w:rPr>
                <w:rFonts w:ascii="宋体" w:hAnsi="宋体"/>
                <w:bCs/>
              </w:rPr>
            </w:pPr>
            <w:r>
              <w:rPr>
                <w:rFonts w:ascii="宋体" w:hAnsi="宋体"/>
                <w:bCs/>
              </w:rPr>
              <w:t>1.1</w:t>
            </w:r>
            <w:r>
              <w:rPr>
                <w:rFonts w:hint="eastAsia" w:ascii="宋体" w:hAnsi="宋体"/>
                <w:bCs/>
              </w:rPr>
              <w:t>级工库房</w:t>
            </w:r>
          </w:p>
        </w:tc>
        <w:tc>
          <w:tcPr>
            <w:tcW w:w="2464" w:type="dxa"/>
            <w:tcBorders>
              <w:top w:val="single" w:color="auto" w:sz="12" w:space="0"/>
            </w:tcBorders>
            <w:vAlign w:val="center"/>
          </w:tcPr>
          <w:p w14:paraId="5BCFF4A6">
            <w:pPr>
              <w:jc w:val="center"/>
              <w:rPr>
                <w:rFonts w:ascii="宋体" w:hAnsi="宋体"/>
                <w:bCs/>
              </w:rPr>
            </w:pPr>
            <w:r>
              <w:rPr>
                <w:rFonts w:ascii="宋体" w:hAnsi="宋体"/>
                <w:bCs/>
              </w:rPr>
              <w:t>1.3</w:t>
            </w:r>
            <w:r>
              <w:rPr>
                <w:rFonts w:hint="eastAsia" w:ascii="宋体" w:hAnsi="宋体"/>
                <w:bCs/>
              </w:rPr>
              <w:t>级工库房</w:t>
            </w:r>
          </w:p>
        </w:tc>
        <w:tc>
          <w:tcPr>
            <w:tcW w:w="1984" w:type="dxa"/>
            <w:tcBorders>
              <w:top w:val="single" w:color="auto" w:sz="12" w:space="0"/>
            </w:tcBorders>
            <w:vAlign w:val="center"/>
          </w:tcPr>
          <w:p w14:paraId="789B9F69">
            <w:pPr>
              <w:jc w:val="center"/>
              <w:rPr>
                <w:rFonts w:ascii="宋体" w:hAnsi="宋体"/>
                <w:bCs/>
              </w:rPr>
            </w:pPr>
            <w:r>
              <w:rPr>
                <w:rFonts w:hint="eastAsia" w:ascii="宋体" w:hAnsi="宋体"/>
                <w:bCs/>
              </w:rPr>
              <w:t>化工类库房</w:t>
            </w:r>
          </w:p>
        </w:tc>
        <w:tc>
          <w:tcPr>
            <w:tcW w:w="1230" w:type="dxa"/>
            <w:tcBorders>
              <w:top w:val="single" w:color="auto" w:sz="12" w:space="0"/>
            </w:tcBorders>
            <w:vAlign w:val="center"/>
          </w:tcPr>
          <w:p w14:paraId="3DEDA514">
            <w:pPr>
              <w:jc w:val="center"/>
              <w:rPr>
                <w:rFonts w:ascii="宋体" w:hAnsi="宋体"/>
                <w:bCs/>
              </w:rPr>
            </w:pPr>
            <w:r>
              <w:rPr>
                <w:rFonts w:hint="eastAsia" w:ascii="宋体" w:hAnsi="宋体"/>
                <w:bCs/>
              </w:rPr>
              <w:t>无药及辅助用房</w:t>
            </w:r>
          </w:p>
        </w:tc>
      </w:tr>
      <w:tr w14:paraId="2D69B2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81" w:type="dxa"/>
            <w:tcBorders>
              <w:bottom w:val="single" w:color="auto" w:sz="12" w:space="0"/>
            </w:tcBorders>
            <w:vAlign w:val="center"/>
          </w:tcPr>
          <w:p w14:paraId="5737FAD8">
            <w:pPr>
              <w:spacing w:line="280" w:lineRule="exact"/>
              <w:jc w:val="center"/>
              <w:rPr>
                <w:rFonts w:ascii="宋体" w:hAnsi="宋体"/>
                <w:b w:val="0"/>
                <w:szCs w:val="21"/>
              </w:rPr>
            </w:pPr>
            <w:r>
              <w:rPr>
                <w:rFonts w:ascii="宋体" w:hAnsi="宋体"/>
                <w:b w:val="0"/>
                <w:szCs w:val="21"/>
              </w:rPr>
              <w:t>93</w:t>
            </w:r>
            <w:r>
              <w:rPr>
                <w:rFonts w:hint="eastAsia" w:ascii="宋体" w:hAnsi="宋体"/>
                <w:b w:val="0"/>
                <w:szCs w:val="21"/>
              </w:rPr>
              <w:t>栋</w:t>
            </w:r>
          </w:p>
        </w:tc>
        <w:tc>
          <w:tcPr>
            <w:tcW w:w="2621" w:type="dxa"/>
            <w:tcBorders>
              <w:bottom w:val="single" w:color="auto" w:sz="12" w:space="0"/>
            </w:tcBorders>
            <w:vAlign w:val="center"/>
          </w:tcPr>
          <w:p w14:paraId="394485BB">
            <w:pPr>
              <w:rPr>
                <w:rFonts w:ascii="宋体" w:hAnsi="宋体"/>
                <w:b w:val="0"/>
                <w:szCs w:val="21"/>
              </w:rPr>
            </w:pPr>
            <w:bookmarkStart w:id="117" w:name="_Hlk227850711"/>
            <w:r>
              <w:rPr>
                <w:rFonts w:ascii="宋体" w:hAnsi="宋体"/>
                <w:b w:val="0"/>
                <w:bCs/>
              </w:rPr>
              <w:t>1.1</w:t>
            </w:r>
            <w:r>
              <w:rPr>
                <w:rFonts w:hint="eastAsia" w:ascii="宋体" w:hAnsi="宋体"/>
                <w:b w:val="0"/>
                <w:bCs/>
              </w:rPr>
              <w:t>级工库房</w:t>
            </w:r>
            <w:r>
              <w:rPr>
                <w:rFonts w:ascii="宋体" w:hAnsi="宋体"/>
                <w:b w:val="0"/>
                <w:bCs/>
              </w:rPr>
              <w:t>54</w:t>
            </w:r>
            <w:r>
              <w:rPr>
                <w:rFonts w:hint="eastAsia" w:ascii="宋体" w:hAnsi="宋体"/>
                <w:b w:val="0"/>
                <w:bCs/>
              </w:rPr>
              <w:t>栋（操作工房18栋，中转间</w:t>
            </w:r>
            <w:r>
              <w:rPr>
                <w:rFonts w:ascii="宋体" w:hAnsi="宋体"/>
                <w:b w:val="0"/>
                <w:bCs/>
              </w:rPr>
              <w:t>16</w:t>
            </w:r>
            <w:r>
              <w:rPr>
                <w:rFonts w:hint="eastAsia" w:ascii="宋体" w:hAnsi="宋体"/>
                <w:b w:val="0"/>
                <w:bCs/>
              </w:rPr>
              <w:t>栋，存药洞8栋， 1</w:t>
            </w:r>
            <w:r>
              <w:rPr>
                <w:rFonts w:ascii="宋体" w:hAnsi="宋体"/>
                <w:b w:val="0"/>
                <w:bCs/>
              </w:rPr>
              <w:t>.1</w:t>
            </w:r>
            <w:r>
              <w:rPr>
                <w:rFonts w:hint="eastAsia" w:ascii="宋体" w:hAnsi="宋体"/>
                <w:b w:val="0"/>
                <w:bCs/>
              </w:rPr>
              <w:t>级药物总库</w:t>
            </w:r>
            <w:r>
              <w:rPr>
                <w:rFonts w:ascii="宋体" w:hAnsi="宋体"/>
                <w:b w:val="0"/>
                <w:bCs/>
              </w:rPr>
              <w:t>10</w:t>
            </w:r>
            <w:r>
              <w:rPr>
                <w:rFonts w:hint="eastAsia" w:ascii="宋体" w:hAnsi="宋体"/>
                <w:b w:val="0"/>
                <w:bCs/>
              </w:rPr>
              <w:t>栋，危废暂存间1栋，余废药销毁场1栋）</w:t>
            </w:r>
            <w:bookmarkEnd w:id="117"/>
          </w:p>
        </w:tc>
        <w:tc>
          <w:tcPr>
            <w:tcW w:w="2464" w:type="dxa"/>
            <w:tcBorders>
              <w:bottom w:val="single" w:color="auto" w:sz="12" w:space="0"/>
            </w:tcBorders>
            <w:vAlign w:val="center"/>
          </w:tcPr>
          <w:p w14:paraId="46075E79">
            <w:pPr>
              <w:jc w:val="left"/>
              <w:rPr>
                <w:rFonts w:ascii="宋体" w:hAnsi="宋体"/>
                <w:b w:val="0"/>
                <w:szCs w:val="21"/>
                <w:shd w:val="pct15" w:color="auto" w:fill="FFFFFF"/>
              </w:rPr>
            </w:pPr>
            <w:bookmarkStart w:id="118" w:name="_Hlk227850725"/>
            <w:r>
              <w:rPr>
                <w:rFonts w:ascii="宋体" w:hAnsi="宋体"/>
                <w:b w:val="0"/>
                <w:bCs/>
              </w:rPr>
              <w:t>1.3</w:t>
            </w:r>
            <w:r>
              <w:rPr>
                <w:rFonts w:hint="eastAsia" w:ascii="宋体" w:hAnsi="宋体"/>
                <w:b w:val="0"/>
                <w:bCs/>
              </w:rPr>
              <w:t>级工库房17栋（操作工房7栋，中转间8栋，</w:t>
            </w:r>
            <w:r>
              <w:rPr>
                <w:rFonts w:ascii="宋体" w:hAnsi="宋体"/>
                <w:b w:val="0"/>
                <w:bCs/>
              </w:rPr>
              <w:t>1.3</w:t>
            </w:r>
            <w:r>
              <w:rPr>
                <w:rFonts w:hint="eastAsia" w:ascii="宋体" w:hAnsi="宋体"/>
                <w:b w:val="0"/>
                <w:bCs/>
              </w:rPr>
              <w:t>级成品库2栋）</w:t>
            </w:r>
            <w:bookmarkEnd w:id="118"/>
          </w:p>
        </w:tc>
        <w:tc>
          <w:tcPr>
            <w:tcW w:w="1984" w:type="dxa"/>
            <w:tcBorders>
              <w:bottom w:val="single" w:color="auto" w:sz="12" w:space="0"/>
            </w:tcBorders>
            <w:vAlign w:val="center"/>
          </w:tcPr>
          <w:p w14:paraId="27013337">
            <w:pPr>
              <w:jc w:val="left"/>
              <w:rPr>
                <w:rFonts w:ascii="宋体" w:hAnsi="宋体"/>
                <w:b w:val="0"/>
                <w:szCs w:val="21"/>
              </w:rPr>
            </w:pPr>
            <w:bookmarkStart w:id="119" w:name="_Hlk227850740"/>
            <w:r>
              <w:rPr>
                <w:rFonts w:hint="eastAsia" w:ascii="宋体" w:hAnsi="宋体"/>
                <w:b w:val="0"/>
                <w:bCs/>
              </w:rPr>
              <w:t>化工类工库房3栋（化工原材料库</w:t>
            </w:r>
            <w:r>
              <w:rPr>
                <w:rFonts w:ascii="宋体" w:hAnsi="宋体"/>
                <w:b w:val="0"/>
                <w:bCs/>
              </w:rPr>
              <w:t>1</w:t>
            </w:r>
            <w:r>
              <w:rPr>
                <w:rFonts w:hint="eastAsia" w:ascii="宋体" w:hAnsi="宋体"/>
                <w:b w:val="0"/>
                <w:bCs/>
              </w:rPr>
              <w:t>栋，酒精库1栋，中转库1栋）</w:t>
            </w:r>
            <w:bookmarkEnd w:id="119"/>
          </w:p>
        </w:tc>
        <w:tc>
          <w:tcPr>
            <w:tcW w:w="1230" w:type="dxa"/>
            <w:tcBorders>
              <w:bottom w:val="single" w:color="auto" w:sz="12" w:space="0"/>
            </w:tcBorders>
            <w:vAlign w:val="center"/>
          </w:tcPr>
          <w:p w14:paraId="606D8EA5">
            <w:pPr>
              <w:jc w:val="center"/>
              <w:rPr>
                <w:rFonts w:ascii="宋体" w:hAnsi="宋体"/>
                <w:b w:val="0"/>
                <w:szCs w:val="21"/>
              </w:rPr>
            </w:pPr>
            <w:r>
              <w:rPr>
                <w:rFonts w:hint="eastAsia" w:ascii="宋体" w:hAnsi="宋体"/>
                <w:b w:val="0"/>
                <w:bCs/>
                <w:szCs w:val="21"/>
              </w:rPr>
              <w:t>19栋</w:t>
            </w:r>
          </w:p>
        </w:tc>
      </w:tr>
    </w:tbl>
    <w:p w14:paraId="396EB547">
      <w:pPr>
        <w:adjustRightInd w:val="0"/>
        <w:snapToGrid w:val="0"/>
        <w:jc w:val="center"/>
        <w:rPr>
          <w:rFonts w:ascii="黑体" w:hAnsi="黑体" w:eastAsia="黑体" w:cs="Arial"/>
          <w:b w:val="0"/>
          <w:sz w:val="24"/>
        </w:rPr>
      </w:pPr>
      <w:r>
        <w:rPr>
          <w:rFonts w:hint="eastAsia" w:ascii="黑体" w:hAnsi="黑体" w:eastAsia="黑体" w:cs="Arial"/>
          <w:b w:val="0"/>
          <w:sz w:val="24"/>
        </w:rPr>
        <w:t>表2.2</w:t>
      </w:r>
      <w:r>
        <w:rPr>
          <w:rFonts w:ascii="黑体" w:hAnsi="黑体" w:eastAsia="黑体" w:cs="Arial"/>
          <w:b w:val="0"/>
          <w:sz w:val="24"/>
        </w:rPr>
        <w:t>-4</w:t>
      </w:r>
      <w:r>
        <w:rPr>
          <w:rFonts w:hint="eastAsia" w:ascii="黑体" w:hAnsi="黑体" w:eastAsia="黑体" w:cs="Arial"/>
          <w:b w:val="0"/>
          <w:sz w:val="24"/>
        </w:rPr>
        <w:t xml:space="preserve">  建设项目建（构）筑物一览表</w:t>
      </w:r>
    </w:p>
    <w:tbl>
      <w:tblPr>
        <w:tblStyle w:val="88"/>
        <w:tblW w:w="9142" w:type="dxa"/>
        <w:tblInd w:w="93" w:type="dxa"/>
        <w:tblLayout w:type="fixed"/>
        <w:tblCellMar>
          <w:top w:w="0" w:type="dxa"/>
          <w:left w:w="108" w:type="dxa"/>
          <w:bottom w:w="0" w:type="dxa"/>
          <w:right w:w="108" w:type="dxa"/>
        </w:tblCellMar>
      </w:tblPr>
      <w:tblGrid>
        <w:gridCol w:w="426"/>
        <w:gridCol w:w="1171"/>
        <w:gridCol w:w="1345"/>
        <w:gridCol w:w="909"/>
        <w:gridCol w:w="1009"/>
        <w:gridCol w:w="982"/>
        <w:gridCol w:w="1046"/>
        <w:gridCol w:w="663"/>
        <w:gridCol w:w="691"/>
        <w:gridCol w:w="900"/>
      </w:tblGrid>
      <w:tr w14:paraId="2DD315E7">
        <w:tblPrEx>
          <w:tblCellMar>
            <w:top w:w="0" w:type="dxa"/>
            <w:left w:w="108" w:type="dxa"/>
            <w:bottom w:w="0" w:type="dxa"/>
            <w:right w:w="108" w:type="dxa"/>
          </w:tblCellMar>
        </w:tblPrEx>
        <w:trPr>
          <w:trHeight w:val="150" w:hRule="atLeast"/>
        </w:trPr>
        <w:tc>
          <w:tcPr>
            <w:tcW w:w="426" w:type="dxa"/>
            <w:vMerge w:val="restart"/>
            <w:tcBorders>
              <w:top w:val="single" w:color="000000" w:sz="12" w:space="0"/>
              <w:left w:val="single" w:color="000000" w:sz="12" w:space="0"/>
              <w:bottom w:val="single" w:color="000000" w:sz="4" w:space="0"/>
              <w:right w:val="single" w:color="000000" w:sz="4" w:space="0"/>
            </w:tcBorders>
            <w:shd w:val="clear" w:color="auto" w:fill="auto"/>
            <w:vAlign w:val="center"/>
          </w:tcPr>
          <w:p w14:paraId="62D996A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编号</w:t>
            </w:r>
          </w:p>
        </w:tc>
        <w:tc>
          <w:tcPr>
            <w:tcW w:w="1171" w:type="dxa"/>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14:paraId="7FF6DCC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工房名称</w:t>
            </w:r>
          </w:p>
        </w:tc>
        <w:tc>
          <w:tcPr>
            <w:tcW w:w="1345" w:type="dxa"/>
            <w:tcBorders>
              <w:top w:val="single" w:color="000000" w:sz="12" w:space="0"/>
              <w:left w:val="single" w:color="000000" w:sz="4" w:space="0"/>
              <w:bottom w:val="single" w:color="000000" w:sz="4" w:space="0"/>
              <w:right w:val="single" w:color="000000" w:sz="4" w:space="0"/>
            </w:tcBorders>
            <w:shd w:val="clear" w:color="auto" w:fill="auto"/>
            <w:vAlign w:val="center"/>
          </w:tcPr>
          <w:p w14:paraId="084751F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工房规格</w:t>
            </w:r>
          </w:p>
        </w:tc>
        <w:tc>
          <w:tcPr>
            <w:tcW w:w="909" w:type="dxa"/>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14:paraId="1A49033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面积</w:t>
            </w:r>
            <w:r>
              <w:rPr>
                <w:rFonts w:hint="eastAsia" w:asciiTheme="minorEastAsia" w:hAnsiTheme="minorEastAsia" w:eastAsiaTheme="minorEastAsia" w:cstheme="minorEastAsia"/>
                <w:b w:val="0"/>
                <w:bCs/>
                <w:color w:val="000000"/>
                <w:kern w:val="0"/>
                <w:szCs w:val="21"/>
                <w:lang w:bidi="ar"/>
              </w:rPr>
              <w:br w:type="textWrapping"/>
            </w:r>
            <w:r>
              <w:rPr>
                <w:rFonts w:hint="eastAsia" w:asciiTheme="minorEastAsia" w:hAnsiTheme="minorEastAsia" w:eastAsiaTheme="minorEastAsia" w:cstheme="minorEastAsia"/>
                <w:b w:val="0"/>
                <w:bCs/>
                <w:color w:val="000000"/>
                <w:kern w:val="0"/>
                <w:szCs w:val="21"/>
                <w:lang w:bidi="ar"/>
              </w:rPr>
              <w:t>(㎡)</w:t>
            </w:r>
          </w:p>
        </w:tc>
        <w:tc>
          <w:tcPr>
            <w:tcW w:w="1009" w:type="dxa"/>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14:paraId="05C14CF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耐火</w:t>
            </w:r>
            <w:r>
              <w:rPr>
                <w:rFonts w:hint="eastAsia" w:asciiTheme="minorEastAsia" w:hAnsiTheme="minorEastAsia" w:eastAsiaTheme="minorEastAsia" w:cstheme="minorEastAsia"/>
                <w:b w:val="0"/>
                <w:bCs/>
                <w:color w:val="000000"/>
                <w:kern w:val="0"/>
                <w:szCs w:val="21"/>
                <w:lang w:bidi="ar"/>
              </w:rPr>
              <w:br w:type="textWrapping"/>
            </w:r>
            <w:r>
              <w:rPr>
                <w:rFonts w:hint="eastAsia" w:asciiTheme="minorEastAsia" w:hAnsiTheme="minorEastAsia" w:eastAsiaTheme="minorEastAsia" w:cstheme="minorEastAsia"/>
                <w:b w:val="0"/>
                <w:bCs/>
                <w:color w:val="000000"/>
                <w:kern w:val="0"/>
                <w:szCs w:val="21"/>
                <w:lang w:bidi="ar"/>
              </w:rPr>
              <w:t>等级</w:t>
            </w:r>
          </w:p>
        </w:tc>
        <w:tc>
          <w:tcPr>
            <w:tcW w:w="982" w:type="dxa"/>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14:paraId="13F8A0A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危险</w:t>
            </w:r>
            <w:r>
              <w:rPr>
                <w:rFonts w:hint="eastAsia" w:asciiTheme="minorEastAsia" w:hAnsiTheme="minorEastAsia" w:eastAsiaTheme="minorEastAsia" w:cstheme="minorEastAsia"/>
                <w:b w:val="0"/>
                <w:bCs/>
                <w:color w:val="000000"/>
                <w:kern w:val="0"/>
                <w:szCs w:val="21"/>
                <w:lang w:bidi="ar"/>
              </w:rPr>
              <w:br w:type="textWrapping"/>
            </w:r>
            <w:r>
              <w:rPr>
                <w:rFonts w:hint="eastAsia" w:asciiTheme="minorEastAsia" w:hAnsiTheme="minorEastAsia" w:eastAsiaTheme="minorEastAsia" w:cstheme="minorEastAsia"/>
                <w:b w:val="0"/>
                <w:bCs/>
                <w:color w:val="000000"/>
                <w:kern w:val="0"/>
                <w:szCs w:val="21"/>
                <w:lang w:bidi="ar"/>
              </w:rPr>
              <w:t>等级</w:t>
            </w:r>
          </w:p>
        </w:tc>
        <w:tc>
          <w:tcPr>
            <w:tcW w:w="1046" w:type="dxa"/>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14:paraId="6F0DF16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计算药量</w:t>
            </w:r>
            <w:r>
              <w:rPr>
                <w:rFonts w:hint="eastAsia" w:asciiTheme="minorEastAsia" w:hAnsiTheme="minorEastAsia" w:eastAsiaTheme="minorEastAsia" w:cstheme="minorEastAsia"/>
                <w:b w:val="0"/>
                <w:bCs/>
                <w:color w:val="000000"/>
                <w:kern w:val="0"/>
                <w:szCs w:val="21"/>
                <w:lang w:bidi="ar"/>
              </w:rPr>
              <w:br w:type="textWrapping"/>
            </w:r>
            <w:r>
              <w:rPr>
                <w:rFonts w:hint="eastAsia" w:asciiTheme="minorEastAsia" w:hAnsiTheme="minorEastAsia" w:eastAsiaTheme="minorEastAsia" w:cstheme="minorEastAsia"/>
                <w:b w:val="0"/>
                <w:bCs/>
                <w:color w:val="000000"/>
                <w:kern w:val="0"/>
                <w:szCs w:val="21"/>
                <w:lang w:bidi="ar"/>
              </w:rPr>
              <w:t>(kg)</w:t>
            </w:r>
          </w:p>
        </w:tc>
        <w:tc>
          <w:tcPr>
            <w:tcW w:w="663" w:type="dxa"/>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14:paraId="19DAFED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限员</w:t>
            </w:r>
            <w:r>
              <w:rPr>
                <w:rFonts w:hint="eastAsia" w:asciiTheme="minorEastAsia" w:hAnsiTheme="minorEastAsia" w:eastAsiaTheme="minorEastAsia" w:cstheme="minorEastAsia"/>
                <w:b w:val="0"/>
                <w:bCs/>
                <w:color w:val="000000"/>
                <w:kern w:val="0"/>
                <w:szCs w:val="21"/>
                <w:lang w:bidi="ar"/>
              </w:rPr>
              <w:br w:type="textWrapping"/>
            </w:r>
            <w:r>
              <w:rPr>
                <w:rFonts w:hint="eastAsia" w:asciiTheme="minorEastAsia" w:hAnsiTheme="minorEastAsia" w:eastAsiaTheme="minorEastAsia" w:cstheme="minorEastAsia"/>
                <w:b w:val="0"/>
                <w:bCs/>
                <w:color w:val="000000"/>
                <w:kern w:val="0"/>
                <w:szCs w:val="21"/>
                <w:lang w:bidi="ar"/>
              </w:rPr>
              <w:t>(人)</w:t>
            </w:r>
          </w:p>
        </w:tc>
        <w:tc>
          <w:tcPr>
            <w:tcW w:w="691" w:type="dxa"/>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14:paraId="6DB48FA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限机</w:t>
            </w:r>
            <w:r>
              <w:rPr>
                <w:rFonts w:hint="eastAsia" w:asciiTheme="minorEastAsia" w:hAnsiTheme="minorEastAsia" w:eastAsiaTheme="minorEastAsia" w:cstheme="minorEastAsia"/>
                <w:b w:val="0"/>
                <w:bCs/>
                <w:color w:val="000000"/>
                <w:kern w:val="0"/>
                <w:szCs w:val="21"/>
                <w:lang w:bidi="ar"/>
              </w:rPr>
              <w:br w:type="textWrapping"/>
            </w:r>
            <w:r>
              <w:rPr>
                <w:rFonts w:hint="eastAsia" w:asciiTheme="minorEastAsia" w:hAnsiTheme="minorEastAsia" w:eastAsiaTheme="minorEastAsia" w:cstheme="minorEastAsia"/>
                <w:b w:val="0"/>
                <w:bCs/>
                <w:color w:val="000000"/>
                <w:kern w:val="0"/>
                <w:szCs w:val="21"/>
                <w:lang w:bidi="ar"/>
              </w:rPr>
              <w:t>(台)</w:t>
            </w:r>
          </w:p>
        </w:tc>
        <w:tc>
          <w:tcPr>
            <w:tcW w:w="900" w:type="dxa"/>
            <w:vMerge w:val="restart"/>
            <w:tcBorders>
              <w:top w:val="single" w:color="000000" w:sz="12" w:space="0"/>
              <w:left w:val="single" w:color="000000" w:sz="4" w:space="0"/>
              <w:bottom w:val="single" w:color="000000" w:sz="4" w:space="0"/>
              <w:right w:val="single" w:color="000000" w:sz="12" w:space="0"/>
            </w:tcBorders>
            <w:shd w:val="clear" w:color="auto" w:fill="auto"/>
            <w:vAlign w:val="center"/>
          </w:tcPr>
          <w:p w14:paraId="2C06EA8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备注</w:t>
            </w:r>
          </w:p>
        </w:tc>
      </w:tr>
      <w:tr w14:paraId="1701BD9F">
        <w:tblPrEx>
          <w:tblCellMar>
            <w:top w:w="0" w:type="dxa"/>
            <w:left w:w="108" w:type="dxa"/>
            <w:bottom w:w="0" w:type="dxa"/>
            <w:right w:w="108" w:type="dxa"/>
          </w:tblCellMar>
        </w:tblPrEx>
        <w:trPr>
          <w:trHeight w:val="175" w:hRule="atLeast"/>
        </w:trPr>
        <w:tc>
          <w:tcPr>
            <w:tcW w:w="426"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14:paraId="6B2169EB">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1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8B8E5">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44DC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长×宽</w:t>
            </w: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ED611">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17FC5">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F430F">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1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9ECBA">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8BA70">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9628D">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14:paraId="559B4E7A">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r>
      <w:tr w14:paraId="35F77C43">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F0595D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FAFC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电瓶车充电棚</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1904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28.0×9.0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D85D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252.0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6BF8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三</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2035F">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7CE48">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953B2">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A2CF9">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3BB620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4A32EC67">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B88AA3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B5F8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pacing w:val="-23"/>
                <w:kern w:val="0"/>
                <w:szCs w:val="21"/>
                <w:lang w:bidi="ar"/>
              </w:rPr>
              <w:t>办公/生活区</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66775">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E1E8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225.0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A0AE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995FA">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907D7">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5C2C5">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C3047">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87B300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利旧</w:t>
            </w:r>
          </w:p>
        </w:tc>
      </w:tr>
      <w:tr w14:paraId="4B221398">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3B03D0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AB66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配电间</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91FD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3.0×2.5</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E2B1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7.5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0935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三</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396AF">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2B6EF">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BE57B">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B3E5E">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18FBAE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利旧</w:t>
            </w:r>
          </w:p>
        </w:tc>
      </w:tr>
      <w:tr w14:paraId="5E262E20">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C33FA4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DC64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工具间</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9E70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7.0×4.6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BDBD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32.2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C2D1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三</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2E0B5">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B4D8D">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07F13">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2F019">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73330B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利旧</w:t>
            </w:r>
          </w:p>
        </w:tc>
      </w:tr>
      <w:tr w14:paraId="33210DCE">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04EBC8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1BBB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值班室</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26BC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8.0×4.0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B644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32.0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06BD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3067B">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3E59E">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73C89">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3E77E">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37D941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7A19E5C1">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78F9A9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F06C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筒子库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265D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40.0×10.0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225E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400.0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B904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51A2D">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1395D">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DE3FB">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566DF">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0362D4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利旧</w:t>
            </w:r>
          </w:p>
        </w:tc>
      </w:tr>
      <w:tr w14:paraId="492449C1">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3B671B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7</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DDA3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pacing w:val="-17"/>
                <w:kern w:val="0"/>
                <w:szCs w:val="21"/>
                <w:lang w:bidi="ar"/>
              </w:rPr>
              <w:t>包装材料库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9D70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24.0×14.0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CF41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336.0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6220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85EF5">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AB8A6">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28AEE">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5EDE4">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92A2D6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5F949A35">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9D3842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D8F0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pacing w:val="-17"/>
                <w:kern w:val="0"/>
                <w:szCs w:val="21"/>
                <w:lang w:bidi="ar"/>
              </w:rPr>
              <w:t>辅助材料库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6FF3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38.0×10.0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35BE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380.0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4B33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59A78">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5F8F9">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13EBD">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48A40">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13C837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555BF672">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59CFC4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9</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D122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引中转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729C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3.0×2.0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4FA2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6.0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9DBF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2E41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50D7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9F85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E0EAC">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5F13C3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447B4747">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5C219E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68BA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半成品中转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1C8D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12.0×4.0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2CA8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48.0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5342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7FAE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4092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72C9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062B2">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D91E15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0E4819DE">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AC25BC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3C26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组装/包装</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7824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24.0×10.0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53CD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240.0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C2BA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F9E6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8A2E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360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BB51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24</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83F77">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550443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13D3FB49">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0121A3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12</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174F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组装/包装</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C222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24.0×10.0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FABA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240.0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D478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F785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BBC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360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0DD5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24</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8AF5F">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677D74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2F1B4BC6">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64D13A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F0BF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组装/包装</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8318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24.0×10.0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802A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240.0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0CBC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8CD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AAF2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360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976D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24</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636C6">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C1EE59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069BEBC2">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407655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14</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39AC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组装/包装</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CD1A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24.0×10.0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67B5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240.0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AC49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536E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1EF7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360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C2B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24</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F418D">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0CF336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159B70E5">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81D6E3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15</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2223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组装/包装</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F093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24.0×10.0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9C77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240.0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024D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6E33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99DE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360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7EB1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24</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09A06">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7B5F0A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72A822CB">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576503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16</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2A45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引中转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49B1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E2CA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E827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94B7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A43C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DEEA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3577C">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C6AB4B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6517920B">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D8DDFC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17</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89E9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pacing w:val="-17"/>
                <w:kern w:val="0"/>
                <w:szCs w:val="21"/>
                <w:lang w:bidi="ar"/>
              </w:rPr>
            </w:pPr>
            <w:r>
              <w:rPr>
                <w:rFonts w:hint="eastAsia" w:asciiTheme="minorEastAsia" w:hAnsiTheme="minorEastAsia" w:eastAsiaTheme="minorEastAsia" w:cstheme="minorEastAsia"/>
                <w:b w:val="0"/>
                <w:bCs/>
                <w:color w:val="000000"/>
                <w:spacing w:val="-17"/>
                <w:kern w:val="0"/>
                <w:szCs w:val="21"/>
                <w:lang w:bidi="ar"/>
              </w:rPr>
              <w:t>半成品中转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98F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6.0×4.0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B011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24.0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DE76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33C4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1253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C570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59ECD">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A17D27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2313C726">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F3A66E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18</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91FB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pacing w:val="-17"/>
                <w:kern w:val="0"/>
                <w:szCs w:val="21"/>
                <w:lang w:bidi="ar"/>
              </w:rPr>
            </w:pPr>
            <w:r>
              <w:rPr>
                <w:rFonts w:hint="eastAsia" w:asciiTheme="minorEastAsia" w:hAnsiTheme="minorEastAsia" w:eastAsiaTheme="minorEastAsia" w:cstheme="minorEastAsia"/>
                <w:b w:val="0"/>
                <w:bCs/>
                <w:color w:val="000000"/>
                <w:spacing w:val="-17"/>
                <w:kern w:val="0"/>
                <w:szCs w:val="21"/>
                <w:lang w:bidi="ar"/>
              </w:rPr>
              <w:t>半成品中转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4E5C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6.0×4.0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C267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24.0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97D3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E30B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1228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DF44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3FFC3">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7CF463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42A17E15">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7093F7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19</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C1B7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pacing w:val="-17"/>
                <w:kern w:val="0"/>
                <w:szCs w:val="21"/>
                <w:lang w:bidi="ar"/>
              </w:rPr>
            </w:pPr>
            <w:r>
              <w:rPr>
                <w:rFonts w:hint="eastAsia" w:asciiTheme="minorEastAsia" w:hAnsiTheme="minorEastAsia" w:eastAsiaTheme="minorEastAsia" w:cstheme="minorEastAsia"/>
                <w:b w:val="0"/>
                <w:bCs/>
                <w:color w:val="000000"/>
                <w:spacing w:val="-17"/>
                <w:kern w:val="0"/>
                <w:szCs w:val="21"/>
                <w:lang w:bidi="ar"/>
              </w:rPr>
              <w:t>半成品中转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B78B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12.0×5.0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2EAE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60.0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8356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09A4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30F7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50E0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12CB4">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609B79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415F871E">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C74D31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FD8A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pacing w:val="-17"/>
                <w:kern w:val="0"/>
                <w:szCs w:val="21"/>
                <w:lang w:bidi="ar"/>
              </w:rPr>
              <w:t>辅助材料库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A3B6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20.0×5.0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60D9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100.0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7BF0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A1245">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5A6C2">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C7F75">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B3818">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F2A6CC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4C60771F">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59BD96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21</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092E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筒子库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4D4F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20.0×5.0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EF6E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100.0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8863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F7367">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E3F44">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9B63D">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93981">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E3A9C8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31F9E976">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CE7575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22</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F05C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厕所</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14C6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3.8×3.0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9345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11.4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CFA8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三</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C926D">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A9F5D">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15C3E">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B9BD6">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61A204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利旧</w:t>
            </w:r>
          </w:p>
        </w:tc>
      </w:tr>
      <w:tr w14:paraId="777610D4">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C74B1D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23</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B650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pacing w:val="-17"/>
                <w:kern w:val="0"/>
                <w:szCs w:val="21"/>
                <w:lang w:bidi="ar"/>
              </w:rPr>
              <w:t>半成品中转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5D97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93BF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15.0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E534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9981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FF74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88E0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BEF8F">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F6270A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114E09D3">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5C650D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24</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2917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工具间</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D2EC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3.5×3.3</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468E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11.6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D8A9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64EE3">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0F095">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3C8AE">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6D10D">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6C5AFF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利旧</w:t>
            </w:r>
          </w:p>
        </w:tc>
      </w:tr>
      <w:tr w14:paraId="47103876">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F98FEF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25</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65D7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装药/压药</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1E97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5.0×4.0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71BD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7ECA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0F08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4BB3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7807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E01A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B6D2D4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6BCDAC17">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AA6C9F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26</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7CCA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存药洞</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2B85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0.8×0.6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AE42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0.5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DDD7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235E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FFFB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9EDF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0487C">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1A4566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450905FB">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5B0EE6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27</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E858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药物中转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EEFD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3.0×2.0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3BE2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6.0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DF0C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CECB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AC1F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1590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ED1B1">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FC8654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利旧</w:t>
            </w:r>
          </w:p>
        </w:tc>
      </w:tr>
      <w:tr w14:paraId="11388C4C">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9F0F46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28</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3755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存药洞</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6B09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0.8×0.6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2AE6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0.5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76A1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D149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304C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9935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D32A8">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C3B861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16FE11EB">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2CCFB0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29</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806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装药/压药</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41EF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EA8C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EA68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685D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30F8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74C0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012F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68DA36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527867FA">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33219E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114E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存药洞</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2EE5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0.8×0.6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3118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0.5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44E3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821B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1FF9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A1E8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9AF42">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92DF4B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152D5709">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A96F59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31</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3852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pacing w:val="-17"/>
                <w:kern w:val="0"/>
                <w:szCs w:val="21"/>
                <w:lang w:bidi="ar"/>
              </w:rPr>
              <w:t>半成品中转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11FA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FFD8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E6FC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02CD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CC47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4562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A8F7D">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925C1F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77538D1C">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E8C456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kern w:val="0"/>
                <w:szCs w:val="21"/>
                <w:lang w:bidi="ar"/>
              </w:rPr>
            </w:pPr>
            <w:r>
              <w:rPr>
                <w:rFonts w:hint="eastAsia" w:asciiTheme="minorEastAsia" w:hAnsiTheme="minorEastAsia" w:eastAsiaTheme="minorEastAsia" w:cstheme="minorEastAsia"/>
                <w:b w:val="0"/>
                <w:bCs/>
                <w:color w:val="000000"/>
                <w:kern w:val="0"/>
                <w:szCs w:val="21"/>
                <w:lang w:bidi="ar"/>
              </w:rPr>
              <w:t>32</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C134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存药洞</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1013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0.8×0.6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99D3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0.5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1842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ACC6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62B3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A426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C3DA6">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E7B3A3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3592C06D">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DBEF14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33</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E835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装药/压药</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1AA2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5.0×4.0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817D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4D72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B13E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EC2B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19E8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C160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4E651A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5EDC7860">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F76D87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34</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5AF3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药物中转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99A5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987D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CC39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94B2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AC3A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B8A7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288B3">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801A38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45F61EAF">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F17B76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35</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6802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装药/压药</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9C21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5.0×4.0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144C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7F91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3FC3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91AD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22CB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609A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FC9EED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6B90527E">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12ADD0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36</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3A73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存药洞</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D1A7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0.8×0.6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7057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0.5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71EB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EEE7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6C19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E171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814B4">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1FF85D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2B76BBC3">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C4EFC7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37</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EC18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pacing w:val="-17"/>
                <w:kern w:val="0"/>
                <w:szCs w:val="21"/>
                <w:lang w:bidi="ar"/>
              </w:rPr>
              <w:t>半成品中转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18C8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D549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12.0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B9F5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7F22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0E92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76E5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32571">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E6438D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0B0EEB45">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47906F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38</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9B1B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筑药</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AD6E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CC8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0FD1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3A02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1FCC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4159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46990">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7121AC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33652667">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C81B35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39</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C2C3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存药洞</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CD76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0.8×0.6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4070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0.5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5547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DB9B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1601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FBFA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23439">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A05531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28B8FFBE">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8D0ECC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D843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药物中转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C080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4.4×3.6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9DB4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15.8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A751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4FF5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D51B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0EC8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BB8D1">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B6AC2F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4D12D87A">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62645B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41</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F018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存药洞</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E006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0.8×0.6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A8C6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0.5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2A63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8616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A2DE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4DE3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9BAD6">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59474A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52542632">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6155CF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42</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2EAE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筑药</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E0A5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D614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3222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3B86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CDE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6EB1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E434">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FE463D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43CFF860">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55D373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43</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E336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pacing w:val="-17"/>
                <w:kern w:val="0"/>
                <w:szCs w:val="21"/>
                <w:lang w:bidi="ar"/>
              </w:rPr>
              <w:t>半成品中转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384C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3.9×3.1</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0885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12.1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BA59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F1EF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E7BA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B7C7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CF23A">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B7A62F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4F1DEB18">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AC0B5A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kern w:val="0"/>
                <w:szCs w:val="21"/>
                <w:lang w:bidi="ar"/>
              </w:rPr>
            </w:pPr>
            <w:r>
              <w:rPr>
                <w:rFonts w:hint="eastAsia" w:asciiTheme="minorEastAsia" w:hAnsiTheme="minorEastAsia" w:eastAsiaTheme="minorEastAsia" w:cstheme="minorEastAsia"/>
                <w:b w:val="0"/>
                <w:bCs/>
                <w:color w:val="000000"/>
                <w:kern w:val="0"/>
                <w:szCs w:val="21"/>
                <w:lang w:bidi="ar"/>
              </w:rPr>
              <w:t>44</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CA49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筑药</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6160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7B6C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6744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53F6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FFF5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A338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23B73">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589891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1A85DBCB">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8FFBCA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45</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4C32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存药洞</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F026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0.8×0.6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03E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0.5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18FE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F643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290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B98C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B855A">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023AA2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03A182BB">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A10056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46</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0928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药物中转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B27B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B3ED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1EA9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76EB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B428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5800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1144F">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BB3EEC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3BF43888">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8F82DC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47</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80AA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pacing w:val="-17"/>
                <w:kern w:val="0"/>
                <w:szCs w:val="21"/>
                <w:lang w:bidi="ar"/>
              </w:rPr>
              <w:t>机械药混合</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2D1A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5.0×4.0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65AC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A411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DDEA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2E9C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9253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1B3C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F4267F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0092CAB5">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1D1E7F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48</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EFC8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电控</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DA94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20B8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95C4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EDAF3">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075FD">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86FD4">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7DE08">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B89E90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78A134E9">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E2149F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49</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94C5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称料</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84D0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EB79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24.0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E4C4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DAE8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033B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30/200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A509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E1728">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6498CC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2F26C06B">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696E72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7486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化工原材料中转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D95F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A5D2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18.0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5874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035B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甲类</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8812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F77E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01AF9">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BC451C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4E76B764">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7FBAC5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51</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34B4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亮珠中转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A7A0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3.0×2.0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7321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6.0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3E23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B24E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A872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E306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1A771">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06EDA3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66FEA955">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FBEC38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52</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BAA1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pacing w:val="-17"/>
                <w:kern w:val="0"/>
                <w:szCs w:val="21"/>
                <w:lang w:bidi="ar"/>
              </w:rPr>
              <w:t>黑火药中转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4814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2.0×2.0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E554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4.0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D4B4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F18B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36D0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96AE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EC817">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E2BF51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0ABA28EE">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C776FE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53</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5574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单基火药中转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0618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CE30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065F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46AD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1C27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8786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771D7">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EEFDBF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676F8CA2">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C0AD8C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54</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8B0A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亮珠库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60A9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DEBE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EC54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C26B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1404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4D61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63215">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612DEF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40A5E97D">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B1A030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55</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2B3E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亮珠库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ECD8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F01E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0CA1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276D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435B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02DA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59C64">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35574A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16CFC98D">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076F29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56</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238B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亮珠库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4E9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196A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E213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4715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63E1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E318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01EDB">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1EF5EF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2D97DC7D">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1E5D6B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57</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F5D8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亮珠库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ADC5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F1C6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B6B4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CE5A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F35B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30CB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C3D3F">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092F9A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604EDBDB">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04E6A7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58</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87BC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黑火药库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F64F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285F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9766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A507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5613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686A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87D90">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2D8982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73EAB3AF">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F5CBEF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59</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7D9E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黑火药库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14E1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3.0×2.5</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68F7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7.5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105D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C057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4B1C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EB27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13976">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72BD22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62705220">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9A7DB0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DAED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黑火药库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4F53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E204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6C19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A48A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38CC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4CD6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54396">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845C4A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59B4221F">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BE455B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61</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316A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单基火药库(湿）</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3B4B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3.0×2.0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CA9C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6.0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4330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C3E4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0117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C617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0024F">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37CC9C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524CE5FD">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C8B773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62</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B7C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单基火药库(湿）</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B2D2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3.0×2.0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81B5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6.0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214E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6588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ACAF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E5C8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A9323">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B0E283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66D30087">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5DCD59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63</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311E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引线库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A84E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F177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B553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E379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AC5B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0A4D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8920B">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2FBA96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1A393DCB">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78F615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64</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4840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厕所</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74F1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3.0×2.7</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8F4F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8.1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680D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85CD7">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40581">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7BB49">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FA1DF">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F30D7B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利旧</w:t>
            </w:r>
          </w:p>
        </w:tc>
      </w:tr>
      <w:tr w14:paraId="48B63BD7">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F21AFA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65</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F89E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包装中转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8589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8099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09C4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61D4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1915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BC9E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AB72E">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40594E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1627E135">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E6268E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66</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7DB9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包装</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20A7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2057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C182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7DF8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1676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F799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9D018">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1F9515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287F4932">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A23A50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67</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D7DE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pacing w:val="-20"/>
                <w:kern w:val="0"/>
                <w:szCs w:val="21"/>
                <w:lang w:bidi="ar"/>
              </w:rPr>
              <w:t>电烘房/散热</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6312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8.0×5.0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FDBF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40.0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5FA4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D07E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FA5E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B936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739E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DDD8D1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1475E4EB">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9C371F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68</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186B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电控</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A4C8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1.6×1.6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548B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2.6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E167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18C32">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FFB81">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0DD27">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6C6F1">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51C426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202121E2">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6C20A5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69</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54F1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摊晾</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D1C4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50CF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8568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A0EF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AAF1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BB7A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0C92D">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2EE891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新建</w:t>
            </w:r>
          </w:p>
        </w:tc>
      </w:tr>
      <w:tr w14:paraId="67CB52D3">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2C526B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70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264F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筛选中转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3CF5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360C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F204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DB52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AC21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A172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04C5C">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B83251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0CFB559C">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1E36EA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71</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AA88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机械筛选</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B379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A5F7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12.0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7D4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0B09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5D79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C093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FDBA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4579BB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52940DC6">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2A1B76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72</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4EF9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亮珠中转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5DFE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3.0×2.0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7B35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6.0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81D6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9ABE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0904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1505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D087D">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1B1165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05EA7F52">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A3B6C8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73</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1E0C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造粒</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072B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B994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12.0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3E9D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12A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A502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9E58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09B4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D2442D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68EA75C8">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1A1C1F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74</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63C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药物中转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4B6D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2.6×2.3</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DA99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6.0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C1B7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AD8F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19B0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1941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690A4">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57770C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4C644783">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73AF03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75</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3374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电控</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1EA4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1.0×1.0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B6EE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7FD2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1FE3">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E3712">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D720F">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6AE9E">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02B589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3396B2F7">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F29448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76</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5EAC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pacing w:val="-17"/>
                <w:kern w:val="0"/>
                <w:szCs w:val="21"/>
                <w:lang w:bidi="ar"/>
              </w:rPr>
              <w:t>机械药混合</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B848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4.0×3.5</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D387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14.0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62E9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FB09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E766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A724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522F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257B70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21A47015">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0E7642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77</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4B1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称料</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6364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7.4×3.4</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2D56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25.2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93A0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E535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E885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30/200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8A71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F5FDB">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CAE855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59CCFC32">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61130D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78</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7B25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pacing w:val="-17"/>
                <w:kern w:val="0"/>
                <w:szCs w:val="21"/>
                <w:lang w:bidi="ar"/>
              </w:rPr>
              <w:t>黑火药中转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36C7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2F59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8092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E379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E3C3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583D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DCBB1">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936EC4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58FE72FF">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7EB12C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79</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713B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pacing w:val="-17"/>
                <w:kern w:val="0"/>
                <w:szCs w:val="21"/>
                <w:lang w:bidi="ar"/>
              </w:rPr>
            </w:pPr>
            <w:r>
              <w:rPr>
                <w:rFonts w:hint="eastAsia" w:asciiTheme="minorEastAsia" w:hAnsiTheme="minorEastAsia" w:eastAsiaTheme="minorEastAsia" w:cstheme="minorEastAsia"/>
                <w:b w:val="0"/>
                <w:bCs/>
                <w:color w:val="000000"/>
                <w:spacing w:val="-17"/>
                <w:kern w:val="0"/>
                <w:szCs w:val="21"/>
                <w:lang w:bidi="ar"/>
              </w:rPr>
              <w:t>还原剂粉碎</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AB01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AB08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12.0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70BB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E950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6C60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D9B2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EE95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B6D061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4507C4EC">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0F2B04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EE18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pacing w:val="-17"/>
                <w:kern w:val="0"/>
                <w:szCs w:val="21"/>
                <w:lang w:bidi="ar"/>
              </w:rPr>
            </w:pPr>
            <w:r>
              <w:rPr>
                <w:rFonts w:hint="eastAsia" w:asciiTheme="minorEastAsia" w:hAnsiTheme="minorEastAsia" w:eastAsiaTheme="minorEastAsia" w:cstheme="minorEastAsia"/>
                <w:b w:val="0"/>
                <w:bCs/>
                <w:color w:val="000000"/>
                <w:spacing w:val="-17"/>
                <w:kern w:val="0"/>
                <w:szCs w:val="21"/>
                <w:lang w:bidi="ar"/>
              </w:rPr>
              <w:t>氧化剂粉碎</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E89C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872A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12.0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0696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EF7C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9C24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4F01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A42E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E6F8FE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449F630C">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1F5B24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81</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04EA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化工原材料库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7A0B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14.0×3.5</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058A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49.0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2CA1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02C2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甲类</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A57E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40000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FE01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353FB">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E74ACE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2D3DEFA2">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84F5CA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82</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0D1B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酒精库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102B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293B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12.0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1C70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CE84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甲类</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BFEF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69BD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FDF1C">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932A14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改建</w:t>
            </w:r>
          </w:p>
        </w:tc>
      </w:tr>
      <w:tr w14:paraId="1B04182E">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8B3E47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kern w:val="0"/>
                <w:szCs w:val="21"/>
                <w:lang w:bidi="ar"/>
              </w:rPr>
            </w:pPr>
            <w:r>
              <w:rPr>
                <w:rFonts w:hint="eastAsia" w:asciiTheme="minorEastAsia" w:hAnsiTheme="minorEastAsia" w:eastAsiaTheme="minorEastAsia" w:cstheme="minorEastAsia"/>
                <w:b w:val="0"/>
                <w:bCs/>
                <w:color w:val="000000"/>
                <w:kern w:val="0"/>
                <w:szCs w:val="21"/>
                <w:lang w:bidi="ar"/>
              </w:rPr>
              <w:t>83</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36A1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kern w:val="0"/>
                <w:szCs w:val="21"/>
                <w:lang w:bidi="ar"/>
              </w:rPr>
            </w:pPr>
            <w:r>
              <w:rPr>
                <w:rFonts w:hint="eastAsia" w:asciiTheme="minorEastAsia" w:hAnsiTheme="minorEastAsia" w:eastAsiaTheme="minorEastAsia" w:cstheme="minorEastAsia"/>
                <w:b w:val="0"/>
                <w:bCs/>
                <w:color w:val="000000"/>
                <w:spacing w:val="-17"/>
                <w:kern w:val="0"/>
                <w:szCs w:val="21"/>
                <w:lang w:bidi="ar"/>
              </w:rPr>
              <w:t>危废暂存间</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E956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kern w:val="0"/>
                <w:szCs w:val="21"/>
                <w:lang w:bidi="ar"/>
              </w:rPr>
            </w:pPr>
            <w:r>
              <w:rPr>
                <w:rFonts w:hint="eastAsia" w:asciiTheme="minorEastAsia" w:hAnsiTheme="minorEastAsia" w:eastAsiaTheme="minorEastAsia" w:cstheme="minorEastAsia"/>
                <w:b w:val="0"/>
                <w:bCs/>
                <w:color w:val="000000"/>
                <w:kern w:val="0"/>
                <w:szCs w:val="21"/>
                <w:lang w:bidi="ar"/>
              </w:rPr>
              <w:t>4.0×3.0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89C8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12.0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C393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23F4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2AE4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EBCD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53C20">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F52DB1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新建</w:t>
            </w:r>
          </w:p>
        </w:tc>
      </w:tr>
      <w:tr w14:paraId="465635AC">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96424B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84</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631E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单基火药中转（湿）</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AE07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5949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3CF6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C5B0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B34F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CD0C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DD1B0">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3BEC2C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新建</w:t>
            </w:r>
          </w:p>
        </w:tc>
      </w:tr>
      <w:tr w14:paraId="40EBBAA9">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397FA6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85</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E4DF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晒坪/凉棚</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21B5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12.0×5.0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C38C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60.0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6FFE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CFC2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5890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EA39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363FA">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195105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新建</w:t>
            </w:r>
          </w:p>
        </w:tc>
      </w:tr>
      <w:tr w14:paraId="08466336">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8283E8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86</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29BF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包装</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ED6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C271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B3B8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671E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D247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BF7E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0615B">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5102FF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新建</w:t>
            </w:r>
          </w:p>
        </w:tc>
      </w:tr>
      <w:tr w14:paraId="5630F4B5">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5EEFC7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87</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BE94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单基火药中转</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EEC0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A33D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1AC3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5AF8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B7F4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200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78D0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88E5">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2AC016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新建</w:t>
            </w:r>
          </w:p>
        </w:tc>
      </w:tr>
      <w:tr w14:paraId="501B6F40">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52ECC3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88</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D5E7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值班室</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E396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4.0×3.3</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9EB3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13.2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2C5C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1CDEE">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98BB1">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96504">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AB021">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45DDEA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利旧</w:t>
            </w:r>
          </w:p>
        </w:tc>
      </w:tr>
      <w:tr w14:paraId="7AA5110E">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FD4C0F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89</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2AF9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成品库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6CE4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50.0×20.0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E2F5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1000.0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F836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71C9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E5D9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15000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5C9A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8FBB5">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B1F405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利旧</w:t>
            </w:r>
          </w:p>
        </w:tc>
      </w:tr>
      <w:tr w14:paraId="54BF1ABC">
        <w:tblPrEx>
          <w:tblCellMar>
            <w:top w:w="0" w:type="dxa"/>
            <w:left w:w="108" w:type="dxa"/>
            <w:bottom w:w="0" w:type="dxa"/>
            <w:right w:w="108" w:type="dxa"/>
          </w:tblCellMar>
        </w:tblPrEx>
        <w:trPr>
          <w:trHeight w:val="175"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FAFB4C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90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F833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成品库</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870A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36.0×15.0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21C6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540.0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06DA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43B9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2547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10000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977E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8</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4DB75">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AE0687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利旧</w:t>
            </w:r>
          </w:p>
        </w:tc>
      </w:tr>
      <w:tr w14:paraId="05B18C85">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E387F8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91</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525F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消防泵房/发电机房</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CAE3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12.5×4.8</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3FFE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60.0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CB5F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18519">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C4977">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9B7E">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507C7">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76C902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新建</w:t>
            </w:r>
          </w:p>
        </w:tc>
      </w:tr>
      <w:tr w14:paraId="45702A08">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FE46F3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92</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E7EF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消防水池</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7D6C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10.0×10.0×3.0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EC92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300m³</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5476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593C6">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CDC08">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ACB94">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E6EBF">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48439F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新建</w:t>
            </w:r>
          </w:p>
        </w:tc>
      </w:tr>
      <w:tr w14:paraId="1CE49C08">
        <w:tblPrEx>
          <w:tblCellMar>
            <w:top w:w="0" w:type="dxa"/>
            <w:left w:w="108" w:type="dxa"/>
            <w:bottom w:w="0" w:type="dxa"/>
            <w:right w:w="108" w:type="dxa"/>
          </w:tblCellMar>
        </w:tblPrEx>
        <w:trPr>
          <w:trHeight w:val="173" w:hRule="atLeast"/>
        </w:trPr>
        <w:tc>
          <w:tcPr>
            <w:tcW w:w="426"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F18349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szCs w:val="21"/>
              </w:rPr>
              <w:t>93</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3391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余废药销毁场</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8840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3.0×3.0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B3D3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 xml:space="preserve">9.0 </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BDDC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53A8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1.1</w:t>
            </w:r>
            <w:r>
              <w:rPr>
                <w:rFonts w:hint="eastAsia" w:asciiTheme="minorEastAsia" w:hAnsiTheme="minorEastAsia" w:eastAsiaTheme="minorEastAsia" w:cstheme="minorEastAsia"/>
                <w:b w:val="0"/>
                <w:bCs/>
                <w:color w:val="000000"/>
                <w:kern w:val="0"/>
                <w:szCs w:val="21"/>
                <w:vertAlign w:val="superscript"/>
                <w:lang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9FB2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61D4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06FDC">
            <w:pPr>
              <w:keepNext w:val="0"/>
              <w:keepLines w:val="0"/>
              <w:pageBreakBefore w:val="0"/>
              <w:kinsoku/>
              <w:wordWrap/>
              <w:overflowPunct/>
              <w:topLinePunct w:val="0"/>
              <w:autoSpaceDE/>
              <w:autoSpaceDN/>
              <w:bidi w:val="0"/>
              <w:adjustRightInd/>
              <w:snapToGrid/>
              <w:spacing w:line="300" w:lineRule="exact"/>
              <w:jc w:val="center"/>
              <w:rPr>
                <w:rFonts w:asciiTheme="minorEastAsia" w:hAnsiTheme="minorEastAsia" w:eastAsiaTheme="minorEastAsia" w:cstheme="minorEastAsia"/>
                <w:b w:val="0"/>
                <w:bCs/>
                <w:color w:val="000000"/>
                <w:szCs w:val="21"/>
              </w:rPr>
            </w:pPr>
          </w:p>
        </w:tc>
        <w:tc>
          <w:tcPr>
            <w:tcW w:w="90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33949B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Theme="minorEastAsia" w:hAnsiTheme="minorEastAsia" w:eastAsiaTheme="minorEastAsia" w:cstheme="minorEastAsia"/>
                <w:b w:val="0"/>
                <w:bCs/>
                <w:color w:val="000000"/>
                <w:szCs w:val="21"/>
              </w:rPr>
            </w:pPr>
            <w:r>
              <w:rPr>
                <w:rFonts w:hint="eastAsia" w:asciiTheme="minorEastAsia" w:hAnsiTheme="minorEastAsia" w:eastAsiaTheme="minorEastAsia" w:cstheme="minorEastAsia"/>
                <w:b w:val="0"/>
                <w:bCs/>
                <w:color w:val="000000"/>
                <w:kern w:val="0"/>
                <w:szCs w:val="21"/>
                <w:lang w:bidi="ar"/>
              </w:rPr>
              <w:t>新建</w:t>
            </w:r>
          </w:p>
        </w:tc>
      </w:tr>
      <w:tr w14:paraId="4D662A08">
        <w:tblPrEx>
          <w:tblCellMar>
            <w:top w:w="0" w:type="dxa"/>
            <w:left w:w="108" w:type="dxa"/>
            <w:bottom w:w="0" w:type="dxa"/>
            <w:right w:w="108" w:type="dxa"/>
          </w:tblCellMar>
        </w:tblPrEx>
        <w:trPr>
          <w:trHeight w:val="173" w:hRule="atLeast"/>
        </w:trPr>
        <w:tc>
          <w:tcPr>
            <w:tcW w:w="9142" w:type="dxa"/>
            <w:gridSpan w:val="10"/>
            <w:tcBorders>
              <w:top w:val="single" w:color="000000" w:sz="4" w:space="0"/>
              <w:left w:val="single" w:color="000000" w:sz="12" w:space="0"/>
              <w:bottom w:val="single" w:color="000000" w:sz="12" w:space="0"/>
              <w:right w:val="single" w:color="000000" w:sz="12" w:space="0"/>
            </w:tcBorders>
            <w:shd w:val="clear" w:color="auto" w:fill="auto"/>
            <w:vAlign w:val="center"/>
          </w:tcPr>
          <w:p w14:paraId="7E9B7BC0">
            <w:pPr>
              <w:keepNext w:val="0"/>
              <w:keepLines w:val="0"/>
              <w:pageBreakBefore w:val="0"/>
              <w:widowControl/>
              <w:kinsoku/>
              <w:wordWrap/>
              <w:overflowPunct/>
              <w:topLinePunct w:val="0"/>
              <w:autoSpaceDE/>
              <w:autoSpaceDN/>
              <w:bidi w:val="0"/>
              <w:adjustRightInd/>
              <w:snapToGrid/>
              <w:spacing w:line="300" w:lineRule="exact"/>
              <w:ind w:firstLine="420" w:firstLineChars="200"/>
              <w:textAlignment w:val="center"/>
              <w:rPr>
                <w:rFonts w:asciiTheme="minorEastAsia" w:hAnsiTheme="minorEastAsia" w:eastAsiaTheme="minorEastAsia" w:cstheme="minorEastAsia"/>
                <w:b w:val="0"/>
                <w:bCs/>
                <w:color w:val="000000"/>
                <w:kern w:val="0"/>
                <w:szCs w:val="21"/>
                <w:lang w:bidi="ar"/>
              </w:rPr>
            </w:pPr>
            <w:r>
              <w:rPr>
                <w:rFonts w:hint="eastAsia" w:ascii="宋体" w:hAnsi="宋体" w:cs="Arial"/>
                <w:b w:val="0"/>
                <w:bCs/>
                <w:szCs w:val="21"/>
              </w:rPr>
              <w:t>备注：本表抄录于《浏阳市太平复兴花炮厂（个人独资）厂房升级改造项目总平面布置图》（初步设计方案图）中</w:t>
            </w:r>
            <w:r>
              <w:rPr>
                <w:rFonts w:ascii="宋体" w:hAnsi="宋体" w:cs="Arial"/>
                <w:b w:val="0"/>
                <w:bCs/>
                <w:szCs w:val="21"/>
              </w:rPr>
              <w:t>“</w:t>
            </w:r>
            <w:r>
              <w:rPr>
                <w:rFonts w:hint="eastAsia" w:ascii="宋体" w:hAnsi="宋体" w:cs="Arial"/>
                <w:b w:val="0"/>
                <w:bCs/>
                <w:szCs w:val="21"/>
              </w:rPr>
              <w:t>建构筑物安全要素表”。</w:t>
            </w:r>
          </w:p>
        </w:tc>
      </w:tr>
    </w:tbl>
    <w:p w14:paraId="6D22B0BA">
      <w:pPr>
        <w:keepNext/>
        <w:keepLines/>
        <w:spacing w:before="120" w:beforeLines="50" w:line="360" w:lineRule="auto"/>
        <w:outlineLvl w:val="1"/>
        <w:rPr>
          <w:rFonts w:ascii="黑体" w:hAnsi="宋体" w:eastAsia="黑体"/>
          <w:b w:val="0"/>
          <w:bCs/>
          <w:snapToGrid w:val="0"/>
          <w:sz w:val="30"/>
          <w:szCs w:val="30"/>
        </w:rPr>
      </w:pPr>
      <w:bookmarkStart w:id="120" w:name="_Toc372793487"/>
      <w:bookmarkStart w:id="121" w:name="_Toc17210"/>
      <w:r>
        <w:rPr>
          <w:rFonts w:hint="eastAsia" w:ascii="黑体" w:hAnsi="宋体" w:eastAsia="黑体"/>
          <w:b w:val="0"/>
          <w:bCs/>
          <w:snapToGrid w:val="0"/>
          <w:sz w:val="30"/>
          <w:szCs w:val="30"/>
        </w:rPr>
        <w:t>2.5企业生产工艺</w:t>
      </w:r>
      <w:bookmarkEnd w:id="120"/>
      <w:r>
        <w:rPr>
          <w:rFonts w:hint="eastAsia" w:ascii="黑体" w:hAnsi="宋体" w:eastAsia="黑体"/>
          <w:b w:val="0"/>
          <w:bCs/>
          <w:snapToGrid w:val="0"/>
          <w:sz w:val="30"/>
          <w:szCs w:val="30"/>
        </w:rPr>
        <w:t>流程</w:t>
      </w:r>
      <w:bookmarkEnd w:id="121"/>
    </w:p>
    <w:p w14:paraId="36D870C7">
      <w:pPr>
        <w:spacing w:line="360" w:lineRule="auto"/>
        <w:ind w:firstLine="536" w:firstLineChars="200"/>
        <w:rPr>
          <w:rFonts w:ascii="宋体" w:hAnsi="宋体"/>
          <w:b w:val="0"/>
          <w:bCs/>
          <w:spacing w:val="-6"/>
          <w:sz w:val="28"/>
        </w:rPr>
      </w:pPr>
      <w:r>
        <w:rPr>
          <w:rFonts w:hint="eastAsia" w:ascii="宋体" w:hAnsi="宋体"/>
          <w:b w:val="0"/>
          <w:bCs/>
          <w:spacing w:val="-6"/>
          <w:sz w:val="28"/>
        </w:rPr>
        <w:t>浏阳市太平复兴花炮厂（个人独资）申请生产：喷花类（C</w:t>
      </w:r>
      <w:r>
        <w:rPr>
          <w:rFonts w:hint="eastAsia" w:ascii="宋体" w:hAnsi="宋体"/>
          <w:b w:val="0"/>
          <w:bCs/>
          <w:spacing w:val="-6"/>
          <w:sz w:val="28"/>
          <w:vertAlign w:val="subscript"/>
        </w:rPr>
        <w:t>1</w:t>
      </w:r>
      <w:r>
        <w:rPr>
          <w:rFonts w:hint="eastAsia" w:ascii="宋体" w:hAnsi="宋体"/>
          <w:b w:val="0"/>
          <w:bCs/>
          <w:spacing w:val="-6"/>
          <w:sz w:val="28"/>
        </w:rPr>
        <w:t>级、C</w:t>
      </w:r>
      <w:r>
        <w:rPr>
          <w:rFonts w:hint="eastAsia" w:ascii="宋体" w:hAnsi="宋体"/>
          <w:b w:val="0"/>
          <w:bCs/>
          <w:spacing w:val="-6"/>
          <w:sz w:val="28"/>
          <w:vertAlign w:val="subscript"/>
        </w:rPr>
        <w:t>2</w:t>
      </w:r>
      <w:r>
        <w:rPr>
          <w:rFonts w:hint="eastAsia" w:ascii="宋体" w:hAnsi="宋体"/>
          <w:b w:val="0"/>
          <w:bCs/>
          <w:spacing w:val="-6"/>
          <w:sz w:val="28"/>
        </w:rPr>
        <w:t>级、D级）、组合烟花（喷花组合，C</w:t>
      </w:r>
      <w:r>
        <w:rPr>
          <w:rFonts w:hint="eastAsia" w:ascii="宋体" w:hAnsi="宋体"/>
          <w:b w:val="0"/>
          <w:bCs/>
          <w:spacing w:val="-6"/>
          <w:sz w:val="28"/>
          <w:vertAlign w:val="subscript"/>
        </w:rPr>
        <w:t>1</w:t>
      </w:r>
      <w:r>
        <w:rPr>
          <w:rFonts w:hint="eastAsia" w:ascii="宋体" w:hAnsi="宋体"/>
          <w:b w:val="0"/>
          <w:bCs/>
          <w:spacing w:val="-6"/>
          <w:sz w:val="28"/>
        </w:rPr>
        <w:t>级、C</w:t>
      </w:r>
      <w:r>
        <w:rPr>
          <w:rFonts w:hint="eastAsia" w:ascii="宋体" w:hAnsi="宋体"/>
          <w:b w:val="0"/>
          <w:bCs/>
          <w:spacing w:val="-6"/>
          <w:sz w:val="28"/>
          <w:vertAlign w:val="subscript"/>
        </w:rPr>
        <w:t>2</w:t>
      </w:r>
      <w:r>
        <w:rPr>
          <w:rFonts w:hint="eastAsia" w:ascii="宋体" w:hAnsi="宋体"/>
          <w:b w:val="0"/>
          <w:bCs/>
          <w:spacing w:val="-6"/>
          <w:sz w:val="28"/>
        </w:rPr>
        <w:t>级、D级））产品，生产工艺流程简单示意图如图2.5-1至图2.5-</w:t>
      </w:r>
      <w:r>
        <w:rPr>
          <w:rFonts w:ascii="宋体" w:hAnsi="宋体"/>
          <w:b w:val="0"/>
          <w:bCs/>
          <w:spacing w:val="-6"/>
          <w:sz w:val="28"/>
        </w:rPr>
        <w:t>2</w:t>
      </w:r>
      <w:r>
        <w:rPr>
          <w:rFonts w:hint="eastAsia" w:ascii="宋体" w:hAnsi="宋体"/>
          <w:b w:val="0"/>
          <w:bCs/>
          <w:spacing w:val="-6"/>
          <w:sz w:val="28"/>
        </w:rPr>
        <w:t>：</w:t>
      </w:r>
    </w:p>
    <w:p w14:paraId="25C49ADF">
      <w:pPr>
        <w:pStyle w:val="87"/>
        <w:ind w:firstLine="0" w:firstLineChars="0"/>
      </w:pPr>
      <w:r>
        <w:rPr>
          <w:rFonts w:ascii="黑体" w:hAnsi="宋体" w:eastAsia="黑体"/>
          <w:b w:val="0"/>
          <w:sz w:val="24"/>
        </w:rPr>
        <mc:AlternateContent>
          <mc:Choice Requires="wpc">
            <w:drawing>
              <wp:inline distT="0" distB="0" distL="0" distR="0">
                <wp:extent cx="5274310" cy="5407025"/>
                <wp:effectExtent l="0" t="0" r="0" b="0"/>
                <wp:docPr id="45" name="画布 4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 name="Text Box 5"/>
                        <wps:cNvSpPr txBox="1">
                          <a:spLocks noChangeArrowheads="1"/>
                        </wps:cNvSpPr>
                        <wps:spPr bwMode="auto">
                          <a:xfrm>
                            <a:off x="2176145" y="403179"/>
                            <a:ext cx="1108710" cy="329565"/>
                          </a:xfrm>
                          <a:prstGeom prst="rect">
                            <a:avLst/>
                          </a:prstGeom>
                          <a:solidFill>
                            <a:srgbClr val="FFFFFF"/>
                          </a:solidFill>
                          <a:ln w="9525">
                            <a:solidFill>
                              <a:srgbClr val="000000"/>
                            </a:solidFill>
                            <a:miter lim="800000"/>
                          </a:ln>
                        </wps:spPr>
                        <wps:txbx>
                          <w:txbxContent>
                            <w:p w14:paraId="0DEE0507">
                              <w:pPr>
                                <w:jc w:val="center"/>
                                <w:rPr>
                                  <w:rFonts w:ascii="宋体" w:hAnsi="宋体"/>
                                  <w:b w:val="0"/>
                                  <w:bCs/>
                                </w:rPr>
                              </w:pPr>
                              <w:r>
                                <w:rPr>
                                  <w:rFonts w:hint="eastAsia" w:ascii="宋体" w:hAnsi="宋体"/>
                                  <w:b w:val="0"/>
                                  <w:bCs/>
                                </w:rPr>
                                <w:t>原材料准备</w:t>
                              </w:r>
                            </w:p>
                          </w:txbxContent>
                        </wps:txbx>
                        <wps:bodyPr rot="0" vert="horz" wrap="square" lIns="91440" tIns="45720" rIns="91440" bIns="45720" anchor="t" anchorCtr="0" upright="1">
                          <a:noAutofit/>
                        </wps:bodyPr>
                      </wps:wsp>
                      <wps:wsp>
                        <wps:cNvPr id="15" name="AutoShape 6"/>
                        <wps:cNvCnPr>
                          <a:cxnSpLocks noChangeShapeType="1"/>
                        </wps:cNvCnPr>
                        <wps:spPr bwMode="auto">
                          <a:xfrm>
                            <a:off x="2743200" y="732744"/>
                            <a:ext cx="1270" cy="314325"/>
                          </a:xfrm>
                          <a:prstGeom prst="straightConnector1">
                            <a:avLst/>
                          </a:prstGeom>
                          <a:noFill/>
                          <a:ln w="9525">
                            <a:solidFill>
                              <a:srgbClr val="000000"/>
                            </a:solidFill>
                            <a:round/>
                            <a:tailEnd type="triangle" w="med" len="med"/>
                          </a:ln>
                        </wps:spPr>
                        <wps:bodyPr/>
                      </wps:wsp>
                      <wps:wsp>
                        <wps:cNvPr id="16" name="Text Box 7"/>
                        <wps:cNvSpPr txBox="1">
                          <a:spLocks noChangeArrowheads="1"/>
                        </wps:cNvSpPr>
                        <wps:spPr bwMode="auto">
                          <a:xfrm>
                            <a:off x="2176145" y="1047069"/>
                            <a:ext cx="1108710" cy="329565"/>
                          </a:xfrm>
                          <a:prstGeom prst="rect">
                            <a:avLst/>
                          </a:prstGeom>
                          <a:solidFill>
                            <a:srgbClr val="FFFFFF"/>
                          </a:solidFill>
                          <a:ln w="9525">
                            <a:solidFill>
                              <a:srgbClr val="000000"/>
                            </a:solidFill>
                            <a:miter lim="800000"/>
                          </a:ln>
                        </wps:spPr>
                        <wps:txbx>
                          <w:txbxContent>
                            <w:p w14:paraId="7E89172D">
                              <w:pPr>
                                <w:jc w:val="center"/>
                                <w:rPr>
                                  <w:rFonts w:ascii="宋体" w:hAnsi="宋体"/>
                                  <w:b w:val="0"/>
                                  <w:bCs/>
                                </w:rPr>
                              </w:pPr>
                              <w:r>
                                <w:rPr>
                                  <w:rFonts w:hint="eastAsia" w:ascii="宋体" w:hAnsi="宋体"/>
                                  <w:b w:val="0"/>
                                  <w:bCs/>
                                </w:rPr>
                                <w:t>称料</w:t>
                              </w:r>
                            </w:p>
                          </w:txbxContent>
                        </wps:txbx>
                        <wps:bodyPr rot="0" vert="horz" wrap="square" lIns="91440" tIns="45720" rIns="91440" bIns="45720" anchor="t" anchorCtr="0" upright="1">
                          <a:noAutofit/>
                        </wps:bodyPr>
                      </wps:wsp>
                      <wps:wsp>
                        <wps:cNvPr id="17" name="AutoShape 8"/>
                        <wps:cNvCnPr>
                          <a:cxnSpLocks noChangeShapeType="1"/>
                        </wps:cNvCnPr>
                        <wps:spPr bwMode="auto">
                          <a:xfrm>
                            <a:off x="2751455" y="1376634"/>
                            <a:ext cx="1270" cy="314960"/>
                          </a:xfrm>
                          <a:prstGeom prst="straightConnector1">
                            <a:avLst/>
                          </a:prstGeom>
                          <a:noFill/>
                          <a:ln w="9525">
                            <a:solidFill>
                              <a:srgbClr val="000000"/>
                            </a:solidFill>
                            <a:round/>
                            <a:tailEnd type="triangle" w="med" len="med"/>
                          </a:ln>
                        </wps:spPr>
                        <wps:bodyPr/>
                      </wps:wsp>
                      <wps:wsp>
                        <wps:cNvPr id="18" name="Text Box 9"/>
                        <wps:cNvSpPr txBox="1">
                          <a:spLocks noChangeArrowheads="1"/>
                        </wps:cNvSpPr>
                        <wps:spPr bwMode="auto">
                          <a:xfrm>
                            <a:off x="2184400" y="1691594"/>
                            <a:ext cx="1108710" cy="329565"/>
                          </a:xfrm>
                          <a:prstGeom prst="rect">
                            <a:avLst/>
                          </a:prstGeom>
                          <a:solidFill>
                            <a:srgbClr val="FFFFFF"/>
                          </a:solidFill>
                          <a:ln w="9525">
                            <a:solidFill>
                              <a:srgbClr val="000000"/>
                            </a:solidFill>
                            <a:miter lim="800000"/>
                          </a:ln>
                        </wps:spPr>
                        <wps:txbx>
                          <w:txbxContent>
                            <w:p w14:paraId="22656A00">
                              <w:pPr>
                                <w:jc w:val="center"/>
                                <w:rPr>
                                  <w:rFonts w:ascii="宋体" w:hAnsi="宋体"/>
                                  <w:b w:val="0"/>
                                  <w:bCs/>
                                </w:rPr>
                              </w:pPr>
                              <w:r>
                                <w:rPr>
                                  <w:rFonts w:hint="eastAsia" w:ascii="宋体" w:hAnsi="宋体"/>
                                  <w:b w:val="0"/>
                                  <w:bCs/>
                                </w:rPr>
                                <w:t>机械药混合</w:t>
                              </w:r>
                            </w:p>
                          </w:txbxContent>
                        </wps:txbx>
                        <wps:bodyPr rot="0" vert="horz" wrap="square" lIns="91440" tIns="45720" rIns="91440" bIns="45720" anchor="t" anchorCtr="0" upright="1">
                          <a:noAutofit/>
                        </wps:bodyPr>
                      </wps:wsp>
                      <wps:wsp>
                        <wps:cNvPr id="19" name="AutoShape 10"/>
                        <wps:cNvCnPr>
                          <a:cxnSpLocks noChangeShapeType="1"/>
                        </wps:cNvCnPr>
                        <wps:spPr bwMode="auto">
                          <a:xfrm>
                            <a:off x="2759710" y="2021159"/>
                            <a:ext cx="1270" cy="314960"/>
                          </a:xfrm>
                          <a:prstGeom prst="straightConnector1">
                            <a:avLst/>
                          </a:prstGeom>
                          <a:noFill/>
                          <a:ln w="9525">
                            <a:solidFill>
                              <a:srgbClr val="000000"/>
                            </a:solidFill>
                            <a:round/>
                            <a:tailEnd type="triangle" w="med" len="med"/>
                          </a:ln>
                        </wps:spPr>
                        <wps:bodyPr/>
                      </wps:wsp>
                      <wps:wsp>
                        <wps:cNvPr id="20" name="Text Box 11"/>
                        <wps:cNvSpPr txBox="1">
                          <a:spLocks noChangeArrowheads="1"/>
                        </wps:cNvSpPr>
                        <wps:spPr bwMode="auto">
                          <a:xfrm>
                            <a:off x="2192655" y="2336119"/>
                            <a:ext cx="1108710" cy="329565"/>
                          </a:xfrm>
                          <a:prstGeom prst="rect">
                            <a:avLst/>
                          </a:prstGeom>
                          <a:solidFill>
                            <a:srgbClr val="FFFFFF"/>
                          </a:solidFill>
                          <a:ln w="9525">
                            <a:solidFill>
                              <a:srgbClr val="000000"/>
                            </a:solidFill>
                            <a:miter lim="800000"/>
                          </a:ln>
                        </wps:spPr>
                        <wps:txbx>
                          <w:txbxContent>
                            <w:p w14:paraId="2D608A97">
                              <w:pPr>
                                <w:jc w:val="center"/>
                                <w:rPr>
                                  <w:rFonts w:ascii="宋体" w:hAnsi="宋体"/>
                                  <w:b w:val="0"/>
                                  <w:bCs/>
                                </w:rPr>
                              </w:pPr>
                              <w:r>
                                <w:rPr>
                                  <w:rFonts w:hint="eastAsia" w:ascii="宋体" w:hAnsi="宋体"/>
                                  <w:b w:val="0"/>
                                  <w:bCs/>
                                </w:rPr>
                                <w:t>药物中转</w:t>
                              </w:r>
                            </w:p>
                          </w:txbxContent>
                        </wps:txbx>
                        <wps:bodyPr rot="0" vert="horz" wrap="square" lIns="91440" tIns="45720" rIns="91440" bIns="45720" anchor="t" anchorCtr="0" upright="1">
                          <a:noAutofit/>
                        </wps:bodyPr>
                      </wps:wsp>
                      <wps:wsp>
                        <wps:cNvPr id="21" name="AutoShape 12"/>
                        <wps:cNvCnPr>
                          <a:cxnSpLocks noChangeShapeType="1"/>
                        </wps:cNvCnPr>
                        <wps:spPr bwMode="auto">
                          <a:xfrm>
                            <a:off x="2759710" y="2665684"/>
                            <a:ext cx="1270" cy="314960"/>
                          </a:xfrm>
                          <a:prstGeom prst="straightConnector1">
                            <a:avLst/>
                          </a:prstGeom>
                          <a:noFill/>
                          <a:ln w="9525">
                            <a:solidFill>
                              <a:srgbClr val="000000"/>
                            </a:solidFill>
                            <a:round/>
                            <a:tailEnd type="triangle" w="med" len="med"/>
                          </a:ln>
                        </wps:spPr>
                        <wps:bodyPr/>
                      </wps:wsp>
                      <wps:wsp>
                        <wps:cNvPr id="22" name="Text Box 13"/>
                        <wps:cNvSpPr txBox="1">
                          <a:spLocks noChangeArrowheads="1"/>
                        </wps:cNvSpPr>
                        <wps:spPr bwMode="auto">
                          <a:xfrm>
                            <a:off x="2192655" y="2980644"/>
                            <a:ext cx="1108710" cy="329565"/>
                          </a:xfrm>
                          <a:prstGeom prst="rect">
                            <a:avLst/>
                          </a:prstGeom>
                          <a:solidFill>
                            <a:srgbClr val="FFFFFF"/>
                          </a:solidFill>
                          <a:ln w="9525">
                            <a:solidFill>
                              <a:srgbClr val="000000"/>
                            </a:solidFill>
                            <a:miter lim="800000"/>
                          </a:ln>
                        </wps:spPr>
                        <wps:txbx>
                          <w:txbxContent>
                            <w:p w14:paraId="04E39283">
                              <w:pPr>
                                <w:jc w:val="center"/>
                                <w:rPr>
                                  <w:rFonts w:ascii="宋体" w:hAnsi="宋体"/>
                                  <w:b w:val="0"/>
                                  <w:bCs/>
                                </w:rPr>
                              </w:pPr>
                              <w:r>
                                <w:rPr>
                                  <w:rFonts w:hint="eastAsia" w:ascii="宋体" w:hAnsi="宋体"/>
                                  <w:b w:val="0"/>
                                  <w:bCs/>
                                </w:rPr>
                                <w:t>筑药</w:t>
                              </w:r>
                            </w:p>
                          </w:txbxContent>
                        </wps:txbx>
                        <wps:bodyPr rot="0" vert="horz" wrap="square" lIns="91440" tIns="45720" rIns="91440" bIns="45720" anchor="t" anchorCtr="0" upright="1">
                          <a:noAutofit/>
                        </wps:bodyPr>
                      </wps:wsp>
                      <wps:wsp>
                        <wps:cNvPr id="23" name="Text Box 14"/>
                        <wps:cNvSpPr txBox="1">
                          <a:spLocks noChangeArrowheads="1"/>
                        </wps:cNvSpPr>
                        <wps:spPr bwMode="auto">
                          <a:xfrm>
                            <a:off x="628650" y="1040719"/>
                            <a:ext cx="1108710" cy="329565"/>
                          </a:xfrm>
                          <a:prstGeom prst="rect">
                            <a:avLst/>
                          </a:prstGeom>
                          <a:solidFill>
                            <a:srgbClr val="FFFFFF"/>
                          </a:solidFill>
                          <a:ln w="9525">
                            <a:solidFill>
                              <a:srgbClr val="000000"/>
                            </a:solidFill>
                            <a:miter lim="800000"/>
                          </a:ln>
                        </wps:spPr>
                        <wps:txbx>
                          <w:txbxContent>
                            <w:p w14:paraId="27D433FE">
                              <w:pPr>
                                <w:jc w:val="center"/>
                                <w:rPr>
                                  <w:rFonts w:ascii="宋体" w:hAnsi="宋体"/>
                                  <w:b w:val="0"/>
                                  <w:bCs/>
                                </w:rPr>
                              </w:pPr>
                              <w:r>
                                <w:rPr>
                                  <w:rFonts w:hint="eastAsia" w:ascii="宋体" w:hAnsi="宋体"/>
                                  <w:b w:val="0"/>
                                  <w:bCs/>
                                </w:rPr>
                                <w:t>黑火药、亮珠</w:t>
                              </w:r>
                            </w:p>
                          </w:txbxContent>
                        </wps:txbx>
                        <wps:bodyPr rot="0" vert="horz" wrap="square" lIns="91440" tIns="45720" rIns="91440" bIns="45720" anchor="t" anchorCtr="0" upright="1">
                          <a:noAutofit/>
                        </wps:bodyPr>
                      </wps:wsp>
                      <wps:wsp>
                        <wps:cNvPr id="24" name="AutoShape 15"/>
                        <wps:cNvCnPr>
                          <a:cxnSpLocks noChangeShapeType="1"/>
                          <a:endCxn id="16" idx="1"/>
                        </wps:cNvCnPr>
                        <wps:spPr bwMode="auto">
                          <a:xfrm>
                            <a:off x="1754505" y="1205819"/>
                            <a:ext cx="421640" cy="6350"/>
                          </a:xfrm>
                          <a:prstGeom prst="straightConnector1">
                            <a:avLst/>
                          </a:prstGeom>
                          <a:noFill/>
                          <a:ln w="9525">
                            <a:solidFill>
                              <a:srgbClr val="000000"/>
                            </a:solidFill>
                            <a:round/>
                            <a:tailEnd type="triangle" w="med" len="med"/>
                          </a:ln>
                        </wps:spPr>
                        <wps:bodyPr/>
                      </wps:wsp>
                      <wps:wsp>
                        <wps:cNvPr id="25" name="Text Box 16"/>
                        <wps:cNvSpPr txBox="1">
                          <a:spLocks noChangeArrowheads="1"/>
                        </wps:cNvSpPr>
                        <wps:spPr bwMode="auto">
                          <a:xfrm>
                            <a:off x="3780155" y="1040719"/>
                            <a:ext cx="1108710" cy="329565"/>
                          </a:xfrm>
                          <a:prstGeom prst="rect">
                            <a:avLst/>
                          </a:prstGeom>
                          <a:solidFill>
                            <a:srgbClr val="FFFFFF"/>
                          </a:solidFill>
                          <a:ln w="9525">
                            <a:solidFill>
                              <a:srgbClr val="000000"/>
                            </a:solidFill>
                            <a:miter lim="800000"/>
                          </a:ln>
                        </wps:spPr>
                        <wps:txbx>
                          <w:txbxContent>
                            <w:p w14:paraId="5EAF115D">
                              <w:pPr>
                                <w:jc w:val="center"/>
                                <w:rPr>
                                  <w:rFonts w:ascii="宋体" w:hAnsi="宋体"/>
                                  <w:b w:val="0"/>
                                  <w:bCs/>
                                </w:rPr>
                              </w:pPr>
                              <w:r>
                                <w:rPr>
                                  <w:rFonts w:hint="eastAsia" w:ascii="宋体" w:hAnsi="宋体"/>
                                  <w:b w:val="0"/>
                                  <w:bCs/>
                                </w:rPr>
                                <w:t>中转</w:t>
                              </w:r>
                            </w:p>
                          </w:txbxContent>
                        </wps:txbx>
                        <wps:bodyPr rot="0" vert="horz" wrap="square" lIns="91440" tIns="45720" rIns="91440" bIns="45720" anchor="t" anchorCtr="0" upright="1">
                          <a:noAutofit/>
                        </wps:bodyPr>
                      </wps:wsp>
                      <wps:wsp>
                        <wps:cNvPr id="26" name="Text Box 17"/>
                        <wps:cNvSpPr txBox="1">
                          <a:spLocks noChangeArrowheads="1"/>
                        </wps:cNvSpPr>
                        <wps:spPr bwMode="auto">
                          <a:xfrm>
                            <a:off x="3802380" y="2336119"/>
                            <a:ext cx="1108710" cy="329565"/>
                          </a:xfrm>
                          <a:prstGeom prst="rect">
                            <a:avLst/>
                          </a:prstGeom>
                          <a:solidFill>
                            <a:srgbClr val="FFFFFF"/>
                          </a:solidFill>
                          <a:ln w="9525">
                            <a:solidFill>
                              <a:srgbClr val="000000"/>
                            </a:solidFill>
                            <a:miter lim="800000"/>
                          </a:ln>
                        </wps:spPr>
                        <wps:txbx>
                          <w:txbxContent>
                            <w:p w14:paraId="245BC23E">
                              <w:pPr>
                                <w:jc w:val="center"/>
                                <w:rPr>
                                  <w:rFonts w:ascii="宋体" w:hAnsi="宋体"/>
                                  <w:b w:val="0"/>
                                  <w:bCs/>
                                </w:rPr>
                              </w:pPr>
                              <w:r>
                                <w:rPr>
                                  <w:rFonts w:hint="eastAsia" w:ascii="宋体" w:hAnsi="宋体"/>
                                  <w:b w:val="0"/>
                                  <w:bCs/>
                                </w:rPr>
                                <w:t>干燥/晾晒</w:t>
                              </w:r>
                            </w:p>
                          </w:txbxContent>
                        </wps:txbx>
                        <wps:bodyPr rot="0" vert="horz" wrap="square" lIns="91440" tIns="45720" rIns="91440" bIns="45720" anchor="t" anchorCtr="0" upright="1">
                          <a:noAutofit/>
                        </wps:bodyPr>
                      </wps:wsp>
                      <wps:wsp>
                        <wps:cNvPr id="27" name="Text Box 18"/>
                        <wps:cNvSpPr txBox="1">
                          <a:spLocks noChangeArrowheads="1"/>
                        </wps:cNvSpPr>
                        <wps:spPr bwMode="auto">
                          <a:xfrm>
                            <a:off x="3802380" y="2983819"/>
                            <a:ext cx="1108710" cy="329565"/>
                          </a:xfrm>
                          <a:prstGeom prst="rect">
                            <a:avLst/>
                          </a:prstGeom>
                          <a:solidFill>
                            <a:srgbClr val="FFFFFF"/>
                          </a:solidFill>
                          <a:ln w="9525">
                            <a:solidFill>
                              <a:srgbClr val="000000"/>
                            </a:solidFill>
                            <a:miter lim="800000"/>
                          </a:ln>
                        </wps:spPr>
                        <wps:txbx>
                          <w:txbxContent>
                            <w:p w14:paraId="74094DA9">
                              <w:pPr>
                                <w:jc w:val="center"/>
                                <w:rPr>
                                  <w:rFonts w:ascii="宋体" w:hAnsi="宋体"/>
                                  <w:b w:val="0"/>
                                  <w:bCs/>
                                </w:rPr>
                              </w:pPr>
                              <w:r>
                                <w:rPr>
                                  <w:rFonts w:hint="eastAsia" w:ascii="宋体" w:hAnsi="宋体"/>
                                  <w:b w:val="0"/>
                                  <w:bCs/>
                                </w:rPr>
                                <w:t>单基火药（湿）</w:t>
                              </w:r>
                            </w:p>
                          </w:txbxContent>
                        </wps:txbx>
                        <wps:bodyPr rot="0" vert="horz" wrap="square" lIns="91440" tIns="45720" rIns="91440" bIns="45720" anchor="t" anchorCtr="0" upright="1">
                          <a:noAutofit/>
                        </wps:bodyPr>
                      </wps:wsp>
                      <wps:wsp>
                        <wps:cNvPr id="28" name="Text Box 19"/>
                        <wps:cNvSpPr txBox="1">
                          <a:spLocks noChangeArrowheads="1"/>
                        </wps:cNvSpPr>
                        <wps:spPr bwMode="auto">
                          <a:xfrm>
                            <a:off x="2199640" y="3634694"/>
                            <a:ext cx="1108710" cy="329565"/>
                          </a:xfrm>
                          <a:prstGeom prst="rect">
                            <a:avLst/>
                          </a:prstGeom>
                          <a:solidFill>
                            <a:srgbClr val="FFFFFF"/>
                          </a:solidFill>
                          <a:ln w="9525">
                            <a:solidFill>
                              <a:srgbClr val="000000"/>
                            </a:solidFill>
                            <a:miter lim="800000"/>
                          </a:ln>
                        </wps:spPr>
                        <wps:txbx>
                          <w:txbxContent>
                            <w:p w14:paraId="74ADA466">
                              <w:pPr>
                                <w:jc w:val="center"/>
                                <w:rPr>
                                  <w:rFonts w:ascii="宋体" w:hAnsi="宋体"/>
                                  <w:b w:val="0"/>
                                  <w:bCs/>
                                </w:rPr>
                              </w:pPr>
                              <w:r>
                                <w:rPr>
                                  <w:rFonts w:hint="eastAsia" w:ascii="宋体" w:hAnsi="宋体"/>
                                  <w:b w:val="0"/>
                                  <w:bCs/>
                                </w:rPr>
                                <w:t>半成品中转</w:t>
                              </w:r>
                            </w:p>
                          </w:txbxContent>
                        </wps:txbx>
                        <wps:bodyPr rot="0" vert="horz" wrap="square" lIns="91440" tIns="45720" rIns="91440" bIns="45720" anchor="t" anchorCtr="0" upright="1">
                          <a:noAutofit/>
                        </wps:bodyPr>
                      </wps:wsp>
                      <wps:wsp>
                        <wps:cNvPr id="29" name="AutoShape 20"/>
                        <wps:cNvCnPr>
                          <a:cxnSpLocks noChangeShapeType="1"/>
                        </wps:cNvCnPr>
                        <wps:spPr bwMode="auto">
                          <a:xfrm>
                            <a:off x="2760980" y="3310209"/>
                            <a:ext cx="1270" cy="314960"/>
                          </a:xfrm>
                          <a:prstGeom prst="straightConnector1">
                            <a:avLst/>
                          </a:prstGeom>
                          <a:noFill/>
                          <a:ln w="9525">
                            <a:solidFill>
                              <a:srgbClr val="000000"/>
                            </a:solidFill>
                            <a:round/>
                            <a:tailEnd type="triangle" w="med" len="med"/>
                          </a:ln>
                        </wps:spPr>
                        <wps:bodyPr/>
                      </wps:wsp>
                      <wps:wsp>
                        <wps:cNvPr id="31" name="AutoShape 22"/>
                        <wps:cNvCnPr>
                          <a:cxnSpLocks noChangeShapeType="1"/>
                        </wps:cNvCnPr>
                        <wps:spPr bwMode="auto">
                          <a:xfrm>
                            <a:off x="2782570" y="3962989"/>
                            <a:ext cx="1270" cy="314960"/>
                          </a:xfrm>
                          <a:prstGeom prst="straightConnector1">
                            <a:avLst/>
                          </a:prstGeom>
                          <a:noFill/>
                          <a:ln w="9525">
                            <a:solidFill>
                              <a:srgbClr val="000000"/>
                            </a:solidFill>
                            <a:round/>
                            <a:tailEnd type="triangle" w="med" len="med"/>
                          </a:ln>
                        </wps:spPr>
                        <wps:bodyPr/>
                      </wps:wsp>
                      <wps:wsp>
                        <wps:cNvPr id="32" name="Text Box 23"/>
                        <wps:cNvSpPr txBox="1">
                          <a:spLocks noChangeArrowheads="1"/>
                        </wps:cNvSpPr>
                        <wps:spPr bwMode="auto">
                          <a:xfrm>
                            <a:off x="582930" y="4287520"/>
                            <a:ext cx="1108710" cy="329565"/>
                          </a:xfrm>
                          <a:prstGeom prst="rect">
                            <a:avLst/>
                          </a:prstGeom>
                          <a:solidFill>
                            <a:srgbClr val="FFFFFF"/>
                          </a:solidFill>
                          <a:ln w="9525">
                            <a:solidFill>
                              <a:srgbClr val="000000"/>
                            </a:solidFill>
                            <a:miter lim="800000"/>
                          </a:ln>
                        </wps:spPr>
                        <wps:txbx>
                          <w:txbxContent>
                            <w:p w14:paraId="5ABFE7E1">
                              <w:pPr>
                                <w:jc w:val="center"/>
                                <w:rPr>
                                  <w:rFonts w:ascii="宋体" w:hAnsi="宋体"/>
                                  <w:b w:val="0"/>
                                  <w:bCs/>
                                </w:rPr>
                              </w:pPr>
                              <w:r>
                                <w:rPr>
                                  <w:rFonts w:hint="eastAsia" w:ascii="宋体" w:hAnsi="宋体"/>
                                  <w:b w:val="0"/>
                                  <w:bCs/>
                                </w:rPr>
                                <w:t>引火线</w:t>
                              </w:r>
                            </w:p>
                          </w:txbxContent>
                        </wps:txbx>
                        <wps:bodyPr rot="0" vert="horz" wrap="square" lIns="91440" tIns="45720" rIns="91440" bIns="45720" anchor="t" anchorCtr="0" upright="1">
                          <a:noAutofit/>
                        </wps:bodyPr>
                      </wps:wsp>
                      <wps:wsp>
                        <wps:cNvPr id="33" name="AutoShape 24"/>
                        <wps:cNvCnPr>
                          <a:cxnSpLocks noChangeShapeType="1"/>
                        </wps:cNvCnPr>
                        <wps:spPr bwMode="auto">
                          <a:xfrm flipH="1">
                            <a:off x="3382645" y="4443730"/>
                            <a:ext cx="503555" cy="10160"/>
                          </a:xfrm>
                          <a:prstGeom prst="straightConnector1">
                            <a:avLst/>
                          </a:prstGeom>
                          <a:noFill/>
                          <a:ln w="9525">
                            <a:solidFill>
                              <a:srgbClr val="000000"/>
                            </a:solidFill>
                            <a:round/>
                            <a:tailEnd type="triangle" w="med" len="med"/>
                          </a:ln>
                        </wps:spPr>
                        <wps:bodyPr/>
                      </wps:wsp>
                      <wps:wsp>
                        <wps:cNvPr id="36" name="Text Box 27"/>
                        <wps:cNvSpPr txBox="1">
                          <a:spLocks noChangeArrowheads="1"/>
                        </wps:cNvSpPr>
                        <wps:spPr bwMode="auto">
                          <a:xfrm>
                            <a:off x="2167890" y="4281805"/>
                            <a:ext cx="1203325" cy="329565"/>
                          </a:xfrm>
                          <a:prstGeom prst="rect">
                            <a:avLst/>
                          </a:prstGeom>
                          <a:solidFill>
                            <a:srgbClr val="FFFFFF"/>
                          </a:solidFill>
                          <a:ln w="9525">
                            <a:solidFill>
                              <a:srgbClr val="000000"/>
                            </a:solidFill>
                            <a:miter lim="800000"/>
                          </a:ln>
                        </wps:spPr>
                        <wps:txbx>
                          <w:txbxContent>
                            <w:p w14:paraId="6A3F8DEA">
                              <w:pPr>
                                <w:jc w:val="center"/>
                                <w:rPr>
                                  <w:rFonts w:ascii="宋体" w:hAnsi="宋体"/>
                                  <w:b w:val="0"/>
                                  <w:bCs/>
                                </w:rPr>
                              </w:pPr>
                              <w:r>
                                <w:rPr>
                                  <w:rFonts w:hint="eastAsia" w:ascii="宋体" w:hAnsi="宋体"/>
                                  <w:b w:val="0"/>
                                  <w:bCs/>
                                </w:rPr>
                                <w:t>安引/组装/包装</w:t>
                              </w:r>
                            </w:p>
                          </w:txbxContent>
                        </wps:txbx>
                        <wps:bodyPr rot="0" vert="horz" wrap="square" lIns="91440" tIns="45720" rIns="91440" bIns="45720" anchor="t" anchorCtr="0" upright="1">
                          <a:noAutofit/>
                        </wps:bodyPr>
                      </wps:wsp>
                      <wps:wsp>
                        <wps:cNvPr id="38" name="Text Box 29"/>
                        <wps:cNvSpPr txBox="1">
                          <a:spLocks noChangeArrowheads="1"/>
                        </wps:cNvSpPr>
                        <wps:spPr bwMode="auto">
                          <a:xfrm>
                            <a:off x="2216150" y="4916170"/>
                            <a:ext cx="1108710" cy="329565"/>
                          </a:xfrm>
                          <a:prstGeom prst="rect">
                            <a:avLst/>
                          </a:prstGeom>
                          <a:solidFill>
                            <a:srgbClr val="FFFFFF"/>
                          </a:solidFill>
                          <a:ln w="9525">
                            <a:solidFill>
                              <a:srgbClr val="000000"/>
                            </a:solidFill>
                            <a:miter lim="800000"/>
                          </a:ln>
                        </wps:spPr>
                        <wps:txbx>
                          <w:txbxContent>
                            <w:p w14:paraId="41EBC886">
                              <w:pPr>
                                <w:jc w:val="center"/>
                                <w:rPr>
                                  <w:rFonts w:ascii="宋体" w:hAnsi="宋体"/>
                                  <w:b w:val="0"/>
                                  <w:bCs/>
                                </w:rPr>
                              </w:pPr>
                              <w:r>
                                <w:rPr>
                                  <w:rFonts w:hint="eastAsia" w:ascii="宋体" w:hAnsi="宋体"/>
                                  <w:b w:val="0"/>
                                  <w:bCs/>
                                </w:rPr>
                                <w:t>储存</w:t>
                              </w:r>
                            </w:p>
                          </w:txbxContent>
                        </wps:txbx>
                        <wps:bodyPr rot="0" vert="horz" wrap="square" lIns="91440" tIns="45720" rIns="91440" bIns="45720" anchor="t" anchorCtr="0" upright="1">
                          <a:noAutofit/>
                        </wps:bodyPr>
                      </wps:wsp>
                      <wps:wsp>
                        <wps:cNvPr id="39" name="AutoShape 30"/>
                        <wps:cNvCnPr>
                          <a:cxnSpLocks noChangeShapeType="1"/>
                        </wps:cNvCnPr>
                        <wps:spPr bwMode="auto">
                          <a:xfrm>
                            <a:off x="2777490" y="4600575"/>
                            <a:ext cx="1270" cy="314960"/>
                          </a:xfrm>
                          <a:prstGeom prst="straightConnector1">
                            <a:avLst/>
                          </a:prstGeom>
                          <a:noFill/>
                          <a:ln w="9525">
                            <a:solidFill>
                              <a:srgbClr val="000000"/>
                            </a:solidFill>
                            <a:round/>
                            <a:tailEnd type="triangle" w="med" len="med"/>
                          </a:ln>
                        </wps:spPr>
                        <wps:bodyPr/>
                      </wps:wsp>
                      <wps:wsp>
                        <wps:cNvPr id="40" name="AutoShape 31"/>
                        <wps:cNvCnPr>
                          <a:cxnSpLocks noChangeShapeType="1"/>
                        </wps:cNvCnPr>
                        <wps:spPr bwMode="auto">
                          <a:xfrm flipV="1">
                            <a:off x="4332605" y="1368379"/>
                            <a:ext cx="635" cy="321310"/>
                          </a:xfrm>
                          <a:prstGeom prst="straightConnector1">
                            <a:avLst/>
                          </a:prstGeom>
                          <a:noFill/>
                          <a:ln w="9525">
                            <a:solidFill>
                              <a:srgbClr val="000000"/>
                            </a:solidFill>
                            <a:round/>
                            <a:tailEnd type="triangle" w="med" len="med"/>
                          </a:ln>
                        </wps:spPr>
                        <wps:bodyPr/>
                      </wps:wsp>
                      <wps:wsp>
                        <wps:cNvPr id="41" name="AutoShape 32"/>
                        <wps:cNvCnPr>
                          <a:cxnSpLocks noChangeShapeType="1"/>
                          <a:endCxn id="16" idx="3"/>
                        </wps:cNvCnPr>
                        <wps:spPr bwMode="auto">
                          <a:xfrm flipH="1">
                            <a:off x="3284855" y="1205819"/>
                            <a:ext cx="483870" cy="6350"/>
                          </a:xfrm>
                          <a:prstGeom prst="straightConnector1">
                            <a:avLst/>
                          </a:prstGeom>
                          <a:noFill/>
                          <a:ln w="9525">
                            <a:solidFill>
                              <a:srgbClr val="000000"/>
                            </a:solidFill>
                            <a:round/>
                            <a:tailEnd type="triangle" w="med" len="med"/>
                          </a:ln>
                        </wps:spPr>
                        <wps:bodyPr/>
                      </wps:wsp>
                      <wps:wsp>
                        <wps:cNvPr id="42" name="Text Box 33"/>
                        <wps:cNvSpPr txBox="1">
                          <a:spLocks noChangeArrowheads="1"/>
                        </wps:cNvSpPr>
                        <wps:spPr bwMode="auto">
                          <a:xfrm>
                            <a:off x="3790315" y="1689689"/>
                            <a:ext cx="1108710" cy="329565"/>
                          </a:xfrm>
                          <a:prstGeom prst="rect">
                            <a:avLst/>
                          </a:prstGeom>
                          <a:solidFill>
                            <a:srgbClr val="FFFFFF"/>
                          </a:solidFill>
                          <a:ln w="9525">
                            <a:solidFill>
                              <a:srgbClr val="000000"/>
                            </a:solidFill>
                            <a:miter lim="800000"/>
                          </a:ln>
                        </wps:spPr>
                        <wps:txbx>
                          <w:txbxContent>
                            <w:p w14:paraId="7CC51010">
                              <w:pPr>
                                <w:jc w:val="center"/>
                                <w:rPr>
                                  <w:rFonts w:ascii="宋体" w:hAnsi="宋体"/>
                                  <w:b w:val="0"/>
                                  <w:bCs/>
                                </w:rPr>
                              </w:pPr>
                              <w:r>
                                <w:rPr>
                                  <w:rFonts w:hint="eastAsia" w:ascii="宋体" w:hAnsi="宋体"/>
                                  <w:b w:val="0"/>
                                  <w:bCs/>
                                </w:rPr>
                                <w:t>包装</w:t>
                              </w:r>
                            </w:p>
                          </w:txbxContent>
                        </wps:txbx>
                        <wps:bodyPr rot="0" vert="horz" wrap="square" lIns="91440" tIns="45720" rIns="91440" bIns="45720" anchor="t" anchorCtr="0" upright="1">
                          <a:noAutofit/>
                        </wps:bodyPr>
                      </wps:wsp>
                      <wps:wsp>
                        <wps:cNvPr id="43" name="AutoShape 34"/>
                        <wps:cNvCnPr>
                          <a:cxnSpLocks noChangeShapeType="1"/>
                        </wps:cNvCnPr>
                        <wps:spPr bwMode="auto">
                          <a:xfrm flipV="1">
                            <a:off x="4331970" y="2014809"/>
                            <a:ext cx="635" cy="321310"/>
                          </a:xfrm>
                          <a:prstGeom prst="straightConnector1">
                            <a:avLst/>
                          </a:prstGeom>
                          <a:noFill/>
                          <a:ln w="9525">
                            <a:solidFill>
                              <a:srgbClr val="000000"/>
                            </a:solidFill>
                            <a:round/>
                            <a:tailEnd type="triangle" w="med" len="med"/>
                          </a:ln>
                        </wps:spPr>
                        <wps:bodyPr/>
                      </wps:wsp>
                      <wps:wsp>
                        <wps:cNvPr id="44" name="AutoShape 35"/>
                        <wps:cNvCnPr>
                          <a:cxnSpLocks noChangeShapeType="1"/>
                        </wps:cNvCnPr>
                        <wps:spPr bwMode="auto">
                          <a:xfrm flipV="1">
                            <a:off x="4331970" y="2659334"/>
                            <a:ext cx="635" cy="321310"/>
                          </a:xfrm>
                          <a:prstGeom prst="straightConnector1">
                            <a:avLst/>
                          </a:prstGeom>
                          <a:noFill/>
                          <a:ln w="9525">
                            <a:solidFill>
                              <a:srgbClr val="000000"/>
                            </a:solidFill>
                            <a:round/>
                            <a:tailEnd type="triangle" w="med" len="med"/>
                          </a:ln>
                        </wps:spPr>
                        <wps:bodyPr/>
                      </wps:wsp>
                      <wps:wsp>
                        <wps:cNvPr id="12" name="Text Box 23"/>
                        <wps:cNvSpPr txBox="1">
                          <a:spLocks noChangeArrowheads="1"/>
                        </wps:cNvSpPr>
                        <wps:spPr bwMode="auto">
                          <a:xfrm>
                            <a:off x="3869055" y="4270375"/>
                            <a:ext cx="1108710" cy="329565"/>
                          </a:xfrm>
                          <a:prstGeom prst="rect">
                            <a:avLst/>
                          </a:prstGeom>
                          <a:solidFill>
                            <a:srgbClr val="FFFFFF"/>
                          </a:solidFill>
                          <a:ln w="9525">
                            <a:solidFill>
                              <a:srgbClr val="000000"/>
                            </a:solidFill>
                            <a:miter lim="800000"/>
                          </a:ln>
                        </wps:spPr>
                        <wps:txbx>
                          <w:txbxContent>
                            <w:p w14:paraId="31971BDC">
                              <w:pPr>
                                <w:jc w:val="center"/>
                                <w:rPr>
                                  <w:rFonts w:ascii="宋体" w:hAnsi="宋体"/>
                                  <w:b w:val="0"/>
                                  <w:bCs/>
                                </w:rPr>
                              </w:pPr>
                              <w:r>
                                <w:rPr>
                                  <w:rFonts w:hint="eastAsia" w:ascii="宋体" w:hAnsi="宋体"/>
                                  <w:b w:val="0"/>
                                  <w:bCs/>
                                </w:rPr>
                                <w:t>包装材料</w:t>
                              </w:r>
                            </w:p>
                          </w:txbxContent>
                        </wps:txbx>
                        <wps:bodyPr rot="0" vert="horz" wrap="square" lIns="91440" tIns="45720" rIns="91440" bIns="45720" anchor="t" anchorCtr="0" upright="1">
                          <a:noAutofit/>
                        </wps:bodyPr>
                      </wps:wsp>
                      <wps:wsp>
                        <wps:cNvPr id="35" name="AutoShape 24"/>
                        <wps:cNvCnPr>
                          <a:cxnSpLocks noChangeShapeType="1"/>
                        </wps:cNvCnPr>
                        <wps:spPr bwMode="auto">
                          <a:xfrm flipV="1">
                            <a:off x="1699895" y="4446905"/>
                            <a:ext cx="412115" cy="5715"/>
                          </a:xfrm>
                          <a:prstGeom prst="straightConnector1">
                            <a:avLst/>
                          </a:prstGeom>
                          <a:noFill/>
                          <a:ln w="9525">
                            <a:solidFill>
                              <a:srgbClr val="000000"/>
                            </a:solidFill>
                            <a:round/>
                            <a:tailEnd type="triangle" w="med" len="med"/>
                          </a:ln>
                        </wps:spPr>
                        <wps:bodyPr/>
                      </wps:wsp>
                    </wpc:wpc>
                  </a:graphicData>
                </a:graphic>
              </wp:inline>
            </w:drawing>
          </mc:Choice>
          <mc:Fallback>
            <w:pict>
              <v:group id="_x0000_s1026" o:spid="_x0000_s1026" o:spt="203" style="height:425.75pt;width:415.3pt;" coordsize="5274310,5407025" editas="canvas" o:gfxdata="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CaoHxA1wAAAAUBAAAPAAAAAAAAAAEAIAAAACIAAABkcnMvZG93bnJldi54&#10;bWxQSwECFAAUAAAACACHTuJAx8zxY+EGAAAeSQAADgAAAAAAAAABACAAAAAmAQAAZHJzL2Uyb0Rv&#10;Yy54bWxQSwUGAAAAAAYABgBZAQAAeQoAAAAA&#10;">
                <o:lock v:ext="edit" aspectratio="f"/>
                <v:shape id="_x0000_s1026" o:spid="_x0000_s1026" style="position:absolute;left:0;top:0;height:5407025;width:5274310;" filled="f" stroked="f" coordsize="21600,21600" o:gfxdata="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">
                  <v:fill on="f" focussize="0,0"/>
                  <v:stroke on="f"/>
                  <v:imagedata o:title=""/>
                  <o:lock v:ext="edit" aspectratio="t"/>
                </v:shape>
                <v:shape id="Text Box 5" o:spid="_x0000_s1026" o:spt="202" type="#_x0000_t202" style="position:absolute;left:2176145;top:403179;height:329565;width:1108710;" fillcolor="#FFFFFF" filled="t" stroked="t" coordsize="21600,21600" o:gfxdata="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xUxZP9UAAAAFAQAADwAAAAAAAAABACAAAAAiAAAAZHJzL2Rv&#10;d25yZXYueG1sUEsBAhQAFAAAAAgAh07iQD3P+Zg9AgAAkgQAAA4AAAAAAAAAAQAgAAAAJAEAAGRy&#10;cy9lMm9Eb2MueG1sUEsFBgAAAAAGAAYAWQEAANMFAAAAAA==&#10;">
                  <v:fill on="t" focussize="0,0"/>
                  <v:stroke color="#000000" miterlimit="8" joinstyle="miter"/>
                  <v:imagedata o:title=""/>
                  <o:lock v:ext="edit" aspectratio="f"/>
                  <v:textbox>
                    <w:txbxContent>
                      <w:p w14:paraId="0DEE0507">
                        <w:pPr>
                          <w:jc w:val="center"/>
                          <w:rPr>
                            <w:rFonts w:ascii="宋体" w:hAnsi="宋体"/>
                            <w:b w:val="0"/>
                            <w:bCs/>
                          </w:rPr>
                        </w:pPr>
                        <w:r>
                          <w:rPr>
                            <w:rFonts w:hint="eastAsia" w:ascii="宋体" w:hAnsi="宋体"/>
                            <w:b w:val="0"/>
                            <w:bCs/>
                          </w:rPr>
                          <w:t>原材料准备</w:t>
                        </w:r>
                      </w:p>
                    </w:txbxContent>
                  </v:textbox>
                </v:shape>
                <v:shape id="AutoShape 6" o:spid="_x0000_s1026" o:spt="32" type="#_x0000_t32" style="position:absolute;left:2743200;top:732744;height:314325;width:1270;" filled="f" stroked="t" coordsize="21600,21600" o:gfxdata="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O28myXWAAAABQEAAA8AAAAAAAAAAQAgAAAAIgAAAGRycy9kb3ducmV2Lnht&#10;bFBLAQIUABQAAAAIAIdO4kAqiM1B+wEAAO4DAAAOAAAAAAAAAAEAIAAAACUBAABkcnMvZTJvRG9j&#10;LnhtbFBLBQYAAAAABgAGAFkBAACSBQAAAAA=&#10;">
                  <v:fill on="f" focussize="0,0"/>
                  <v:stroke color="#000000" joinstyle="round" endarrow="block"/>
                  <v:imagedata o:title=""/>
                  <o:lock v:ext="edit" aspectratio="f"/>
                </v:shape>
                <v:shape id="Text Box 7" o:spid="_x0000_s1026" o:spt="202" type="#_x0000_t202" style="position:absolute;left:2176145;top:1047069;height:329565;width:1108710;" fillcolor="#FFFFFF" filled="t" stroked="t" coordsize="21600,21600" o:gfxdata="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xUxZP9UAAAAFAQAADwAAAAAAAAABACAAAAAiAAAAZHJzL2Rv&#10;d25yZXYueG1sUEsBAhQAFAAAAAgAh07iQM0dpjo9AgAAkwQAAA4AAAAAAAAAAQAgAAAAJAEAAGRy&#10;cy9lMm9Eb2MueG1sUEsFBgAAAAAGAAYAWQEAANMFAAAAAA==&#10;">
                  <v:fill on="t" focussize="0,0"/>
                  <v:stroke color="#000000" miterlimit="8" joinstyle="miter"/>
                  <v:imagedata o:title=""/>
                  <o:lock v:ext="edit" aspectratio="f"/>
                  <v:textbox>
                    <w:txbxContent>
                      <w:p w14:paraId="7E89172D">
                        <w:pPr>
                          <w:jc w:val="center"/>
                          <w:rPr>
                            <w:rFonts w:ascii="宋体" w:hAnsi="宋体"/>
                            <w:b w:val="0"/>
                            <w:bCs/>
                          </w:rPr>
                        </w:pPr>
                        <w:r>
                          <w:rPr>
                            <w:rFonts w:hint="eastAsia" w:ascii="宋体" w:hAnsi="宋体"/>
                            <w:b w:val="0"/>
                            <w:bCs/>
                          </w:rPr>
                          <w:t>称料</w:t>
                        </w:r>
                      </w:p>
                    </w:txbxContent>
                  </v:textbox>
                </v:shape>
                <v:shape id="AutoShape 8" o:spid="_x0000_s1026" o:spt="32" type="#_x0000_t32" style="position:absolute;left:2751455;top:1376634;height:314960;width:1270;" filled="f" stroked="t" coordsize="21600,21600" o:gfxdata="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tvJsl1gAAAAUBAAAPAAAAAAAAAAEAIAAAACIAAABkcnMvZG93&#10;bnJldi54bWxQSwECFAAUAAAACACHTuJANLfMVwICAADvAwAADgAAAAAAAAABACAAAAAlAQAAZHJz&#10;L2Uyb0RvYy54bWxQSwUGAAAAAAYABgBZAQAAmQUAAAAA&#10;">
                  <v:fill on="f" focussize="0,0"/>
                  <v:stroke color="#000000" joinstyle="round" endarrow="block"/>
                  <v:imagedata o:title=""/>
                  <o:lock v:ext="edit" aspectratio="f"/>
                </v:shape>
                <v:shape id="Text Box 9" o:spid="_x0000_s1026" o:spt="202" type="#_x0000_t202" style="position:absolute;left:2184400;top:1691594;height:329565;width:1108710;" fillcolor="#FFFFFF" filled="t" stroked="t" coordsize="21600,21600" o:gfxdata="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FTFk/1QAAAAUBAAAPAAAAAAAAAAEAIAAAACIAAABkcnMvZG93&#10;bnJldi54bWxQSwECFAAUAAAACACHTuJAJP1tkDwCAACTBAAADgAAAAAAAAABACAAAAAkAQAAZHJz&#10;L2Uyb0RvYy54bWxQSwUGAAAAAAYABgBZAQAA0gUAAAAA&#10;">
                  <v:fill on="t" focussize="0,0"/>
                  <v:stroke color="#000000" miterlimit="8" joinstyle="miter"/>
                  <v:imagedata o:title=""/>
                  <o:lock v:ext="edit" aspectratio="f"/>
                  <v:textbox>
                    <w:txbxContent>
                      <w:p w14:paraId="22656A00">
                        <w:pPr>
                          <w:jc w:val="center"/>
                          <w:rPr>
                            <w:rFonts w:ascii="宋体" w:hAnsi="宋体"/>
                            <w:b w:val="0"/>
                            <w:bCs/>
                          </w:rPr>
                        </w:pPr>
                        <w:r>
                          <w:rPr>
                            <w:rFonts w:hint="eastAsia" w:ascii="宋体" w:hAnsi="宋体"/>
                            <w:b w:val="0"/>
                            <w:bCs/>
                          </w:rPr>
                          <w:t>机械药混合</w:t>
                        </w:r>
                      </w:p>
                    </w:txbxContent>
                  </v:textbox>
                </v:shape>
                <v:shape id="AutoShape 10" o:spid="_x0000_s1026" o:spt="32" type="#_x0000_t32" style="position:absolute;left:2759710;top:2021159;height:314960;width:1270;" filled="f" stroked="t" coordsize="21600,21600" o:gfxdata="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O28myXWAAAABQEAAA8AAAAAAAAAAQAgAAAAIgAAAGRycy9kb3du&#10;cmV2LnhtbFBLAQIUABQAAAAIAIdO4kAwDo4vAQIAAPADAAAOAAAAAAAAAAEAIAAAACUBAABkcnMv&#10;ZTJvRG9jLnhtbFBLBQYAAAAABgAGAFkBAACYBQAAAAA=&#10;">
                  <v:fill on="f" focussize="0,0"/>
                  <v:stroke color="#000000" joinstyle="round" endarrow="block"/>
                  <v:imagedata o:title=""/>
                  <o:lock v:ext="edit" aspectratio="f"/>
                </v:shape>
                <v:shape id="Text Box 11" o:spid="_x0000_s1026" o:spt="202" type="#_x0000_t202" style="position:absolute;left:2192655;top:2336119;height:329565;width:1108710;" fillcolor="#FFFFFF" filled="t" stroked="t" coordsize="21600,21600" o:gfxdata="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xUxZP9UAAAAFAQAADwAAAAAAAAABACAAAAAiAAAAZHJzL2Rv&#10;d25yZXYueG1sUEsBAhQAFAAAAAgAh07iQGfywmY9AgAAlAQAAA4AAAAAAAAAAQAgAAAAJAEAAGRy&#10;cy9lMm9Eb2MueG1sUEsFBgAAAAAGAAYAWQEAANMFAAAAAA==&#10;">
                  <v:fill on="t" focussize="0,0"/>
                  <v:stroke color="#000000" miterlimit="8" joinstyle="miter"/>
                  <v:imagedata o:title=""/>
                  <o:lock v:ext="edit" aspectratio="f"/>
                  <v:textbox>
                    <w:txbxContent>
                      <w:p w14:paraId="2D608A97">
                        <w:pPr>
                          <w:jc w:val="center"/>
                          <w:rPr>
                            <w:rFonts w:ascii="宋体" w:hAnsi="宋体"/>
                            <w:b w:val="0"/>
                            <w:bCs/>
                          </w:rPr>
                        </w:pPr>
                        <w:r>
                          <w:rPr>
                            <w:rFonts w:hint="eastAsia" w:ascii="宋体" w:hAnsi="宋体"/>
                            <w:b w:val="0"/>
                            <w:bCs/>
                          </w:rPr>
                          <w:t>药物中转</w:t>
                        </w:r>
                      </w:p>
                    </w:txbxContent>
                  </v:textbox>
                </v:shape>
                <v:shape id="AutoShape 12" o:spid="_x0000_s1026" o:spt="32" type="#_x0000_t32" style="position:absolute;left:2759710;top:2665684;height:314960;width:1270;" filled="f" stroked="t" coordsize="21600,21600" o:gfxdata="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O28myXWAAAABQEAAA8AAAAAAAAAAQAgAAAAIgAAAGRycy9kb3du&#10;cmV2LnhtbFBLAQIUABQAAAAIAIdO4kAyNa2JAQIAAPADAAAOAAAAAAAAAAEAIAAAACUBAABkcnMv&#10;ZTJvRG9jLnhtbFBLBQYAAAAABgAGAFkBAACYBQAAAAA=&#10;">
                  <v:fill on="f" focussize="0,0"/>
                  <v:stroke color="#000000" joinstyle="round" endarrow="block"/>
                  <v:imagedata o:title=""/>
                  <o:lock v:ext="edit" aspectratio="f"/>
                </v:shape>
                <v:shape id="Text Box 13" o:spid="_x0000_s1026" o:spt="202" type="#_x0000_t202" style="position:absolute;left:2192655;top:2980644;height:329565;width:1108710;" fillcolor="#FFFFFF" filled="t" stroked="t" coordsize="21600,21600" o:gfxdata="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MVMWT/VAAAABQEAAA8AAAAAAAAAAQAgAAAAIgAAAGRycy9k&#10;b3ducmV2LnhtbFBLAQIUABQAAAAIAIdO4kASClRAPgIAAJQEAAAOAAAAAAAAAAEAIAAAACQBAABk&#10;cnMvZTJvRG9jLnhtbFBLBQYAAAAABgAGAFkBAADUBQAAAAA=&#10;">
                  <v:fill on="t" focussize="0,0"/>
                  <v:stroke color="#000000" miterlimit="8" joinstyle="miter"/>
                  <v:imagedata o:title=""/>
                  <o:lock v:ext="edit" aspectratio="f"/>
                  <v:textbox>
                    <w:txbxContent>
                      <w:p w14:paraId="04E39283">
                        <w:pPr>
                          <w:jc w:val="center"/>
                          <w:rPr>
                            <w:rFonts w:ascii="宋体" w:hAnsi="宋体"/>
                            <w:b w:val="0"/>
                            <w:bCs/>
                          </w:rPr>
                        </w:pPr>
                        <w:r>
                          <w:rPr>
                            <w:rFonts w:hint="eastAsia" w:ascii="宋体" w:hAnsi="宋体"/>
                            <w:b w:val="0"/>
                            <w:bCs/>
                          </w:rPr>
                          <w:t>筑药</w:t>
                        </w:r>
                      </w:p>
                    </w:txbxContent>
                  </v:textbox>
                </v:shape>
                <v:shape id="Text Box 14" o:spid="_x0000_s1026" o:spt="202" type="#_x0000_t202" style="position:absolute;left:628650;top:1040719;height:329565;width:1108710;" fillcolor="#FFFFFF" filled="t" stroked="t" coordsize="21600,21600" o:gfxdata="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MVMWT/VAAAABQEAAA8AAAAAAAAAAQAgAAAAIgAAAGRycy9k&#10;b3ducmV2LnhtbFBLAQIUABQAAAAIAIdO4kAUztdjPgIAAJMEAAAOAAAAAAAAAAEAIAAAACQBAABk&#10;cnMvZTJvRG9jLnhtbFBLBQYAAAAABgAGAFkBAADUBQAAAAA=&#10;">
                  <v:fill on="t" focussize="0,0"/>
                  <v:stroke color="#000000" miterlimit="8" joinstyle="miter"/>
                  <v:imagedata o:title=""/>
                  <o:lock v:ext="edit" aspectratio="f"/>
                  <v:textbox>
                    <w:txbxContent>
                      <w:p w14:paraId="27D433FE">
                        <w:pPr>
                          <w:jc w:val="center"/>
                          <w:rPr>
                            <w:rFonts w:ascii="宋体" w:hAnsi="宋体"/>
                            <w:b w:val="0"/>
                            <w:bCs/>
                          </w:rPr>
                        </w:pPr>
                        <w:r>
                          <w:rPr>
                            <w:rFonts w:hint="eastAsia" w:ascii="宋体" w:hAnsi="宋体"/>
                            <w:b w:val="0"/>
                            <w:bCs/>
                          </w:rPr>
                          <w:t>黑火药、亮珠</w:t>
                        </w:r>
                      </w:p>
                    </w:txbxContent>
                  </v:textbox>
                </v:shape>
                <v:shape id="AutoShape 15" o:spid="_x0000_s1026" o:spt="32" type="#_x0000_t32" style="position:absolute;left:1754505;top:1205819;height:6350;width:421640;" filled="f" stroked="t" coordsize="21600,21600" o:gfxdata="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O28myXWAAAABQEAAA8AAAAAAAAAAQAgAAAA&#10;IgAAAGRycy9kb3ducmV2LnhtbFBLAQIUABQAAAAIAIdO4kCV1HlpDQIAAAsEAAAOAAAAAAAAAAEA&#10;IAAAACUBAABkcnMvZTJvRG9jLnhtbFBLBQYAAAAABgAGAFkBAACkBQAAAAA=&#10;">
                  <v:fill on="f" focussize="0,0"/>
                  <v:stroke color="#000000" joinstyle="round" endarrow="block"/>
                  <v:imagedata o:title=""/>
                  <o:lock v:ext="edit" aspectratio="f"/>
                </v:shape>
                <v:shape id="Text Box 16" o:spid="_x0000_s1026" o:spt="202" type="#_x0000_t202" style="position:absolute;left:3780155;top:1040719;height:329565;width:1108710;" fillcolor="#FFFFFF" filled="t" stroked="t" coordsize="21600,21600" o:gfxdata="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FTFk/1QAAAAUBAAAPAAAAAAAAAAEAIAAAACIAAABkcnMvZG93&#10;bnJldi54bWxQSwECFAAUAAAACACHTuJAK9D/gzwCAACUBAAADgAAAAAAAAABACAAAAAkAQAAZHJz&#10;L2Uyb0RvYy54bWxQSwUGAAAAAAYABgBZAQAA0gUAAAAA&#10;">
                  <v:fill on="t" focussize="0,0"/>
                  <v:stroke color="#000000" miterlimit="8" joinstyle="miter"/>
                  <v:imagedata o:title=""/>
                  <o:lock v:ext="edit" aspectratio="f"/>
                  <v:textbox>
                    <w:txbxContent>
                      <w:p w14:paraId="5EAF115D">
                        <w:pPr>
                          <w:jc w:val="center"/>
                          <w:rPr>
                            <w:rFonts w:ascii="宋体" w:hAnsi="宋体"/>
                            <w:b w:val="0"/>
                            <w:bCs/>
                          </w:rPr>
                        </w:pPr>
                        <w:r>
                          <w:rPr>
                            <w:rFonts w:hint="eastAsia" w:ascii="宋体" w:hAnsi="宋体"/>
                            <w:b w:val="0"/>
                            <w:bCs/>
                          </w:rPr>
                          <w:t>中转</w:t>
                        </w:r>
                      </w:p>
                    </w:txbxContent>
                  </v:textbox>
                </v:shape>
                <v:shape id="Text Box 17" o:spid="_x0000_s1026" o:spt="202" type="#_x0000_t202" style="position:absolute;left:3802380;top:2336119;height:329565;width:1108710;" fillcolor="#FFFFFF" filled="t" stroked="t" coordsize="21600,21600" o:gfxdata="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MVMWT/VAAAABQEAAA8AAAAAAAAAAQAgAAAAIgAAAGRycy9k&#10;b3ducmV2LnhtbFBLAQIUABQAAAAIAIdO4kAYp5tSPgIAAJQEAAAOAAAAAAAAAAEAIAAAACQBAABk&#10;cnMvZTJvRG9jLnhtbFBLBQYAAAAABgAGAFkBAADUBQAAAAA=&#10;">
                  <v:fill on="t" focussize="0,0"/>
                  <v:stroke color="#000000" miterlimit="8" joinstyle="miter"/>
                  <v:imagedata o:title=""/>
                  <o:lock v:ext="edit" aspectratio="f"/>
                  <v:textbox>
                    <w:txbxContent>
                      <w:p w14:paraId="245BC23E">
                        <w:pPr>
                          <w:jc w:val="center"/>
                          <w:rPr>
                            <w:rFonts w:ascii="宋体" w:hAnsi="宋体"/>
                            <w:b w:val="0"/>
                            <w:bCs/>
                          </w:rPr>
                        </w:pPr>
                        <w:r>
                          <w:rPr>
                            <w:rFonts w:hint="eastAsia" w:ascii="宋体" w:hAnsi="宋体"/>
                            <w:b w:val="0"/>
                            <w:bCs/>
                          </w:rPr>
                          <w:t>干燥/晾晒</w:t>
                        </w:r>
                      </w:p>
                    </w:txbxContent>
                  </v:textbox>
                </v:shape>
                <v:shape id="Text Box 18" o:spid="_x0000_s1026" o:spt="202" type="#_x0000_t202" style="position:absolute;left:3802380;top:2983819;height:329565;width:1108710;" fillcolor="#FFFFFF" filled="t" stroked="t" coordsize="21600,21600" o:gfxdata="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MVMWT/VAAAABQEAAA8AAAAAAAAAAQAgAAAAIgAAAGRycy9k&#10;b3ducmV2LnhtbFBLAQIUABQAAAAIAIdO4kA/zJsKPgIAAJQEAAAOAAAAAAAAAAEAIAAAACQBAABk&#10;cnMvZTJvRG9jLnhtbFBLBQYAAAAABgAGAFkBAADUBQAAAAA=&#10;">
                  <v:fill on="t" focussize="0,0"/>
                  <v:stroke color="#000000" miterlimit="8" joinstyle="miter"/>
                  <v:imagedata o:title=""/>
                  <o:lock v:ext="edit" aspectratio="f"/>
                  <v:textbox>
                    <w:txbxContent>
                      <w:p w14:paraId="74094DA9">
                        <w:pPr>
                          <w:jc w:val="center"/>
                          <w:rPr>
                            <w:rFonts w:ascii="宋体" w:hAnsi="宋体"/>
                            <w:b w:val="0"/>
                            <w:bCs/>
                          </w:rPr>
                        </w:pPr>
                        <w:r>
                          <w:rPr>
                            <w:rFonts w:hint="eastAsia" w:ascii="宋体" w:hAnsi="宋体"/>
                            <w:b w:val="0"/>
                            <w:bCs/>
                          </w:rPr>
                          <w:t>单基火药（湿）</w:t>
                        </w:r>
                      </w:p>
                    </w:txbxContent>
                  </v:textbox>
                </v:shape>
                <v:shape id="Text Box 19" o:spid="_x0000_s1026" o:spt="202" type="#_x0000_t202" style="position:absolute;left:2199640;top:3634694;height:329565;width:1108710;" fillcolor="#FFFFFF" filled="t" stroked="t" coordsize="21600,21600" o:gfxdata="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xUxZP9UAAAAFAQAADwAAAAAAAAABACAAAAAiAAAAZHJzL2Rv&#10;d25yZXYueG1sUEsBAhQAFAAAAAgAh07iQPiLTfI9AgAAlAQAAA4AAAAAAAAAAQAgAAAAJAEAAGRy&#10;cy9lMm9Eb2MueG1sUEsFBgAAAAAGAAYAWQEAANMFAAAAAA==&#10;">
                  <v:fill on="t" focussize="0,0"/>
                  <v:stroke color="#000000" miterlimit="8" joinstyle="miter"/>
                  <v:imagedata o:title=""/>
                  <o:lock v:ext="edit" aspectratio="f"/>
                  <v:textbox>
                    <w:txbxContent>
                      <w:p w14:paraId="74ADA466">
                        <w:pPr>
                          <w:jc w:val="center"/>
                          <w:rPr>
                            <w:rFonts w:ascii="宋体" w:hAnsi="宋体"/>
                            <w:b w:val="0"/>
                            <w:bCs/>
                          </w:rPr>
                        </w:pPr>
                        <w:r>
                          <w:rPr>
                            <w:rFonts w:hint="eastAsia" w:ascii="宋体" w:hAnsi="宋体"/>
                            <w:b w:val="0"/>
                            <w:bCs/>
                          </w:rPr>
                          <w:t>半成品中转</w:t>
                        </w:r>
                      </w:p>
                    </w:txbxContent>
                  </v:textbox>
                </v:shape>
                <v:shape id="AutoShape 20" o:spid="_x0000_s1026" o:spt="32" type="#_x0000_t32" style="position:absolute;left:2760980;top:3310209;height:314960;width:1270;" filled="f" stroked="t" coordsize="21600,21600" o:gfxdata="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tvJsl1gAAAAUBAAAPAAAAAAAAAAEAIAAAACIAAABkcnMvZG93&#10;bnJldi54bWxQSwECFAAUAAAACACHTuJAOyL2GAICAADwAwAADgAAAAAAAAABACAAAAAlAQAAZHJz&#10;L2Uyb0RvYy54bWxQSwUGAAAAAAYABgBZAQAAmQUAAAAA&#10;">
                  <v:fill on="f" focussize="0,0"/>
                  <v:stroke color="#000000" joinstyle="round" endarrow="block"/>
                  <v:imagedata o:title=""/>
                  <o:lock v:ext="edit" aspectratio="f"/>
                </v:shape>
                <v:shape id="AutoShape 22" o:spid="_x0000_s1026" o:spt="32" type="#_x0000_t32" style="position:absolute;left:2782570;top:3962989;height:314960;width:1270;" filled="f" stroked="t" coordsize="21600,21600" o:gfxdata="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7bybJdYAAAAFAQAADwAAAAAAAAABACAAAAAiAAAAZHJzL2Rvd25y&#10;ZXYueG1sUEsBAhQAFAAAAAgAh07iQF/jQ84AAgAA8AMAAA4AAAAAAAAAAQAgAAAAJQEAAGRycy9l&#10;Mm9Eb2MueG1sUEsFBgAAAAAGAAYAWQEAAJcFAAAAAA==&#10;">
                  <v:fill on="f" focussize="0,0"/>
                  <v:stroke color="#000000" joinstyle="round" endarrow="block"/>
                  <v:imagedata o:title=""/>
                  <o:lock v:ext="edit" aspectratio="f"/>
                </v:shape>
                <v:shape id="Text Box 23" o:spid="_x0000_s1026" o:spt="202" type="#_x0000_t202" style="position:absolute;left:582930;top:4287520;height:329565;width:1108710;" fillcolor="#FFFFFF" filled="t" stroked="t" coordsize="21600,21600" o:gfxdata="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MVMWT/VAAAABQEAAA8AAAAAAAAAAQAgAAAAIgAAAGRycy9k&#10;b3ducmV2LnhtbFBLAQIUABQAAAAIAIdO4kDBQWL9PgIAAJMEAAAOAAAAAAAAAAEAIAAAACQBAABk&#10;cnMvZTJvRG9jLnhtbFBLBQYAAAAABgAGAFkBAADUBQAAAAA=&#10;">
                  <v:fill on="t" focussize="0,0"/>
                  <v:stroke color="#000000" miterlimit="8" joinstyle="miter"/>
                  <v:imagedata o:title=""/>
                  <o:lock v:ext="edit" aspectratio="f"/>
                  <v:textbox>
                    <w:txbxContent>
                      <w:p w14:paraId="5ABFE7E1">
                        <w:pPr>
                          <w:jc w:val="center"/>
                          <w:rPr>
                            <w:rFonts w:ascii="宋体" w:hAnsi="宋体"/>
                            <w:b w:val="0"/>
                            <w:bCs/>
                          </w:rPr>
                        </w:pPr>
                        <w:r>
                          <w:rPr>
                            <w:rFonts w:hint="eastAsia" w:ascii="宋体" w:hAnsi="宋体"/>
                            <w:b w:val="0"/>
                            <w:bCs/>
                          </w:rPr>
                          <w:t>引火线</w:t>
                        </w:r>
                      </w:p>
                    </w:txbxContent>
                  </v:textbox>
                </v:shape>
                <v:shape id="AutoShape 24" o:spid="_x0000_s1026" o:spt="32" type="#_x0000_t32" style="position:absolute;left:3382645;top:4443730;flip:x;height:10160;width:503555;" filled="f" stroked="t" coordsize="21600,21600" o:gfxdata="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3SCzW9UAAAAFAQAADwAAAAAAAAABACAAAAAiAAAAZHJz&#10;L2Rvd25yZXYueG1sUEsBAhQAFAAAAAgAh07iQMgTz0EHAgAA+wMAAA4AAAAAAAAAAQAgAAAAJAEA&#10;AGRycy9lMm9Eb2MueG1sUEsFBgAAAAAGAAYAWQEAAJ0FAAAAAA==&#10;">
                  <v:fill on="f" focussize="0,0"/>
                  <v:stroke color="#000000" joinstyle="round" endarrow="block"/>
                  <v:imagedata o:title=""/>
                  <o:lock v:ext="edit" aspectratio="f"/>
                </v:shape>
                <v:shape id="Text Box 27" o:spid="_x0000_s1026" o:spt="202" type="#_x0000_t202" style="position:absolute;left:2167890;top:4281805;height:329565;width:1203325;" fillcolor="#FFFFFF" filled="t" stroked="t" coordsize="21600,21600" o:gfxdata="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FTFk/1QAAAAUBAAAPAAAAAAAAAAEAIAAAACIAAABkcnMvZG93&#10;bnJldi54bWxQSwECFAAUAAAACACHTuJAyJAUpTwCAACUBAAADgAAAAAAAAABACAAAAAkAQAAZHJz&#10;L2Uyb0RvYy54bWxQSwUGAAAAAAYABgBZAQAA0gUAAAAA&#10;">
                  <v:fill on="t" focussize="0,0"/>
                  <v:stroke color="#000000" miterlimit="8" joinstyle="miter"/>
                  <v:imagedata o:title=""/>
                  <o:lock v:ext="edit" aspectratio="f"/>
                  <v:textbox>
                    <w:txbxContent>
                      <w:p w14:paraId="6A3F8DEA">
                        <w:pPr>
                          <w:jc w:val="center"/>
                          <w:rPr>
                            <w:rFonts w:ascii="宋体" w:hAnsi="宋体"/>
                            <w:b w:val="0"/>
                            <w:bCs/>
                          </w:rPr>
                        </w:pPr>
                        <w:r>
                          <w:rPr>
                            <w:rFonts w:hint="eastAsia" w:ascii="宋体" w:hAnsi="宋体"/>
                            <w:b w:val="0"/>
                            <w:bCs/>
                          </w:rPr>
                          <w:t>安引/组装/包装</w:t>
                        </w:r>
                      </w:p>
                    </w:txbxContent>
                  </v:textbox>
                </v:shape>
                <v:shape id="Text Box 29" o:spid="_x0000_s1026" o:spt="202" type="#_x0000_t202" style="position:absolute;left:2216150;top:4916170;height:329565;width:1108710;" fillcolor="#FFFFFF" filled="t" stroked="t" coordsize="21600,21600" o:gfxdata="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FTFk/1QAAAAUBAAAPAAAAAAAAAAEAIAAAACIAAABkcnMvZG93&#10;bnJldi54bWxQSwECFAAUAAAACACHTuJAn97mRjwCAACUBAAADgAAAAAAAAABACAAAAAkAQAAZHJz&#10;L2Uyb0RvYy54bWxQSwUGAAAAAAYABgBZAQAA0gUAAAAA&#10;">
                  <v:fill on="t" focussize="0,0"/>
                  <v:stroke color="#000000" miterlimit="8" joinstyle="miter"/>
                  <v:imagedata o:title=""/>
                  <o:lock v:ext="edit" aspectratio="f"/>
                  <v:textbox>
                    <w:txbxContent>
                      <w:p w14:paraId="41EBC886">
                        <w:pPr>
                          <w:jc w:val="center"/>
                          <w:rPr>
                            <w:rFonts w:ascii="宋体" w:hAnsi="宋体"/>
                            <w:b w:val="0"/>
                            <w:bCs/>
                          </w:rPr>
                        </w:pPr>
                        <w:r>
                          <w:rPr>
                            <w:rFonts w:hint="eastAsia" w:ascii="宋体" w:hAnsi="宋体"/>
                            <w:b w:val="0"/>
                            <w:bCs/>
                          </w:rPr>
                          <w:t>储存</w:t>
                        </w:r>
                      </w:p>
                    </w:txbxContent>
                  </v:textbox>
                </v:shape>
                <v:shape id="AutoShape 30" o:spid="_x0000_s1026" o:spt="32" type="#_x0000_t32" style="position:absolute;left:2777490;top:4600575;height:314960;width:1270;" filled="f" stroked="t" coordsize="21600,21600" o:gfxdata="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7bybJdYAAAAFAQAADwAAAAAAAAABACAAAAAiAAAAZHJzL2Rv&#10;d25yZXYueG1sUEsBAhQAFAAAAAgAh07iQCQqQpYDAgAA8AMAAA4AAAAAAAAAAQAgAAAAJQEAAGRy&#10;cy9lMm9Eb2MueG1sUEsFBgAAAAAGAAYAWQEAAJoFAAAAAA==&#10;">
                  <v:fill on="f" focussize="0,0"/>
                  <v:stroke color="#000000" joinstyle="round" endarrow="block"/>
                  <v:imagedata o:title=""/>
                  <o:lock v:ext="edit" aspectratio="f"/>
                </v:shape>
                <v:shape id="AutoShape 31" o:spid="_x0000_s1026" o:spt="32" type="#_x0000_t32" style="position:absolute;left:4332605;top:1368379;flip:y;height:321310;width:635;" filled="f" stroked="t" coordsize="21600,21600" o:gfxdata="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dILNb1QAAAAUBAAAPAAAAAAAAAAEAIAAAACIAAABkcnMv&#10;ZG93bnJldi54bWxQSwECFAAUAAAACACHTuJAfjkvrwYCAAD5AwAADgAAAAAAAAABACAAAAAkAQAA&#10;ZHJzL2Uyb0RvYy54bWxQSwUGAAAAAAYABgBZAQAAnAUAAAAA&#10;">
                  <v:fill on="f" focussize="0,0"/>
                  <v:stroke color="#000000" joinstyle="round" endarrow="block"/>
                  <v:imagedata o:title=""/>
                  <o:lock v:ext="edit" aspectratio="f"/>
                </v:shape>
                <v:shape id="AutoShape 32" o:spid="_x0000_s1026" o:spt="32" type="#_x0000_t32" style="position:absolute;left:3284855;top:1205819;flip:x;height:6350;width:483870;" filled="f" stroked="t" coordsize="21600,21600" o:gfxdata="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3SCzW9UAAAAFAQAADwAAAAAA&#10;AAABACAAAAAiAAAAZHJzL2Rvd25yZXYueG1sUEsBAhQAFAAAAAgAh07iQHItV8gWAgAAFQQAAA4A&#10;AAAAAAAAAQAgAAAAJAEAAGRycy9lMm9Eb2MueG1sUEsFBgAAAAAGAAYAWQEAAKwFAAAAAA==&#10;">
                  <v:fill on="f" focussize="0,0"/>
                  <v:stroke color="#000000" joinstyle="round" endarrow="block"/>
                  <v:imagedata o:title=""/>
                  <o:lock v:ext="edit" aspectratio="f"/>
                </v:shape>
                <v:shape id="Text Box 33" o:spid="_x0000_s1026" o:spt="202" type="#_x0000_t202" style="position:absolute;left:3790315;top:1689689;height:329565;width:1108710;" fillcolor="#FFFFFF" filled="t" stroked="t" coordsize="21600,21600" o:gfxdata="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FTFk/1QAAAAUBAAAPAAAAAAAAAAEAIAAAACIAAABkcnMv&#10;ZG93bnJldi54bWxQSwECFAAUAAAACACHTuJAQVQxRT8CAACUBAAADgAAAAAAAAABACAAAAAkAQAA&#10;ZHJzL2Uyb0RvYy54bWxQSwUGAAAAAAYABgBZAQAA1QUAAAAA&#10;">
                  <v:fill on="t" focussize="0,0"/>
                  <v:stroke color="#000000" miterlimit="8" joinstyle="miter"/>
                  <v:imagedata o:title=""/>
                  <o:lock v:ext="edit" aspectratio="f"/>
                  <v:textbox>
                    <w:txbxContent>
                      <w:p w14:paraId="7CC51010">
                        <w:pPr>
                          <w:jc w:val="center"/>
                          <w:rPr>
                            <w:rFonts w:ascii="宋体" w:hAnsi="宋体"/>
                            <w:b w:val="0"/>
                            <w:bCs/>
                          </w:rPr>
                        </w:pPr>
                        <w:r>
                          <w:rPr>
                            <w:rFonts w:hint="eastAsia" w:ascii="宋体" w:hAnsi="宋体"/>
                            <w:b w:val="0"/>
                            <w:bCs/>
                          </w:rPr>
                          <w:t>包装</w:t>
                        </w:r>
                      </w:p>
                    </w:txbxContent>
                  </v:textbox>
                </v:shape>
                <v:shape id="AutoShape 34" o:spid="_x0000_s1026" o:spt="32" type="#_x0000_t32" style="position:absolute;left:4331970;top:2014809;flip:y;height:321310;width:635;" filled="f" stroked="t" coordsize="21600,21600" o:gfxdata="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dILNb1QAAAAUBAAAPAAAAAAAAAAEAIAAAACIAAABkcnMv&#10;ZG93bnJldi54bWxQSwECFAAUAAAACACHTuJAaCbbrQYCAAD5AwAADgAAAAAAAAABACAAAAAkAQAA&#10;ZHJzL2Uyb0RvYy54bWxQSwUGAAAAAAYABgBZAQAAnAUAAAAA&#10;">
                  <v:fill on="f" focussize="0,0"/>
                  <v:stroke color="#000000" joinstyle="round" endarrow="block"/>
                  <v:imagedata o:title=""/>
                  <o:lock v:ext="edit" aspectratio="f"/>
                </v:shape>
                <v:shape id="AutoShape 35" o:spid="_x0000_s1026" o:spt="32" type="#_x0000_t32" style="position:absolute;left:4331970;top:2659334;flip:y;height:321310;width:635;" filled="f" stroked="t" coordsize="21600,21600" o:gfxdata="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3SCzW9UAAAAFAQAADwAAAAAAAAABACAAAAAiAAAAZHJz&#10;L2Rvd25yZXYueG1sUEsBAhQAFAAAAAgAh07iQL0deGUHAgAA+QMAAA4AAAAAAAAAAQAgAAAAJAEA&#10;AGRycy9lMm9Eb2MueG1sUEsFBgAAAAAGAAYAWQEAAJ0FAAAAAA==&#10;">
                  <v:fill on="f" focussize="0,0"/>
                  <v:stroke color="#000000" joinstyle="round" endarrow="block"/>
                  <v:imagedata o:title=""/>
                  <o:lock v:ext="edit" aspectratio="f"/>
                </v:shape>
                <v:shape id="Text Box 23" o:spid="_x0000_s1026" o:spt="202" type="#_x0000_t202" style="position:absolute;left:3869055;top:4270375;height:329565;width:1108710;" fillcolor="#FFFFFF" filled="t" stroked="t" coordsize="21600,21600" o:gfxdata="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MVMWT/VAAAABQEAAA8AAAAAAAAAAQAgAAAAIgAAAGRycy9k&#10;b3ducmV2LnhtbFBLAQIUABQAAAAIAIdO4kCuKcyVPgIAAJQEAAAOAAAAAAAAAAEAIAAAACQBAABk&#10;cnMvZTJvRG9jLnhtbFBLBQYAAAAABgAGAFkBAADUBQAAAAA=&#10;">
                  <v:fill on="t" focussize="0,0"/>
                  <v:stroke color="#000000" miterlimit="8" joinstyle="miter"/>
                  <v:imagedata o:title=""/>
                  <o:lock v:ext="edit" aspectratio="f"/>
                  <v:textbox>
                    <w:txbxContent>
                      <w:p w14:paraId="31971BDC">
                        <w:pPr>
                          <w:jc w:val="center"/>
                          <w:rPr>
                            <w:rFonts w:ascii="宋体" w:hAnsi="宋体"/>
                            <w:b w:val="0"/>
                            <w:bCs/>
                          </w:rPr>
                        </w:pPr>
                        <w:r>
                          <w:rPr>
                            <w:rFonts w:hint="eastAsia" w:ascii="宋体" w:hAnsi="宋体"/>
                            <w:b w:val="0"/>
                            <w:bCs/>
                          </w:rPr>
                          <w:t>包装材料</w:t>
                        </w:r>
                      </w:p>
                    </w:txbxContent>
                  </v:textbox>
                </v:shape>
                <v:shape id="AutoShape 24" o:spid="_x0000_s1026" o:spt="32" type="#_x0000_t32" style="position:absolute;left:1699895;top:4446905;flip:y;height:5715;width:412115;" filled="f" stroked="t" coordsize="21600,21600" o:gfxdata="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dILNb1QAAAAUBAAAPAAAAAAAAAAEAIAAAACIAAABkcnMv&#10;ZG93bnJldi54bWxQSwECFAAUAAAACACHTuJAqOozUAYCAAD6AwAADgAAAAAAAAABACAAAAAkAQAA&#10;ZHJzL2Uyb0RvYy54bWxQSwUGAAAAAAYABgBZAQAAnAUAAAAA&#10;">
                  <v:fill on="f" focussize="0,0"/>
                  <v:stroke color="#000000" joinstyle="round" endarrow="block"/>
                  <v:imagedata o:title=""/>
                  <o:lock v:ext="edit" aspectratio="f"/>
                </v:shape>
                <w10:wrap type="none"/>
                <w10:anchorlock/>
              </v:group>
            </w:pict>
          </mc:Fallback>
        </mc:AlternateContent>
      </w:r>
    </w:p>
    <w:p w14:paraId="04FD16AF">
      <w:pPr>
        <w:widowControl/>
        <w:spacing w:line="360" w:lineRule="auto"/>
        <w:jc w:val="center"/>
        <w:rPr>
          <w:rFonts w:ascii="黑体" w:hAnsi="黑体" w:eastAsia="黑体"/>
          <w:b w:val="0"/>
          <w:kern w:val="0"/>
          <w:sz w:val="24"/>
        </w:rPr>
      </w:pPr>
      <w:r>
        <w:rPr>
          <w:rFonts w:ascii="黑体" w:hAnsi="黑体" w:eastAsia="黑体"/>
          <w:b w:val="0"/>
          <w:kern w:val="0"/>
          <w:sz w:val="24"/>
        </w:rPr>
        <w:t>图</w:t>
      </w:r>
      <w:r>
        <w:rPr>
          <w:rFonts w:hint="eastAsia" w:ascii="黑体" w:hAnsi="黑体" w:eastAsia="黑体"/>
          <w:b w:val="0"/>
          <w:kern w:val="0"/>
          <w:sz w:val="24"/>
        </w:rPr>
        <w:t>2.5-</w:t>
      </w:r>
      <w:r>
        <w:rPr>
          <w:rFonts w:ascii="黑体" w:hAnsi="黑体" w:eastAsia="黑体"/>
          <w:b w:val="0"/>
          <w:kern w:val="0"/>
          <w:sz w:val="24"/>
        </w:rPr>
        <w:t xml:space="preserve">1 </w:t>
      </w:r>
      <w:r>
        <w:rPr>
          <w:rFonts w:hint="eastAsia" w:ascii="黑体" w:hAnsi="黑体" w:eastAsia="黑体"/>
          <w:b w:val="0"/>
          <w:kern w:val="0"/>
          <w:sz w:val="24"/>
        </w:rPr>
        <w:t>喷花类、组合烟花类（喷花组合）产品生产</w:t>
      </w:r>
      <w:r>
        <w:rPr>
          <w:rFonts w:ascii="黑体" w:hAnsi="黑体" w:eastAsia="黑体"/>
          <w:b w:val="0"/>
          <w:kern w:val="0"/>
          <w:sz w:val="24"/>
        </w:rPr>
        <w:t>工艺流程图</w:t>
      </w:r>
    </w:p>
    <w:p w14:paraId="17E787F4">
      <w:pPr>
        <w:widowControl/>
        <w:spacing w:line="360" w:lineRule="auto"/>
        <w:jc w:val="center"/>
        <w:rPr>
          <w:rFonts w:ascii="黑体" w:hAnsi="黑体" w:eastAsia="黑体"/>
          <w:b w:val="0"/>
          <w:kern w:val="0"/>
          <w:sz w:val="24"/>
        </w:rPr>
      </w:pPr>
    </w:p>
    <w:p w14:paraId="4D2AA3C0">
      <w:pPr>
        <w:widowControl/>
        <w:spacing w:line="360" w:lineRule="auto"/>
        <w:jc w:val="center"/>
        <w:rPr>
          <w:rFonts w:ascii="黑体" w:hAnsi="黑体" w:eastAsia="黑体"/>
          <w:b w:val="0"/>
          <w:kern w:val="0"/>
          <w:sz w:val="24"/>
        </w:rPr>
      </w:pPr>
    </w:p>
    <w:p w14:paraId="59BF1C06">
      <w:pPr>
        <w:widowControl/>
        <w:spacing w:line="360" w:lineRule="auto"/>
        <w:jc w:val="center"/>
        <w:rPr>
          <w:rFonts w:ascii="黑体" w:hAnsi="黑体" w:eastAsia="黑体"/>
          <w:b w:val="0"/>
          <w:kern w:val="0"/>
          <w:sz w:val="24"/>
        </w:rPr>
      </w:pPr>
    </w:p>
    <w:p w14:paraId="64F9B7B2">
      <w:pPr>
        <w:widowControl/>
        <w:spacing w:line="360" w:lineRule="auto"/>
        <w:jc w:val="center"/>
        <w:rPr>
          <w:rFonts w:ascii="黑体" w:hAnsi="黑体" w:eastAsia="黑体"/>
          <w:b w:val="0"/>
          <w:kern w:val="0"/>
          <w:sz w:val="24"/>
        </w:rPr>
      </w:pPr>
    </w:p>
    <w:p w14:paraId="38512C3E">
      <w:pPr>
        <w:widowControl/>
        <w:spacing w:line="360" w:lineRule="auto"/>
        <w:jc w:val="center"/>
        <w:rPr>
          <w:rFonts w:ascii="黑体" w:hAnsi="黑体" w:eastAsia="黑体"/>
          <w:b w:val="0"/>
          <w:kern w:val="0"/>
          <w:sz w:val="24"/>
        </w:rPr>
      </w:pPr>
    </w:p>
    <w:p w14:paraId="5148578E">
      <w:pPr>
        <w:widowControl/>
        <w:spacing w:line="360" w:lineRule="auto"/>
        <w:jc w:val="center"/>
        <w:rPr>
          <w:rFonts w:ascii="黑体" w:hAnsi="黑体" w:eastAsia="黑体"/>
          <w:b w:val="0"/>
          <w:kern w:val="0"/>
          <w:sz w:val="24"/>
        </w:rPr>
      </w:pPr>
    </w:p>
    <w:p w14:paraId="2C14ECFC">
      <w:pPr>
        <w:rPr>
          <w:sz w:val="40"/>
        </w:rPr>
      </w:pPr>
      <w:r>
        <w:rPr>
          <w:sz w:val="20"/>
        </w:rPr>
        <mc:AlternateContent>
          <mc:Choice Requires="wps">
            <w:drawing>
              <wp:anchor distT="0" distB="0" distL="114300" distR="114300" simplePos="0" relativeHeight="251675648" behindDoc="0" locked="0" layoutInCell="1" allowOverlap="1">
                <wp:simplePos x="0" y="0"/>
                <wp:positionH relativeFrom="column">
                  <wp:posOffset>2355850</wp:posOffset>
                </wp:positionH>
                <wp:positionV relativeFrom="paragraph">
                  <wp:posOffset>185420</wp:posOffset>
                </wp:positionV>
                <wp:extent cx="1028700" cy="396240"/>
                <wp:effectExtent l="4445" t="4445" r="8255" b="5715"/>
                <wp:wrapNone/>
                <wp:docPr id="5" name="流程图: 过程 5"/>
                <wp:cNvGraphicFramePr/>
                <a:graphic xmlns:a="http://schemas.openxmlformats.org/drawingml/2006/main">
                  <a:graphicData uri="http://schemas.microsoft.com/office/word/2010/wordprocessingShape">
                    <wps:wsp>
                      <wps:cNvSpPr/>
                      <wps:spPr>
                        <a:xfrm>
                          <a:off x="0" y="0"/>
                          <a:ext cx="1028700" cy="39624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0FB56F55">
                            <w:pPr>
                              <w:jc w:val="center"/>
                              <w:rPr>
                                <w:b w:val="0"/>
                                <w:bCs/>
                              </w:rPr>
                            </w:pPr>
                            <w:r>
                              <w:rPr>
                                <w:rFonts w:hint="eastAsia"/>
                                <w:b w:val="0"/>
                                <w:bCs/>
                              </w:rPr>
                              <w:t>化工原材料</w:t>
                            </w:r>
                          </w:p>
                        </w:txbxContent>
                      </wps:txbx>
                      <wps:bodyPr upright="1"/>
                    </wps:wsp>
                  </a:graphicData>
                </a:graphic>
              </wp:anchor>
            </w:drawing>
          </mc:Choice>
          <mc:Fallback>
            <w:pict>
              <v:shape id="_x0000_s1026" o:spid="_x0000_s1026" o:spt="109" type="#_x0000_t109" style="position:absolute;left:0pt;margin-left:185.5pt;margin-top:14.6pt;height:31.2pt;width:81pt;z-index:251675648;mso-width-relative:page;mso-height-relative:page;" fillcolor="#FFFFFF" filled="t" stroked="t" coordsize="21600,21600" o:gfxdata="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l9vu2QAAAAkB&#10;AAAPAAAAAAAAAAEAIAAAACIAAABkcnMvZG93bnJldi54bWxQSwECFAAUAAAACACHTuJA4OjOvxoC&#10;AABABAAADgAAAAAAAAABACAAAAAoAQAAZHJzL2Uyb0RvYy54bWxQSwUGAAAAAAYABgBZAQAAtAUA&#10;AAAA&#10;">
                <v:fill on="t" focussize="0,0"/>
                <v:stroke color="#000000" joinstyle="miter"/>
                <v:imagedata o:title=""/>
                <o:lock v:ext="edit" aspectratio="f"/>
                <v:textbox>
                  <w:txbxContent>
                    <w:p w14:paraId="0FB56F55">
                      <w:pPr>
                        <w:jc w:val="center"/>
                        <w:rPr>
                          <w:b w:val="0"/>
                          <w:bCs/>
                        </w:rPr>
                      </w:pPr>
                      <w:r>
                        <w:rPr>
                          <w:rFonts w:hint="eastAsia"/>
                          <w:b w:val="0"/>
                          <w:bCs/>
                        </w:rPr>
                        <w:t>化工原材料</w:t>
                      </w:r>
                    </w:p>
                  </w:txbxContent>
                </v:textbox>
              </v:shape>
            </w:pict>
          </mc:Fallback>
        </mc:AlternateContent>
      </w:r>
    </w:p>
    <w:p w14:paraId="45788F30">
      <w:pPr>
        <w:rPr>
          <w:sz w:val="40"/>
        </w:rPr>
      </w:pPr>
      <w:r>
        <w:rPr>
          <w:sz w:val="20"/>
        </w:rPr>
        <mc:AlternateContent>
          <mc:Choice Requires="wps">
            <w:drawing>
              <wp:anchor distT="0" distB="0" distL="114300" distR="114300" simplePos="0" relativeHeight="251662336" behindDoc="0" locked="0" layoutInCell="1" allowOverlap="1">
                <wp:simplePos x="0" y="0"/>
                <wp:positionH relativeFrom="column">
                  <wp:posOffset>2857500</wp:posOffset>
                </wp:positionH>
                <wp:positionV relativeFrom="paragraph">
                  <wp:posOffset>297180</wp:posOffset>
                </wp:positionV>
                <wp:extent cx="635" cy="198120"/>
                <wp:effectExtent l="37465" t="0" r="38100" b="5080"/>
                <wp:wrapNone/>
                <wp:docPr id="6" name="直接连接符 6"/>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_x0000_s1026" o:spid="_x0000_s1026" o:spt="20" style="position:absolute;left:0pt;margin-left:225pt;margin-top:23.4pt;height:15.6pt;width:0.05pt;z-index:251662336;mso-width-relative:page;mso-height-relative:page;" filled="f" stroked="t" coordsize="21600,21600" o:gfxdata="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IZUtbZAAAACQEAAA8AAAAAAAAAAQAgAAAAIgAAAGRycy9kb3ducmV2LnhtbFBL&#10;AQIUABQAAAAIAIdO4kA/0UwI9QEAAN0DAAAOAAAAAAAAAAEAIAAAACgBAABkcnMvZTJvRG9jLnht&#10;bFBLBQYAAAAABgAGAFkBAACPBQAAAAA=&#10;">
                <v:fill on="f" focussize="0,0"/>
                <v:stroke color="#000000" joinstyle="round" endarrow="block"/>
                <v:imagedata o:title=""/>
                <o:lock v:ext="edit" aspectratio="f"/>
              </v:line>
            </w:pict>
          </mc:Fallback>
        </mc:AlternateContent>
      </w:r>
    </w:p>
    <w:p w14:paraId="1C0CDB96"/>
    <w:p w14:paraId="26E6A3BB">
      <w:pPr>
        <w:pStyle w:val="151"/>
        <w:widowControl w:val="0"/>
        <w:rPr>
          <w:kern w:val="2"/>
          <w:szCs w:val="24"/>
        </w:rPr>
      </w:pPr>
      <w:r>
        <w:rPr>
          <w:kern w:val="2"/>
          <w:szCs w:val="24"/>
        </w:rPr>
        <mc:AlternateContent>
          <mc:Choice Requires="wps">
            <w:drawing>
              <wp:anchor distT="0" distB="0" distL="114300" distR="114300" simplePos="0" relativeHeight="251674624" behindDoc="0" locked="0" layoutInCell="1" allowOverlap="1">
                <wp:simplePos x="0" y="0"/>
                <wp:positionH relativeFrom="column">
                  <wp:posOffset>2346960</wp:posOffset>
                </wp:positionH>
                <wp:positionV relativeFrom="paragraph">
                  <wp:posOffset>28575</wp:posOffset>
                </wp:positionV>
                <wp:extent cx="1028700" cy="396240"/>
                <wp:effectExtent l="4445" t="4445" r="8255" b="5715"/>
                <wp:wrapNone/>
                <wp:docPr id="30" name="流程图: 过程 30"/>
                <wp:cNvGraphicFramePr/>
                <a:graphic xmlns:a="http://schemas.openxmlformats.org/drawingml/2006/main">
                  <a:graphicData uri="http://schemas.microsoft.com/office/word/2010/wordprocessingShape">
                    <wps:wsp>
                      <wps:cNvSpPr/>
                      <wps:spPr>
                        <a:xfrm>
                          <a:off x="0" y="0"/>
                          <a:ext cx="1028700" cy="39624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132A6E4F">
                            <w:pPr>
                              <w:jc w:val="center"/>
                              <w:rPr>
                                <w:b w:val="0"/>
                                <w:bCs/>
                              </w:rPr>
                            </w:pPr>
                            <w:r>
                              <w:rPr>
                                <w:rFonts w:hint="eastAsia"/>
                                <w:b w:val="0"/>
                                <w:bCs/>
                              </w:rPr>
                              <w:t>单料粉碎筛选</w:t>
                            </w:r>
                          </w:p>
                        </w:txbxContent>
                      </wps:txbx>
                      <wps:bodyPr upright="1"/>
                    </wps:wsp>
                  </a:graphicData>
                </a:graphic>
              </wp:anchor>
            </w:drawing>
          </mc:Choice>
          <mc:Fallback>
            <w:pict>
              <v:shape id="_x0000_s1026" o:spid="_x0000_s1026" o:spt="109" type="#_x0000_t109" style="position:absolute;left:0pt;margin-left:184.8pt;margin-top:2.25pt;height:31.2pt;width:81pt;z-index:251674624;mso-width-relative:page;mso-height-relative:page;" fillcolor="#FFFFFF" filled="t" stroked="t" coordsize="21600,21600" o:gfxdata="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3udjw2AAAAAgB&#10;AAAPAAAAAAAAAAEAIAAAACIAAABkcnMvZG93bnJldi54bWxQSwECFAAUAAAACACHTuJALiZA7BsC&#10;AABCBAAADgAAAAAAAAABACAAAAAnAQAAZHJzL2Uyb0RvYy54bWxQSwUGAAAAAAYABgBZAQAAtAUA&#10;AAAA&#10;">
                <v:fill on="t" focussize="0,0"/>
                <v:stroke color="#000000" joinstyle="miter"/>
                <v:imagedata o:title=""/>
                <o:lock v:ext="edit" aspectratio="f"/>
                <v:textbox>
                  <w:txbxContent>
                    <w:p w14:paraId="132A6E4F">
                      <w:pPr>
                        <w:jc w:val="center"/>
                        <w:rPr>
                          <w:b w:val="0"/>
                          <w:bCs/>
                        </w:rPr>
                      </w:pPr>
                      <w:r>
                        <w:rPr>
                          <w:rFonts w:hint="eastAsia"/>
                          <w:b w:val="0"/>
                          <w:bCs/>
                        </w:rPr>
                        <w:t>单料粉碎筛选</w:t>
                      </w:r>
                    </w:p>
                  </w:txbxContent>
                </v:textbox>
              </v:shape>
            </w:pict>
          </mc:Fallback>
        </mc:AlternateContent>
      </w:r>
    </w:p>
    <w:p w14:paraId="6B366AE5">
      <w:pPr>
        <w:pStyle w:val="154"/>
        <w:tabs>
          <w:tab w:val="clear" w:pos="5400"/>
        </w:tabs>
        <w:rPr>
          <w:rFonts w:ascii="Times New Roman" w:eastAsia="宋体"/>
        </w:rPr>
      </w:pPr>
    </w:p>
    <w:p w14:paraId="2675151F">
      <w:r>
        <w:rPr>
          <w:sz w:val="20"/>
        </w:rPr>
        <mc:AlternateContent>
          <mc:Choice Requires="wps">
            <w:drawing>
              <wp:anchor distT="0" distB="0" distL="114300" distR="114300" simplePos="0" relativeHeight="251663360" behindDoc="0" locked="0" layoutInCell="1" allowOverlap="1">
                <wp:simplePos x="0" y="0"/>
                <wp:positionH relativeFrom="column">
                  <wp:posOffset>2857500</wp:posOffset>
                </wp:positionH>
                <wp:positionV relativeFrom="paragraph">
                  <wp:posOffset>144780</wp:posOffset>
                </wp:positionV>
                <wp:extent cx="635" cy="198120"/>
                <wp:effectExtent l="37465" t="0" r="38100" b="5080"/>
                <wp:wrapNone/>
                <wp:docPr id="65" name="直接连接符 65"/>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_x0000_s1026" o:spid="_x0000_s1026" o:spt="20" style="position:absolute;left:0pt;margin-left:225pt;margin-top:11.4pt;height:15.6pt;width:0.05pt;z-index:251663360;mso-width-relative:page;mso-height-relative:page;" filled="f" stroked="t" coordsize="21600,21600" o:gfxdata="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1cyMU2QAAAAkBAAAPAAAAAAAAAAEAIAAAACIAAABkcnMvZG93bnJldi54bWxQ&#10;SwECFAAUAAAACACHTuJAatRhjvYBAADfAwAADgAAAAAAAAABACAAAAAoAQAAZHJzL2Uyb0RvYy54&#10;bWxQSwUGAAAAAAYABgBZAQAAkAUAAAAA&#10;">
                <v:fill on="f" focussize="0,0"/>
                <v:stroke color="#000000" joinstyle="round" endarrow="block"/>
                <v:imagedata o:title=""/>
                <o:lock v:ext="edit" aspectratio="f"/>
              </v:line>
            </w:pict>
          </mc:Fallback>
        </mc:AlternateContent>
      </w:r>
    </w:p>
    <w:p w14:paraId="61FED4AF"/>
    <w:p w14:paraId="22AC6800">
      <w:r>
        <w:rPr>
          <w:sz w:val="20"/>
        </w:rPr>
        <mc:AlternateContent>
          <mc:Choice Requires="wps">
            <w:drawing>
              <wp:anchor distT="0" distB="0" distL="114300" distR="114300" simplePos="0" relativeHeight="251680768" behindDoc="0" locked="0" layoutInCell="1" allowOverlap="1">
                <wp:simplePos x="0" y="0"/>
                <wp:positionH relativeFrom="column">
                  <wp:posOffset>2346960</wp:posOffset>
                </wp:positionH>
                <wp:positionV relativeFrom="paragraph">
                  <wp:posOffset>23495</wp:posOffset>
                </wp:positionV>
                <wp:extent cx="1028700" cy="396240"/>
                <wp:effectExtent l="4445" t="4445" r="8255" b="5715"/>
                <wp:wrapNone/>
                <wp:docPr id="34" name="流程图: 过程 34"/>
                <wp:cNvGraphicFramePr/>
                <a:graphic xmlns:a="http://schemas.openxmlformats.org/drawingml/2006/main">
                  <a:graphicData uri="http://schemas.microsoft.com/office/word/2010/wordprocessingShape">
                    <wps:wsp>
                      <wps:cNvSpPr/>
                      <wps:spPr>
                        <a:xfrm>
                          <a:off x="0" y="0"/>
                          <a:ext cx="1028700" cy="39624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6F2AD973">
                            <w:pPr>
                              <w:jc w:val="center"/>
                              <w:rPr>
                                <w:b w:val="0"/>
                                <w:bCs/>
                              </w:rPr>
                            </w:pPr>
                            <w:r>
                              <w:rPr>
                                <w:rFonts w:hint="eastAsia"/>
                                <w:b w:val="0"/>
                                <w:bCs/>
                              </w:rPr>
                              <w:t>称原料</w:t>
                            </w:r>
                          </w:p>
                        </w:txbxContent>
                      </wps:txbx>
                      <wps:bodyPr upright="1"/>
                    </wps:wsp>
                  </a:graphicData>
                </a:graphic>
              </wp:anchor>
            </w:drawing>
          </mc:Choice>
          <mc:Fallback>
            <w:pict>
              <v:shape id="_x0000_s1026" o:spid="_x0000_s1026" o:spt="109" type="#_x0000_t109" style="position:absolute;left:0pt;margin-left:184.8pt;margin-top:1.85pt;height:31.2pt;width:81pt;z-index:251680768;mso-width-relative:page;mso-height-relative:page;" fillcolor="#FFFFFF" filled="t" stroked="t" coordsize="21600,21600" o:gfxdata="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xmLbPNgAAAAI&#10;AQAADwAAAAAAAAABACAAAAAiAAAAZHJzL2Rvd25yZXYueG1sUEsBAhQAFAAAAAgAh07iQAs41REc&#10;AgAAQgQAAA4AAAAAAAAAAQAgAAAAJwEAAGRycy9lMm9Eb2MueG1sUEsFBgAAAAAGAAYAWQEAALUF&#10;AAAAAA==&#10;">
                <v:fill on="t" focussize="0,0"/>
                <v:stroke color="#000000" joinstyle="miter"/>
                <v:imagedata o:title=""/>
                <o:lock v:ext="edit" aspectratio="f"/>
                <v:textbox>
                  <w:txbxContent>
                    <w:p w14:paraId="6F2AD973">
                      <w:pPr>
                        <w:jc w:val="center"/>
                        <w:rPr>
                          <w:b w:val="0"/>
                          <w:bCs/>
                        </w:rPr>
                      </w:pPr>
                      <w:r>
                        <w:rPr>
                          <w:rFonts w:hint="eastAsia"/>
                          <w:b w:val="0"/>
                          <w:bCs/>
                        </w:rPr>
                        <w:t>称原料</w:t>
                      </w:r>
                    </w:p>
                  </w:txbxContent>
                </v:textbox>
              </v:shape>
            </w:pict>
          </mc:Fallback>
        </mc:AlternateContent>
      </w:r>
    </w:p>
    <w:p w14:paraId="168DFB73"/>
    <w:p w14:paraId="4BF514C6">
      <w:r>
        <w:rPr>
          <w:sz w:val="20"/>
        </w:rPr>
        <mc:AlternateContent>
          <mc:Choice Requires="wps">
            <w:drawing>
              <wp:anchor distT="0" distB="0" distL="114300" distR="114300" simplePos="0" relativeHeight="251679744" behindDoc="0" locked="0" layoutInCell="1" allowOverlap="1">
                <wp:simplePos x="0" y="0"/>
                <wp:positionH relativeFrom="column">
                  <wp:posOffset>2867025</wp:posOffset>
                </wp:positionH>
                <wp:positionV relativeFrom="paragraph">
                  <wp:posOffset>70485</wp:posOffset>
                </wp:positionV>
                <wp:extent cx="635" cy="365760"/>
                <wp:effectExtent l="37465" t="0" r="38100" b="2540"/>
                <wp:wrapNone/>
                <wp:docPr id="37" name="直接连接符 37"/>
                <wp:cNvGraphicFramePr/>
                <a:graphic xmlns:a="http://schemas.openxmlformats.org/drawingml/2006/main">
                  <a:graphicData uri="http://schemas.microsoft.com/office/word/2010/wordprocessingShape">
                    <wps:wsp>
                      <wps:cNvCnPr/>
                      <wps:spPr>
                        <a:xfrm>
                          <a:off x="0" y="0"/>
                          <a:ext cx="635" cy="36576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_x0000_s1026" o:spid="_x0000_s1026" o:spt="20" style="position:absolute;left:0pt;margin-left:225.75pt;margin-top:5.55pt;height:28.8pt;width:0.05pt;z-index:251679744;mso-width-relative:page;mso-height-relative:page;" filled="f" stroked="t" coordsize="21600,21600" o:gfxdata="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d1cS9tkAAAAJAQAADwAAAAAAAAABACAAAAAiAAAAZHJzL2Rvd25yZXYueG1s&#10;UEsBAhQAFAAAAAgAh07iQBeqxhr3AQAA3wMAAA4AAAAAAAAAAQAgAAAAKAEAAGRycy9lMm9Eb2Mu&#10;eG1sUEsFBgAAAAAGAAYAWQEAAJEFAAAAAA==&#10;">
                <v:fill on="f" focussize="0,0"/>
                <v:stroke color="#000000" joinstyle="round" endarrow="block"/>
                <v:imagedata o:title=""/>
                <o:lock v:ext="edit" aspectratio="f"/>
              </v:line>
            </w:pict>
          </mc:Fallback>
        </mc:AlternateContent>
      </w:r>
    </w:p>
    <w:p w14:paraId="641203D0">
      <w:pPr>
        <w:pStyle w:val="154"/>
        <w:tabs>
          <w:tab w:val="clear" w:pos="5400"/>
        </w:tabs>
        <w:rPr>
          <w:rFonts w:ascii="Times New Roman" w:eastAsia="宋体"/>
        </w:rPr>
      </w:pPr>
    </w:p>
    <w:p w14:paraId="1C76ADC1">
      <w:pPr>
        <w:pStyle w:val="151"/>
        <w:widowControl w:val="0"/>
        <w:rPr>
          <w:kern w:val="2"/>
          <w:szCs w:val="24"/>
        </w:rPr>
      </w:pPr>
      <w:r>
        <w:rPr>
          <w:rFonts w:ascii="Times New Roman"/>
          <w:kern w:val="2"/>
          <w:szCs w:val="24"/>
        </w:rPr>
        <mc:AlternateContent>
          <mc:Choice Requires="wps">
            <w:drawing>
              <wp:anchor distT="0" distB="0" distL="114300" distR="114300" simplePos="0" relativeHeight="251673600" behindDoc="0" locked="0" layoutInCell="1" allowOverlap="1">
                <wp:simplePos x="0" y="0"/>
                <wp:positionH relativeFrom="column">
                  <wp:posOffset>2346960</wp:posOffset>
                </wp:positionH>
                <wp:positionV relativeFrom="paragraph">
                  <wp:posOffset>86995</wp:posOffset>
                </wp:positionV>
                <wp:extent cx="1028700" cy="396240"/>
                <wp:effectExtent l="4445" t="4445" r="8255" b="5715"/>
                <wp:wrapNone/>
                <wp:docPr id="8" name="流程图: 过程 8"/>
                <wp:cNvGraphicFramePr/>
                <a:graphic xmlns:a="http://schemas.openxmlformats.org/drawingml/2006/main">
                  <a:graphicData uri="http://schemas.microsoft.com/office/word/2010/wordprocessingShape">
                    <wps:wsp>
                      <wps:cNvSpPr/>
                      <wps:spPr>
                        <a:xfrm>
                          <a:off x="0" y="0"/>
                          <a:ext cx="1028700" cy="39624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73018A73">
                            <w:pPr>
                              <w:jc w:val="center"/>
                              <w:rPr>
                                <w:b w:val="0"/>
                                <w:bCs/>
                              </w:rPr>
                            </w:pPr>
                            <w:r>
                              <w:rPr>
                                <w:rFonts w:hint="eastAsia"/>
                                <w:b w:val="0"/>
                                <w:bCs/>
                              </w:rPr>
                              <w:t>药混合</w:t>
                            </w:r>
                          </w:p>
                        </w:txbxContent>
                      </wps:txbx>
                      <wps:bodyPr upright="1"/>
                    </wps:wsp>
                  </a:graphicData>
                </a:graphic>
              </wp:anchor>
            </w:drawing>
          </mc:Choice>
          <mc:Fallback>
            <w:pict>
              <v:shape id="_x0000_s1026" o:spid="_x0000_s1026" o:spt="109" type="#_x0000_t109" style="position:absolute;left:0pt;margin-left:184.8pt;margin-top:6.85pt;height:31.2pt;width:81pt;z-index:251673600;mso-width-relative:page;mso-height-relative:page;" fillcolor="#FFFFFF" filled="t" stroked="t" coordsize="21600,21600" o:gfxdata="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3Q3xQ2QAAAAkB&#10;AAAPAAAAAAAAAAEAIAAAACIAAABkcnMvZG93bnJldi54bWxQSwECFAAUAAAACACHTuJAvrxOsRoC&#10;AABABAAADgAAAAAAAAABACAAAAAoAQAAZHJzL2Uyb0RvYy54bWxQSwUGAAAAAAYABgBZAQAAtAUA&#10;AAAA&#10;">
                <v:fill on="t" focussize="0,0"/>
                <v:stroke color="#000000" joinstyle="miter"/>
                <v:imagedata o:title=""/>
                <o:lock v:ext="edit" aspectratio="f"/>
                <v:textbox>
                  <w:txbxContent>
                    <w:p w14:paraId="73018A73">
                      <w:pPr>
                        <w:jc w:val="center"/>
                        <w:rPr>
                          <w:b w:val="0"/>
                          <w:bCs/>
                        </w:rPr>
                      </w:pPr>
                      <w:r>
                        <w:rPr>
                          <w:rFonts w:hint="eastAsia"/>
                          <w:b w:val="0"/>
                          <w:bCs/>
                        </w:rPr>
                        <w:t>药混合</w:t>
                      </w:r>
                    </w:p>
                  </w:txbxContent>
                </v:textbox>
              </v:shape>
            </w:pict>
          </mc:Fallback>
        </mc:AlternateContent>
      </w:r>
    </w:p>
    <w:p w14:paraId="083EB958"/>
    <w:p w14:paraId="3346D350">
      <w:r>
        <w:rPr>
          <w:sz w:val="20"/>
        </w:rPr>
        <mc:AlternateContent>
          <mc:Choice Requires="wps">
            <w:drawing>
              <wp:anchor distT="0" distB="0" distL="114300" distR="114300" simplePos="0" relativeHeight="251664384" behindDoc="0" locked="0" layoutInCell="1" allowOverlap="1">
                <wp:simplePos x="0" y="0"/>
                <wp:positionH relativeFrom="column">
                  <wp:posOffset>2857500</wp:posOffset>
                </wp:positionH>
                <wp:positionV relativeFrom="paragraph">
                  <wp:posOffset>20320</wp:posOffset>
                </wp:positionV>
                <wp:extent cx="635" cy="396240"/>
                <wp:effectExtent l="37465" t="0" r="38100" b="10160"/>
                <wp:wrapNone/>
                <wp:docPr id="11" name="直接连接符 11"/>
                <wp:cNvGraphicFramePr/>
                <a:graphic xmlns:a="http://schemas.openxmlformats.org/drawingml/2006/main">
                  <a:graphicData uri="http://schemas.microsoft.com/office/word/2010/wordprocessingShape">
                    <wps:wsp>
                      <wps:cNvCnPr/>
                      <wps:spPr>
                        <a:xfrm>
                          <a:off x="0" y="0"/>
                          <a:ext cx="635" cy="39624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_x0000_s1026" o:spid="_x0000_s1026" o:spt="20" style="position:absolute;left:0pt;margin-left:225pt;margin-top:1.6pt;height:31.2pt;width:0.05pt;z-index:251664384;mso-width-relative:page;mso-height-relative:page;" filled="f" stroked="t" coordsize="21600,21600" o:gfxdata="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5h9HW2AAAAAgBAAAPAAAAAAAAAAEAIAAAACIAAABkcnMvZG93bnJldi54bWxQ&#10;SwECFAAUAAAACACHTuJABAY+CPcBAADfAwAADgAAAAAAAAABACAAAAAnAQAAZHJzL2Uyb0RvYy54&#10;bWxQSwUGAAAAAAYABgBZAQAAkAUAAAAA&#10;">
                <v:fill on="f" focussize="0,0"/>
                <v:stroke color="#000000" joinstyle="round" endarrow="block"/>
                <v:imagedata o:title=""/>
                <o:lock v:ext="edit" aspectratio="f"/>
              </v:line>
            </w:pict>
          </mc:Fallback>
        </mc:AlternateContent>
      </w:r>
    </w:p>
    <w:p w14:paraId="6A29849D"/>
    <w:p w14:paraId="23B4E38C">
      <w:r>
        <w:rPr>
          <w:sz w:val="20"/>
        </w:rPr>
        <mc:AlternateContent>
          <mc:Choice Requires="wps">
            <w:drawing>
              <wp:anchor distT="0" distB="0" distL="114300" distR="114300" simplePos="0" relativeHeight="251672576" behindDoc="0" locked="0" layoutInCell="1" allowOverlap="1">
                <wp:simplePos x="0" y="0"/>
                <wp:positionH relativeFrom="column">
                  <wp:posOffset>2462530</wp:posOffset>
                </wp:positionH>
                <wp:positionV relativeFrom="paragraph">
                  <wp:posOffset>82550</wp:posOffset>
                </wp:positionV>
                <wp:extent cx="800100" cy="396240"/>
                <wp:effectExtent l="4445" t="4445" r="8255" b="5715"/>
                <wp:wrapNone/>
                <wp:docPr id="13" name="流程图: 过程 13"/>
                <wp:cNvGraphicFramePr/>
                <a:graphic xmlns:a="http://schemas.openxmlformats.org/drawingml/2006/main">
                  <a:graphicData uri="http://schemas.microsoft.com/office/word/2010/wordprocessingShape">
                    <wps:wsp>
                      <wps:cNvSpPr/>
                      <wps:spPr>
                        <a:xfrm>
                          <a:off x="0" y="0"/>
                          <a:ext cx="800100" cy="39624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1831E9FB">
                            <w:pPr>
                              <w:jc w:val="center"/>
                              <w:rPr>
                                <w:b w:val="0"/>
                                <w:bCs/>
                              </w:rPr>
                            </w:pPr>
                            <w:r>
                              <w:rPr>
                                <w:rFonts w:hint="eastAsia"/>
                                <w:b w:val="0"/>
                                <w:bCs/>
                              </w:rPr>
                              <w:t>造粒</w:t>
                            </w:r>
                          </w:p>
                        </w:txbxContent>
                      </wps:txbx>
                      <wps:bodyPr upright="1"/>
                    </wps:wsp>
                  </a:graphicData>
                </a:graphic>
              </wp:anchor>
            </w:drawing>
          </mc:Choice>
          <mc:Fallback>
            <w:pict>
              <v:shape id="_x0000_s1026" o:spid="_x0000_s1026" o:spt="109" type="#_x0000_t109" style="position:absolute;left:0pt;margin-left:193.9pt;margin-top:6.5pt;height:31.2pt;width:63pt;z-index:251672576;mso-width-relative:page;mso-height-relative:page;" fillcolor="#FFFFFF" filled="t" stroked="t" coordsize="21600,21600" o:gfxdata="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MBSKoNgAAAAJAQAA&#10;DwAAAAAAAAABACAAAAAiAAAAZHJzL2Rvd25yZXYueG1sUEsBAhQAFAAAAAgAh07iQHHHotoZAgAA&#10;QQQAAA4AAAAAAAAAAQAgAAAAJwEAAGRycy9lMm9Eb2MueG1sUEsFBgAAAAAGAAYAWQEAALIFAAAA&#10;AA==&#10;">
                <v:fill on="t" focussize="0,0"/>
                <v:stroke color="#000000" joinstyle="miter"/>
                <v:imagedata o:title=""/>
                <o:lock v:ext="edit" aspectratio="f"/>
                <v:textbox>
                  <w:txbxContent>
                    <w:p w14:paraId="1831E9FB">
                      <w:pPr>
                        <w:jc w:val="center"/>
                        <w:rPr>
                          <w:b w:val="0"/>
                          <w:bCs/>
                        </w:rPr>
                      </w:pPr>
                      <w:r>
                        <w:rPr>
                          <w:rFonts w:hint="eastAsia"/>
                          <w:b w:val="0"/>
                          <w:bCs/>
                        </w:rPr>
                        <w:t>造粒</w:t>
                      </w:r>
                    </w:p>
                  </w:txbxContent>
                </v:textbox>
              </v:shape>
            </w:pict>
          </mc:Fallback>
        </mc:AlternateContent>
      </w:r>
    </w:p>
    <w:p w14:paraId="44D9CD51"/>
    <w:p w14:paraId="56A2C476">
      <w:r>
        <w:rPr>
          <w:sz w:val="20"/>
        </w:rPr>
        <mc:AlternateContent>
          <mc:Choice Requires="wps">
            <w:drawing>
              <wp:anchor distT="0" distB="0" distL="114300" distR="114300" simplePos="0" relativeHeight="251668480" behindDoc="0" locked="0" layoutInCell="1" allowOverlap="1">
                <wp:simplePos x="0" y="0"/>
                <wp:positionH relativeFrom="column">
                  <wp:posOffset>2857500</wp:posOffset>
                </wp:positionH>
                <wp:positionV relativeFrom="paragraph">
                  <wp:posOffset>151130</wp:posOffset>
                </wp:positionV>
                <wp:extent cx="635" cy="297180"/>
                <wp:effectExtent l="37465" t="0" r="38100" b="7620"/>
                <wp:wrapNone/>
                <wp:docPr id="68" name="直接连接符 68"/>
                <wp:cNvGraphicFramePr/>
                <a:graphic xmlns:a="http://schemas.openxmlformats.org/drawingml/2006/main">
                  <a:graphicData uri="http://schemas.microsoft.com/office/word/2010/wordprocessingShape">
                    <wps:wsp>
                      <wps:cNvCnPr/>
                      <wps:spPr>
                        <a:xfrm>
                          <a:off x="0" y="0"/>
                          <a:ext cx="635" cy="29718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_x0000_s1026" o:spid="_x0000_s1026" o:spt="20" style="position:absolute;left:0pt;margin-left:225pt;margin-top:11.9pt;height:23.4pt;width:0.05pt;z-index:251668480;mso-width-relative:page;mso-height-relative:page;" filled="f" stroked="t" coordsize="21600,21600" o:gfxdata="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nYUmo9kAAAAJAQAADwAAAAAAAAABACAAAAAiAAAAZHJzL2Rvd25yZXYueG1s&#10;UEsBAhQAFAAAAAgAh07iQJbKaBb3AQAA3wMAAA4AAAAAAAAAAQAgAAAAKAEAAGRycy9lMm9Eb2Mu&#10;eG1sUEsFBgAAAAAGAAYAWQEAAJEFAAAAAA==&#10;">
                <v:fill on="f" focussize="0,0"/>
                <v:stroke color="#000000" joinstyle="round" endarrow="block"/>
                <v:imagedata o:title=""/>
                <o:lock v:ext="edit" aspectratio="f"/>
              </v:line>
            </w:pict>
          </mc:Fallback>
        </mc:AlternateContent>
      </w:r>
    </w:p>
    <w:p w14:paraId="7ED72805"/>
    <w:p w14:paraId="16EEA6E4">
      <w:r>
        <w:rPr>
          <w:sz w:val="20"/>
        </w:rPr>
        <mc:AlternateContent>
          <mc:Choice Requires="wps">
            <w:drawing>
              <wp:anchor distT="0" distB="0" distL="114300" distR="114300" simplePos="0" relativeHeight="251671552" behindDoc="0" locked="0" layoutInCell="1" allowOverlap="1">
                <wp:simplePos x="0" y="0"/>
                <wp:positionH relativeFrom="column">
                  <wp:posOffset>2461260</wp:posOffset>
                </wp:positionH>
                <wp:positionV relativeFrom="paragraph">
                  <wp:posOffset>108585</wp:posOffset>
                </wp:positionV>
                <wp:extent cx="800100" cy="396240"/>
                <wp:effectExtent l="4445" t="4445" r="8255" b="5715"/>
                <wp:wrapNone/>
                <wp:docPr id="78" name="流程图: 过程 78"/>
                <wp:cNvGraphicFramePr/>
                <a:graphic xmlns:a="http://schemas.openxmlformats.org/drawingml/2006/main">
                  <a:graphicData uri="http://schemas.microsoft.com/office/word/2010/wordprocessingShape">
                    <wps:wsp>
                      <wps:cNvSpPr/>
                      <wps:spPr>
                        <a:xfrm>
                          <a:off x="0" y="0"/>
                          <a:ext cx="800100" cy="39624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079E2C4F">
                            <w:pPr>
                              <w:jc w:val="center"/>
                              <w:rPr>
                                <w:b w:val="0"/>
                                <w:bCs/>
                              </w:rPr>
                            </w:pPr>
                            <w:r>
                              <w:rPr>
                                <w:rFonts w:hint="eastAsia"/>
                                <w:b w:val="0"/>
                                <w:bCs/>
                              </w:rPr>
                              <w:t>筛选</w:t>
                            </w:r>
                          </w:p>
                        </w:txbxContent>
                      </wps:txbx>
                      <wps:bodyPr upright="1"/>
                    </wps:wsp>
                  </a:graphicData>
                </a:graphic>
              </wp:anchor>
            </w:drawing>
          </mc:Choice>
          <mc:Fallback>
            <w:pict>
              <v:shape id="_x0000_s1026" o:spid="_x0000_s1026" o:spt="109" type="#_x0000_t109" style="position:absolute;left:0pt;margin-left:193.8pt;margin-top:8.55pt;height:31.2pt;width:63pt;z-index:251671552;mso-width-relative:page;mso-height-relative:page;" fillcolor="#FFFFFF" filled="t" stroked="t" coordsize="21600,21600" o:gfxdata="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Pn0ZlfZAAAACQEA&#10;AA8AAAAAAAAAAQAgAAAAIgAAAGRycy9kb3ducmV2LnhtbFBLAQIUABQAAAAIAIdO4kB4lkgrGQIA&#10;AEEEAAAOAAAAAAAAAAEAIAAAACgBAABkcnMvZTJvRG9jLnhtbFBLBQYAAAAABgAGAFkBAACzBQAA&#10;AAA=&#10;">
                <v:fill on="t" focussize="0,0"/>
                <v:stroke color="#000000" joinstyle="miter"/>
                <v:imagedata o:title=""/>
                <o:lock v:ext="edit" aspectratio="f"/>
                <v:textbox>
                  <w:txbxContent>
                    <w:p w14:paraId="079E2C4F">
                      <w:pPr>
                        <w:jc w:val="center"/>
                        <w:rPr>
                          <w:b w:val="0"/>
                          <w:bCs/>
                        </w:rPr>
                      </w:pPr>
                      <w:r>
                        <w:rPr>
                          <w:rFonts w:hint="eastAsia"/>
                          <w:b w:val="0"/>
                          <w:bCs/>
                        </w:rPr>
                        <w:t>筛选</w:t>
                      </w:r>
                    </w:p>
                  </w:txbxContent>
                </v:textbox>
              </v:shape>
            </w:pict>
          </mc:Fallback>
        </mc:AlternateContent>
      </w:r>
    </w:p>
    <w:p w14:paraId="78988BA2">
      <w:pPr>
        <w:pStyle w:val="151"/>
        <w:widowControl w:val="0"/>
        <w:rPr>
          <w:kern w:val="2"/>
          <w:szCs w:val="24"/>
        </w:rPr>
      </w:pPr>
    </w:p>
    <w:p w14:paraId="07ACAFBB">
      <w:r>
        <w:rPr>
          <w:sz w:val="20"/>
        </w:rPr>
        <mc:AlternateContent>
          <mc:Choice Requires="wps">
            <w:drawing>
              <wp:anchor distT="0" distB="0" distL="114300" distR="114300" simplePos="0" relativeHeight="251667456" behindDoc="0" locked="0" layoutInCell="1" allowOverlap="1">
                <wp:simplePos x="0" y="0"/>
                <wp:positionH relativeFrom="column">
                  <wp:posOffset>2857500</wp:posOffset>
                </wp:positionH>
                <wp:positionV relativeFrom="paragraph">
                  <wp:posOffset>68580</wp:posOffset>
                </wp:positionV>
                <wp:extent cx="635" cy="396240"/>
                <wp:effectExtent l="37465" t="0" r="38100" b="10160"/>
                <wp:wrapNone/>
                <wp:docPr id="77" name="直接连接符 77"/>
                <wp:cNvGraphicFramePr/>
                <a:graphic xmlns:a="http://schemas.openxmlformats.org/drawingml/2006/main">
                  <a:graphicData uri="http://schemas.microsoft.com/office/word/2010/wordprocessingShape">
                    <wps:wsp>
                      <wps:cNvCnPr/>
                      <wps:spPr>
                        <a:xfrm>
                          <a:off x="0" y="0"/>
                          <a:ext cx="635" cy="39624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_x0000_s1026" o:spid="_x0000_s1026" o:spt="20" style="position:absolute;left:0pt;margin-left:225pt;margin-top:5.4pt;height:31.2pt;width:0.05pt;z-index:251667456;mso-width-relative:page;mso-height-relative:page;" filled="f" stroked="t" coordsize="21600,21600" o:gfxdata="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y+m7y2AAAAAkBAAAPAAAAAAAAAAEAIAAAACIAAABkcnMvZG93bnJldi54bWxQ&#10;SwECFAAUAAAACACHTuJArq0ex/cBAADfAwAADgAAAAAAAAABACAAAAAnAQAAZHJzL2Uyb0RvYy54&#10;bWxQSwUGAAAAAAYABgBZAQAAkAUAAAAA&#10;">
                <v:fill on="f" focussize="0,0"/>
                <v:stroke color="#000000" joinstyle="round" endarrow="block"/>
                <v:imagedata o:title=""/>
                <o:lock v:ext="edit" aspectratio="f"/>
              </v:line>
            </w:pict>
          </mc:Fallback>
        </mc:AlternateContent>
      </w:r>
    </w:p>
    <w:p w14:paraId="5A9D58D6"/>
    <w:p w14:paraId="70B965E3">
      <w:r>
        <w:rPr>
          <w:sz w:val="20"/>
        </w:rPr>
        <mc:AlternateContent>
          <mc:Choice Requires="wps">
            <w:drawing>
              <wp:anchor distT="0" distB="0" distL="114300" distR="114300" simplePos="0" relativeHeight="251670528" behindDoc="0" locked="0" layoutInCell="1" allowOverlap="1">
                <wp:simplePos x="0" y="0"/>
                <wp:positionH relativeFrom="column">
                  <wp:posOffset>2462530</wp:posOffset>
                </wp:positionH>
                <wp:positionV relativeFrom="paragraph">
                  <wp:posOffset>126365</wp:posOffset>
                </wp:positionV>
                <wp:extent cx="800100" cy="396240"/>
                <wp:effectExtent l="4445" t="4445" r="8255" b="5715"/>
                <wp:wrapNone/>
                <wp:docPr id="73" name="流程图: 过程 73"/>
                <wp:cNvGraphicFramePr/>
                <a:graphic xmlns:a="http://schemas.openxmlformats.org/drawingml/2006/main">
                  <a:graphicData uri="http://schemas.microsoft.com/office/word/2010/wordprocessingShape">
                    <wps:wsp>
                      <wps:cNvSpPr/>
                      <wps:spPr>
                        <a:xfrm>
                          <a:off x="0" y="0"/>
                          <a:ext cx="800100" cy="39624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599EB857">
                            <w:pPr>
                              <w:jc w:val="center"/>
                              <w:rPr>
                                <w:b w:val="0"/>
                                <w:bCs/>
                              </w:rPr>
                            </w:pPr>
                            <w:r>
                              <w:rPr>
                                <w:rFonts w:hint="eastAsia"/>
                                <w:b w:val="0"/>
                                <w:bCs/>
                              </w:rPr>
                              <w:t>干燥</w:t>
                            </w:r>
                          </w:p>
                        </w:txbxContent>
                      </wps:txbx>
                      <wps:bodyPr upright="1"/>
                    </wps:wsp>
                  </a:graphicData>
                </a:graphic>
              </wp:anchor>
            </w:drawing>
          </mc:Choice>
          <mc:Fallback>
            <w:pict>
              <v:shape id="_x0000_s1026" o:spid="_x0000_s1026" o:spt="109" type="#_x0000_t109" style="position:absolute;left:0pt;margin-left:193.9pt;margin-top:9.95pt;height:31.2pt;width:63pt;z-index:251670528;mso-width-relative:page;mso-height-relative:page;" fillcolor="#FFFFFF" filled="t" stroked="t" coordsize="21600,21600" o:gfxdata="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8VgKk2QAAAAkB&#10;AAAPAAAAAAAAAAEAIAAAACIAAABkcnMvZG93bnJldi54bWxQSwECFAAUAAAACACHTuJAZtVFtBoC&#10;AABBBAAADgAAAAAAAAABACAAAAAoAQAAZHJzL2Uyb0RvYy54bWxQSwUGAAAAAAYABgBZAQAAtAUA&#10;AAAA&#10;">
                <v:fill on="t" focussize="0,0"/>
                <v:stroke color="#000000" joinstyle="miter"/>
                <v:imagedata o:title=""/>
                <o:lock v:ext="edit" aspectratio="f"/>
                <v:textbox>
                  <w:txbxContent>
                    <w:p w14:paraId="599EB857">
                      <w:pPr>
                        <w:jc w:val="center"/>
                        <w:rPr>
                          <w:b w:val="0"/>
                          <w:bCs/>
                        </w:rPr>
                      </w:pPr>
                      <w:r>
                        <w:rPr>
                          <w:rFonts w:hint="eastAsia"/>
                          <w:b w:val="0"/>
                          <w:bCs/>
                        </w:rPr>
                        <w:t>干燥</w:t>
                      </w:r>
                    </w:p>
                  </w:txbxContent>
                </v:textbox>
              </v:shape>
            </w:pict>
          </mc:Fallback>
        </mc:AlternateContent>
      </w:r>
    </w:p>
    <w:p w14:paraId="5D86DEEE"/>
    <w:p w14:paraId="5866180D"/>
    <w:p w14:paraId="7652E8BC">
      <w:r>
        <w:rPr>
          <w:sz w:val="20"/>
        </w:rPr>
        <mc:AlternateContent>
          <mc:Choice Requires="wps">
            <w:drawing>
              <wp:anchor distT="0" distB="0" distL="114300" distR="114300" simplePos="0" relativeHeight="251665408" behindDoc="0" locked="0" layoutInCell="1" allowOverlap="1">
                <wp:simplePos x="0" y="0"/>
                <wp:positionH relativeFrom="column">
                  <wp:posOffset>2857500</wp:posOffset>
                </wp:positionH>
                <wp:positionV relativeFrom="paragraph">
                  <wp:posOffset>3175</wp:posOffset>
                </wp:positionV>
                <wp:extent cx="0" cy="297180"/>
                <wp:effectExtent l="38100" t="0" r="38100" b="7620"/>
                <wp:wrapNone/>
                <wp:docPr id="71" name="直接连接符 71"/>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_x0000_s1026" o:spid="_x0000_s1026" o:spt="20" style="position:absolute;left:0pt;margin-left:225pt;margin-top:0.25pt;height:23.4pt;width:0pt;z-index:251665408;mso-width-relative:page;mso-height-relative:page;" filled="f" stroked="t" coordsize="21600,21600" o:gfxdata="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b5TZPNYAAAAHAQAADwAAAAAAAAABACAAAAAiAAAAZHJzL2Rvd25yZXYueG1sUEsBAhQA&#10;FAAAAAgAh07iQACyBI70AQAA3QMAAA4AAAAAAAAAAQAgAAAAJQEAAGRycy9lMm9Eb2MueG1sUEsF&#10;BgAAAAAGAAYAWQEAAIsFAAAAAA==&#10;">
                <v:fill on="f" focussize="0,0"/>
                <v:stroke color="#000000" joinstyle="round" endarrow="block"/>
                <v:imagedata o:title=""/>
                <o:lock v:ext="edit" aspectratio="f"/>
              </v:line>
            </w:pict>
          </mc:Fallback>
        </mc:AlternateContent>
      </w:r>
    </w:p>
    <w:p w14:paraId="7D41F8DD">
      <w:r>
        <w:rPr>
          <w:sz w:val="20"/>
        </w:rPr>
        <mc:AlternateContent>
          <mc:Choice Requires="wps">
            <w:drawing>
              <wp:anchor distT="0" distB="0" distL="114300" distR="114300" simplePos="0" relativeHeight="251678720" behindDoc="0" locked="0" layoutInCell="1" allowOverlap="1">
                <wp:simplePos x="0" y="0"/>
                <wp:positionH relativeFrom="column">
                  <wp:posOffset>2461260</wp:posOffset>
                </wp:positionH>
                <wp:positionV relativeFrom="paragraph">
                  <wp:posOffset>136525</wp:posOffset>
                </wp:positionV>
                <wp:extent cx="800100" cy="396240"/>
                <wp:effectExtent l="4445" t="4445" r="8255" b="5715"/>
                <wp:wrapNone/>
                <wp:docPr id="67" name="流程图: 过程 67"/>
                <wp:cNvGraphicFramePr/>
                <a:graphic xmlns:a="http://schemas.openxmlformats.org/drawingml/2006/main">
                  <a:graphicData uri="http://schemas.microsoft.com/office/word/2010/wordprocessingShape">
                    <wps:wsp>
                      <wps:cNvSpPr/>
                      <wps:spPr>
                        <a:xfrm>
                          <a:off x="0" y="0"/>
                          <a:ext cx="800100" cy="39624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3F3B39FE">
                            <w:pPr>
                              <w:jc w:val="center"/>
                              <w:rPr>
                                <w:b w:val="0"/>
                                <w:bCs/>
                              </w:rPr>
                            </w:pPr>
                            <w:r>
                              <w:rPr>
                                <w:rFonts w:hint="eastAsia"/>
                                <w:b w:val="0"/>
                                <w:bCs/>
                              </w:rPr>
                              <w:t>散热</w:t>
                            </w:r>
                          </w:p>
                        </w:txbxContent>
                      </wps:txbx>
                      <wps:bodyPr upright="1"/>
                    </wps:wsp>
                  </a:graphicData>
                </a:graphic>
              </wp:anchor>
            </w:drawing>
          </mc:Choice>
          <mc:Fallback>
            <w:pict>
              <v:shape id="_x0000_s1026" o:spid="_x0000_s1026" o:spt="109" type="#_x0000_t109" style="position:absolute;left:0pt;margin-left:193.8pt;margin-top:10.75pt;height:31.2pt;width:63pt;z-index:251678720;mso-width-relative:page;mso-height-relative:page;" fillcolor="#FFFFFF" filled="t" stroked="t" coordsize="21600,21600" o:gfxdata="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7dVt2QAAAAkB&#10;AAAPAAAAAAAAAAEAIAAAACIAAABkcnMvZG93bnJldi54bWxQSwECFAAUAAAACACHTuJAZYwbChoC&#10;AABBBAAADgAAAAAAAAABACAAAAAoAQAAZHJzL2Uyb0RvYy54bWxQSwUGAAAAAAYABgBZAQAAtAUA&#10;AAAA&#10;">
                <v:fill on="t" focussize="0,0"/>
                <v:stroke color="#000000" joinstyle="miter"/>
                <v:imagedata o:title=""/>
                <o:lock v:ext="edit" aspectratio="f"/>
                <v:textbox>
                  <w:txbxContent>
                    <w:p w14:paraId="3F3B39FE">
                      <w:pPr>
                        <w:jc w:val="center"/>
                        <w:rPr>
                          <w:b w:val="0"/>
                          <w:bCs/>
                        </w:rPr>
                      </w:pPr>
                      <w:r>
                        <w:rPr>
                          <w:rFonts w:hint="eastAsia"/>
                          <w:b w:val="0"/>
                          <w:bCs/>
                        </w:rPr>
                        <w:t>散热</w:t>
                      </w:r>
                    </w:p>
                  </w:txbxContent>
                </v:textbox>
              </v:shape>
            </w:pict>
          </mc:Fallback>
        </mc:AlternateContent>
      </w:r>
    </w:p>
    <w:p w14:paraId="6047DB6A"/>
    <w:p w14:paraId="7A91E40B"/>
    <w:p w14:paraId="0531D473">
      <w:r>
        <w:rPr>
          <w:sz w:val="20"/>
        </w:rPr>
        <mc:AlternateContent>
          <mc:Choice Requires="wps">
            <w:drawing>
              <wp:anchor distT="0" distB="0" distL="114300" distR="114300" simplePos="0" relativeHeight="251666432" behindDoc="0" locked="0" layoutInCell="1" allowOverlap="1">
                <wp:simplePos x="0" y="0"/>
                <wp:positionH relativeFrom="column">
                  <wp:posOffset>2857500</wp:posOffset>
                </wp:positionH>
                <wp:positionV relativeFrom="paragraph">
                  <wp:posOffset>24765</wp:posOffset>
                </wp:positionV>
                <wp:extent cx="0" cy="297180"/>
                <wp:effectExtent l="38100" t="0" r="38100" b="7620"/>
                <wp:wrapNone/>
                <wp:docPr id="69" name="直接连接符 69"/>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_x0000_s1026" o:spid="_x0000_s1026" o:spt="20" style="position:absolute;left:0pt;margin-left:225pt;margin-top:1.95pt;height:23.4pt;width:0pt;z-index:251666432;mso-width-relative:page;mso-height-relative:page;" filled="f" stroked="t" coordsize="21600,21600" o:gfxdata="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MhGsr2AAAAAgBAAAPAAAAAAAAAAEAIAAAACIAAABkcnMvZG93bnJldi54bWxQSwEC&#10;FAAUAAAACACHTuJA3rTwRPQBAADdAwAADgAAAAAAAAABACAAAAAnAQAAZHJzL2Uyb0RvYy54bWxQ&#10;SwUGAAAAAAYABgBZAQAAjQUAAAAA&#10;">
                <v:fill on="f" focussize="0,0"/>
                <v:stroke color="#000000" joinstyle="round" endarrow="block"/>
                <v:imagedata o:title=""/>
                <o:lock v:ext="edit" aspectratio="f"/>
              </v:line>
            </w:pict>
          </mc:Fallback>
        </mc:AlternateContent>
      </w:r>
    </w:p>
    <w:p w14:paraId="73AC84E1">
      <w:r>
        <w:rPr>
          <w:sz w:val="20"/>
        </w:rPr>
        <mc:AlternateContent>
          <mc:Choice Requires="wps">
            <w:drawing>
              <wp:anchor distT="0" distB="0" distL="114300" distR="114300" simplePos="0" relativeHeight="251677696" behindDoc="0" locked="0" layoutInCell="1" allowOverlap="1">
                <wp:simplePos x="0" y="0"/>
                <wp:positionH relativeFrom="column">
                  <wp:posOffset>2213610</wp:posOffset>
                </wp:positionH>
                <wp:positionV relativeFrom="paragraph">
                  <wp:posOffset>153035</wp:posOffset>
                </wp:positionV>
                <wp:extent cx="1281430" cy="396240"/>
                <wp:effectExtent l="4445" t="4445" r="9525" b="5715"/>
                <wp:wrapNone/>
                <wp:docPr id="79" name="流程图: 过程 79"/>
                <wp:cNvGraphicFramePr/>
                <a:graphic xmlns:a="http://schemas.openxmlformats.org/drawingml/2006/main">
                  <a:graphicData uri="http://schemas.microsoft.com/office/word/2010/wordprocessingShape">
                    <wps:wsp>
                      <wps:cNvSpPr/>
                      <wps:spPr>
                        <a:xfrm>
                          <a:off x="0" y="0"/>
                          <a:ext cx="1281430" cy="39624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3FEA9AED">
                            <w:pPr>
                              <w:rPr>
                                <w:b w:val="0"/>
                                <w:bCs/>
                              </w:rPr>
                            </w:pPr>
                            <w:r>
                              <w:rPr>
                                <w:rFonts w:hint="eastAsia"/>
                                <w:b w:val="0"/>
                                <w:bCs/>
                              </w:rPr>
                              <w:t>收取、计量、包装</w:t>
                            </w:r>
                          </w:p>
                          <w:p w14:paraId="64D0B806"/>
                        </w:txbxContent>
                      </wps:txbx>
                      <wps:bodyPr upright="1"/>
                    </wps:wsp>
                  </a:graphicData>
                </a:graphic>
              </wp:anchor>
            </w:drawing>
          </mc:Choice>
          <mc:Fallback>
            <w:pict>
              <v:shape id="_x0000_s1026" o:spid="_x0000_s1026" o:spt="109" type="#_x0000_t109" style="position:absolute;left:0pt;margin-left:174.3pt;margin-top:12.05pt;height:31.2pt;width:100.9pt;z-index:251677696;mso-width-relative:page;mso-height-relative:page;" fillcolor="#FFFFFF" filled="t" stroked="t" coordsize="21600,21600" o:gfxdata="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U1vSVNgAAAAJ&#10;AQAADwAAAAAAAAABACAAAAAiAAAAZHJzL2Rvd25yZXYueG1sUEsBAhQAFAAAAAgAh07iQN8Oyc4c&#10;AgAAQgQAAA4AAAAAAAAAAQAgAAAAJwEAAGRycy9lMm9Eb2MueG1sUEsFBgAAAAAGAAYAWQEAALUF&#10;AAAAAA==&#10;">
                <v:fill on="t" focussize="0,0"/>
                <v:stroke color="#000000" joinstyle="miter"/>
                <v:imagedata o:title=""/>
                <o:lock v:ext="edit" aspectratio="f"/>
                <v:textbox>
                  <w:txbxContent>
                    <w:p w14:paraId="3FEA9AED">
                      <w:pPr>
                        <w:rPr>
                          <w:b w:val="0"/>
                          <w:bCs/>
                        </w:rPr>
                      </w:pPr>
                      <w:r>
                        <w:rPr>
                          <w:rFonts w:hint="eastAsia"/>
                          <w:b w:val="0"/>
                          <w:bCs/>
                        </w:rPr>
                        <w:t>收取、计量、包装</w:t>
                      </w:r>
                    </w:p>
                    <w:p w14:paraId="64D0B806"/>
                  </w:txbxContent>
                </v:textbox>
              </v:shape>
            </w:pict>
          </mc:Fallback>
        </mc:AlternateContent>
      </w:r>
    </w:p>
    <w:p w14:paraId="08D1A732">
      <w:pPr>
        <w:spacing w:after="100" w:afterAutospacing="1"/>
        <w:jc w:val="center"/>
        <w:rPr>
          <w:rFonts w:ascii="宋体" w:hAnsi="宋体" w:cs="宋体"/>
          <w:color w:val="000000"/>
          <w:szCs w:val="28"/>
        </w:rPr>
      </w:pPr>
    </w:p>
    <w:p w14:paraId="42945379">
      <w:pPr>
        <w:spacing w:after="100" w:afterAutospacing="1"/>
        <w:jc w:val="center"/>
        <w:rPr>
          <w:rFonts w:ascii="宋体" w:hAnsi="宋体" w:cs="宋体"/>
          <w:color w:val="000000"/>
          <w:szCs w:val="28"/>
        </w:rPr>
      </w:pPr>
      <w:r>
        <w:rPr>
          <w:sz w:val="20"/>
        </w:rPr>
        <mc:AlternateContent>
          <mc:Choice Requires="wps">
            <w:drawing>
              <wp:anchor distT="0" distB="0" distL="114300" distR="114300" simplePos="0" relativeHeight="251669504" behindDoc="0" locked="0" layoutInCell="1" allowOverlap="1">
                <wp:simplePos x="0" y="0"/>
                <wp:positionH relativeFrom="column">
                  <wp:posOffset>2857500</wp:posOffset>
                </wp:positionH>
                <wp:positionV relativeFrom="paragraph">
                  <wp:posOffset>49530</wp:posOffset>
                </wp:positionV>
                <wp:extent cx="0" cy="297180"/>
                <wp:effectExtent l="38100" t="0" r="38100" b="7620"/>
                <wp:wrapNone/>
                <wp:docPr id="74" name="直接连接符 74"/>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_x0000_s1026" o:spid="_x0000_s1026" o:spt="20" style="position:absolute;left:0pt;margin-left:225pt;margin-top:3.9pt;height:23.4pt;width:0pt;z-index:251669504;mso-width-relative:page;mso-height-relative:page;" filled="f" stroked="t" coordsize="21600,21600" o:gfxdata="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nbUdJ2AAAAAgBAAAPAAAAAAAAAAEAIAAAACIAAABkcnMvZG93bnJldi54bWxQSwEC&#10;FAAUAAAACACHTuJAgPOFT/QBAADdAwAADgAAAAAAAAABACAAAAAnAQAAZHJzL2Uyb0RvYy54bWxQ&#10;SwUGAAAAAAYABgBZAQAAjQUAAAAA&#10;">
                <v:fill on="f" focussize="0,0"/>
                <v:stroke color="#000000" joinstyle="round" endarrow="block"/>
                <v:imagedata o:title=""/>
                <o:lock v:ext="edit" aspectratio="f"/>
              </v:line>
            </w:pict>
          </mc:Fallback>
        </mc:AlternateContent>
      </w:r>
      <w:r>
        <w:rPr>
          <w:sz w:val="20"/>
        </w:rPr>
        <mc:AlternateContent>
          <mc:Choice Requires="wps">
            <w:drawing>
              <wp:anchor distT="0" distB="0" distL="114300" distR="114300" simplePos="0" relativeHeight="251676672" behindDoc="0" locked="0" layoutInCell="1" allowOverlap="1">
                <wp:simplePos x="0" y="0"/>
                <wp:positionH relativeFrom="column">
                  <wp:posOffset>2312670</wp:posOffset>
                </wp:positionH>
                <wp:positionV relativeFrom="paragraph">
                  <wp:posOffset>328295</wp:posOffset>
                </wp:positionV>
                <wp:extent cx="1079500" cy="396240"/>
                <wp:effectExtent l="4445" t="4445" r="8255" b="5715"/>
                <wp:wrapNone/>
                <wp:docPr id="83" name="流程图: 过程 83"/>
                <wp:cNvGraphicFramePr/>
                <a:graphic xmlns:a="http://schemas.openxmlformats.org/drawingml/2006/main">
                  <a:graphicData uri="http://schemas.microsoft.com/office/word/2010/wordprocessingShape">
                    <wps:wsp>
                      <wps:cNvSpPr/>
                      <wps:spPr>
                        <a:xfrm>
                          <a:off x="0" y="0"/>
                          <a:ext cx="1079500" cy="39624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1844A0A4">
                            <w:pPr>
                              <w:jc w:val="center"/>
                              <w:rPr>
                                <w:b w:val="0"/>
                                <w:bCs/>
                              </w:rPr>
                            </w:pPr>
                            <w:r>
                              <w:rPr>
                                <w:rFonts w:hint="eastAsia"/>
                                <w:b w:val="0"/>
                                <w:bCs/>
                              </w:rPr>
                              <w:t>储存（药粒）</w:t>
                            </w:r>
                          </w:p>
                        </w:txbxContent>
                      </wps:txbx>
                      <wps:bodyPr upright="1"/>
                    </wps:wsp>
                  </a:graphicData>
                </a:graphic>
              </wp:anchor>
            </w:drawing>
          </mc:Choice>
          <mc:Fallback>
            <w:pict>
              <v:shape id="_x0000_s1026" o:spid="_x0000_s1026" o:spt="109" type="#_x0000_t109" style="position:absolute;left:0pt;margin-left:182.1pt;margin-top:25.85pt;height:31.2pt;width:85pt;z-index:251676672;mso-width-relative:page;mso-height-relative:page;" fillcolor="#FFFFFF" filled="t" stroked="t" coordsize="21600,21600" o:gfxdata="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c2BEnZAAAA&#10;CgEAAA8AAAAAAAAAAQAgAAAAIgAAAGRycy9kb3ducmV2LnhtbFBLAQIUABQAAAAIAIdO4kCCf41X&#10;HAIAAEIEAAAOAAAAAAAAAAEAIAAAACgBAABkcnMvZTJvRG9jLnhtbFBLBQYAAAAABgAGAFkBAAC2&#10;BQAAAAA=&#10;">
                <v:fill on="t" focussize="0,0"/>
                <v:stroke color="#000000" joinstyle="miter"/>
                <v:imagedata o:title=""/>
                <o:lock v:ext="edit" aspectratio="f"/>
                <v:textbox>
                  <w:txbxContent>
                    <w:p w14:paraId="1844A0A4">
                      <w:pPr>
                        <w:jc w:val="center"/>
                        <w:rPr>
                          <w:b w:val="0"/>
                          <w:bCs/>
                        </w:rPr>
                      </w:pPr>
                      <w:r>
                        <w:rPr>
                          <w:rFonts w:hint="eastAsia"/>
                          <w:b w:val="0"/>
                          <w:bCs/>
                        </w:rPr>
                        <w:t>储存（药粒）</w:t>
                      </w:r>
                    </w:p>
                  </w:txbxContent>
                </v:textbox>
              </v:shape>
            </w:pict>
          </mc:Fallback>
        </mc:AlternateContent>
      </w:r>
    </w:p>
    <w:p w14:paraId="18EDA2DF">
      <w:pPr>
        <w:spacing w:after="100" w:afterAutospacing="1"/>
        <w:jc w:val="center"/>
        <w:rPr>
          <w:rFonts w:ascii="宋体" w:hAnsi="宋体" w:cs="宋体"/>
          <w:color w:val="000000"/>
          <w:szCs w:val="28"/>
        </w:rPr>
      </w:pPr>
    </w:p>
    <w:p w14:paraId="5732F1FC">
      <w:pPr>
        <w:pStyle w:val="87"/>
        <w:ind w:firstLine="0" w:firstLineChars="0"/>
      </w:pPr>
    </w:p>
    <w:p w14:paraId="30183045">
      <w:pPr>
        <w:widowControl/>
        <w:spacing w:line="360" w:lineRule="auto"/>
        <w:jc w:val="center"/>
        <w:rPr>
          <w:rFonts w:ascii="黑体" w:hAnsi="黑体" w:eastAsia="黑体"/>
          <w:b w:val="0"/>
          <w:kern w:val="0"/>
          <w:sz w:val="24"/>
        </w:rPr>
      </w:pPr>
      <w:r>
        <w:rPr>
          <w:rFonts w:ascii="黑体" w:hAnsi="黑体" w:eastAsia="黑体"/>
          <w:b w:val="0"/>
          <w:kern w:val="0"/>
          <w:sz w:val="24"/>
        </w:rPr>
        <w:t>图</w:t>
      </w:r>
      <w:r>
        <w:rPr>
          <w:rFonts w:hint="eastAsia" w:ascii="黑体" w:hAnsi="黑体" w:eastAsia="黑体"/>
          <w:b w:val="0"/>
          <w:kern w:val="0"/>
          <w:sz w:val="24"/>
        </w:rPr>
        <w:t>2.5-</w:t>
      </w:r>
      <w:r>
        <w:rPr>
          <w:rFonts w:ascii="黑体" w:hAnsi="黑体" w:eastAsia="黑体"/>
          <w:b w:val="0"/>
          <w:kern w:val="0"/>
          <w:sz w:val="24"/>
        </w:rPr>
        <w:t>2</w:t>
      </w:r>
      <w:r>
        <w:rPr>
          <w:rFonts w:hint="eastAsia" w:ascii="黑体" w:hAnsi="黑体" w:eastAsia="黑体"/>
          <w:b w:val="0"/>
          <w:kern w:val="0"/>
          <w:sz w:val="24"/>
        </w:rPr>
        <w:t>亮珠生产工艺流程图</w:t>
      </w:r>
    </w:p>
    <w:p w14:paraId="1BAD5C55">
      <w:pPr>
        <w:widowControl/>
        <w:spacing w:line="360" w:lineRule="auto"/>
        <w:jc w:val="center"/>
        <w:rPr>
          <w:rFonts w:ascii="黑体" w:hAnsi="黑体" w:eastAsia="黑体"/>
          <w:b w:val="0"/>
          <w:kern w:val="0"/>
          <w:sz w:val="24"/>
        </w:rPr>
      </w:pPr>
    </w:p>
    <w:p w14:paraId="5422B9DB">
      <w:pPr>
        <w:widowControl/>
        <w:spacing w:line="360" w:lineRule="auto"/>
        <w:jc w:val="center"/>
        <w:rPr>
          <w:rFonts w:ascii="黑体" w:hAnsi="黑体" w:eastAsia="黑体"/>
          <w:b w:val="0"/>
          <w:kern w:val="0"/>
          <w:sz w:val="24"/>
        </w:rPr>
      </w:pPr>
    </w:p>
    <w:p w14:paraId="25170DF6">
      <w:pPr>
        <w:widowControl/>
        <w:spacing w:line="360" w:lineRule="auto"/>
        <w:jc w:val="center"/>
        <w:rPr>
          <w:rFonts w:ascii="黑体" w:hAnsi="黑体" w:eastAsia="黑体"/>
          <w:b w:val="0"/>
          <w:kern w:val="0"/>
          <w:sz w:val="24"/>
        </w:rPr>
      </w:pPr>
    </w:p>
    <w:p w14:paraId="132F3F63">
      <w:pPr>
        <w:widowControl/>
        <w:spacing w:line="360" w:lineRule="auto"/>
        <w:jc w:val="center"/>
        <w:rPr>
          <w:rFonts w:ascii="黑体" w:hAnsi="黑体" w:eastAsia="黑体"/>
          <w:b w:val="0"/>
          <w:kern w:val="0"/>
          <w:sz w:val="24"/>
        </w:rPr>
      </w:pPr>
    </w:p>
    <w:p w14:paraId="6668987E">
      <w:pPr>
        <w:widowControl/>
        <w:spacing w:line="360" w:lineRule="auto"/>
        <w:jc w:val="center"/>
        <w:rPr>
          <w:rFonts w:ascii="黑体" w:hAnsi="黑体" w:eastAsia="黑体"/>
          <w:b w:val="0"/>
          <w:kern w:val="0"/>
          <w:sz w:val="24"/>
        </w:rPr>
      </w:pPr>
    </w:p>
    <w:p w14:paraId="3D7EFBCB">
      <w:pPr>
        <w:keepNext/>
        <w:keepLines/>
        <w:spacing w:before="120" w:beforeLines="50" w:line="360" w:lineRule="auto"/>
        <w:outlineLvl w:val="1"/>
        <w:rPr>
          <w:rFonts w:ascii="黑体" w:hAnsi="宋体" w:eastAsia="黑体"/>
          <w:b w:val="0"/>
          <w:bCs/>
          <w:snapToGrid w:val="0"/>
          <w:sz w:val="30"/>
          <w:szCs w:val="30"/>
        </w:rPr>
      </w:pPr>
      <w:bookmarkStart w:id="122" w:name="_Toc32765"/>
      <w:r>
        <w:rPr>
          <w:rFonts w:hint="eastAsia" w:ascii="黑体" w:hAnsi="宋体" w:eastAsia="黑体"/>
          <w:b w:val="0"/>
          <w:bCs/>
          <w:snapToGrid w:val="0"/>
          <w:sz w:val="30"/>
          <w:szCs w:val="30"/>
        </w:rPr>
        <w:t>2.6原材料预计用量</w:t>
      </w:r>
      <w:bookmarkEnd w:id="122"/>
    </w:p>
    <w:p w14:paraId="42D6C025">
      <w:pPr>
        <w:spacing w:line="360" w:lineRule="auto"/>
        <w:ind w:firstLine="560" w:firstLineChars="200"/>
        <w:jc w:val="left"/>
        <w:rPr>
          <w:rFonts w:ascii="黑体" w:hAnsi="黑体" w:eastAsia="黑体"/>
          <w:b w:val="0"/>
          <w:bCs/>
          <w:sz w:val="24"/>
        </w:rPr>
      </w:pPr>
      <w:r>
        <w:rPr>
          <w:rFonts w:hint="eastAsia" w:ascii="宋体" w:hAnsi="宋体"/>
          <w:b w:val="0"/>
          <w:bCs/>
          <w:sz w:val="28"/>
        </w:rPr>
        <w:t>浏阳市太平复兴花炮厂（个人独资）烟花生产使用的原材料用量情况如表</w:t>
      </w:r>
      <w:r>
        <w:rPr>
          <w:rFonts w:ascii="宋体" w:hAnsi="宋体"/>
          <w:b w:val="0"/>
          <w:bCs/>
          <w:sz w:val="28"/>
        </w:rPr>
        <w:t>2.</w:t>
      </w:r>
      <w:r>
        <w:rPr>
          <w:rFonts w:hint="eastAsia" w:ascii="宋体" w:hAnsi="宋体"/>
          <w:b w:val="0"/>
          <w:bCs/>
          <w:sz w:val="28"/>
        </w:rPr>
        <w:t>6</w:t>
      </w:r>
      <w:r>
        <w:rPr>
          <w:rFonts w:ascii="宋体" w:hAnsi="宋体"/>
          <w:b w:val="0"/>
          <w:bCs/>
          <w:sz w:val="28"/>
        </w:rPr>
        <w:t>-1</w:t>
      </w:r>
      <w:r>
        <w:rPr>
          <w:rFonts w:hint="eastAsia" w:ascii="宋体" w:hAnsi="宋体"/>
          <w:b w:val="0"/>
          <w:bCs/>
          <w:sz w:val="28"/>
        </w:rPr>
        <w:t>所示。</w:t>
      </w:r>
    </w:p>
    <w:p w14:paraId="43CC0CA1">
      <w:pPr>
        <w:jc w:val="center"/>
        <w:rPr>
          <w:rFonts w:ascii="黑体" w:hAnsi="黑体" w:eastAsia="黑体"/>
          <w:b w:val="0"/>
          <w:bCs/>
          <w:color w:val="000000" w:themeColor="text1"/>
          <w:sz w:val="24"/>
          <w14:textFill>
            <w14:solidFill>
              <w14:schemeClr w14:val="tx1"/>
            </w14:solidFill>
          </w14:textFill>
        </w:rPr>
      </w:pPr>
      <w:r>
        <w:rPr>
          <w:rFonts w:hint="eastAsia" w:ascii="黑体" w:hAnsi="黑体" w:eastAsia="黑体"/>
          <w:b w:val="0"/>
          <w:bCs/>
          <w:color w:val="000000" w:themeColor="text1"/>
          <w:sz w:val="24"/>
          <w14:textFill>
            <w14:solidFill>
              <w14:schemeClr w14:val="tx1"/>
            </w14:solidFill>
          </w14:textFill>
        </w:rPr>
        <w:t>表2.6-1  主要原辅材料预计用量一览表</w:t>
      </w:r>
    </w:p>
    <w:tbl>
      <w:tblPr>
        <w:tblStyle w:val="88"/>
        <w:tblW w:w="4703"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37"/>
        <w:gridCol w:w="2309"/>
        <w:gridCol w:w="1998"/>
        <w:gridCol w:w="1428"/>
        <w:gridCol w:w="2064"/>
      </w:tblGrid>
      <w:tr w14:paraId="33A8E0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8" w:hRule="atLeast"/>
          <w:tblHeader/>
          <w:jc w:val="center"/>
        </w:trPr>
        <w:tc>
          <w:tcPr>
            <w:tcW w:w="536" w:type="pct"/>
            <w:tcBorders>
              <w:top w:val="single" w:color="auto" w:sz="12" w:space="0"/>
            </w:tcBorders>
            <w:vAlign w:val="center"/>
          </w:tcPr>
          <w:p w14:paraId="209E2CAA">
            <w:pPr>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序号</w:t>
            </w:r>
          </w:p>
        </w:tc>
        <w:tc>
          <w:tcPr>
            <w:tcW w:w="1321" w:type="pct"/>
            <w:tcBorders>
              <w:top w:val="single" w:color="auto" w:sz="12" w:space="0"/>
            </w:tcBorders>
            <w:vAlign w:val="center"/>
          </w:tcPr>
          <w:p w14:paraId="3AF06743">
            <w:pPr>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原辅材料名称</w:t>
            </w:r>
          </w:p>
        </w:tc>
        <w:tc>
          <w:tcPr>
            <w:tcW w:w="1143" w:type="pct"/>
            <w:tcBorders>
              <w:top w:val="single" w:color="auto" w:sz="12" w:space="0"/>
            </w:tcBorders>
            <w:vAlign w:val="center"/>
          </w:tcPr>
          <w:p w14:paraId="0EF91596">
            <w:pPr>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用途</w:t>
            </w:r>
          </w:p>
        </w:tc>
        <w:tc>
          <w:tcPr>
            <w:tcW w:w="817" w:type="pct"/>
            <w:tcBorders>
              <w:top w:val="single" w:color="auto" w:sz="12" w:space="0"/>
            </w:tcBorders>
            <w:vAlign w:val="center"/>
          </w:tcPr>
          <w:p w14:paraId="7B2D7741">
            <w:pPr>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计量单位</w:t>
            </w:r>
          </w:p>
        </w:tc>
        <w:tc>
          <w:tcPr>
            <w:tcW w:w="1181" w:type="pct"/>
            <w:tcBorders>
              <w:top w:val="single" w:color="auto" w:sz="12" w:space="0"/>
            </w:tcBorders>
            <w:vAlign w:val="center"/>
          </w:tcPr>
          <w:p w14:paraId="40E22794">
            <w:pPr>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预计年用量</w:t>
            </w:r>
          </w:p>
        </w:tc>
      </w:tr>
      <w:tr w14:paraId="1ED3FC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36" w:type="pct"/>
            <w:vAlign w:val="center"/>
          </w:tcPr>
          <w:p w14:paraId="41056A90">
            <w:pPr>
              <w:jc w:val="center"/>
              <w:rPr>
                <w:rFonts w:ascii="宋体" w:hAnsi="宋体"/>
                <w:b w:val="0"/>
                <w:color w:val="000000" w:themeColor="text1"/>
                <w:szCs w:val="21"/>
                <w14:textFill>
                  <w14:solidFill>
                    <w14:schemeClr w14:val="tx1"/>
                  </w14:solidFill>
                </w14:textFill>
              </w:rPr>
            </w:pPr>
            <w:bookmarkStart w:id="123" w:name="_Toc109360860" w:colFirst="4" w:colLast="4"/>
            <w:r>
              <w:rPr>
                <w:rFonts w:hint="eastAsia" w:ascii="宋体" w:hAnsi="宋体" w:cs="宋体"/>
                <w:b w:val="0"/>
                <w:color w:val="000000" w:themeColor="text1"/>
                <w:szCs w:val="21"/>
                <w14:textFill>
                  <w14:solidFill>
                    <w14:schemeClr w14:val="tx1"/>
                  </w14:solidFill>
                </w14:textFill>
              </w:rPr>
              <w:t>1</w:t>
            </w:r>
          </w:p>
        </w:tc>
        <w:tc>
          <w:tcPr>
            <w:tcW w:w="1321" w:type="pct"/>
            <w:vAlign w:val="center"/>
          </w:tcPr>
          <w:p w14:paraId="3D3BE2B2">
            <w:pPr>
              <w:jc w:val="center"/>
              <w:rPr>
                <w:rFonts w:ascii="宋体" w:hAnsi="宋体"/>
                <w:b w:val="0"/>
                <w:color w:val="000000" w:themeColor="text1"/>
                <w:szCs w:val="21"/>
                <w14:textFill>
                  <w14:solidFill>
                    <w14:schemeClr w14:val="tx1"/>
                  </w14:solidFill>
                </w14:textFill>
              </w:rPr>
            </w:pPr>
            <w:r>
              <w:rPr>
                <w:rFonts w:hint="eastAsia" w:ascii="宋体" w:hAnsi="宋体" w:cs="宋体"/>
                <w:b w:val="0"/>
                <w:color w:val="000000" w:themeColor="text1"/>
                <w:szCs w:val="21"/>
                <w14:textFill>
                  <w14:solidFill>
                    <w14:schemeClr w14:val="tx1"/>
                  </w14:solidFill>
                </w14:textFill>
              </w:rPr>
              <w:t>高氯酸钾</w:t>
            </w:r>
          </w:p>
        </w:tc>
        <w:tc>
          <w:tcPr>
            <w:tcW w:w="1143" w:type="pct"/>
            <w:vAlign w:val="center"/>
          </w:tcPr>
          <w:p w14:paraId="379670B3">
            <w:pPr>
              <w:jc w:val="center"/>
              <w:rPr>
                <w:rFonts w:ascii="宋体" w:hAnsi="宋体"/>
                <w:b w:val="0"/>
                <w:color w:val="000000" w:themeColor="text1"/>
                <w:szCs w:val="21"/>
                <w14:textFill>
                  <w14:solidFill>
                    <w14:schemeClr w14:val="tx1"/>
                  </w14:solidFill>
                </w14:textFill>
              </w:rPr>
            </w:pPr>
            <w:r>
              <w:rPr>
                <w:rFonts w:hint="eastAsia" w:ascii="宋体" w:hAnsi="宋体" w:cs="宋体"/>
                <w:b w:val="0"/>
                <w:color w:val="000000" w:themeColor="text1"/>
                <w:szCs w:val="21"/>
                <w14:textFill>
                  <w14:solidFill>
                    <w14:schemeClr w14:val="tx1"/>
                  </w14:solidFill>
                </w14:textFill>
              </w:rPr>
              <w:t>氧化剂</w:t>
            </w:r>
          </w:p>
        </w:tc>
        <w:tc>
          <w:tcPr>
            <w:tcW w:w="817" w:type="pct"/>
            <w:vAlign w:val="center"/>
          </w:tcPr>
          <w:p w14:paraId="5CD4F71F">
            <w:pPr>
              <w:jc w:val="center"/>
              <w:rPr>
                <w:rFonts w:ascii="宋体" w:hAnsi="宋体"/>
                <w:b w:val="0"/>
                <w:color w:val="000000" w:themeColor="text1"/>
                <w:szCs w:val="21"/>
                <w14:textFill>
                  <w14:solidFill>
                    <w14:schemeClr w14:val="tx1"/>
                  </w14:solidFill>
                </w14:textFill>
              </w:rPr>
            </w:pPr>
            <w:r>
              <w:rPr>
                <w:rFonts w:hint="eastAsia" w:ascii="宋体" w:hAnsi="宋体" w:cs="宋体"/>
                <w:b w:val="0"/>
                <w:color w:val="000000" w:themeColor="text1"/>
                <w:szCs w:val="21"/>
                <w14:textFill>
                  <w14:solidFill>
                    <w14:schemeClr w14:val="tx1"/>
                  </w14:solidFill>
                </w14:textFill>
              </w:rPr>
              <w:t>吨</w:t>
            </w:r>
          </w:p>
        </w:tc>
        <w:tc>
          <w:tcPr>
            <w:tcW w:w="1181" w:type="pct"/>
            <w:vAlign w:val="center"/>
          </w:tcPr>
          <w:p w14:paraId="6B1DBB99">
            <w:pPr>
              <w:jc w:val="center"/>
              <w:rPr>
                <w:rFonts w:ascii="宋体" w:hAnsi="宋体"/>
                <w:b w:val="0"/>
                <w:color w:val="000000" w:themeColor="text1"/>
                <w:szCs w:val="21"/>
                <w14:textFill>
                  <w14:solidFill>
                    <w14:schemeClr w14:val="tx1"/>
                  </w14:solidFill>
                </w14:textFill>
              </w:rPr>
            </w:pPr>
            <w:r>
              <w:rPr>
                <w:rFonts w:hint="eastAsia" w:ascii="宋体" w:hAnsi="宋体"/>
                <w:b w:val="0"/>
                <w:color w:val="000000" w:themeColor="text1"/>
                <w:szCs w:val="21"/>
                <w14:textFill>
                  <w14:solidFill>
                    <w14:schemeClr w14:val="tx1"/>
                  </w14:solidFill>
                </w14:textFill>
              </w:rPr>
              <w:t>150</w:t>
            </w:r>
          </w:p>
        </w:tc>
      </w:tr>
      <w:tr w14:paraId="1C953C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36" w:type="pct"/>
            <w:vAlign w:val="center"/>
          </w:tcPr>
          <w:p w14:paraId="2DF8CE16">
            <w:pPr>
              <w:jc w:val="center"/>
              <w:rPr>
                <w:rFonts w:ascii="宋体" w:hAnsi="宋体" w:cs="宋体"/>
                <w:b w:val="0"/>
                <w:color w:val="000000" w:themeColor="text1"/>
                <w:szCs w:val="21"/>
                <w14:textFill>
                  <w14:solidFill>
                    <w14:schemeClr w14:val="tx1"/>
                  </w14:solidFill>
                </w14:textFill>
              </w:rPr>
            </w:pPr>
            <w:r>
              <w:rPr>
                <w:rFonts w:hint="eastAsia" w:ascii="宋体" w:hAnsi="宋体" w:cs="宋体"/>
                <w:b w:val="0"/>
                <w:color w:val="000000" w:themeColor="text1"/>
                <w:szCs w:val="21"/>
                <w14:textFill>
                  <w14:solidFill>
                    <w14:schemeClr w14:val="tx1"/>
                  </w14:solidFill>
                </w14:textFill>
              </w:rPr>
              <w:t>2</w:t>
            </w:r>
          </w:p>
        </w:tc>
        <w:tc>
          <w:tcPr>
            <w:tcW w:w="1321" w:type="pct"/>
            <w:vAlign w:val="center"/>
          </w:tcPr>
          <w:p w14:paraId="27FE4DDA">
            <w:pPr>
              <w:jc w:val="center"/>
              <w:rPr>
                <w:rFonts w:ascii="宋体" w:hAnsi="宋体" w:cs="宋体"/>
                <w:b w:val="0"/>
                <w:color w:val="000000" w:themeColor="text1"/>
                <w:szCs w:val="21"/>
                <w14:textFill>
                  <w14:solidFill>
                    <w14:schemeClr w14:val="tx1"/>
                  </w14:solidFill>
                </w14:textFill>
              </w:rPr>
            </w:pPr>
            <w:r>
              <w:rPr>
                <w:rFonts w:hint="eastAsia" w:ascii="宋体" w:hAnsi="宋体" w:cs="宋体"/>
                <w:b w:val="0"/>
                <w:color w:val="000000" w:themeColor="text1"/>
                <w:szCs w:val="21"/>
                <w14:textFill>
                  <w14:solidFill>
                    <w14:schemeClr w14:val="tx1"/>
                  </w14:solidFill>
                </w14:textFill>
              </w:rPr>
              <w:t>高氯酸铵</w:t>
            </w:r>
          </w:p>
        </w:tc>
        <w:tc>
          <w:tcPr>
            <w:tcW w:w="1143" w:type="pct"/>
            <w:vAlign w:val="center"/>
          </w:tcPr>
          <w:p w14:paraId="0B986EC2">
            <w:pPr>
              <w:jc w:val="center"/>
              <w:rPr>
                <w:rFonts w:ascii="宋体" w:hAnsi="宋体" w:cs="宋体"/>
                <w:b w:val="0"/>
                <w:color w:val="000000" w:themeColor="text1"/>
                <w:szCs w:val="21"/>
                <w14:textFill>
                  <w14:solidFill>
                    <w14:schemeClr w14:val="tx1"/>
                  </w14:solidFill>
                </w14:textFill>
              </w:rPr>
            </w:pPr>
            <w:r>
              <w:rPr>
                <w:rFonts w:hint="eastAsia" w:ascii="宋体" w:hAnsi="宋体" w:cs="宋体"/>
                <w:b w:val="0"/>
                <w:color w:val="000000" w:themeColor="text1"/>
                <w:szCs w:val="21"/>
                <w14:textFill>
                  <w14:solidFill>
                    <w14:schemeClr w14:val="tx1"/>
                  </w14:solidFill>
                </w14:textFill>
              </w:rPr>
              <w:t>氧化剂</w:t>
            </w:r>
          </w:p>
        </w:tc>
        <w:tc>
          <w:tcPr>
            <w:tcW w:w="817" w:type="pct"/>
            <w:vAlign w:val="center"/>
          </w:tcPr>
          <w:p w14:paraId="6EADB056">
            <w:pPr>
              <w:jc w:val="center"/>
              <w:rPr>
                <w:rFonts w:ascii="宋体" w:hAnsi="宋体" w:cs="宋体"/>
                <w:b w:val="0"/>
                <w:color w:val="000000" w:themeColor="text1"/>
                <w:szCs w:val="21"/>
                <w14:textFill>
                  <w14:solidFill>
                    <w14:schemeClr w14:val="tx1"/>
                  </w14:solidFill>
                </w14:textFill>
              </w:rPr>
            </w:pPr>
            <w:r>
              <w:rPr>
                <w:rFonts w:hint="eastAsia" w:ascii="宋体" w:hAnsi="宋体" w:cs="宋体"/>
                <w:b w:val="0"/>
                <w:color w:val="000000" w:themeColor="text1"/>
                <w:szCs w:val="21"/>
                <w14:textFill>
                  <w14:solidFill>
                    <w14:schemeClr w14:val="tx1"/>
                  </w14:solidFill>
                </w14:textFill>
              </w:rPr>
              <w:t>吨</w:t>
            </w:r>
          </w:p>
        </w:tc>
        <w:tc>
          <w:tcPr>
            <w:tcW w:w="1181" w:type="pct"/>
            <w:vAlign w:val="center"/>
          </w:tcPr>
          <w:p w14:paraId="7E54D4B9">
            <w:pPr>
              <w:jc w:val="center"/>
              <w:rPr>
                <w:rFonts w:ascii="宋体" w:hAnsi="宋体"/>
                <w:b w:val="0"/>
                <w:color w:val="000000" w:themeColor="text1"/>
                <w:szCs w:val="21"/>
                <w14:textFill>
                  <w14:solidFill>
                    <w14:schemeClr w14:val="tx1"/>
                  </w14:solidFill>
                </w14:textFill>
              </w:rPr>
            </w:pPr>
            <w:r>
              <w:rPr>
                <w:rFonts w:hint="eastAsia" w:ascii="宋体" w:hAnsi="宋体"/>
                <w:b w:val="0"/>
                <w:color w:val="000000" w:themeColor="text1"/>
                <w:szCs w:val="21"/>
                <w14:textFill>
                  <w14:solidFill>
                    <w14:schemeClr w14:val="tx1"/>
                  </w14:solidFill>
                </w14:textFill>
              </w:rPr>
              <w:t>50</w:t>
            </w:r>
          </w:p>
        </w:tc>
      </w:tr>
      <w:bookmarkEnd w:id="123"/>
      <w:tr w14:paraId="3CE344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536" w:type="pct"/>
            <w:vAlign w:val="center"/>
          </w:tcPr>
          <w:p w14:paraId="0ED7B2E9">
            <w:pPr>
              <w:jc w:val="center"/>
              <w:rPr>
                <w:rFonts w:ascii="宋体" w:hAnsi="宋体" w:cs="宋体"/>
                <w:b w:val="0"/>
                <w:color w:val="000000" w:themeColor="text1"/>
                <w:szCs w:val="21"/>
                <w14:textFill>
                  <w14:solidFill>
                    <w14:schemeClr w14:val="tx1"/>
                  </w14:solidFill>
                </w14:textFill>
              </w:rPr>
            </w:pPr>
            <w:r>
              <w:rPr>
                <w:rFonts w:hint="eastAsia" w:ascii="宋体" w:hAnsi="宋体" w:cs="宋体"/>
                <w:b w:val="0"/>
                <w:color w:val="000000" w:themeColor="text1"/>
                <w:szCs w:val="21"/>
                <w14:textFill>
                  <w14:solidFill>
                    <w14:schemeClr w14:val="tx1"/>
                  </w14:solidFill>
                </w14:textFill>
              </w:rPr>
              <w:t>3</w:t>
            </w:r>
          </w:p>
        </w:tc>
        <w:tc>
          <w:tcPr>
            <w:tcW w:w="1321" w:type="pct"/>
            <w:shd w:val="clear" w:color="auto" w:fill="auto"/>
            <w:vAlign w:val="center"/>
          </w:tcPr>
          <w:p w14:paraId="23DBA681">
            <w:pPr>
              <w:jc w:val="center"/>
              <w:rPr>
                <w:rFonts w:ascii="宋体" w:hAnsi="宋体" w:cs="宋体"/>
                <w:b w:val="0"/>
                <w:color w:val="000000" w:themeColor="text1"/>
                <w:szCs w:val="21"/>
                <w14:textFill>
                  <w14:solidFill>
                    <w14:schemeClr w14:val="tx1"/>
                  </w14:solidFill>
                </w14:textFill>
              </w:rPr>
            </w:pPr>
            <w:r>
              <w:rPr>
                <w:rFonts w:hint="eastAsia" w:ascii="宋体" w:hAnsi="宋体" w:cs="宋体"/>
                <w:b w:val="0"/>
                <w:color w:val="000000" w:themeColor="text1"/>
                <w:szCs w:val="21"/>
                <w14:textFill>
                  <w14:solidFill>
                    <w14:schemeClr w14:val="tx1"/>
                  </w14:solidFill>
                </w14:textFill>
              </w:rPr>
              <w:t>硝酸钡</w:t>
            </w:r>
          </w:p>
        </w:tc>
        <w:tc>
          <w:tcPr>
            <w:tcW w:w="1143" w:type="pct"/>
            <w:shd w:val="clear" w:color="auto" w:fill="auto"/>
            <w:vAlign w:val="center"/>
          </w:tcPr>
          <w:p w14:paraId="2E3D3332">
            <w:pPr>
              <w:jc w:val="center"/>
              <w:rPr>
                <w:rFonts w:ascii="宋体" w:hAnsi="宋体" w:cs="宋体"/>
                <w:b w:val="0"/>
                <w:color w:val="000000" w:themeColor="text1"/>
                <w:szCs w:val="21"/>
                <w14:textFill>
                  <w14:solidFill>
                    <w14:schemeClr w14:val="tx1"/>
                  </w14:solidFill>
                </w14:textFill>
              </w:rPr>
            </w:pPr>
            <w:r>
              <w:rPr>
                <w:rFonts w:hint="eastAsia" w:ascii="宋体" w:hAnsi="宋体" w:cs="宋体"/>
                <w:b w:val="0"/>
                <w:color w:val="000000" w:themeColor="text1"/>
                <w:szCs w:val="21"/>
                <w14:textFill>
                  <w14:solidFill>
                    <w14:schemeClr w14:val="tx1"/>
                  </w14:solidFill>
                </w14:textFill>
              </w:rPr>
              <w:t>氧化剂</w:t>
            </w:r>
          </w:p>
        </w:tc>
        <w:tc>
          <w:tcPr>
            <w:tcW w:w="817" w:type="pct"/>
            <w:shd w:val="clear" w:color="auto" w:fill="auto"/>
            <w:vAlign w:val="center"/>
          </w:tcPr>
          <w:p w14:paraId="07490B0F">
            <w:pPr>
              <w:jc w:val="center"/>
              <w:rPr>
                <w:rFonts w:ascii="宋体" w:hAnsi="宋体" w:cs="宋体"/>
                <w:b w:val="0"/>
                <w:color w:val="000000" w:themeColor="text1"/>
                <w:szCs w:val="21"/>
                <w14:textFill>
                  <w14:solidFill>
                    <w14:schemeClr w14:val="tx1"/>
                  </w14:solidFill>
                </w14:textFill>
              </w:rPr>
            </w:pPr>
            <w:r>
              <w:rPr>
                <w:rFonts w:hint="eastAsia" w:ascii="宋体" w:hAnsi="宋体" w:cs="宋体"/>
                <w:b w:val="0"/>
                <w:color w:val="000000" w:themeColor="text1"/>
                <w:szCs w:val="21"/>
                <w14:textFill>
                  <w14:solidFill>
                    <w14:schemeClr w14:val="tx1"/>
                  </w14:solidFill>
                </w14:textFill>
              </w:rPr>
              <w:t>吨</w:t>
            </w:r>
          </w:p>
        </w:tc>
        <w:tc>
          <w:tcPr>
            <w:tcW w:w="1181" w:type="pct"/>
            <w:shd w:val="clear" w:color="auto" w:fill="auto"/>
            <w:vAlign w:val="center"/>
          </w:tcPr>
          <w:p w14:paraId="69D64564">
            <w:pPr>
              <w:jc w:val="center"/>
              <w:rPr>
                <w:rFonts w:ascii="宋体" w:hAnsi="宋体"/>
                <w:b w:val="0"/>
                <w:color w:val="000000" w:themeColor="text1"/>
                <w:szCs w:val="21"/>
                <w14:textFill>
                  <w14:solidFill>
                    <w14:schemeClr w14:val="tx1"/>
                  </w14:solidFill>
                </w14:textFill>
              </w:rPr>
            </w:pPr>
            <w:r>
              <w:rPr>
                <w:rFonts w:hint="eastAsia" w:ascii="宋体" w:hAnsi="宋体"/>
                <w:b w:val="0"/>
                <w:color w:val="000000" w:themeColor="text1"/>
                <w:szCs w:val="21"/>
                <w14:textFill>
                  <w14:solidFill>
                    <w14:schemeClr w14:val="tx1"/>
                  </w14:solidFill>
                </w14:textFill>
              </w:rPr>
              <w:t>20</w:t>
            </w:r>
          </w:p>
        </w:tc>
      </w:tr>
      <w:tr w14:paraId="4F0B6F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36" w:type="pct"/>
            <w:vAlign w:val="center"/>
          </w:tcPr>
          <w:p w14:paraId="095A138A">
            <w:pPr>
              <w:jc w:val="center"/>
              <w:rPr>
                <w:rFonts w:ascii="宋体" w:hAnsi="宋体" w:cs="宋体"/>
                <w:b w:val="0"/>
                <w:szCs w:val="21"/>
              </w:rPr>
            </w:pPr>
            <w:r>
              <w:rPr>
                <w:rFonts w:hint="eastAsia" w:ascii="宋体" w:hAnsi="宋体" w:cs="宋体"/>
                <w:b w:val="0"/>
                <w:szCs w:val="21"/>
              </w:rPr>
              <w:t>4</w:t>
            </w:r>
          </w:p>
        </w:tc>
        <w:tc>
          <w:tcPr>
            <w:tcW w:w="1321" w:type="pct"/>
            <w:shd w:val="clear" w:color="auto" w:fill="auto"/>
            <w:vAlign w:val="center"/>
          </w:tcPr>
          <w:p w14:paraId="179C7437">
            <w:pPr>
              <w:jc w:val="center"/>
              <w:rPr>
                <w:rFonts w:ascii="宋体" w:hAnsi="宋体"/>
                <w:b w:val="0"/>
                <w:szCs w:val="21"/>
              </w:rPr>
            </w:pPr>
            <w:r>
              <w:rPr>
                <w:rFonts w:hint="eastAsia" w:ascii="宋体" w:hAnsi="宋体" w:cs="宋体"/>
                <w:b w:val="0"/>
                <w:szCs w:val="21"/>
              </w:rPr>
              <w:t>硝酸钾</w:t>
            </w:r>
          </w:p>
        </w:tc>
        <w:tc>
          <w:tcPr>
            <w:tcW w:w="1143" w:type="pct"/>
            <w:shd w:val="clear" w:color="auto" w:fill="auto"/>
            <w:vAlign w:val="center"/>
          </w:tcPr>
          <w:p w14:paraId="5184B56E">
            <w:pPr>
              <w:jc w:val="center"/>
              <w:rPr>
                <w:rFonts w:ascii="宋体" w:hAnsi="宋体"/>
                <w:b w:val="0"/>
                <w:szCs w:val="21"/>
              </w:rPr>
            </w:pPr>
            <w:r>
              <w:rPr>
                <w:rFonts w:hint="eastAsia" w:ascii="宋体" w:hAnsi="宋体" w:cs="宋体"/>
                <w:b w:val="0"/>
                <w:szCs w:val="21"/>
              </w:rPr>
              <w:t>氧化剂</w:t>
            </w:r>
          </w:p>
        </w:tc>
        <w:tc>
          <w:tcPr>
            <w:tcW w:w="817" w:type="pct"/>
            <w:shd w:val="clear" w:color="auto" w:fill="auto"/>
            <w:vAlign w:val="center"/>
          </w:tcPr>
          <w:p w14:paraId="5DCF3686">
            <w:pPr>
              <w:jc w:val="center"/>
              <w:rPr>
                <w:rFonts w:ascii="宋体" w:hAnsi="宋体"/>
                <w:b w:val="0"/>
                <w:szCs w:val="21"/>
              </w:rPr>
            </w:pPr>
            <w:r>
              <w:rPr>
                <w:rFonts w:hint="eastAsia" w:ascii="宋体" w:hAnsi="宋体" w:cs="宋体"/>
                <w:b w:val="0"/>
                <w:szCs w:val="21"/>
              </w:rPr>
              <w:t>吨</w:t>
            </w:r>
          </w:p>
        </w:tc>
        <w:tc>
          <w:tcPr>
            <w:tcW w:w="1181" w:type="pct"/>
            <w:shd w:val="clear" w:color="auto" w:fill="auto"/>
            <w:vAlign w:val="center"/>
          </w:tcPr>
          <w:p w14:paraId="119CD13C">
            <w:pPr>
              <w:jc w:val="center"/>
              <w:rPr>
                <w:rFonts w:ascii="宋体" w:hAnsi="宋体"/>
                <w:b w:val="0"/>
                <w:szCs w:val="21"/>
              </w:rPr>
            </w:pPr>
            <w:r>
              <w:rPr>
                <w:rFonts w:hint="eastAsia" w:ascii="宋体" w:hAnsi="宋体"/>
                <w:b w:val="0"/>
                <w:szCs w:val="21"/>
              </w:rPr>
              <w:t>3</w:t>
            </w:r>
          </w:p>
        </w:tc>
      </w:tr>
      <w:tr w14:paraId="5FCA8A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36" w:type="pct"/>
            <w:vAlign w:val="center"/>
          </w:tcPr>
          <w:p w14:paraId="1406EDEA">
            <w:pPr>
              <w:jc w:val="center"/>
              <w:rPr>
                <w:rFonts w:ascii="宋体" w:hAnsi="宋体"/>
                <w:b w:val="0"/>
                <w:szCs w:val="21"/>
              </w:rPr>
            </w:pPr>
            <w:r>
              <w:rPr>
                <w:rFonts w:hint="eastAsia" w:ascii="宋体" w:hAnsi="宋体"/>
                <w:b w:val="0"/>
                <w:szCs w:val="21"/>
              </w:rPr>
              <w:t>5</w:t>
            </w:r>
          </w:p>
        </w:tc>
        <w:tc>
          <w:tcPr>
            <w:tcW w:w="1321" w:type="pct"/>
            <w:shd w:val="clear" w:color="auto" w:fill="auto"/>
            <w:vAlign w:val="center"/>
          </w:tcPr>
          <w:p w14:paraId="6924DAA8">
            <w:pPr>
              <w:jc w:val="center"/>
              <w:rPr>
                <w:rFonts w:ascii="宋体" w:hAnsi="宋体"/>
                <w:b w:val="0"/>
                <w:szCs w:val="21"/>
              </w:rPr>
            </w:pPr>
            <w:r>
              <w:rPr>
                <w:rFonts w:hint="eastAsia" w:ascii="宋体" w:hAnsi="宋体" w:cs="宋体"/>
                <w:b w:val="0"/>
                <w:szCs w:val="21"/>
              </w:rPr>
              <w:t>硫磺</w:t>
            </w:r>
          </w:p>
        </w:tc>
        <w:tc>
          <w:tcPr>
            <w:tcW w:w="1143" w:type="pct"/>
            <w:shd w:val="clear" w:color="auto" w:fill="auto"/>
            <w:vAlign w:val="center"/>
          </w:tcPr>
          <w:p w14:paraId="7D00C55B">
            <w:pPr>
              <w:jc w:val="center"/>
              <w:rPr>
                <w:rFonts w:ascii="宋体" w:hAnsi="宋体"/>
                <w:b w:val="0"/>
                <w:szCs w:val="21"/>
              </w:rPr>
            </w:pPr>
            <w:r>
              <w:rPr>
                <w:rFonts w:hint="eastAsia" w:ascii="宋体" w:hAnsi="宋体" w:cs="宋体"/>
                <w:b w:val="0"/>
                <w:szCs w:val="21"/>
              </w:rPr>
              <w:t>还原剂</w:t>
            </w:r>
          </w:p>
        </w:tc>
        <w:tc>
          <w:tcPr>
            <w:tcW w:w="817" w:type="pct"/>
            <w:shd w:val="clear" w:color="auto" w:fill="auto"/>
            <w:vAlign w:val="center"/>
          </w:tcPr>
          <w:p w14:paraId="636C2CC9">
            <w:pPr>
              <w:jc w:val="center"/>
              <w:rPr>
                <w:rFonts w:ascii="宋体" w:hAnsi="宋体"/>
                <w:b w:val="0"/>
                <w:szCs w:val="21"/>
              </w:rPr>
            </w:pPr>
            <w:r>
              <w:rPr>
                <w:rFonts w:hint="eastAsia" w:ascii="宋体" w:hAnsi="宋体" w:cs="宋体"/>
                <w:b w:val="0"/>
                <w:szCs w:val="21"/>
              </w:rPr>
              <w:t>吨</w:t>
            </w:r>
          </w:p>
        </w:tc>
        <w:tc>
          <w:tcPr>
            <w:tcW w:w="1181" w:type="pct"/>
            <w:shd w:val="clear" w:color="auto" w:fill="auto"/>
            <w:vAlign w:val="center"/>
          </w:tcPr>
          <w:p w14:paraId="00F84737">
            <w:pPr>
              <w:jc w:val="center"/>
              <w:rPr>
                <w:rFonts w:ascii="宋体" w:hAnsi="宋体"/>
                <w:b w:val="0"/>
                <w:szCs w:val="21"/>
              </w:rPr>
            </w:pPr>
            <w:r>
              <w:rPr>
                <w:rFonts w:hint="eastAsia" w:ascii="宋体" w:hAnsi="宋体"/>
                <w:b w:val="0"/>
                <w:szCs w:val="21"/>
              </w:rPr>
              <w:t>30</w:t>
            </w:r>
          </w:p>
        </w:tc>
      </w:tr>
      <w:tr w14:paraId="4626A1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36" w:type="pct"/>
            <w:vAlign w:val="center"/>
          </w:tcPr>
          <w:p w14:paraId="2C471F22">
            <w:pPr>
              <w:jc w:val="center"/>
              <w:rPr>
                <w:rFonts w:ascii="宋体" w:hAnsi="宋体"/>
                <w:b w:val="0"/>
                <w:szCs w:val="21"/>
              </w:rPr>
            </w:pPr>
            <w:r>
              <w:rPr>
                <w:rFonts w:hint="eastAsia" w:ascii="宋体" w:hAnsi="宋体"/>
                <w:b w:val="0"/>
                <w:szCs w:val="21"/>
              </w:rPr>
              <w:t>6</w:t>
            </w:r>
          </w:p>
        </w:tc>
        <w:tc>
          <w:tcPr>
            <w:tcW w:w="1321" w:type="pct"/>
            <w:shd w:val="clear" w:color="auto" w:fill="auto"/>
            <w:vAlign w:val="center"/>
          </w:tcPr>
          <w:p w14:paraId="44A2E935">
            <w:pPr>
              <w:jc w:val="center"/>
              <w:rPr>
                <w:rFonts w:ascii="宋体" w:hAnsi="宋体"/>
                <w:b w:val="0"/>
                <w:szCs w:val="21"/>
              </w:rPr>
            </w:pPr>
            <w:r>
              <w:rPr>
                <w:rFonts w:hint="eastAsia" w:ascii="宋体" w:hAnsi="宋体" w:cs="宋体"/>
                <w:b w:val="0"/>
                <w:szCs w:val="21"/>
              </w:rPr>
              <w:t>木炭粉</w:t>
            </w:r>
          </w:p>
        </w:tc>
        <w:tc>
          <w:tcPr>
            <w:tcW w:w="1143" w:type="pct"/>
            <w:shd w:val="clear" w:color="auto" w:fill="auto"/>
            <w:vAlign w:val="center"/>
          </w:tcPr>
          <w:p w14:paraId="5AAAFC55">
            <w:pPr>
              <w:jc w:val="center"/>
              <w:rPr>
                <w:rFonts w:ascii="宋体" w:hAnsi="宋体"/>
                <w:b w:val="0"/>
                <w:szCs w:val="21"/>
              </w:rPr>
            </w:pPr>
            <w:r>
              <w:rPr>
                <w:rFonts w:hint="eastAsia" w:ascii="宋体" w:hAnsi="宋体" w:cs="宋体"/>
                <w:b w:val="0"/>
                <w:szCs w:val="21"/>
              </w:rPr>
              <w:t>还原剂</w:t>
            </w:r>
          </w:p>
        </w:tc>
        <w:tc>
          <w:tcPr>
            <w:tcW w:w="817" w:type="pct"/>
            <w:shd w:val="clear" w:color="auto" w:fill="auto"/>
            <w:vAlign w:val="center"/>
          </w:tcPr>
          <w:p w14:paraId="463E9704">
            <w:pPr>
              <w:jc w:val="center"/>
              <w:rPr>
                <w:rFonts w:ascii="宋体" w:hAnsi="宋体"/>
                <w:b w:val="0"/>
                <w:szCs w:val="21"/>
              </w:rPr>
            </w:pPr>
            <w:r>
              <w:rPr>
                <w:rFonts w:hint="eastAsia" w:ascii="宋体" w:hAnsi="宋体" w:cs="宋体"/>
                <w:b w:val="0"/>
                <w:szCs w:val="21"/>
              </w:rPr>
              <w:t>吨</w:t>
            </w:r>
          </w:p>
        </w:tc>
        <w:tc>
          <w:tcPr>
            <w:tcW w:w="1181" w:type="pct"/>
            <w:shd w:val="clear" w:color="auto" w:fill="auto"/>
            <w:vAlign w:val="center"/>
          </w:tcPr>
          <w:p w14:paraId="18BBBC29">
            <w:pPr>
              <w:jc w:val="center"/>
              <w:rPr>
                <w:rFonts w:ascii="宋体" w:hAnsi="宋体"/>
                <w:b w:val="0"/>
                <w:szCs w:val="21"/>
              </w:rPr>
            </w:pPr>
            <w:r>
              <w:rPr>
                <w:rFonts w:hint="eastAsia" w:ascii="宋体" w:hAnsi="宋体"/>
                <w:b w:val="0"/>
                <w:szCs w:val="21"/>
              </w:rPr>
              <w:t>15</w:t>
            </w:r>
          </w:p>
        </w:tc>
      </w:tr>
      <w:tr w14:paraId="7C083B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36" w:type="pct"/>
            <w:vAlign w:val="center"/>
          </w:tcPr>
          <w:p w14:paraId="32C4707C">
            <w:pPr>
              <w:jc w:val="center"/>
              <w:rPr>
                <w:rFonts w:ascii="宋体" w:hAnsi="宋体" w:cs="宋体"/>
                <w:b w:val="0"/>
                <w:szCs w:val="21"/>
              </w:rPr>
            </w:pPr>
            <w:r>
              <w:rPr>
                <w:rFonts w:hint="eastAsia" w:ascii="宋体" w:hAnsi="宋体" w:cs="宋体"/>
                <w:b w:val="0"/>
                <w:szCs w:val="21"/>
              </w:rPr>
              <w:t>7</w:t>
            </w:r>
          </w:p>
        </w:tc>
        <w:tc>
          <w:tcPr>
            <w:tcW w:w="1321" w:type="pct"/>
            <w:shd w:val="clear" w:color="auto" w:fill="auto"/>
            <w:vAlign w:val="center"/>
          </w:tcPr>
          <w:p w14:paraId="715E895F">
            <w:pPr>
              <w:jc w:val="center"/>
              <w:rPr>
                <w:rFonts w:ascii="宋体" w:hAnsi="宋体" w:cs="宋体"/>
                <w:b w:val="0"/>
                <w:szCs w:val="21"/>
              </w:rPr>
            </w:pPr>
            <w:r>
              <w:rPr>
                <w:rFonts w:hint="eastAsia" w:ascii="宋体" w:hAnsi="宋体" w:cs="宋体"/>
                <w:b w:val="0"/>
                <w:szCs w:val="21"/>
              </w:rPr>
              <w:t>氧化铜</w:t>
            </w:r>
          </w:p>
        </w:tc>
        <w:tc>
          <w:tcPr>
            <w:tcW w:w="1143" w:type="pct"/>
            <w:shd w:val="clear" w:color="auto" w:fill="auto"/>
            <w:vAlign w:val="center"/>
          </w:tcPr>
          <w:p w14:paraId="38647A4F">
            <w:pPr>
              <w:jc w:val="center"/>
              <w:rPr>
                <w:rFonts w:ascii="宋体" w:hAnsi="宋体" w:cs="宋体"/>
                <w:b w:val="0"/>
                <w:szCs w:val="21"/>
              </w:rPr>
            </w:pPr>
            <w:r>
              <w:rPr>
                <w:rFonts w:hint="eastAsia" w:ascii="宋体" w:hAnsi="宋体" w:cs="宋体"/>
                <w:b w:val="0"/>
                <w:szCs w:val="21"/>
              </w:rPr>
              <w:t>氧化剂</w:t>
            </w:r>
          </w:p>
        </w:tc>
        <w:tc>
          <w:tcPr>
            <w:tcW w:w="817" w:type="pct"/>
            <w:shd w:val="clear" w:color="auto" w:fill="auto"/>
            <w:vAlign w:val="center"/>
          </w:tcPr>
          <w:p w14:paraId="0EFDCE90">
            <w:pPr>
              <w:jc w:val="center"/>
              <w:rPr>
                <w:rFonts w:ascii="宋体" w:hAnsi="宋体" w:cs="宋体"/>
                <w:b w:val="0"/>
                <w:szCs w:val="21"/>
              </w:rPr>
            </w:pPr>
            <w:r>
              <w:rPr>
                <w:rFonts w:hint="eastAsia" w:ascii="宋体" w:hAnsi="宋体" w:cs="宋体"/>
                <w:b w:val="0"/>
                <w:szCs w:val="21"/>
              </w:rPr>
              <w:t>吨</w:t>
            </w:r>
          </w:p>
        </w:tc>
        <w:tc>
          <w:tcPr>
            <w:tcW w:w="1181" w:type="pct"/>
            <w:shd w:val="clear" w:color="auto" w:fill="auto"/>
            <w:vAlign w:val="center"/>
          </w:tcPr>
          <w:p w14:paraId="59EE0AB0">
            <w:pPr>
              <w:jc w:val="center"/>
              <w:rPr>
                <w:rFonts w:ascii="宋体" w:hAnsi="宋体"/>
                <w:b w:val="0"/>
                <w:szCs w:val="21"/>
              </w:rPr>
            </w:pPr>
            <w:r>
              <w:rPr>
                <w:rFonts w:hint="eastAsia" w:ascii="宋体" w:hAnsi="宋体"/>
                <w:b w:val="0"/>
                <w:szCs w:val="21"/>
              </w:rPr>
              <w:t>30</w:t>
            </w:r>
          </w:p>
        </w:tc>
      </w:tr>
      <w:tr w14:paraId="1E4CCB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36" w:type="pct"/>
            <w:shd w:val="clear" w:color="auto" w:fill="auto"/>
            <w:vAlign w:val="center"/>
          </w:tcPr>
          <w:p w14:paraId="54FAC673">
            <w:pPr>
              <w:jc w:val="center"/>
              <w:rPr>
                <w:rFonts w:ascii="宋体" w:hAnsi="宋体" w:cs="宋体"/>
                <w:b w:val="0"/>
                <w:szCs w:val="21"/>
              </w:rPr>
            </w:pPr>
            <w:r>
              <w:rPr>
                <w:rFonts w:hint="eastAsia" w:ascii="宋体" w:hAnsi="宋体" w:cs="宋体"/>
                <w:b w:val="0"/>
                <w:szCs w:val="21"/>
              </w:rPr>
              <w:t>8</w:t>
            </w:r>
          </w:p>
        </w:tc>
        <w:tc>
          <w:tcPr>
            <w:tcW w:w="1321" w:type="pct"/>
            <w:shd w:val="clear" w:color="auto" w:fill="auto"/>
            <w:vAlign w:val="center"/>
          </w:tcPr>
          <w:p w14:paraId="6B7DDB8E">
            <w:pPr>
              <w:jc w:val="center"/>
              <w:rPr>
                <w:rFonts w:ascii="宋体" w:hAnsi="宋体" w:cs="宋体"/>
                <w:b w:val="0"/>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镁铝合金</w:t>
            </w:r>
          </w:p>
        </w:tc>
        <w:tc>
          <w:tcPr>
            <w:tcW w:w="1143" w:type="pct"/>
            <w:shd w:val="clear" w:color="auto" w:fill="auto"/>
            <w:vAlign w:val="center"/>
          </w:tcPr>
          <w:p w14:paraId="2C665C78">
            <w:pPr>
              <w:jc w:val="center"/>
              <w:rPr>
                <w:rFonts w:ascii="宋体" w:hAnsi="宋体" w:cs="宋体"/>
                <w:b w:val="0"/>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还原剂</w:t>
            </w:r>
          </w:p>
        </w:tc>
        <w:tc>
          <w:tcPr>
            <w:tcW w:w="817" w:type="pct"/>
            <w:shd w:val="clear" w:color="auto" w:fill="auto"/>
            <w:vAlign w:val="center"/>
          </w:tcPr>
          <w:p w14:paraId="3B112CFD">
            <w:pPr>
              <w:jc w:val="center"/>
              <w:rPr>
                <w:rFonts w:ascii="宋体" w:hAnsi="宋体" w:cs="宋体"/>
                <w:b w:val="0"/>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吨</w:t>
            </w:r>
          </w:p>
        </w:tc>
        <w:tc>
          <w:tcPr>
            <w:tcW w:w="1181" w:type="pct"/>
            <w:shd w:val="clear" w:color="auto" w:fill="auto"/>
            <w:vAlign w:val="center"/>
          </w:tcPr>
          <w:p w14:paraId="65CC1847">
            <w:pPr>
              <w:jc w:val="center"/>
              <w:rPr>
                <w:rFonts w:ascii="宋体" w:hAnsi="宋体"/>
                <w:b w:val="0"/>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5</w:t>
            </w:r>
          </w:p>
        </w:tc>
      </w:tr>
      <w:tr w14:paraId="67FCE7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36" w:type="pct"/>
            <w:shd w:val="clear" w:color="auto" w:fill="auto"/>
            <w:vAlign w:val="center"/>
          </w:tcPr>
          <w:p w14:paraId="65B994A3">
            <w:pPr>
              <w:jc w:val="center"/>
              <w:rPr>
                <w:rFonts w:ascii="宋体" w:hAnsi="宋体" w:cs="宋体"/>
                <w:b w:val="0"/>
                <w:szCs w:val="21"/>
              </w:rPr>
            </w:pPr>
            <w:r>
              <w:rPr>
                <w:rFonts w:hint="eastAsia" w:ascii="宋体" w:hAnsi="宋体" w:cs="宋体"/>
                <w:b w:val="0"/>
                <w:szCs w:val="21"/>
              </w:rPr>
              <w:t>9</w:t>
            </w:r>
          </w:p>
        </w:tc>
        <w:tc>
          <w:tcPr>
            <w:tcW w:w="1321" w:type="pct"/>
            <w:shd w:val="clear" w:color="auto" w:fill="auto"/>
            <w:vAlign w:val="center"/>
          </w:tcPr>
          <w:p w14:paraId="1F09C2EA">
            <w:pPr>
              <w:jc w:val="center"/>
              <w:rPr>
                <w:rFonts w:ascii="宋体" w:hAnsi="宋体"/>
                <w:b w:val="0"/>
                <w:color w:val="000000" w:themeColor="text1"/>
                <w:szCs w:val="21"/>
                <w14:textFill>
                  <w14:solidFill>
                    <w14:schemeClr w14:val="tx1"/>
                  </w14:solidFill>
                </w14:textFill>
              </w:rPr>
            </w:pPr>
            <w:r>
              <w:rPr>
                <w:rFonts w:hint="eastAsia" w:ascii="宋体" w:hAnsi="宋体" w:cs="宋体"/>
                <w:b w:val="0"/>
                <w:color w:val="000000" w:themeColor="text1"/>
                <w:szCs w:val="21"/>
                <w14:textFill>
                  <w14:solidFill>
                    <w14:schemeClr w14:val="tx1"/>
                  </w14:solidFill>
                </w14:textFill>
              </w:rPr>
              <w:t>钛</w:t>
            </w:r>
          </w:p>
        </w:tc>
        <w:tc>
          <w:tcPr>
            <w:tcW w:w="1143" w:type="pct"/>
            <w:shd w:val="clear" w:color="auto" w:fill="auto"/>
            <w:vAlign w:val="center"/>
          </w:tcPr>
          <w:p w14:paraId="7BC2F15A">
            <w:pPr>
              <w:jc w:val="center"/>
              <w:rPr>
                <w:rFonts w:ascii="宋体" w:hAnsi="宋体"/>
                <w:b w:val="0"/>
                <w:color w:val="000000" w:themeColor="text1"/>
                <w:szCs w:val="21"/>
                <w14:textFill>
                  <w14:solidFill>
                    <w14:schemeClr w14:val="tx1"/>
                  </w14:solidFill>
                </w14:textFill>
              </w:rPr>
            </w:pPr>
            <w:r>
              <w:rPr>
                <w:rFonts w:hint="eastAsia" w:ascii="宋体" w:hAnsi="宋体" w:cs="宋体"/>
                <w:b w:val="0"/>
                <w:color w:val="000000" w:themeColor="text1"/>
                <w:szCs w:val="21"/>
                <w14:textFill>
                  <w14:solidFill>
                    <w14:schemeClr w14:val="tx1"/>
                  </w14:solidFill>
                </w14:textFill>
              </w:rPr>
              <w:t>特种效应物质</w:t>
            </w:r>
          </w:p>
        </w:tc>
        <w:tc>
          <w:tcPr>
            <w:tcW w:w="817" w:type="pct"/>
            <w:shd w:val="clear" w:color="auto" w:fill="auto"/>
            <w:vAlign w:val="center"/>
          </w:tcPr>
          <w:p w14:paraId="0EE7E6DD">
            <w:pPr>
              <w:jc w:val="center"/>
              <w:rPr>
                <w:rFonts w:ascii="宋体" w:hAnsi="宋体"/>
                <w:b w:val="0"/>
                <w:color w:val="000000" w:themeColor="text1"/>
                <w:szCs w:val="21"/>
                <w14:textFill>
                  <w14:solidFill>
                    <w14:schemeClr w14:val="tx1"/>
                  </w14:solidFill>
                </w14:textFill>
              </w:rPr>
            </w:pPr>
            <w:r>
              <w:rPr>
                <w:rFonts w:hint="eastAsia" w:ascii="宋体" w:hAnsi="宋体" w:cs="宋体"/>
                <w:b w:val="0"/>
                <w:color w:val="000000" w:themeColor="text1"/>
                <w:szCs w:val="21"/>
                <w14:textFill>
                  <w14:solidFill>
                    <w14:schemeClr w14:val="tx1"/>
                  </w14:solidFill>
                </w14:textFill>
              </w:rPr>
              <w:t>吨</w:t>
            </w:r>
          </w:p>
        </w:tc>
        <w:tc>
          <w:tcPr>
            <w:tcW w:w="1181" w:type="pct"/>
            <w:shd w:val="clear" w:color="auto" w:fill="auto"/>
            <w:vAlign w:val="center"/>
          </w:tcPr>
          <w:p w14:paraId="38165BB6">
            <w:pPr>
              <w:jc w:val="center"/>
              <w:rPr>
                <w:rFonts w:ascii="宋体" w:hAnsi="宋体"/>
                <w:b w:val="0"/>
                <w:color w:val="000000" w:themeColor="text1"/>
                <w:szCs w:val="21"/>
                <w14:textFill>
                  <w14:solidFill>
                    <w14:schemeClr w14:val="tx1"/>
                  </w14:solidFill>
                </w14:textFill>
              </w:rPr>
            </w:pPr>
            <w:r>
              <w:rPr>
                <w:rFonts w:hint="eastAsia" w:ascii="宋体" w:hAnsi="宋体"/>
                <w:b w:val="0"/>
                <w:color w:val="000000" w:themeColor="text1"/>
                <w:szCs w:val="21"/>
                <w14:textFill>
                  <w14:solidFill>
                    <w14:schemeClr w14:val="tx1"/>
                  </w14:solidFill>
                </w14:textFill>
              </w:rPr>
              <w:t>50</w:t>
            </w:r>
          </w:p>
        </w:tc>
      </w:tr>
      <w:tr w14:paraId="46B41A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36" w:type="pct"/>
            <w:shd w:val="clear" w:color="auto" w:fill="auto"/>
            <w:vAlign w:val="center"/>
          </w:tcPr>
          <w:p w14:paraId="418E0A2E">
            <w:pPr>
              <w:jc w:val="center"/>
              <w:rPr>
                <w:rFonts w:ascii="宋体" w:hAnsi="宋体" w:cs="宋体"/>
                <w:b w:val="0"/>
                <w:szCs w:val="21"/>
              </w:rPr>
            </w:pPr>
            <w:r>
              <w:rPr>
                <w:rFonts w:hint="eastAsia" w:ascii="宋体" w:hAnsi="宋体" w:cs="宋体"/>
                <w:b w:val="0"/>
                <w:szCs w:val="21"/>
              </w:rPr>
              <w:t>1</w:t>
            </w:r>
            <w:r>
              <w:rPr>
                <w:rFonts w:ascii="宋体" w:hAnsi="宋体" w:cs="宋体"/>
                <w:b w:val="0"/>
                <w:szCs w:val="21"/>
              </w:rPr>
              <w:t>0</w:t>
            </w:r>
          </w:p>
        </w:tc>
        <w:tc>
          <w:tcPr>
            <w:tcW w:w="1321" w:type="pct"/>
            <w:shd w:val="clear" w:color="auto" w:fill="auto"/>
            <w:vAlign w:val="center"/>
          </w:tcPr>
          <w:p w14:paraId="0F5C91E8">
            <w:pPr>
              <w:jc w:val="center"/>
              <w:rPr>
                <w:rFonts w:ascii="宋体" w:hAnsi="宋体" w:cs="宋体"/>
                <w:b w:val="0"/>
                <w:color w:val="000000" w:themeColor="text1"/>
                <w:szCs w:val="21"/>
                <w14:textFill>
                  <w14:solidFill>
                    <w14:schemeClr w14:val="tx1"/>
                  </w14:solidFill>
                </w14:textFill>
              </w:rPr>
            </w:pPr>
            <w:r>
              <w:rPr>
                <w:rFonts w:hint="eastAsia" w:ascii="宋体" w:hAnsi="宋体" w:cs="宋体"/>
                <w:b w:val="0"/>
                <w:color w:val="000000" w:themeColor="text1"/>
                <w:szCs w:val="21"/>
                <w14:textFill>
                  <w14:solidFill>
                    <w14:schemeClr w14:val="tx1"/>
                  </w14:solidFill>
                </w14:textFill>
              </w:rPr>
              <w:t>铝</w:t>
            </w:r>
          </w:p>
        </w:tc>
        <w:tc>
          <w:tcPr>
            <w:tcW w:w="1143" w:type="pct"/>
            <w:shd w:val="clear" w:color="auto" w:fill="auto"/>
            <w:vAlign w:val="center"/>
          </w:tcPr>
          <w:p w14:paraId="5DE9D29A">
            <w:pPr>
              <w:jc w:val="center"/>
              <w:rPr>
                <w:rFonts w:ascii="宋体" w:hAnsi="宋体"/>
                <w:b w:val="0"/>
                <w:color w:val="000000" w:themeColor="text1"/>
                <w:szCs w:val="21"/>
                <w14:textFill>
                  <w14:solidFill>
                    <w14:schemeClr w14:val="tx1"/>
                  </w14:solidFill>
                </w14:textFill>
              </w:rPr>
            </w:pPr>
            <w:r>
              <w:rPr>
                <w:rFonts w:hint="eastAsia" w:ascii="宋体" w:hAnsi="宋体" w:cs="宋体"/>
                <w:b w:val="0"/>
                <w:color w:val="000000" w:themeColor="text1"/>
                <w:szCs w:val="21"/>
                <w14:textFill>
                  <w14:solidFill>
                    <w14:schemeClr w14:val="tx1"/>
                  </w14:solidFill>
                </w14:textFill>
              </w:rPr>
              <w:t>还原剂</w:t>
            </w:r>
          </w:p>
        </w:tc>
        <w:tc>
          <w:tcPr>
            <w:tcW w:w="817" w:type="pct"/>
            <w:shd w:val="clear" w:color="auto" w:fill="auto"/>
            <w:vAlign w:val="center"/>
          </w:tcPr>
          <w:p w14:paraId="7D208160">
            <w:pPr>
              <w:jc w:val="center"/>
              <w:rPr>
                <w:rFonts w:ascii="宋体" w:hAnsi="宋体"/>
                <w:b w:val="0"/>
                <w:color w:val="000000" w:themeColor="text1"/>
                <w:szCs w:val="21"/>
                <w14:textFill>
                  <w14:solidFill>
                    <w14:schemeClr w14:val="tx1"/>
                  </w14:solidFill>
                </w14:textFill>
              </w:rPr>
            </w:pPr>
            <w:r>
              <w:rPr>
                <w:rFonts w:hint="eastAsia" w:ascii="宋体" w:hAnsi="宋体" w:cs="宋体"/>
                <w:b w:val="0"/>
                <w:color w:val="000000" w:themeColor="text1"/>
                <w:szCs w:val="21"/>
                <w14:textFill>
                  <w14:solidFill>
                    <w14:schemeClr w14:val="tx1"/>
                  </w14:solidFill>
                </w14:textFill>
              </w:rPr>
              <w:t>吨</w:t>
            </w:r>
          </w:p>
        </w:tc>
        <w:tc>
          <w:tcPr>
            <w:tcW w:w="1181" w:type="pct"/>
            <w:shd w:val="clear" w:color="auto" w:fill="auto"/>
            <w:vAlign w:val="center"/>
          </w:tcPr>
          <w:p w14:paraId="7683497A">
            <w:pPr>
              <w:jc w:val="center"/>
              <w:rPr>
                <w:rFonts w:ascii="宋体" w:hAnsi="宋体"/>
                <w:b w:val="0"/>
                <w:color w:val="000000" w:themeColor="text1"/>
                <w:szCs w:val="21"/>
                <w14:textFill>
                  <w14:solidFill>
                    <w14:schemeClr w14:val="tx1"/>
                  </w14:solidFill>
                </w14:textFill>
              </w:rPr>
            </w:pPr>
            <w:r>
              <w:rPr>
                <w:rFonts w:hint="eastAsia" w:ascii="宋体" w:hAnsi="宋体"/>
                <w:b w:val="0"/>
                <w:color w:val="000000" w:themeColor="text1"/>
                <w:szCs w:val="21"/>
                <w14:textFill>
                  <w14:solidFill>
                    <w14:schemeClr w14:val="tx1"/>
                  </w14:solidFill>
                </w14:textFill>
              </w:rPr>
              <w:t>2</w:t>
            </w:r>
          </w:p>
        </w:tc>
      </w:tr>
      <w:tr w14:paraId="604EEB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36" w:type="pct"/>
            <w:shd w:val="clear" w:color="auto" w:fill="auto"/>
            <w:vAlign w:val="center"/>
          </w:tcPr>
          <w:p w14:paraId="48BCD2A0">
            <w:pPr>
              <w:jc w:val="center"/>
              <w:rPr>
                <w:rFonts w:ascii="宋体" w:hAnsi="宋体" w:cs="宋体"/>
                <w:b w:val="0"/>
                <w:szCs w:val="21"/>
              </w:rPr>
            </w:pPr>
            <w:r>
              <w:rPr>
                <w:rFonts w:hint="eastAsia" w:ascii="宋体" w:hAnsi="宋体" w:cs="宋体"/>
                <w:b w:val="0"/>
                <w:szCs w:val="21"/>
              </w:rPr>
              <w:t>1</w:t>
            </w:r>
            <w:r>
              <w:rPr>
                <w:rFonts w:ascii="宋体" w:hAnsi="宋体" w:cs="宋体"/>
                <w:b w:val="0"/>
                <w:szCs w:val="21"/>
              </w:rPr>
              <w:t>1</w:t>
            </w:r>
          </w:p>
        </w:tc>
        <w:tc>
          <w:tcPr>
            <w:tcW w:w="1321" w:type="pct"/>
            <w:shd w:val="clear" w:color="auto" w:fill="auto"/>
            <w:vAlign w:val="center"/>
          </w:tcPr>
          <w:p w14:paraId="26E9D16B">
            <w:pPr>
              <w:jc w:val="center"/>
              <w:rPr>
                <w:rFonts w:ascii="宋体" w:hAnsi="宋体" w:cs="宋体"/>
                <w:b w:val="0"/>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聚氯乙烯</w:t>
            </w:r>
          </w:p>
        </w:tc>
        <w:tc>
          <w:tcPr>
            <w:tcW w:w="1143" w:type="pct"/>
            <w:shd w:val="clear" w:color="auto" w:fill="auto"/>
            <w:vAlign w:val="center"/>
          </w:tcPr>
          <w:p w14:paraId="6A80827D">
            <w:pPr>
              <w:jc w:val="center"/>
              <w:rPr>
                <w:rFonts w:ascii="宋体" w:hAnsi="宋体" w:cs="宋体"/>
                <w:b w:val="0"/>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特种效应物质</w:t>
            </w:r>
          </w:p>
        </w:tc>
        <w:tc>
          <w:tcPr>
            <w:tcW w:w="817" w:type="pct"/>
            <w:shd w:val="clear" w:color="auto" w:fill="auto"/>
            <w:vAlign w:val="center"/>
          </w:tcPr>
          <w:p w14:paraId="539A1633">
            <w:pPr>
              <w:jc w:val="center"/>
              <w:rPr>
                <w:rFonts w:ascii="宋体" w:hAnsi="宋体" w:cs="宋体"/>
                <w:b w:val="0"/>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吨</w:t>
            </w:r>
          </w:p>
        </w:tc>
        <w:tc>
          <w:tcPr>
            <w:tcW w:w="1181" w:type="pct"/>
            <w:shd w:val="clear" w:color="auto" w:fill="auto"/>
            <w:vAlign w:val="center"/>
          </w:tcPr>
          <w:p w14:paraId="34629C0B">
            <w:pPr>
              <w:jc w:val="center"/>
              <w:rPr>
                <w:rFonts w:ascii="宋体" w:hAnsi="宋体"/>
                <w:b w:val="0"/>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4</w:t>
            </w:r>
          </w:p>
        </w:tc>
      </w:tr>
      <w:tr w14:paraId="774529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36" w:type="pct"/>
            <w:shd w:val="clear" w:color="auto" w:fill="auto"/>
            <w:vAlign w:val="center"/>
          </w:tcPr>
          <w:p w14:paraId="335BE119">
            <w:pPr>
              <w:jc w:val="center"/>
              <w:rPr>
                <w:rFonts w:ascii="宋体" w:hAnsi="宋体"/>
                <w:b w:val="0"/>
                <w:szCs w:val="21"/>
              </w:rPr>
            </w:pPr>
            <w:r>
              <w:rPr>
                <w:rFonts w:hint="eastAsia" w:ascii="宋体" w:hAnsi="宋体"/>
                <w:b w:val="0"/>
                <w:szCs w:val="21"/>
              </w:rPr>
              <w:t>1</w:t>
            </w:r>
            <w:r>
              <w:rPr>
                <w:rFonts w:ascii="宋体" w:hAnsi="宋体"/>
                <w:b w:val="0"/>
                <w:szCs w:val="21"/>
              </w:rPr>
              <w:t>2</w:t>
            </w:r>
          </w:p>
        </w:tc>
        <w:tc>
          <w:tcPr>
            <w:tcW w:w="1321" w:type="pct"/>
            <w:shd w:val="clear" w:color="auto" w:fill="auto"/>
            <w:vAlign w:val="center"/>
          </w:tcPr>
          <w:p w14:paraId="59F0A415">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酚醛树脂（固体）</w:t>
            </w:r>
          </w:p>
        </w:tc>
        <w:tc>
          <w:tcPr>
            <w:tcW w:w="1143" w:type="pct"/>
            <w:shd w:val="clear" w:color="auto" w:fill="auto"/>
            <w:vAlign w:val="center"/>
          </w:tcPr>
          <w:p w14:paraId="7A94C32F">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特种效应物质</w:t>
            </w:r>
          </w:p>
        </w:tc>
        <w:tc>
          <w:tcPr>
            <w:tcW w:w="817" w:type="pct"/>
            <w:shd w:val="clear" w:color="auto" w:fill="auto"/>
            <w:vAlign w:val="center"/>
          </w:tcPr>
          <w:p w14:paraId="5502E037">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吨</w:t>
            </w:r>
          </w:p>
        </w:tc>
        <w:tc>
          <w:tcPr>
            <w:tcW w:w="1181" w:type="pct"/>
            <w:shd w:val="clear" w:color="auto" w:fill="auto"/>
            <w:vAlign w:val="center"/>
          </w:tcPr>
          <w:p w14:paraId="70E8E51A">
            <w:pPr>
              <w:jc w:val="center"/>
              <w:rPr>
                <w:rFonts w:ascii="宋体" w:hAnsi="宋体" w:cs="宋体"/>
                <w:b w:val="0"/>
                <w:bCs/>
                <w:color w:val="000000" w:themeColor="text1"/>
                <w:szCs w:val="21"/>
                <w14:textFill>
                  <w14:solidFill>
                    <w14:schemeClr w14:val="tx1"/>
                  </w14:solidFill>
                </w14:textFill>
              </w:rPr>
            </w:pPr>
            <w:r>
              <w:rPr>
                <w:rFonts w:ascii="宋体" w:hAnsi="宋体" w:cs="宋体"/>
                <w:b w:val="0"/>
                <w:bCs/>
                <w:color w:val="000000" w:themeColor="text1"/>
                <w:szCs w:val="21"/>
                <w14:textFill>
                  <w14:solidFill>
                    <w14:schemeClr w14:val="tx1"/>
                  </w14:solidFill>
                </w14:textFill>
              </w:rPr>
              <w:t>10</w:t>
            </w:r>
          </w:p>
        </w:tc>
      </w:tr>
      <w:tr w14:paraId="3B4A3A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36" w:type="pct"/>
            <w:shd w:val="clear" w:color="auto" w:fill="auto"/>
            <w:vAlign w:val="center"/>
          </w:tcPr>
          <w:p w14:paraId="05D6E5A7">
            <w:pPr>
              <w:jc w:val="center"/>
              <w:rPr>
                <w:rFonts w:ascii="宋体" w:hAnsi="宋体"/>
                <w:b w:val="0"/>
                <w:szCs w:val="21"/>
              </w:rPr>
            </w:pPr>
            <w:r>
              <w:rPr>
                <w:rFonts w:hint="eastAsia" w:ascii="宋体" w:hAnsi="宋体"/>
                <w:b w:val="0"/>
                <w:szCs w:val="21"/>
              </w:rPr>
              <w:t>1</w:t>
            </w:r>
            <w:r>
              <w:rPr>
                <w:rFonts w:ascii="宋体" w:hAnsi="宋体"/>
                <w:b w:val="0"/>
                <w:szCs w:val="21"/>
              </w:rPr>
              <w:t>3</w:t>
            </w:r>
          </w:p>
        </w:tc>
        <w:tc>
          <w:tcPr>
            <w:tcW w:w="1321" w:type="pct"/>
            <w:shd w:val="clear" w:color="auto" w:fill="auto"/>
            <w:vAlign w:val="center"/>
          </w:tcPr>
          <w:p w14:paraId="25A34ABB">
            <w:pPr>
              <w:jc w:val="center"/>
              <w:rPr>
                <w:rFonts w:ascii="宋体" w:hAnsi="宋体" w:cs="宋体"/>
                <w:b w:val="0"/>
                <w:szCs w:val="21"/>
              </w:rPr>
            </w:pPr>
            <w:r>
              <w:rPr>
                <w:rFonts w:hint="eastAsia" w:ascii="宋体" w:hAnsi="宋体" w:cs="宋体"/>
                <w:b w:val="0"/>
                <w:szCs w:val="21"/>
              </w:rPr>
              <w:t>碳酸锶</w:t>
            </w:r>
          </w:p>
        </w:tc>
        <w:tc>
          <w:tcPr>
            <w:tcW w:w="1143" w:type="pct"/>
            <w:shd w:val="clear" w:color="auto" w:fill="auto"/>
            <w:vAlign w:val="center"/>
          </w:tcPr>
          <w:p w14:paraId="75E7FB12">
            <w:pPr>
              <w:jc w:val="center"/>
              <w:rPr>
                <w:rFonts w:ascii="宋体" w:hAnsi="宋体" w:cs="宋体"/>
                <w:b w:val="0"/>
                <w:szCs w:val="21"/>
              </w:rPr>
            </w:pPr>
            <w:r>
              <w:rPr>
                <w:rFonts w:hint="eastAsia" w:ascii="宋体" w:hAnsi="宋体" w:cs="宋体"/>
                <w:b w:val="0"/>
                <w:szCs w:val="21"/>
              </w:rPr>
              <w:t>发色剂</w:t>
            </w:r>
          </w:p>
        </w:tc>
        <w:tc>
          <w:tcPr>
            <w:tcW w:w="817" w:type="pct"/>
            <w:shd w:val="clear" w:color="auto" w:fill="auto"/>
            <w:vAlign w:val="center"/>
          </w:tcPr>
          <w:p w14:paraId="5EE5323E">
            <w:pPr>
              <w:jc w:val="center"/>
              <w:rPr>
                <w:rFonts w:ascii="宋体" w:hAnsi="宋体" w:cs="宋体"/>
                <w:b w:val="0"/>
                <w:szCs w:val="21"/>
              </w:rPr>
            </w:pPr>
            <w:r>
              <w:rPr>
                <w:rFonts w:hint="eastAsia" w:ascii="宋体" w:hAnsi="宋体" w:cs="宋体"/>
                <w:b w:val="0"/>
                <w:szCs w:val="21"/>
              </w:rPr>
              <w:t>吨</w:t>
            </w:r>
          </w:p>
        </w:tc>
        <w:tc>
          <w:tcPr>
            <w:tcW w:w="1181" w:type="pct"/>
            <w:shd w:val="clear" w:color="auto" w:fill="auto"/>
            <w:vAlign w:val="center"/>
          </w:tcPr>
          <w:p w14:paraId="079AFD1A">
            <w:pPr>
              <w:jc w:val="center"/>
              <w:rPr>
                <w:rFonts w:ascii="宋体" w:hAnsi="宋体"/>
                <w:b w:val="0"/>
                <w:szCs w:val="21"/>
              </w:rPr>
            </w:pPr>
            <w:r>
              <w:rPr>
                <w:rFonts w:hint="eastAsia" w:ascii="宋体" w:hAnsi="宋体"/>
                <w:b w:val="0"/>
                <w:szCs w:val="21"/>
              </w:rPr>
              <w:t>5</w:t>
            </w:r>
          </w:p>
        </w:tc>
      </w:tr>
      <w:tr w14:paraId="45064B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36" w:type="pct"/>
            <w:shd w:val="clear" w:color="auto" w:fill="auto"/>
            <w:vAlign w:val="center"/>
          </w:tcPr>
          <w:p w14:paraId="31603267">
            <w:pPr>
              <w:jc w:val="center"/>
              <w:rPr>
                <w:rFonts w:ascii="宋体" w:hAnsi="宋体"/>
                <w:b w:val="0"/>
                <w:szCs w:val="21"/>
              </w:rPr>
            </w:pPr>
            <w:r>
              <w:rPr>
                <w:rFonts w:hint="eastAsia" w:ascii="宋体" w:hAnsi="宋体"/>
                <w:b w:val="0"/>
                <w:szCs w:val="21"/>
              </w:rPr>
              <w:t>1</w:t>
            </w:r>
            <w:r>
              <w:rPr>
                <w:rFonts w:ascii="宋体" w:hAnsi="宋体"/>
                <w:b w:val="0"/>
                <w:szCs w:val="21"/>
              </w:rPr>
              <w:t>4</w:t>
            </w:r>
          </w:p>
        </w:tc>
        <w:tc>
          <w:tcPr>
            <w:tcW w:w="1321" w:type="pct"/>
            <w:shd w:val="clear" w:color="auto" w:fill="auto"/>
            <w:vAlign w:val="center"/>
          </w:tcPr>
          <w:p w14:paraId="2B12033B">
            <w:pPr>
              <w:jc w:val="center"/>
              <w:rPr>
                <w:rFonts w:ascii="宋体" w:hAnsi="宋体"/>
                <w:b w:val="0"/>
                <w:szCs w:val="21"/>
              </w:rPr>
            </w:pPr>
            <w:r>
              <w:rPr>
                <w:rFonts w:hint="eastAsia" w:ascii="宋体" w:hAnsi="宋体" w:cs="宋体"/>
                <w:b w:val="0"/>
                <w:szCs w:val="21"/>
              </w:rPr>
              <w:t>引线</w:t>
            </w:r>
          </w:p>
        </w:tc>
        <w:tc>
          <w:tcPr>
            <w:tcW w:w="1143" w:type="pct"/>
            <w:shd w:val="clear" w:color="auto" w:fill="auto"/>
            <w:vAlign w:val="center"/>
          </w:tcPr>
          <w:p w14:paraId="5E9B546E">
            <w:pPr>
              <w:jc w:val="center"/>
              <w:rPr>
                <w:rFonts w:ascii="宋体" w:hAnsi="宋体"/>
                <w:b w:val="0"/>
                <w:szCs w:val="21"/>
              </w:rPr>
            </w:pPr>
            <w:r>
              <w:rPr>
                <w:rFonts w:hint="eastAsia" w:ascii="宋体" w:hAnsi="宋体" w:cs="宋体"/>
                <w:b w:val="0"/>
                <w:szCs w:val="21"/>
              </w:rPr>
              <w:t>传火</w:t>
            </w:r>
          </w:p>
        </w:tc>
        <w:tc>
          <w:tcPr>
            <w:tcW w:w="817" w:type="pct"/>
            <w:shd w:val="clear" w:color="auto" w:fill="auto"/>
            <w:vAlign w:val="center"/>
          </w:tcPr>
          <w:p w14:paraId="7C991939">
            <w:pPr>
              <w:jc w:val="center"/>
              <w:rPr>
                <w:rFonts w:ascii="宋体" w:hAnsi="宋体"/>
                <w:b w:val="0"/>
                <w:szCs w:val="21"/>
              </w:rPr>
            </w:pPr>
            <w:r>
              <w:rPr>
                <w:rFonts w:hint="eastAsia" w:ascii="宋体" w:hAnsi="宋体" w:cs="宋体"/>
                <w:b w:val="0"/>
                <w:szCs w:val="21"/>
              </w:rPr>
              <w:t>米</w:t>
            </w:r>
          </w:p>
        </w:tc>
        <w:tc>
          <w:tcPr>
            <w:tcW w:w="1181" w:type="pct"/>
            <w:shd w:val="clear" w:color="auto" w:fill="auto"/>
            <w:vAlign w:val="center"/>
          </w:tcPr>
          <w:p w14:paraId="574018E2">
            <w:pPr>
              <w:jc w:val="center"/>
              <w:rPr>
                <w:rFonts w:ascii="宋体" w:hAnsi="宋体"/>
                <w:b w:val="0"/>
                <w:szCs w:val="21"/>
              </w:rPr>
            </w:pPr>
            <w:r>
              <w:rPr>
                <w:rFonts w:ascii="宋体" w:hAnsi="宋体"/>
                <w:b w:val="0"/>
                <w:szCs w:val="21"/>
              </w:rPr>
              <w:t>2000</w:t>
            </w:r>
            <w:r>
              <w:rPr>
                <w:rFonts w:hint="eastAsia" w:ascii="宋体" w:hAnsi="宋体"/>
                <w:b w:val="0"/>
                <w:szCs w:val="21"/>
              </w:rPr>
              <w:t>万米</w:t>
            </w:r>
          </w:p>
        </w:tc>
      </w:tr>
      <w:tr w14:paraId="5678A2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36" w:type="pct"/>
            <w:shd w:val="clear" w:color="auto" w:fill="auto"/>
            <w:vAlign w:val="center"/>
          </w:tcPr>
          <w:p w14:paraId="71909B27">
            <w:pPr>
              <w:jc w:val="center"/>
              <w:rPr>
                <w:rFonts w:ascii="宋体" w:hAnsi="宋体"/>
                <w:b w:val="0"/>
                <w:szCs w:val="21"/>
              </w:rPr>
            </w:pPr>
            <w:r>
              <w:rPr>
                <w:rFonts w:hint="eastAsia" w:ascii="宋体" w:hAnsi="宋体"/>
                <w:b w:val="0"/>
                <w:szCs w:val="21"/>
              </w:rPr>
              <w:t>15</w:t>
            </w:r>
          </w:p>
        </w:tc>
        <w:tc>
          <w:tcPr>
            <w:tcW w:w="1321" w:type="pct"/>
            <w:shd w:val="clear" w:color="auto" w:fill="auto"/>
            <w:vAlign w:val="center"/>
          </w:tcPr>
          <w:p w14:paraId="078B04B6">
            <w:pPr>
              <w:jc w:val="center"/>
              <w:rPr>
                <w:rFonts w:ascii="宋体" w:hAnsi="宋体"/>
                <w:b w:val="0"/>
                <w:szCs w:val="21"/>
              </w:rPr>
            </w:pPr>
            <w:r>
              <w:rPr>
                <w:rFonts w:hint="eastAsia" w:ascii="宋体" w:hAnsi="宋体" w:cs="宋体"/>
                <w:b w:val="0"/>
                <w:szCs w:val="21"/>
              </w:rPr>
              <w:t>黑火药</w:t>
            </w:r>
          </w:p>
        </w:tc>
        <w:tc>
          <w:tcPr>
            <w:tcW w:w="1143" w:type="pct"/>
            <w:shd w:val="clear" w:color="auto" w:fill="auto"/>
            <w:vAlign w:val="center"/>
          </w:tcPr>
          <w:p w14:paraId="2ABC6CC9">
            <w:pPr>
              <w:jc w:val="center"/>
              <w:rPr>
                <w:rFonts w:ascii="宋体" w:hAnsi="宋体"/>
                <w:b w:val="0"/>
                <w:szCs w:val="21"/>
              </w:rPr>
            </w:pPr>
            <w:r>
              <w:rPr>
                <w:rFonts w:hint="eastAsia" w:ascii="宋体" w:hAnsi="宋体" w:cs="宋体"/>
                <w:b w:val="0"/>
                <w:szCs w:val="21"/>
              </w:rPr>
              <w:t>喷花硝</w:t>
            </w:r>
          </w:p>
        </w:tc>
        <w:tc>
          <w:tcPr>
            <w:tcW w:w="817" w:type="pct"/>
            <w:shd w:val="clear" w:color="auto" w:fill="auto"/>
            <w:vAlign w:val="center"/>
          </w:tcPr>
          <w:p w14:paraId="0AC7B30A">
            <w:pPr>
              <w:jc w:val="center"/>
              <w:rPr>
                <w:rFonts w:ascii="宋体" w:hAnsi="宋体"/>
                <w:b w:val="0"/>
                <w:szCs w:val="21"/>
              </w:rPr>
            </w:pPr>
            <w:r>
              <w:rPr>
                <w:rFonts w:hint="eastAsia" w:ascii="宋体" w:hAnsi="宋体" w:cs="宋体"/>
                <w:b w:val="0"/>
                <w:szCs w:val="21"/>
              </w:rPr>
              <w:t>吨</w:t>
            </w:r>
          </w:p>
        </w:tc>
        <w:tc>
          <w:tcPr>
            <w:tcW w:w="1181" w:type="pct"/>
            <w:shd w:val="clear" w:color="auto" w:fill="auto"/>
            <w:vAlign w:val="center"/>
          </w:tcPr>
          <w:p w14:paraId="37F617D9">
            <w:pPr>
              <w:jc w:val="center"/>
              <w:rPr>
                <w:rFonts w:ascii="宋体" w:hAnsi="宋体"/>
                <w:b w:val="0"/>
                <w:szCs w:val="21"/>
              </w:rPr>
            </w:pPr>
            <w:r>
              <w:rPr>
                <w:rFonts w:hint="eastAsia" w:ascii="宋体" w:hAnsi="宋体"/>
                <w:b w:val="0"/>
                <w:szCs w:val="21"/>
              </w:rPr>
              <w:t>350</w:t>
            </w:r>
          </w:p>
        </w:tc>
      </w:tr>
      <w:tr w14:paraId="50AF1C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36" w:type="pct"/>
            <w:shd w:val="clear" w:color="auto" w:fill="auto"/>
            <w:vAlign w:val="center"/>
          </w:tcPr>
          <w:p w14:paraId="63F3721E">
            <w:pPr>
              <w:jc w:val="center"/>
              <w:rPr>
                <w:rFonts w:ascii="宋体" w:hAnsi="宋体"/>
                <w:b w:val="0"/>
                <w:szCs w:val="21"/>
              </w:rPr>
            </w:pPr>
            <w:r>
              <w:rPr>
                <w:rFonts w:hint="eastAsia" w:ascii="宋体" w:hAnsi="宋体"/>
                <w:b w:val="0"/>
                <w:szCs w:val="21"/>
              </w:rPr>
              <w:t>16</w:t>
            </w:r>
          </w:p>
        </w:tc>
        <w:tc>
          <w:tcPr>
            <w:tcW w:w="1321" w:type="pct"/>
            <w:shd w:val="clear" w:color="auto" w:fill="auto"/>
            <w:vAlign w:val="center"/>
          </w:tcPr>
          <w:p w14:paraId="13F6BA5F">
            <w:pPr>
              <w:jc w:val="center"/>
              <w:rPr>
                <w:rFonts w:ascii="宋体" w:hAnsi="宋体"/>
                <w:b w:val="0"/>
                <w:szCs w:val="21"/>
              </w:rPr>
            </w:pPr>
            <w:r>
              <w:rPr>
                <w:rFonts w:hint="eastAsia" w:ascii="宋体" w:hAnsi="宋体"/>
                <w:b w:val="0"/>
                <w:szCs w:val="21"/>
              </w:rPr>
              <w:t>单基火药</w:t>
            </w:r>
          </w:p>
        </w:tc>
        <w:tc>
          <w:tcPr>
            <w:tcW w:w="1143" w:type="pct"/>
            <w:shd w:val="clear" w:color="auto" w:fill="auto"/>
            <w:vAlign w:val="center"/>
          </w:tcPr>
          <w:p w14:paraId="2E5EAEF3">
            <w:pPr>
              <w:jc w:val="center"/>
              <w:rPr>
                <w:rFonts w:ascii="宋体" w:hAnsi="宋体"/>
                <w:b w:val="0"/>
                <w:szCs w:val="21"/>
              </w:rPr>
            </w:pPr>
            <w:r>
              <w:rPr>
                <w:rFonts w:hint="eastAsia" w:ascii="宋体" w:hAnsi="宋体"/>
                <w:b w:val="0"/>
                <w:szCs w:val="21"/>
              </w:rPr>
              <w:t>烟火药</w:t>
            </w:r>
          </w:p>
        </w:tc>
        <w:tc>
          <w:tcPr>
            <w:tcW w:w="817" w:type="pct"/>
            <w:shd w:val="clear" w:color="auto" w:fill="auto"/>
            <w:vAlign w:val="center"/>
          </w:tcPr>
          <w:p w14:paraId="0E237CAC">
            <w:pPr>
              <w:jc w:val="center"/>
              <w:rPr>
                <w:rFonts w:ascii="宋体" w:hAnsi="宋体"/>
                <w:b w:val="0"/>
                <w:szCs w:val="21"/>
              </w:rPr>
            </w:pPr>
            <w:r>
              <w:rPr>
                <w:rFonts w:hint="eastAsia" w:ascii="宋体" w:hAnsi="宋体"/>
                <w:b w:val="0"/>
                <w:szCs w:val="21"/>
              </w:rPr>
              <w:t>吨</w:t>
            </w:r>
          </w:p>
        </w:tc>
        <w:tc>
          <w:tcPr>
            <w:tcW w:w="1181" w:type="pct"/>
            <w:shd w:val="clear" w:color="auto" w:fill="auto"/>
            <w:vAlign w:val="center"/>
          </w:tcPr>
          <w:p w14:paraId="0633AA1B">
            <w:pPr>
              <w:jc w:val="center"/>
              <w:rPr>
                <w:rFonts w:ascii="宋体" w:hAnsi="宋体"/>
                <w:b w:val="0"/>
                <w:szCs w:val="21"/>
              </w:rPr>
            </w:pPr>
            <w:r>
              <w:rPr>
                <w:rFonts w:hint="eastAsia" w:ascii="宋体" w:hAnsi="宋体"/>
                <w:b w:val="0"/>
                <w:szCs w:val="21"/>
              </w:rPr>
              <w:t>70</w:t>
            </w:r>
          </w:p>
        </w:tc>
      </w:tr>
      <w:tr w14:paraId="3888E3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536" w:type="pct"/>
            <w:shd w:val="clear" w:color="auto" w:fill="auto"/>
            <w:vAlign w:val="center"/>
          </w:tcPr>
          <w:p w14:paraId="3348B555">
            <w:pPr>
              <w:jc w:val="center"/>
              <w:rPr>
                <w:rFonts w:ascii="宋体" w:hAnsi="宋体"/>
                <w:b w:val="0"/>
                <w:szCs w:val="21"/>
              </w:rPr>
            </w:pPr>
            <w:r>
              <w:rPr>
                <w:rFonts w:hint="eastAsia" w:ascii="宋体" w:hAnsi="宋体"/>
                <w:b w:val="0"/>
                <w:szCs w:val="21"/>
              </w:rPr>
              <w:t>17</w:t>
            </w:r>
          </w:p>
        </w:tc>
        <w:tc>
          <w:tcPr>
            <w:tcW w:w="1321" w:type="pct"/>
            <w:shd w:val="clear" w:color="auto" w:fill="auto"/>
            <w:vAlign w:val="center"/>
          </w:tcPr>
          <w:p w14:paraId="5FF34156">
            <w:pPr>
              <w:jc w:val="center"/>
              <w:rPr>
                <w:rFonts w:ascii="宋体" w:hAnsi="宋体"/>
                <w:b w:val="0"/>
                <w:szCs w:val="21"/>
              </w:rPr>
            </w:pPr>
            <w:r>
              <w:rPr>
                <w:rFonts w:hint="eastAsia" w:ascii="宋体" w:hAnsi="宋体" w:cs="宋体"/>
                <w:b w:val="0"/>
                <w:szCs w:val="21"/>
              </w:rPr>
              <w:t>防潮剂</w:t>
            </w:r>
          </w:p>
        </w:tc>
        <w:tc>
          <w:tcPr>
            <w:tcW w:w="1143" w:type="pct"/>
            <w:shd w:val="clear" w:color="auto" w:fill="auto"/>
            <w:vAlign w:val="center"/>
          </w:tcPr>
          <w:p w14:paraId="36958C48">
            <w:pPr>
              <w:jc w:val="center"/>
              <w:rPr>
                <w:rFonts w:ascii="宋体" w:hAnsi="宋体"/>
                <w:b w:val="0"/>
                <w:szCs w:val="21"/>
              </w:rPr>
            </w:pPr>
            <w:r>
              <w:rPr>
                <w:rFonts w:hint="eastAsia" w:ascii="宋体" w:hAnsi="宋体" w:cs="宋体"/>
                <w:b w:val="0"/>
                <w:szCs w:val="21"/>
              </w:rPr>
              <w:t>防潮剂</w:t>
            </w:r>
          </w:p>
        </w:tc>
        <w:tc>
          <w:tcPr>
            <w:tcW w:w="817" w:type="pct"/>
            <w:shd w:val="clear" w:color="auto" w:fill="auto"/>
            <w:vAlign w:val="center"/>
          </w:tcPr>
          <w:p w14:paraId="3010EB8B">
            <w:pPr>
              <w:jc w:val="center"/>
              <w:rPr>
                <w:rFonts w:ascii="宋体" w:hAnsi="宋体"/>
                <w:b w:val="0"/>
                <w:szCs w:val="21"/>
              </w:rPr>
            </w:pPr>
            <w:r>
              <w:rPr>
                <w:rFonts w:hint="eastAsia" w:ascii="宋体" w:hAnsi="宋体" w:cs="宋体"/>
                <w:b w:val="0"/>
                <w:szCs w:val="21"/>
              </w:rPr>
              <w:t>吨</w:t>
            </w:r>
          </w:p>
        </w:tc>
        <w:tc>
          <w:tcPr>
            <w:tcW w:w="1181" w:type="pct"/>
            <w:shd w:val="clear" w:color="auto" w:fill="auto"/>
            <w:vAlign w:val="center"/>
          </w:tcPr>
          <w:p w14:paraId="714C417E">
            <w:pPr>
              <w:jc w:val="center"/>
              <w:rPr>
                <w:rFonts w:ascii="宋体" w:hAnsi="宋体"/>
                <w:b w:val="0"/>
                <w:szCs w:val="21"/>
              </w:rPr>
            </w:pPr>
            <w:r>
              <w:rPr>
                <w:rFonts w:hint="eastAsia" w:ascii="宋体" w:hAnsi="宋体"/>
                <w:b w:val="0"/>
                <w:szCs w:val="21"/>
              </w:rPr>
              <w:t>5</w:t>
            </w:r>
          </w:p>
        </w:tc>
      </w:tr>
    </w:tbl>
    <w:p w14:paraId="4F989041">
      <w:pPr>
        <w:keepNext/>
        <w:keepLines/>
        <w:spacing w:before="120" w:beforeLines="50" w:line="360" w:lineRule="auto"/>
        <w:outlineLvl w:val="1"/>
        <w:rPr>
          <w:rFonts w:ascii="黑体" w:hAnsi="宋体" w:eastAsia="黑体"/>
          <w:b w:val="0"/>
          <w:bCs/>
          <w:snapToGrid w:val="0"/>
          <w:sz w:val="30"/>
          <w:szCs w:val="30"/>
        </w:rPr>
      </w:pPr>
      <w:bookmarkStart w:id="124" w:name="_Toc333"/>
      <w:r>
        <w:rPr>
          <w:rFonts w:hint="eastAsia" w:ascii="黑体" w:hAnsi="宋体" w:eastAsia="黑体"/>
          <w:b w:val="0"/>
          <w:bCs/>
          <w:snapToGrid w:val="0"/>
          <w:sz w:val="30"/>
          <w:szCs w:val="30"/>
        </w:rPr>
        <w:t>2</w:t>
      </w:r>
      <w:r>
        <w:rPr>
          <w:rFonts w:ascii="黑体" w:hAnsi="宋体" w:eastAsia="黑体"/>
          <w:b w:val="0"/>
          <w:bCs/>
          <w:snapToGrid w:val="0"/>
          <w:sz w:val="30"/>
          <w:szCs w:val="30"/>
        </w:rPr>
        <w:t>.</w:t>
      </w:r>
      <w:r>
        <w:rPr>
          <w:rFonts w:hint="eastAsia" w:ascii="黑体" w:hAnsi="宋体" w:eastAsia="黑体"/>
          <w:b w:val="0"/>
          <w:bCs/>
          <w:snapToGrid w:val="0"/>
          <w:sz w:val="30"/>
          <w:szCs w:val="30"/>
        </w:rPr>
        <w:t>7主要生产设备</w:t>
      </w:r>
      <w:bookmarkEnd w:id="124"/>
    </w:p>
    <w:p w14:paraId="2C0BE24A">
      <w:pPr>
        <w:widowControl/>
        <w:spacing w:line="360" w:lineRule="auto"/>
        <w:ind w:firstLine="560" w:firstLineChars="200"/>
        <w:rPr>
          <w:rFonts w:ascii="宋体" w:hAnsi="宋体"/>
          <w:b w:val="0"/>
          <w:bCs/>
          <w:sz w:val="28"/>
        </w:rPr>
      </w:pPr>
      <w:r>
        <w:rPr>
          <w:rFonts w:hint="eastAsia" w:ascii="宋体" w:hAnsi="宋体"/>
          <w:b w:val="0"/>
          <w:bCs/>
          <w:sz w:val="28"/>
        </w:rPr>
        <w:t>浏阳市太平复兴花炮厂（个人独资）本次厂房升级改造项目涉及的主要生产设备如表</w:t>
      </w:r>
      <w:r>
        <w:rPr>
          <w:rFonts w:ascii="宋体" w:hAnsi="宋体"/>
          <w:b w:val="0"/>
          <w:bCs/>
          <w:sz w:val="28"/>
        </w:rPr>
        <w:t>2.</w:t>
      </w:r>
      <w:r>
        <w:rPr>
          <w:rFonts w:hint="eastAsia" w:ascii="宋体" w:hAnsi="宋体"/>
          <w:b w:val="0"/>
          <w:bCs/>
          <w:sz w:val="28"/>
        </w:rPr>
        <w:t>7</w:t>
      </w:r>
      <w:r>
        <w:rPr>
          <w:rFonts w:ascii="宋体" w:hAnsi="宋体"/>
          <w:b w:val="0"/>
          <w:bCs/>
          <w:sz w:val="28"/>
        </w:rPr>
        <w:t>-1</w:t>
      </w:r>
      <w:r>
        <w:rPr>
          <w:rFonts w:hint="eastAsia" w:ascii="宋体" w:hAnsi="宋体"/>
          <w:b w:val="0"/>
          <w:bCs/>
          <w:sz w:val="28"/>
        </w:rPr>
        <w:t>所示：</w:t>
      </w:r>
    </w:p>
    <w:p w14:paraId="1F3C460B">
      <w:pPr>
        <w:widowControl/>
        <w:jc w:val="center"/>
        <w:rPr>
          <w:rFonts w:ascii="宋体" w:hAnsi="宋体"/>
          <w:b w:val="0"/>
          <w:bCs/>
          <w:sz w:val="24"/>
        </w:rPr>
      </w:pPr>
      <w:r>
        <w:rPr>
          <w:rFonts w:hint="eastAsia" w:ascii="黑体" w:hAnsi="黑体" w:eastAsia="黑体"/>
          <w:b w:val="0"/>
          <w:bCs/>
          <w:sz w:val="24"/>
        </w:rPr>
        <w:t>表2.7-1 涉及的主要生产设备一览表</w:t>
      </w:r>
    </w:p>
    <w:tbl>
      <w:tblPr>
        <w:tblStyle w:val="88"/>
        <w:tblW w:w="4693"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81"/>
        <w:gridCol w:w="2297"/>
        <w:gridCol w:w="1391"/>
        <w:gridCol w:w="3045"/>
        <w:gridCol w:w="1104"/>
      </w:tblGrid>
      <w:tr w14:paraId="5B14C2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7" w:hRule="atLeast"/>
          <w:tblHeader/>
          <w:jc w:val="center"/>
        </w:trPr>
        <w:tc>
          <w:tcPr>
            <w:tcW w:w="881" w:type="dxa"/>
            <w:tcBorders>
              <w:tl2br w:val="nil"/>
              <w:tr2bl w:val="nil"/>
            </w:tcBorders>
            <w:shd w:val="clear" w:color="auto" w:fill="auto"/>
            <w:vAlign w:val="center"/>
          </w:tcPr>
          <w:p w14:paraId="18BDED11">
            <w:pPr>
              <w:jc w:val="center"/>
              <w:rPr>
                <w:rFonts w:cs="宋体" w:asciiTheme="minorEastAsia" w:hAnsiTheme="minorEastAsia" w:eastAsiaTheme="minorEastAsia"/>
                <w:szCs w:val="21"/>
              </w:rPr>
            </w:pPr>
            <w:r>
              <w:rPr>
                <w:rFonts w:hint="eastAsia" w:cs="宋体" w:asciiTheme="minorEastAsia" w:hAnsiTheme="minorEastAsia" w:eastAsiaTheme="minorEastAsia"/>
                <w:szCs w:val="21"/>
                <w:lang w:bidi="ar"/>
              </w:rPr>
              <w:t>序号</w:t>
            </w:r>
          </w:p>
        </w:tc>
        <w:tc>
          <w:tcPr>
            <w:tcW w:w="2297" w:type="dxa"/>
            <w:tcBorders>
              <w:tl2br w:val="nil"/>
              <w:tr2bl w:val="nil"/>
            </w:tcBorders>
            <w:shd w:val="clear" w:color="auto" w:fill="auto"/>
            <w:vAlign w:val="center"/>
          </w:tcPr>
          <w:p w14:paraId="5FB373AB">
            <w:pPr>
              <w:jc w:val="center"/>
              <w:rPr>
                <w:rFonts w:cs="宋体" w:asciiTheme="minorEastAsia" w:hAnsiTheme="minorEastAsia" w:eastAsiaTheme="minorEastAsia"/>
                <w:szCs w:val="21"/>
              </w:rPr>
            </w:pPr>
            <w:r>
              <w:rPr>
                <w:rFonts w:hint="eastAsia" w:cs="宋体" w:asciiTheme="minorEastAsia" w:hAnsiTheme="minorEastAsia" w:eastAsiaTheme="minorEastAsia"/>
                <w:szCs w:val="21"/>
                <w:lang w:bidi="ar"/>
              </w:rPr>
              <w:t>设施、工具名称</w:t>
            </w:r>
          </w:p>
        </w:tc>
        <w:tc>
          <w:tcPr>
            <w:tcW w:w="1391" w:type="dxa"/>
            <w:tcBorders>
              <w:tl2br w:val="nil"/>
              <w:tr2bl w:val="nil"/>
            </w:tcBorders>
            <w:shd w:val="clear" w:color="auto" w:fill="auto"/>
            <w:vAlign w:val="center"/>
          </w:tcPr>
          <w:p w14:paraId="42362058">
            <w:pPr>
              <w:jc w:val="center"/>
              <w:rPr>
                <w:rFonts w:cs="宋体" w:asciiTheme="minorEastAsia" w:hAnsiTheme="minorEastAsia" w:eastAsiaTheme="minorEastAsia"/>
                <w:szCs w:val="21"/>
              </w:rPr>
            </w:pPr>
            <w:r>
              <w:rPr>
                <w:rFonts w:hint="eastAsia" w:cs="宋体" w:asciiTheme="minorEastAsia" w:hAnsiTheme="minorEastAsia" w:eastAsiaTheme="minorEastAsia"/>
                <w:szCs w:val="21"/>
                <w:lang w:bidi="ar"/>
              </w:rPr>
              <w:t>数量（台）</w:t>
            </w:r>
          </w:p>
        </w:tc>
        <w:tc>
          <w:tcPr>
            <w:tcW w:w="3045" w:type="dxa"/>
            <w:tcBorders>
              <w:tl2br w:val="nil"/>
              <w:tr2bl w:val="nil"/>
            </w:tcBorders>
            <w:shd w:val="clear" w:color="auto" w:fill="auto"/>
            <w:vAlign w:val="center"/>
          </w:tcPr>
          <w:p w14:paraId="3A6D48E8">
            <w:pPr>
              <w:jc w:val="center"/>
              <w:rPr>
                <w:rFonts w:cs="宋体" w:asciiTheme="minorEastAsia" w:hAnsiTheme="minorEastAsia" w:eastAsiaTheme="minorEastAsia"/>
                <w:szCs w:val="21"/>
              </w:rPr>
            </w:pPr>
            <w:r>
              <w:rPr>
                <w:rFonts w:hint="eastAsia" w:cs="宋体" w:asciiTheme="minorEastAsia" w:hAnsiTheme="minorEastAsia" w:eastAsiaTheme="minorEastAsia"/>
                <w:szCs w:val="21"/>
                <w:lang w:bidi="ar"/>
              </w:rPr>
              <w:t>所在工序或位置</w:t>
            </w:r>
          </w:p>
        </w:tc>
        <w:tc>
          <w:tcPr>
            <w:tcW w:w="1104" w:type="dxa"/>
            <w:tcBorders>
              <w:tl2br w:val="nil"/>
              <w:tr2bl w:val="nil"/>
            </w:tcBorders>
            <w:shd w:val="clear" w:color="auto" w:fill="auto"/>
            <w:vAlign w:val="center"/>
          </w:tcPr>
          <w:p w14:paraId="7C61C596">
            <w:pPr>
              <w:jc w:val="center"/>
              <w:rPr>
                <w:rFonts w:cs="宋体" w:asciiTheme="minorEastAsia" w:hAnsiTheme="minorEastAsia" w:eastAsiaTheme="minorEastAsia"/>
                <w:szCs w:val="21"/>
              </w:rPr>
            </w:pPr>
            <w:r>
              <w:rPr>
                <w:rFonts w:hint="eastAsia" w:cs="宋体" w:asciiTheme="minorEastAsia" w:hAnsiTheme="minorEastAsia" w:eastAsiaTheme="minorEastAsia"/>
                <w:szCs w:val="21"/>
                <w:lang w:bidi="ar"/>
              </w:rPr>
              <w:t>备注</w:t>
            </w:r>
          </w:p>
        </w:tc>
      </w:tr>
      <w:tr w14:paraId="68E732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881" w:type="dxa"/>
            <w:tcBorders>
              <w:tl2br w:val="nil"/>
              <w:tr2bl w:val="nil"/>
            </w:tcBorders>
            <w:shd w:val="clear" w:color="auto" w:fill="auto"/>
            <w:vAlign w:val="center"/>
          </w:tcPr>
          <w:p w14:paraId="5D3E5F3A">
            <w:pPr>
              <w:widowControl/>
              <w:snapToGrid w:val="0"/>
              <w:jc w:val="center"/>
              <w:rPr>
                <w:rFonts w:asciiTheme="minorEastAsia" w:hAnsiTheme="minorEastAsia" w:eastAsiaTheme="minorEastAsia"/>
                <w:b w:val="0"/>
                <w:bCs/>
                <w:szCs w:val="21"/>
              </w:rPr>
            </w:pPr>
            <w:r>
              <w:rPr>
                <w:rFonts w:hint="eastAsia" w:asciiTheme="minorEastAsia" w:hAnsiTheme="minorEastAsia" w:eastAsiaTheme="minorEastAsia"/>
                <w:b w:val="0"/>
                <w:bCs/>
                <w:szCs w:val="21"/>
              </w:rPr>
              <w:t>1</w:t>
            </w:r>
          </w:p>
        </w:tc>
        <w:tc>
          <w:tcPr>
            <w:tcW w:w="2297" w:type="dxa"/>
            <w:tcBorders>
              <w:tl2br w:val="nil"/>
              <w:tr2bl w:val="nil"/>
            </w:tcBorders>
            <w:shd w:val="clear" w:color="auto" w:fill="auto"/>
            <w:vAlign w:val="center"/>
          </w:tcPr>
          <w:p w14:paraId="0E1B4FCC">
            <w:pPr>
              <w:jc w:val="center"/>
              <w:rPr>
                <w:rFonts w:asciiTheme="minorEastAsia" w:hAnsiTheme="minorEastAsia" w:eastAsiaTheme="minorEastAsia"/>
                <w:b w:val="0"/>
                <w:bCs/>
                <w:szCs w:val="21"/>
              </w:rPr>
            </w:pPr>
            <w:r>
              <w:rPr>
                <w:rFonts w:hint="eastAsia" w:asciiTheme="minorEastAsia" w:hAnsiTheme="minorEastAsia" w:eastAsiaTheme="minorEastAsia"/>
                <w:b w:val="0"/>
                <w:bCs/>
                <w:szCs w:val="21"/>
              </w:rPr>
              <w:t>油压机</w:t>
            </w:r>
          </w:p>
        </w:tc>
        <w:tc>
          <w:tcPr>
            <w:tcW w:w="1391" w:type="dxa"/>
            <w:tcBorders>
              <w:tl2br w:val="nil"/>
              <w:tr2bl w:val="nil"/>
            </w:tcBorders>
            <w:shd w:val="clear" w:color="auto" w:fill="auto"/>
            <w:vAlign w:val="center"/>
          </w:tcPr>
          <w:p w14:paraId="4D1C180A">
            <w:pPr>
              <w:spacing w:line="20" w:lineRule="atLeast"/>
              <w:jc w:val="center"/>
              <w:rPr>
                <w:rFonts w:asciiTheme="minorEastAsia" w:hAnsiTheme="minorEastAsia" w:eastAsiaTheme="minorEastAsia"/>
                <w:b w:val="0"/>
                <w:bCs/>
                <w:szCs w:val="21"/>
              </w:rPr>
            </w:pPr>
            <w:r>
              <w:rPr>
                <w:rFonts w:hint="eastAsia" w:asciiTheme="minorEastAsia" w:hAnsiTheme="minorEastAsia" w:eastAsiaTheme="minorEastAsia"/>
                <w:b w:val="0"/>
                <w:bCs/>
                <w:szCs w:val="21"/>
              </w:rPr>
              <w:t>4</w:t>
            </w:r>
          </w:p>
        </w:tc>
        <w:tc>
          <w:tcPr>
            <w:tcW w:w="3045" w:type="dxa"/>
            <w:tcBorders>
              <w:tl2br w:val="nil"/>
              <w:tr2bl w:val="nil"/>
            </w:tcBorders>
            <w:shd w:val="clear" w:color="auto" w:fill="auto"/>
            <w:vAlign w:val="center"/>
          </w:tcPr>
          <w:p w14:paraId="0D25F2A7">
            <w:pPr>
              <w:spacing w:line="20" w:lineRule="atLeast"/>
              <w:jc w:val="center"/>
              <w:rPr>
                <w:rFonts w:asciiTheme="minorEastAsia" w:hAnsiTheme="minorEastAsia" w:eastAsiaTheme="minorEastAsia"/>
                <w:b w:val="0"/>
                <w:bCs/>
                <w:szCs w:val="21"/>
              </w:rPr>
            </w:pPr>
            <w:r>
              <w:rPr>
                <w:rFonts w:hint="eastAsia" w:asciiTheme="minorEastAsia" w:hAnsiTheme="minorEastAsia" w:eastAsiaTheme="minorEastAsia"/>
                <w:b w:val="0"/>
                <w:bCs/>
                <w:szCs w:val="21"/>
              </w:rPr>
              <w:t>25</w:t>
            </w:r>
            <w:r>
              <w:rPr>
                <w:rFonts w:asciiTheme="minorEastAsia" w:hAnsiTheme="minorEastAsia" w:eastAsiaTheme="minorEastAsia"/>
                <w:b w:val="0"/>
                <w:bCs/>
                <w:szCs w:val="21"/>
              </w:rPr>
              <w:t>#</w:t>
            </w:r>
            <w:r>
              <w:rPr>
                <w:rFonts w:hint="eastAsia" w:asciiTheme="minorEastAsia" w:hAnsiTheme="minorEastAsia" w:eastAsiaTheme="minorEastAsia"/>
                <w:b w:val="0"/>
                <w:bCs/>
                <w:szCs w:val="21"/>
              </w:rPr>
              <w:t>、29</w:t>
            </w:r>
            <w:r>
              <w:rPr>
                <w:rFonts w:asciiTheme="minorEastAsia" w:hAnsiTheme="minorEastAsia" w:eastAsiaTheme="minorEastAsia"/>
                <w:b w:val="0"/>
                <w:bCs/>
                <w:szCs w:val="21"/>
              </w:rPr>
              <w:t>#</w:t>
            </w:r>
            <w:r>
              <w:rPr>
                <w:rFonts w:hint="eastAsia" w:asciiTheme="minorEastAsia" w:hAnsiTheme="minorEastAsia" w:eastAsiaTheme="minorEastAsia"/>
                <w:b w:val="0"/>
                <w:bCs/>
                <w:szCs w:val="21"/>
              </w:rPr>
              <w:t>、33</w:t>
            </w:r>
            <w:r>
              <w:rPr>
                <w:rFonts w:asciiTheme="minorEastAsia" w:hAnsiTheme="minorEastAsia" w:eastAsiaTheme="minorEastAsia"/>
                <w:b w:val="0"/>
                <w:bCs/>
                <w:szCs w:val="21"/>
              </w:rPr>
              <w:t>#</w:t>
            </w:r>
            <w:r>
              <w:rPr>
                <w:rFonts w:hint="eastAsia" w:asciiTheme="minorEastAsia" w:hAnsiTheme="minorEastAsia" w:eastAsiaTheme="minorEastAsia"/>
                <w:b w:val="0"/>
                <w:bCs/>
                <w:szCs w:val="21"/>
              </w:rPr>
              <w:t>、35#装药/压药</w:t>
            </w:r>
          </w:p>
        </w:tc>
        <w:tc>
          <w:tcPr>
            <w:tcW w:w="1104" w:type="dxa"/>
            <w:tcBorders>
              <w:tl2br w:val="nil"/>
              <w:tr2bl w:val="nil"/>
            </w:tcBorders>
            <w:shd w:val="clear" w:color="auto" w:fill="auto"/>
            <w:vAlign w:val="center"/>
          </w:tcPr>
          <w:p w14:paraId="39C71F06">
            <w:pPr>
              <w:jc w:val="center"/>
              <w:rPr>
                <w:rFonts w:ascii="宋体" w:hAnsi="宋体"/>
                <w:b w:val="0"/>
                <w:bCs/>
              </w:rPr>
            </w:pPr>
          </w:p>
        </w:tc>
      </w:tr>
      <w:tr w14:paraId="41273F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881" w:type="dxa"/>
            <w:tcBorders>
              <w:tl2br w:val="nil"/>
              <w:tr2bl w:val="nil"/>
            </w:tcBorders>
            <w:shd w:val="clear" w:color="auto" w:fill="auto"/>
            <w:vAlign w:val="center"/>
          </w:tcPr>
          <w:p w14:paraId="20192677">
            <w:pPr>
              <w:widowControl/>
              <w:snapToGrid w:val="0"/>
              <w:jc w:val="center"/>
              <w:rPr>
                <w:rFonts w:asciiTheme="minorEastAsia" w:hAnsiTheme="minorEastAsia" w:eastAsiaTheme="minorEastAsia"/>
                <w:b w:val="0"/>
                <w:bCs/>
                <w:color w:val="000000"/>
                <w:szCs w:val="21"/>
              </w:rPr>
            </w:pPr>
            <w:r>
              <w:rPr>
                <w:rFonts w:hint="eastAsia" w:asciiTheme="minorEastAsia" w:hAnsiTheme="minorEastAsia" w:eastAsiaTheme="minorEastAsia"/>
                <w:b w:val="0"/>
                <w:bCs/>
                <w:color w:val="000000"/>
                <w:szCs w:val="21"/>
              </w:rPr>
              <w:t>2</w:t>
            </w:r>
          </w:p>
        </w:tc>
        <w:tc>
          <w:tcPr>
            <w:tcW w:w="2297" w:type="dxa"/>
            <w:tcBorders>
              <w:tl2br w:val="nil"/>
              <w:tr2bl w:val="nil"/>
            </w:tcBorders>
            <w:shd w:val="clear" w:color="auto" w:fill="auto"/>
            <w:vAlign w:val="center"/>
          </w:tcPr>
          <w:p w14:paraId="7287AEDD">
            <w:pPr>
              <w:jc w:val="center"/>
              <w:rPr>
                <w:rFonts w:asciiTheme="minorEastAsia" w:hAnsiTheme="minorEastAsia" w:eastAsiaTheme="minorEastAsia"/>
                <w:b w:val="0"/>
                <w:bCs/>
                <w:szCs w:val="21"/>
              </w:rPr>
            </w:pPr>
            <w:r>
              <w:rPr>
                <w:rFonts w:hint="eastAsia" w:asciiTheme="minorEastAsia" w:hAnsiTheme="minorEastAsia" w:eastAsiaTheme="minorEastAsia"/>
                <w:b w:val="0"/>
                <w:bCs/>
                <w:szCs w:val="21"/>
              </w:rPr>
              <w:t>烟火药自动混合机</w:t>
            </w:r>
          </w:p>
        </w:tc>
        <w:tc>
          <w:tcPr>
            <w:tcW w:w="1391" w:type="dxa"/>
            <w:tcBorders>
              <w:tl2br w:val="nil"/>
              <w:tr2bl w:val="nil"/>
            </w:tcBorders>
            <w:shd w:val="clear" w:color="auto" w:fill="auto"/>
            <w:vAlign w:val="center"/>
          </w:tcPr>
          <w:p w14:paraId="1F027652">
            <w:pPr>
              <w:spacing w:line="20" w:lineRule="atLeast"/>
              <w:jc w:val="center"/>
              <w:rPr>
                <w:rFonts w:asciiTheme="minorEastAsia" w:hAnsiTheme="minorEastAsia" w:eastAsiaTheme="minorEastAsia"/>
                <w:b w:val="0"/>
                <w:bCs/>
                <w:szCs w:val="21"/>
              </w:rPr>
            </w:pPr>
            <w:r>
              <w:rPr>
                <w:rFonts w:hint="eastAsia" w:asciiTheme="minorEastAsia" w:hAnsiTheme="minorEastAsia" w:eastAsiaTheme="minorEastAsia"/>
                <w:b w:val="0"/>
                <w:bCs/>
                <w:szCs w:val="21"/>
              </w:rPr>
              <w:t>2</w:t>
            </w:r>
          </w:p>
        </w:tc>
        <w:tc>
          <w:tcPr>
            <w:tcW w:w="3045" w:type="dxa"/>
            <w:tcBorders>
              <w:tl2br w:val="nil"/>
              <w:tr2bl w:val="nil"/>
            </w:tcBorders>
            <w:shd w:val="clear" w:color="auto" w:fill="auto"/>
            <w:vAlign w:val="center"/>
          </w:tcPr>
          <w:p w14:paraId="0A519598">
            <w:pPr>
              <w:spacing w:line="20" w:lineRule="atLeast"/>
              <w:jc w:val="center"/>
              <w:rPr>
                <w:rFonts w:asciiTheme="minorEastAsia" w:hAnsiTheme="minorEastAsia" w:eastAsiaTheme="minorEastAsia"/>
                <w:b w:val="0"/>
                <w:bCs/>
                <w:szCs w:val="21"/>
              </w:rPr>
            </w:pPr>
            <w:r>
              <w:rPr>
                <w:rFonts w:hint="eastAsia" w:asciiTheme="minorEastAsia" w:hAnsiTheme="minorEastAsia" w:eastAsiaTheme="minorEastAsia"/>
                <w:b w:val="0"/>
                <w:bCs/>
                <w:szCs w:val="21"/>
              </w:rPr>
              <w:t>47</w:t>
            </w:r>
            <w:r>
              <w:rPr>
                <w:rFonts w:asciiTheme="minorEastAsia" w:hAnsiTheme="minorEastAsia" w:eastAsiaTheme="minorEastAsia"/>
                <w:b w:val="0"/>
                <w:bCs/>
                <w:szCs w:val="21"/>
              </w:rPr>
              <w:t>#</w:t>
            </w:r>
            <w:r>
              <w:rPr>
                <w:rFonts w:hint="eastAsia" w:asciiTheme="minorEastAsia" w:hAnsiTheme="minorEastAsia" w:eastAsiaTheme="minorEastAsia"/>
                <w:b w:val="0"/>
                <w:bCs/>
                <w:szCs w:val="21"/>
              </w:rPr>
              <w:t>、76号机械药混合</w:t>
            </w:r>
          </w:p>
        </w:tc>
        <w:tc>
          <w:tcPr>
            <w:tcW w:w="1104" w:type="dxa"/>
            <w:tcBorders>
              <w:tl2br w:val="nil"/>
              <w:tr2bl w:val="nil"/>
            </w:tcBorders>
            <w:shd w:val="clear" w:color="auto" w:fill="auto"/>
            <w:vAlign w:val="center"/>
          </w:tcPr>
          <w:p w14:paraId="11C45F84">
            <w:pPr>
              <w:jc w:val="center"/>
              <w:rPr>
                <w:rFonts w:ascii="宋体" w:hAnsi="宋体"/>
                <w:b w:val="0"/>
                <w:bCs/>
              </w:rPr>
            </w:pPr>
          </w:p>
        </w:tc>
      </w:tr>
      <w:tr w14:paraId="50D720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881" w:type="dxa"/>
            <w:tcBorders>
              <w:tl2br w:val="nil"/>
              <w:tr2bl w:val="nil"/>
            </w:tcBorders>
            <w:shd w:val="clear" w:color="auto" w:fill="auto"/>
            <w:vAlign w:val="center"/>
          </w:tcPr>
          <w:p w14:paraId="3F5DFFD5">
            <w:pPr>
              <w:widowControl/>
              <w:snapToGrid w:val="0"/>
              <w:jc w:val="center"/>
              <w:rPr>
                <w:rFonts w:asciiTheme="minorEastAsia" w:hAnsiTheme="minorEastAsia" w:eastAsiaTheme="minorEastAsia"/>
                <w:b w:val="0"/>
                <w:bCs/>
                <w:color w:val="000000"/>
                <w:szCs w:val="21"/>
              </w:rPr>
            </w:pPr>
            <w:r>
              <w:rPr>
                <w:rFonts w:hint="eastAsia" w:asciiTheme="minorEastAsia" w:hAnsiTheme="minorEastAsia" w:eastAsiaTheme="minorEastAsia"/>
                <w:b w:val="0"/>
                <w:bCs/>
                <w:color w:val="000000"/>
                <w:szCs w:val="21"/>
              </w:rPr>
              <w:t>3</w:t>
            </w:r>
          </w:p>
        </w:tc>
        <w:tc>
          <w:tcPr>
            <w:tcW w:w="2297" w:type="dxa"/>
            <w:tcBorders>
              <w:tl2br w:val="nil"/>
              <w:tr2bl w:val="nil"/>
            </w:tcBorders>
            <w:shd w:val="clear" w:color="auto" w:fill="auto"/>
            <w:vAlign w:val="center"/>
          </w:tcPr>
          <w:p w14:paraId="2507EA13">
            <w:pPr>
              <w:jc w:val="center"/>
              <w:rPr>
                <w:rFonts w:asciiTheme="minorEastAsia" w:hAnsiTheme="minorEastAsia" w:eastAsiaTheme="minorEastAsia"/>
                <w:b w:val="0"/>
                <w:bCs/>
                <w:szCs w:val="21"/>
              </w:rPr>
            </w:pPr>
            <w:r>
              <w:rPr>
                <w:rFonts w:hint="eastAsia" w:ascii="宋体" w:hAnsi="宋体"/>
                <w:b w:val="0"/>
                <w:bCs/>
                <w:szCs w:val="21"/>
              </w:rPr>
              <w:t>空气源热泵干燥机</w:t>
            </w:r>
          </w:p>
        </w:tc>
        <w:tc>
          <w:tcPr>
            <w:tcW w:w="1391" w:type="dxa"/>
            <w:tcBorders>
              <w:tl2br w:val="nil"/>
              <w:tr2bl w:val="nil"/>
            </w:tcBorders>
            <w:shd w:val="clear" w:color="auto" w:fill="auto"/>
            <w:vAlign w:val="center"/>
          </w:tcPr>
          <w:p w14:paraId="2990D09D">
            <w:pPr>
              <w:spacing w:line="20" w:lineRule="atLeast"/>
              <w:jc w:val="center"/>
              <w:rPr>
                <w:rFonts w:asciiTheme="minorEastAsia" w:hAnsiTheme="minorEastAsia" w:eastAsiaTheme="minorEastAsia"/>
                <w:b w:val="0"/>
                <w:bCs/>
                <w:szCs w:val="21"/>
              </w:rPr>
            </w:pPr>
            <w:r>
              <w:rPr>
                <w:rFonts w:hint="eastAsia" w:asciiTheme="minorEastAsia" w:hAnsiTheme="minorEastAsia" w:eastAsiaTheme="minorEastAsia"/>
                <w:b w:val="0"/>
                <w:bCs/>
                <w:szCs w:val="21"/>
              </w:rPr>
              <w:t>1</w:t>
            </w:r>
          </w:p>
        </w:tc>
        <w:tc>
          <w:tcPr>
            <w:tcW w:w="3045" w:type="dxa"/>
            <w:tcBorders>
              <w:tl2br w:val="nil"/>
              <w:tr2bl w:val="nil"/>
            </w:tcBorders>
            <w:shd w:val="clear" w:color="auto" w:fill="auto"/>
            <w:vAlign w:val="center"/>
          </w:tcPr>
          <w:p w14:paraId="1F195230">
            <w:pPr>
              <w:spacing w:line="20" w:lineRule="atLeast"/>
              <w:jc w:val="center"/>
              <w:rPr>
                <w:rFonts w:asciiTheme="minorEastAsia" w:hAnsiTheme="minorEastAsia" w:eastAsiaTheme="minorEastAsia"/>
                <w:b w:val="0"/>
                <w:bCs/>
                <w:szCs w:val="21"/>
              </w:rPr>
            </w:pPr>
            <w:r>
              <w:rPr>
                <w:rFonts w:hint="eastAsia" w:asciiTheme="minorEastAsia" w:hAnsiTheme="minorEastAsia" w:eastAsiaTheme="minorEastAsia"/>
                <w:b w:val="0"/>
                <w:bCs/>
                <w:szCs w:val="21"/>
              </w:rPr>
              <w:t>67#电烘房/散热</w:t>
            </w:r>
          </w:p>
        </w:tc>
        <w:tc>
          <w:tcPr>
            <w:tcW w:w="1104" w:type="dxa"/>
            <w:tcBorders>
              <w:tl2br w:val="nil"/>
              <w:tr2bl w:val="nil"/>
            </w:tcBorders>
            <w:shd w:val="clear" w:color="auto" w:fill="auto"/>
            <w:vAlign w:val="center"/>
          </w:tcPr>
          <w:p w14:paraId="1C9DC47B">
            <w:pPr>
              <w:jc w:val="center"/>
              <w:rPr>
                <w:rFonts w:ascii="宋体" w:hAnsi="宋体"/>
                <w:b w:val="0"/>
                <w:bCs/>
              </w:rPr>
            </w:pPr>
          </w:p>
        </w:tc>
      </w:tr>
      <w:tr w14:paraId="4CD614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81" w:type="dxa"/>
            <w:tcBorders>
              <w:tl2br w:val="nil"/>
              <w:tr2bl w:val="nil"/>
            </w:tcBorders>
            <w:shd w:val="clear" w:color="auto" w:fill="auto"/>
            <w:vAlign w:val="center"/>
          </w:tcPr>
          <w:p w14:paraId="37BBC9D6">
            <w:pPr>
              <w:widowControl/>
              <w:snapToGrid w:val="0"/>
              <w:jc w:val="center"/>
              <w:rPr>
                <w:rFonts w:asciiTheme="minorEastAsia" w:hAnsiTheme="minorEastAsia" w:eastAsiaTheme="minorEastAsia"/>
                <w:b w:val="0"/>
                <w:bCs/>
                <w:color w:val="000000"/>
                <w:szCs w:val="21"/>
              </w:rPr>
            </w:pPr>
            <w:bookmarkStart w:id="125" w:name="_Toc297251647"/>
            <w:bookmarkStart w:id="126" w:name="_Toc300329572"/>
            <w:bookmarkStart w:id="127" w:name="_Toc300256197"/>
            <w:bookmarkStart w:id="128" w:name="_Toc300344394"/>
            <w:bookmarkStart w:id="129" w:name="_Toc278054186"/>
            <w:r>
              <w:rPr>
                <w:rFonts w:hint="eastAsia" w:asciiTheme="minorEastAsia" w:hAnsiTheme="minorEastAsia" w:eastAsiaTheme="minorEastAsia"/>
                <w:b w:val="0"/>
                <w:bCs/>
                <w:color w:val="000000"/>
                <w:szCs w:val="21"/>
              </w:rPr>
              <w:t>4</w:t>
            </w:r>
          </w:p>
        </w:tc>
        <w:tc>
          <w:tcPr>
            <w:tcW w:w="2297" w:type="dxa"/>
            <w:tcBorders>
              <w:tl2br w:val="nil"/>
              <w:tr2bl w:val="nil"/>
            </w:tcBorders>
            <w:shd w:val="clear" w:color="auto" w:fill="auto"/>
            <w:vAlign w:val="center"/>
          </w:tcPr>
          <w:p w14:paraId="2E7BA139">
            <w:pPr>
              <w:jc w:val="center"/>
              <w:rPr>
                <w:rFonts w:ascii="宋体" w:hAnsi="宋体"/>
                <w:b w:val="0"/>
                <w:bCs/>
                <w:szCs w:val="21"/>
              </w:rPr>
            </w:pPr>
            <w:r>
              <w:rPr>
                <w:rFonts w:hint="eastAsia" w:ascii="宋体" w:hAnsi="宋体"/>
                <w:b w:val="0"/>
                <w:bCs/>
                <w:szCs w:val="21"/>
              </w:rPr>
              <w:t>筛选机</w:t>
            </w:r>
          </w:p>
        </w:tc>
        <w:tc>
          <w:tcPr>
            <w:tcW w:w="1391" w:type="dxa"/>
            <w:tcBorders>
              <w:tl2br w:val="nil"/>
              <w:tr2bl w:val="nil"/>
            </w:tcBorders>
            <w:shd w:val="clear" w:color="auto" w:fill="auto"/>
            <w:vAlign w:val="center"/>
          </w:tcPr>
          <w:p w14:paraId="671340BD">
            <w:pPr>
              <w:spacing w:line="20" w:lineRule="atLeast"/>
              <w:jc w:val="center"/>
              <w:rPr>
                <w:rFonts w:asciiTheme="minorEastAsia" w:hAnsiTheme="minorEastAsia" w:eastAsiaTheme="minorEastAsia"/>
                <w:b w:val="0"/>
                <w:bCs/>
                <w:szCs w:val="21"/>
              </w:rPr>
            </w:pPr>
            <w:r>
              <w:rPr>
                <w:rFonts w:hint="eastAsia" w:asciiTheme="minorEastAsia" w:hAnsiTheme="minorEastAsia" w:eastAsiaTheme="minorEastAsia"/>
                <w:b w:val="0"/>
                <w:bCs/>
                <w:szCs w:val="21"/>
              </w:rPr>
              <w:t>1</w:t>
            </w:r>
          </w:p>
        </w:tc>
        <w:tc>
          <w:tcPr>
            <w:tcW w:w="3045" w:type="dxa"/>
            <w:tcBorders>
              <w:tl2br w:val="nil"/>
              <w:tr2bl w:val="nil"/>
            </w:tcBorders>
            <w:shd w:val="clear" w:color="auto" w:fill="auto"/>
            <w:vAlign w:val="center"/>
          </w:tcPr>
          <w:p w14:paraId="50422A90">
            <w:pPr>
              <w:spacing w:line="20" w:lineRule="atLeast"/>
              <w:jc w:val="center"/>
              <w:rPr>
                <w:rFonts w:asciiTheme="minorEastAsia" w:hAnsiTheme="minorEastAsia" w:eastAsiaTheme="minorEastAsia"/>
                <w:b w:val="0"/>
                <w:bCs/>
                <w:szCs w:val="21"/>
              </w:rPr>
            </w:pPr>
            <w:r>
              <w:rPr>
                <w:rFonts w:hint="eastAsia" w:asciiTheme="minorEastAsia" w:hAnsiTheme="minorEastAsia" w:eastAsiaTheme="minorEastAsia"/>
                <w:b w:val="0"/>
                <w:bCs/>
                <w:szCs w:val="21"/>
              </w:rPr>
              <w:t>71#机械筛选</w:t>
            </w:r>
          </w:p>
        </w:tc>
        <w:tc>
          <w:tcPr>
            <w:tcW w:w="1104" w:type="dxa"/>
            <w:tcBorders>
              <w:tl2br w:val="nil"/>
              <w:tr2bl w:val="nil"/>
            </w:tcBorders>
            <w:shd w:val="clear" w:color="auto" w:fill="auto"/>
            <w:vAlign w:val="center"/>
          </w:tcPr>
          <w:p w14:paraId="3A125C75">
            <w:pPr>
              <w:jc w:val="center"/>
              <w:rPr>
                <w:rFonts w:ascii="宋体" w:hAnsi="宋体"/>
                <w:b w:val="0"/>
                <w:bCs/>
              </w:rPr>
            </w:pPr>
          </w:p>
        </w:tc>
      </w:tr>
      <w:tr w14:paraId="1301E5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881" w:type="dxa"/>
            <w:tcBorders>
              <w:tl2br w:val="nil"/>
              <w:tr2bl w:val="nil"/>
            </w:tcBorders>
            <w:shd w:val="clear" w:color="auto" w:fill="auto"/>
            <w:vAlign w:val="center"/>
          </w:tcPr>
          <w:p w14:paraId="40A69F1A">
            <w:pPr>
              <w:widowControl/>
              <w:snapToGrid w:val="0"/>
              <w:jc w:val="center"/>
              <w:rPr>
                <w:rFonts w:asciiTheme="minorEastAsia" w:hAnsiTheme="minorEastAsia" w:eastAsiaTheme="minorEastAsia"/>
                <w:b w:val="0"/>
                <w:bCs/>
                <w:color w:val="000000"/>
                <w:szCs w:val="21"/>
              </w:rPr>
            </w:pPr>
            <w:r>
              <w:rPr>
                <w:rFonts w:hint="eastAsia" w:asciiTheme="minorEastAsia" w:hAnsiTheme="minorEastAsia" w:eastAsiaTheme="minorEastAsia"/>
                <w:b w:val="0"/>
                <w:bCs/>
                <w:color w:val="000000"/>
                <w:szCs w:val="21"/>
              </w:rPr>
              <w:t>5</w:t>
            </w:r>
          </w:p>
        </w:tc>
        <w:tc>
          <w:tcPr>
            <w:tcW w:w="2297" w:type="dxa"/>
            <w:tcBorders>
              <w:tl2br w:val="nil"/>
              <w:tr2bl w:val="nil"/>
            </w:tcBorders>
            <w:shd w:val="clear" w:color="auto" w:fill="auto"/>
            <w:vAlign w:val="center"/>
          </w:tcPr>
          <w:p w14:paraId="0F6727FA">
            <w:pPr>
              <w:jc w:val="center"/>
              <w:rPr>
                <w:rFonts w:ascii="宋体" w:hAnsi="宋体"/>
                <w:b w:val="0"/>
                <w:bCs/>
                <w:szCs w:val="21"/>
              </w:rPr>
            </w:pPr>
            <w:r>
              <w:rPr>
                <w:rFonts w:hint="eastAsia" w:ascii="宋体" w:hAnsi="宋体"/>
                <w:b w:val="0"/>
                <w:bCs/>
                <w:szCs w:val="21"/>
              </w:rPr>
              <w:t>粉碎机</w:t>
            </w:r>
          </w:p>
        </w:tc>
        <w:tc>
          <w:tcPr>
            <w:tcW w:w="1391" w:type="dxa"/>
            <w:tcBorders>
              <w:tl2br w:val="nil"/>
              <w:tr2bl w:val="nil"/>
            </w:tcBorders>
            <w:shd w:val="clear" w:color="auto" w:fill="auto"/>
            <w:vAlign w:val="center"/>
          </w:tcPr>
          <w:p w14:paraId="1D373117">
            <w:pPr>
              <w:spacing w:line="20" w:lineRule="atLeast"/>
              <w:jc w:val="center"/>
              <w:rPr>
                <w:rFonts w:asciiTheme="minorEastAsia" w:hAnsiTheme="minorEastAsia" w:eastAsiaTheme="minorEastAsia"/>
                <w:b w:val="0"/>
                <w:bCs/>
                <w:szCs w:val="21"/>
              </w:rPr>
            </w:pPr>
            <w:r>
              <w:rPr>
                <w:rFonts w:hint="eastAsia" w:asciiTheme="minorEastAsia" w:hAnsiTheme="minorEastAsia" w:eastAsiaTheme="minorEastAsia"/>
                <w:b w:val="0"/>
                <w:bCs/>
                <w:szCs w:val="21"/>
              </w:rPr>
              <w:t>2</w:t>
            </w:r>
          </w:p>
        </w:tc>
        <w:tc>
          <w:tcPr>
            <w:tcW w:w="3045" w:type="dxa"/>
            <w:tcBorders>
              <w:tl2br w:val="nil"/>
              <w:tr2bl w:val="nil"/>
            </w:tcBorders>
            <w:shd w:val="clear" w:color="auto" w:fill="auto"/>
            <w:vAlign w:val="center"/>
          </w:tcPr>
          <w:p w14:paraId="76475E0D">
            <w:pPr>
              <w:spacing w:line="20" w:lineRule="atLeast"/>
              <w:jc w:val="center"/>
              <w:rPr>
                <w:rFonts w:asciiTheme="minorEastAsia" w:hAnsiTheme="minorEastAsia" w:eastAsiaTheme="minorEastAsia"/>
                <w:b w:val="0"/>
                <w:bCs/>
                <w:szCs w:val="21"/>
              </w:rPr>
            </w:pPr>
            <w:r>
              <w:rPr>
                <w:rFonts w:hint="eastAsia" w:asciiTheme="minorEastAsia" w:hAnsiTheme="minorEastAsia" w:eastAsiaTheme="minorEastAsia"/>
                <w:b w:val="0"/>
                <w:bCs/>
                <w:szCs w:val="21"/>
              </w:rPr>
              <w:t>79#还原剂粉碎、80#氧化剂粉碎</w:t>
            </w:r>
          </w:p>
        </w:tc>
        <w:tc>
          <w:tcPr>
            <w:tcW w:w="1104" w:type="dxa"/>
            <w:tcBorders>
              <w:tl2br w:val="nil"/>
              <w:tr2bl w:val="nil"/>
            </w:tcBorders>
            <w:shd w:val="clear" w:color="auto" w:fill="auto"/>
            <w:vAlign w:val="center"/>
          </w:tcPr>
          <w:p w14:paraId="7D4B9968">
            <w:pPr>
              <w:jc w:val="center"/>
              <w:rPr>
                <w:rFonts w:ascii="宋体" w:hAnsi="宋体"/>
                <w:b w:val="0"/>
                <w:bCs/>
              </w:rPr>
            </w:pPr>
          </w:p>
        </w:tc>
      </w:tr>
      <w:tr w14:paraId="6DD3F1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81" w:type="dxa"/>
            <w:tcBorders>
              <w:tl2br w:val="nil"/>
              <w:tr2bl w:val="nil"/>
            </w:tcBorders>
            <w:shd w:val="clear" w:color="auto" w:fill="auto"/>
            <w:vAlign w:val="center"/>
          </w:tcPr>
          <w:p w14:paraId="3E5395EB">
            <w:pPr>
              <w:widowControl/>
              <w:snapToGrid w:val="0"/>
              <w:jc w:val="center"/>
              <w:rPr>
                <w:rFonts w:asciiTheme="minorEastAsia" w:hAnsiTheme="minorEastAsia" w:eastAsiaTheme="minorEastAsia"/>
                <w:b w:val="0"/>
                <w:bCs/>
                <w:color w:val="000000"/>
                <w:szCs w:val="21"/>
              </w:rPr>
            </w:pPr>
            <w:r>
              <w:rPr>
                <w:rFonts w:hint="eastAsia" w:asciiTheme="minorEastAsia" w:hAnsiTheme="minorEastAsia" w:eastAsiaTheme="minorEastAsia"/>
                <w:b w:val="0"/>
                <w:bCs/>
                <w:color w:val="000000"/>
                <w:szCs w:val="21"/>
              </w:rPr>
              <w:t>6</w:t>
            </w:r>
          </w:p>
        </w:tc>
        <w:tc>
          <w:tcPr>
            <w:tcW w:w="2297" w:type="dxa"/>
            <w:tcBorders>
              <w:tl2br w:val="nil"/>
              <w:tr2bl w:val="nil"/>
            </w:tcBorders>
            <w:shd w:val="clear" w:color="auto" w:fill="auto"/>
            <w:vAlign w:val="center"/>
          </w:tcPr>
          <w:p w14:paraId="592B8582">
            <w:pPr>
              <w:jc w:val="center"/>
              <w:rPr>
                <w:rFonts w:ascii="宋体" w:hAnsi="宋体"/>
                <w:b w:val="0"/>
                <w:bCs/>
                <w:szCs w:val="21"/>
              </w:rPr>
            </w:pPr>
            <w:r>
              <w:rPr>
                <w:rFonts w:hint="eastAsia" w:ascii="宋体" w:hAnsi="宋体"/>
                <w:b w:val="0"/>
                <w:bCs/>
                <w:szCs w:val="21"/>
              </w:rPr>
              <w:t>造粒机</w:t>
            </w:r>
          </w:p>
        </w:tc>
        <w:tc>
          <w:tcPr>
            <w:tcW w:w="1391" w:type="dxa"/>
            <w:tcBorders>
              <w:tl2br w:val="nil"/>
              <w:tr2bl w:val="nil"/>
            </w:tcBorders>
            <w:shd w:val="clear" w:color="auto" w:fill="auto"/>
            <w:vAlign w:val="center"/>
          </w:tcPr>
          <w:p w14:paraId="2D8FF421">
            <w:pPr>
              <w:spacing w:line="20" w:lineRule="atLeast"/>
              <w:jc w:val="center"/>
              <w:rPr>
                <w:rFonts w:asciiTheme="minorEastAsia" w:hAnsiTheme="minorEastAsia" w:eastAsiaTheme="minorEastAsia"/>
                <w:b w:val="0"/>
                <w:bCs/>
                <w:szCs w:val="21"/>
              </w:rPr>
            </w:pPr>
            <w:r>
              <w:rPr>
                <w:rFonts w:hint="eastAsia" w:asciiTheme="minorEastAsia" w:hAnsiTheme="minorEastAsia" w:eastAsiaTheme="minorEastAsia"/>
                <w:b w:val="0"/>
                <w:bCs/>
                <w:szCs w:val="21"/>
              </w:rPr>
              <w:t>1</w:t>
            </w:r>
          </w:p>
        </w:tc>
        <w:tc>
          <w:tcPr>
            <w:tcW w:w="3045" w:type="dxa"/>
            <w:tcBorders>
              <w:tl2br w:val="nil"/>
              <w:tr2bl w:val="nil"/>
            </w:tcBorders>
            <w:shd w:val="clear" w:color="auto" w:fill="auto"/>
            <w:vAlign w:val="center"/>
          </w:tcPr>
          <w:p w14:paraId="1786C9E2">
            <w:pPr>
              <w:spacing w:line="20" w:lineRule="atLeast"/>
              <w:jc w:val="center"/>
              <w:rPr>
                <w:rFonts w:asciiTheme="minorEastAsia" w:hAnsiTheme="minorEastAsia" w:eastAsiaTheme="minorEastAsia"/>
                <w:b w:val="0"/>
                <w:bCs/>
                <w:szCs w:val="21"/>
              </w:rPr>
            </w:pPr>
            <w:r>
              <w:rPr>
                <w:rFonts w:hint="eastAsia" w:asciiTheme="minorEastAsia" w:hAnsiTheme="minorEastAsia" w:eastAsiaTheme="minorEastAsia"/>
                <w:b w:val="0"/>
                <w:bCs/>
                <w:szCs w:val="21"/>
              </w:rPr>
              <w:t>73#造粒</w:t>
            </w:r>
          </w:p>
        </w:tc>
        <w:tc>
          <w:tcPr>
            <w:tcW w:w="1104" w:type="dxa"/>
            <w:tcBorders>
              <w:tl2br w:val="nil"/>
              <w:tr2bl w:val="nil"/>
            </w:tcBorders>
            <w:shd w:val="clear" w:color="auto" w:fill="auto"/>
            <w:vAlign w:val="center"/>
          </w:tcPr>
          <w:p w14:paraId="47C57205">
            <w:pPr>
              <w:jc w:val="center"/>
              <w:rPr>
                <w:rFonts w:ascii="宋体" w:hAnsi="宋体"/>
                <w:b w:val="0"/>
                <w:bCs/>
              </w:rPr>
            </w:pPr>
          </w:p>
        </w:tc>
      </w:tr>
    </w:tbl>
    <w:p w14:paraId="4FB96E8D">
      <w:pPr>
        <w:keepNext/>
        <w:keepLines/>
        <w:spacing w:before="240" w:beforeLines="100" w:line="360" w:lineRule="auto"/>
        <w:outlineLvl w:val="1"/>
        <w:rPr>
          <w:rFonts w:ascii="黑体" w:hAnsi="宋体" w:eastAsia="黑体"/>
          <w:b w:val="0"/>
          <w:bCs/>
          <w:snapToGrid w:val="0"/>
          <w:sz w:val="30"/>
          <w:szCs w:val="30"/>
        </w:rPr>
      </w:pPr>
      <w:bookmarkStart w:id="130" w:name="_Toc17344"/>
      <w:r>
        <w:rPr>
          <w:rFonts w:hint="eastAsia" w:ascii="黑体" w:hAnsi="宋体" w:eastAsia="黑体"/>
          <w:b w:val="0"/>
          <w:bCs/>
          <w:snapToGrid w:val="0"/>
          <w:sz w:val="30"/>
          <w:szCs w:val="30"/>
        </w:rPr>
        <w:t>2.8内、外部安全距离</w:t>
      </w:r>
      <w:bookmarkEnd w:id="125"/>
      <w:bookmarkEnd w:id="126"/>
      <w:bookmarkEnd w:id="127"/>
      <w:bookmarkEnd w:id="128"/>
      <w:bookmarkEnd w:id="129"/>
      <w:bookmarkEnd w:id="130"/>
    </w:p>
    <w:p w14:paraId="3F28D684">
      <w:pPr>
        <w:pStyle w:val="5"/>
        <w:rPr>
          <w:rFonts w:ascii="黑体" w:hAnsi="宋体" w:eastAsia="黑体"/>
          <w:b w:val="0"/>
          <w:bCs w:val="0"/>
          <w:snapToGrid w:val="0"/>
          <w:sz w:val="30"/>
          <w:szCs w:val="30"/>
        </w:rPr>
      </w:pPr>
      <w:bookmarkStart w:id="131" w:name="_Toc300256198"/>
      <w:bookmarkStart w:id="132" w:name="_Toc300344395"/>
      <w:bookmarkStart w:id="133" w:name="_Toc278054187"/>
      <w:bookmarkStart w:id="134" w:name="_Toc165038781"/>
      <w:bookmarkStart w:id="135" w:name="_Toc300329573"/>
      <w:r>
        <w:rPr>
          <w:rFonts w:hint="eastAsia" w:ascii="黑体" w:hAnsi="宋体" w:eastAsia="黑体"/>
          <w:b w:val="0"/>
          <w:bCs w:val="0"/>
          <w:snapToGrid w:val="0"/>
          <w:sz w:val="30"/>
          <w:szCs w:val="30"/>
        </w:rPr>
        <w:t>2.8.1外部安全距离</w:t>
      </w:r>
      <w:bookmarkEnd w:id="131"/>
      <w:bookmarkEnd w:id="132"/>
      <w:bookmarkEnd w:id="133"/>
      <w:bookmarkEnd w:id="134"/>
      <w:bookmarkEnd w:id="135"/>
    </w:p>
    <w:p w14:paraId="3E9E2716">
      <w:pPr>
        <w:spacing w:line="360" w:lineRule="auto"/>
        <w:ind w:firstLine="536" w:firstLineChars="200"/>
        <w:rPr>
          <w:rFonts w:ascii="宋体" w:hAnsi="宋体"/>
          <w:b w:val="0"/>
          <w:spacing w:val="-6"/>
          <w:sz w:val="28"/>
          <w:szCs w:val="28"/>
          <w:lang w:val="en-GB"/>
        </w:rPr>
      </w:pPr>
      <w:r>
        <w:rPr>
          <w:rFonts w:hint="eastAsia" w:ascii="宋体" w:hAnsi="宋体"/>
          <w:b w:val="0"/>
          <w:spacing w:val="-6"/>
          <w:sz w:val="28"/>
          <w:szCs w:val="28"/>
          <w:lang w:val="en-GB"/>
        </w:rPr>
        <w:t>根据原有工房的现场布置及《浏阳市太平复兴花炮厂（个人独资）厂房升级改造项目总平面布置图》（初步设计方案图），该项目原有工房及厂房升级改造项目工房的外部距离按不小于国家现行标准《烟花爆竹工程设计安全标准》（GB50161-2022）的外部最小允许距离进行建设（设计）。划定的工库房外部最小允许距离范围内不得进行相应的工程建设。</w:t>
      </w:r>
    </w:p>
    <w:p w14:paraId="25C9EE69">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1）改建项目厂区边缘建筑物与周围建(构)筑物及（设施）的距离情况见表2.8-</w:t>
      </w:r>
      <w:r>
        <w:rPr>
          <w:rFonts w:ascii="宋体" w:hAnsi="宋体"/>
          <w:b w:val="0"/>
          <w:snapToGrid w:val="0"/>
          <w:sz w:val="28"/>
          <w:szCs w:val="28"/>
        </w:rPr>
        <w:t>1</w:t>
      </w:r>
      <w:r>
        <w:rPr>
          <w:rFonts w:hint="eastAsia" w:ascii="宋体" w:hAnsi="宋体"/>
          <w:b w:val="0"/>
          <w:snapToGrid w:val="0"/>
          <w:sz w:val="28"/>
          <w:szCs w:val="28"/>
        </w:rPr>
        <w:t>。</w:t>
      </w:r>
    </w:p>
    <w:p w14:paraId="11AA1FC4">
      <w:pPr>
        <w:jc w:val="center"/>
        <w:rPr>
          <w:rFonts w:ascii="黑体" w:hAnsi="黑体" w:eastAsia="黑体"/>
          <w:b w:val="0"/>
          <w:bCs/>
          <w:sz w:val="24"/>
        </w:rPr>
      </w:pPr>
      <w:r>
        <w:rPr>
          <w:rFonts w:hint="eastAsia" w:ascii="黑体" w:hAnsi="黑体" w:eastAsia="黑体"/>
          <w:b w:val="0"/>
          <w:bCs/>
          <w:sz w:val="24"/>
        </w:rPr>
        <w:t>表2.8-1 周边外部距离情况表</w:t>
      </w:r>
    </w:p>
    <w:tbl>
      <w:tblPr>
        <w:tblStyle w:val="88"/>
        <w:tblW w:w="885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1"/>
        <w:gridCol w:w="2118"/>
        <w:gridCol w:w="700"/>
        <w:gridCol w:w="982"/>
        <w:gridCol w:w="2167"/>
        <w:gridCol w:w="1082"/>
        <w:gridCol w:w="1107"/>
      </w:tblGrid>
      <w:tr w14:paraId="47A8AE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6" w:hRule="atLeast"/>
          <w:tblHeader/>
          <w:jc w:val="center"/>
        </w:trPr>
        <w:tc>
          <w:tcPr>
            <w:tcW w:w="701" w:type="dxa"/>
            <w:vAlign w:val="center"/>
          </w:tcPr>
          <w:p w14:paraId="5C46F0DE">
            <w:pPr>
              <w:jc w:val="center"/>
              <w:rPr>
                <w:rFonts w:asciiTheme="minorEastAsia" w:hAnsiTheme="minorEastAsia" w:eastAsiaTheme="minorEastAsia"/>
                <w:szCs w:val="21"/>
              </w:rPr>
            </w:pPr>
            <w:r>
              <w:rPr>
                <w:rFonts w:hint="eastAsia" w:asciiTheme="minorEastAsia" w:hAnsiTheme="minorEastAsia" w:eastAsiaTheme="minorEastAsia"/>
                <w:szCs w:val="21"/>
              </w:rPr>
              <w:t>方</w:t>
            </w:r>
            <w:r>
              <w:rPr>
                <w:rFonts w:asciiTheme="minorEastAsia" w:hAnsiTheme="minorEastAsia" w:eastAsiaTheme="minorEastAsia"/>
                <w:szCs w:val="21"/>
              </w:rPr>
              <w:t>位</w:t>
            </w:r>
          </w:p>
        </w:tc>
        <w:tc>
          <w:tcPr>
            <w:tcW w:w="2118" w:type="dxa"/>
            <w:vAlign w:val="center"/>
          </w:tcPr>
          <w:p w14:paraId="69B5D2A0">
            <w:pPr>
              <w:jc w:val="center"/>
              <w:rPr>
                <w:rFonts w:asciiTheme="minorEastAsia" w:hAnsiTheme="minorEastAsia" w:eastAsiaTheme="minorEastAsia"/>
                <w:kern w:val="0"/>
                <w:szCs w:val="21"/>
              </w:rPr>
            </w:pPr>
            <w:r>
              <w:rPr>
                <w:rFonts w:hint="eastAsia" w:asciiTheme="minorEastAsia" w:hAnsiTheme="minorEastAsia" w:eastAsiaTheme="minorEastAsia"/>
                <w:szCs w:val="21"/>
              </w:rPr>
              <w:t>建（构）筑物名称</w:t>
            </w:r>
          </w:p>
        </w:tc>
        <w:tc>
          <w:tcPr>
            <w:tcW w:w="700" w:type="dxa"/>
            <w:vAlign w:val="center"/>
          </w:tcPr>
          <w:p w14:paraId="2970CB10">
            <w:pPr>
              <w:jc w:val="center"/>
              <w:rPr>
                <w:rFonts w:asciiTheme="minorEastAsia" w:hAnsiTheme="minorEastAsia" w:eastAsiaTheme="minorEastAsia"/>
                <w:szCs w:val="21"/>
              </w:rPr>
            </w:pPr>
            <w:r>
              <w:rPr>
                <w:rFonts w:hint="eastAsia" w:asciiTheme="minorEastAsia" w:hAnsiTheme="minorEastAsia" w:eastAsiaTheme="minorEastAsia"/>
                <w:szCs w:val="21"/>
              </w:rPr>
              <w:t>危险</w:t>
            </w:r>
          </w:p>
          <w:p w14:paraId="10364B2D">
            <w:pPr>
              <w:jc w:val="center"/>
              <w:rPr>
                <w:rFonts w:asciiTheme="minorEastAsia" w:hAnsiTheme="minorEastAsia" w:eastAsiaTheme="minorEastAsia"/>
                <w:szCs w:val="21"/>
              </w:rPr>
            </w:pPr>
            <w:r>
              <w:rPr>
                <w:rFonts w:hint="eastAsia" w:asciiTheme="minorEastAsia" w:hAnsiTheme="minorEastAsia" w:eastAsiaTheme="minorEastAsia"/>
                <w:szCs w:val="21"/>
              </w:rPr>
              <w:t>等级</w:t>
            </w:r>
          </w:p>
        </w:tc>
        <w:tc>
          <w:tcPr>
            <w:tcW w:w="982" w:type="dxa"/>
            <w:vAlign w:val="center"/>
          </w:tcPr>
          <w:p w14:paraId="1F2B2CAE">
            <w:pPr>
              <w:jc w:val="center"/>
              <w:rPr>
                <w:rFonts w:asciiTheme="minorEastAsia" w:hAnsiTheme="minorEastAsia" w:eastAsiaTheme="minorEastAsia"/>
                <w:szCs w:val="21"/>
              </w:rPr>
            </w:pPr>
            <w:r>
              <w:rPr>
                <w:rFonts w:hint="eastAsia" w:asciiTheme="minorEastAsia" w:hAnsiTheme="minorEastAsia" w:eastAsiaTheme="minorEastAsia"/>
                <w:szCs w:val="21"/>
              </w:rPr>
              <w:t>计算药量（kg）</w:t>
            </w:r>
          </w:p>
        </w:tc>
        <w:tc>
          <w:tcPr>
            <w:tcW w:w="2167" w:type="dxa"/>
            <w:vAlign w:val="center"/>
          </w:tcPr>
          <w:p w14:paraId="4E4DE9B9">
            <w:pPr>
              <w:jc w:val="center"/>
              <w:rPr>
                <w:rFonts w:asciiTheme="minorEastAsia" w:hAnsiTheme="minorEastAsia" w:eastAsiaTheme="minorEastAsia"/>
                <w:szCs w:val="21"/>
              </w:rPr>
            </w:pPr>
            <w:r>
              <w:rPr>
                <w:rFonts w:hint="eastAsia" w:asciiTheme="minorEastAsia" w:hAnsiTheme="minorEastAsia" w:eastAsiaTheme="minorEastAsia"/>
                <w:szCs w:val="21"/>
              </w:rPr>
              <w:t>外部项目</w:t>
            </w:r>
          </w:p>
        </w:tc>
        <w:tc>
          <w:tcPr>
            <w:tcW w:w="1082" w:type="dxa"/>
            <w:vAlign w:val="center"/>
          </w:tcPr>
          <w:p w14:paraId="330E2A2C">
            <w:pPr>
              <w:jc w:val="center"/>
              <w:rPr>
                <w:rFonts w:asciiTheme="minorEastAsia" w:hAnsiTheme="minorEastAsia" w:eastAsiaTheme="minorEastAsia"/>
                <w:szCs w:val="21"/>
              </w:rPr>
            </w:pPr>
            <w:r>
              <w:rPr>
                <w:rFonts w:hint="eastAsia" w:asciiTheme="minorEastAsia" w:hAnsiTheme="minorEastAsia" w:eastAsiaTheme="minorEastAsia"/>
                <w:szCs w:val="21"/>
              </w:rPr>
              <w:t>标准</w:t>
            </w:r>
            <w:r>
              <w:rPr>
                <w:rFonts w:asciiTheme="minorEastAsia" w:hAnsiTheme="minorEastAsia" w:eastAsiaTheme="minorEastAsia"/>
                <w:szCs w:val="21"/>
              </w:rPr>
              <w:t>距离</w:t>
            </w:r>
            <w:r>
              <w:rPr>
                <w:rFonts w:hint="eastAsia" w:asciiTheme="minorEastAsia" w:hAnsiTheme="minorEastAsia" w:eastAsiaTheme="minorEastAsia"/>
                <w:szCs w:val="21"/>
              </w:rPr>
              <w:t>（m)</w:t>
            </w:r>
          </w:p>
        </w:tc>
        <w:tc>
          <w:tcPr>
            <w:tcW w:w="1107" w:type="dxa"/>
            <w:vAlign w:val="center"/>
          </w:tcPr>
          <w:p w14:paraId="344201F6">
            <w:pPr>
              <w:jc w:val="center"/>
              <w:rPr>
                <w:rFonts w:asciiTheme="minorEastAsia" w:hAnsiTheme="minorEastAsia" w:eastAsiaTheme="minorEastAsia"/>
                <w:szCs w:val="21"/>
              </w:rPr>
            </w:pPr>
            <w:r>
              <w:rPr>
                <w:rFonts w:hint="eastAsia" w:asciiTheme="minorEastAsia" w:hAnsiTheme="minorEastAsia" w:eastAsiaTheme="minorEastAsia"/>
                <w:szCs w:val="21"/>
              </w:rPr>
              <w:t>设计</w:t>
            </w:r>
            <w:r>
              <w:rPr>
                <w:rFonts w:asciiTheme="minorEastAsia" w:hAnsiTheme="minorEastAsia" w:eastAsiaTheme="minorEastAsia"/>
                <w:szCs w:val="21"/>
              </w:rPr>
              <w:t>距离</w:t>
            </w:r>
            <w:r>
              <w:rPr>
                <w:rFonts w:hint="eastAsia" w:asciiTheme="minorEastAsia" w:hAnsiTheme="minorEastAsia" w:eastAsiaTheme="minorEastAsia"/>
                <w:szCs w:val="21"/>
              </w:rPr>
              <w:t>（m)</w:t>
            </w:r>
          </w:p>
        </w:tc>
      </w:tr>
      <w:tr w14:paraId="1E8B08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701" w:type="dxa"/>
            <w:vMerge w:val="restart"/>
            <w:vAlign w:val="center"/>
          </w:tcPr>
          <w:p w14:paraId="7928FFB0">
            <w:pPr>
              <w:jc w:val="center"/>
              <w:rPr>
                <w:rFonts w:asciiTheme="minorEastAsia" w:hAnsiTheme="minorEastAsia" w:eastAsiaTheme="minorEastAsia"/>
                <w:b w:val="0"/>
                <w:bCs/>
                <w:szCs w:val="21"/>
              </w:rPr>
            </w:pPr>
            <w:r>
              <w:rPr>
                <w:rFonts w:hint="eastAsia" w:asciiTheme="minorEastAsia" w:hAnsiTheme="minorEastAsia" w:eastAsiaTheme="minorEastAsia"/>
                <w:b w:val="0"/>
                <w:bCs/>
                <w:szCs w:val="21"/>
              </w:rPr>
              <w:t>东</w:t>
            </w:r>
          </w:p>
        </w:tc>
        <w:tc>
          <w:tcPr>
            <w:tcW w:w="2118" w:type="dxa"/>
            <w:shd w:val="clear" w:color="auto" w:fill="auto"/>
            <w:vAlign w:val="center"/>
          </w:tcPr>
          <w:p w14:paraId="070F4CE8">
            <w:pPr>
              <w:jc w:val="center"/>
              <w:rPr>
                <w:rFonts w:ascii="宋体" w:hAnsi="宋体"/>
                <w:b w:val="0"/>
                <w:bCs/>
                <w:kern w:val="0"/>
                <w:szCs w:val="21"/>
              </w:rPr>
            </w:pPr>
            <w:r>
              <w:rPr>
                <w:rFonts w:hint="eastAsia" w:ascii="宋体" w:hAnsi="宋体"/>
                <w:b w:val="0"/>
                <w:bCs/>
                <w:kern w:val="0"/>
                <w:szCs w:val="21"/>
              </w:rPr>
              <w:t>9</w:t>
            </w:r>
            <w:r>
              <w:rPr>
                <w:rFonts w:ascii="宋体" w:hAnsi="宋体"/>
                <w:b w:val="0"/>
                <w:bCs/>
                <w:kern w:val="0"/>
                <w:szCs w:val="21"/>
              </w:rPr>
              <w:t>#</w:t>
            </w:r>
            <w:r>
              <w:rPr>
                <w:rFonts w:hint="eastAsia" w:ascii="宋体" w:hAnsi="宋体"/>
                <w:b w:val="0"/>
                <w:bCs/>
                <w:kern w:val="0"/>
                <w:szCs w:val="21"/>
              </w:rPr>
              <w:t>引中转</w:t>
            </w:r>
          </w:p>
        </w:tc>
        <w:tc>
          <w:tcPr>
            <w:tcW w:w="700" w:type="dxa"/>
            <w:shd w:val="clear" w:color="auto" w:fill="auto"/>
            <w:vAlign w:val="center"/>
          </w:tcPr>
          <w:p w14:paraId="116A9CB6">
            <w:pPr>
              <w:widowControl/>
              <w:jc w:val="center"/>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.1</w:t>
            </w:r>
            <w:r>
              <w:rPr>
                <w:rFonts w:ascii="宋体" w:hAnsi="宋体"/>
                <w:b w:val="0"/>
                <w:bCs/>
                <w:kern w:val="0"/>
                <w:szCs w:val="21"/>
                <w:vertAlign w:val="superscript"/>
              </w:rPr>
              <w:t>-</w:t>
            </w:r>
            <w:r>
              <w:rPr>
                <w:rFonts w:hint="eastAsia" w:ascii="宋体" w:hAnsi="宋体"/>
                <w:b w:val="0"/>
                <w:bCs/>
                <w:kern w:val="0"/>
                <w:szCs w:val="21"/>
                <w:vertAlign w:val="superscript"/>
              </w:rPr>
              <w:t>2</w:t>
            </w:r>
          </w:p>
        </w:tc>
        <w:tc>
          <w:tcPr>
            <w:tcW w:w="982" w:type="dxa"/>
            <w:shd w:val="clear" w:color="auto" w:fill="auto"/>
            <w:vAlign w:val="center"/>
          </w:tcPr>
          <w:p w14:paraId="34012B1A">
            <w:pPr>
              <w:jc w:val="center"/>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00</w:t>
            </w:r>
          </w:p>
        </w:tc>
        <w:tc>
          <w:tcPr>
            <w:tcW w:w="2167" w:type="dxa"/>
            <w:shd w:val="clear" w:color="auto" w:fill="auto"/>
            <w:vAlign w:val="center"/>
          </w:tcPr>
          <w:p w14:paraId="28DBD530">
            <w:pPr>
              <w:jc w:val="center"/>
              <w:rPr>
                <w:rFonts w:ascii="宋体" w:hAnsi="宋体"/>
                <w:b w:val="0"/>
                <w:bCs/>
                <w:kern w:val="0"/>
                <w:szCs w:val="21"/>
              </w:rPr>
            </w:pPr>
            <w:r>
              <w:rPr>
                <w:rFonts w:hint="eastAsia" w:ascii="宋体" w:hAnsi="宋体"/>
                <w:b w:val="0"/>
                <w:bCs/>
                <w:kern w:val="0"/>
                <w:szCs w:val="21"/>
              </w:rPr>
              <w:t>垃圾分拣中心（50人以下）</w:t>
            </w:r>
          </w:p>
        </w:tc>
        <w:tc>
          <w:tcPr>
            <w:tcW w:w="1082" w:type="dxa"/>
            <w:shd w:val="clear" w:color="auto" w:fill="auto"/>
            <w:vAlign w:val="center"/>
          </w:tcPr>
          <w:p w14:paraId="5277158E">
            <w:pPr>
              <w:jc w:val="center"/>
              <w:rPr>
                <w:rFonts w:ascii="宋体" w:hAnsi="宋体"/>
                <w:b w:val="0"/>
                <w:bCs/>
                <w:kern w:val="0"/>
                <w:szCs w:val="21"/>
              </w:rPr>
            </w:pPr>
            <w:r>
              <w:rPr>
                <w:rFonts w:hint="eastAsia" w:ascii="宋体" w:hAnsi="宋体"/>
                <w:b w:val="0"/>
                <w:bCs/>
                <w:kern w:val="0"/>
                <w:szCs w:val="21"/>
              </w:rPr>
              <w:t>80</w:t>
            </w:r>
          </w:p>
        </w:tc>
        <w:tc>
          <w:tcPr>
            <w:tcW w:w="1107" w:type="dxa"/>
            <w:shd w:val="clear" w:color="auto" w:fill="auto"/>
            <w:vAlign w:val="center"/>
          </w:tcPr>
          <w:p w14:paraId="28A55375">
            <w:pPr>
              <w:jc w:val="center"/>
              <w:rPr>
                <w:rFonts w:ascii="宋体" w:hAnsi="宋体"/>
                <w:b w:val="0"/>
                <w:bCs/>
                <w:kern w:val="0"/>
                <w:szCs w:val="21"/>
              </w:rPr>
            </w:pPr>
            <w:r>
              <w:rPr>
                <w:rFonts w:hint="eastAsia" w:ascii="宋体" w:hAnsi="宋体"/>
                <w:b w:val="0"/>
                <w:bCs/>
                <w:kern w:val="0"/>
                <w:szCs w:val="21"/>
              </w:rPr>
              <w:t>160</w:t>
            </w:r>
          </w:p>
        </w:tc>
      </w:tr>
      <w:tr w14:paraId="76B6D9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01" w:type="dxa"/>
            <w:vMerge w:val="continue"/>
            <w:vAlign w:val="center"/>
          </w:tcPr>
          <w:p w14:paraId="7153E4E9">
            <w:pPr>
              <w:jc w:val="center"/>
              <w:rPr>
                <w:rFonts w:asciiTheme="minorEastAsia" w:hAnsiTheme="minorEastAsia" w:eastAsiaTheme="minorEastAsia"/>
                <w:b w:val="0"/>
                <w:bCs/>
                <w:szCs w:val="21"/>
              </w:rPr>
            </w:pPr>
          </w:p>
        </w:tc>
        <w:tc>
          <w:tcPr>
            <w:tcW w:w="2118" w:type="dxa"/>
            <w:shd w:val="clear" w:color="auto" w:fill="auto"/>
            <w:vAlign w:val="center"/>
          </w:tcPr>
          <w:p w14:paraId="1CE87558">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78</w:t>
            </w:r>
            <w:r>
              <w:rPr>
                <w:rFonts w:ascii="宋体" w:hAnsi="宋体"/>
                <w:b w:val="0"/>
                <w:bCs/>
                <w:kern w:val="0"/>
                <w:szCs w:val="21"/>
              </w:rPr>
              <w:t>#</w:t>
            </w:r>
            <w:r>
              <w:rPr>
                <w:rFonts w:hint="eastAsia" w:ascii="宋体" w:hAnsi="宋体"/>
                <w:b w:val="0"/>
                <w:bCs/>
                <w:kern w:val="0"/>
                <w:szCs w:val="21"/>
              </w:rPr>
              <w:t>黑火药中转</w:t>
            </w:r>
          </w:p>
        </w:tc>
        <w:tc>
          <w:tcPr>
            <w:tcW w:w="700" w:type="dxa"/>
            <w:shd w:val="clear" w:color="auto" w:fill="auto"/>
            <w:vAlign w:val="center"/>
          </w:tcPr>
          <w:p w14:paraId="74221F7A">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.1</w:t>
            </w:r>
            <w:r>
              <w:rPr>
                <w:rFonts w:ascii="宋体" w:hAnsi="宋体"/>
                <w:b w:val="0"/>
                <w:bCs/>
                <w:kern w:val="0"/>
                <w:szCs w:val="21"/>
                <w:vertAlign w:val="superscript"/>
              </w:rPr>
              <w:t>-</w:t>
            </w:r>
            <w:r>
              <w:rPr>
                <w:rFonts w:hint="eastAsia" w:ascii="宋体" w:hAnsi="宋体"/>
                <w:b w:val="0"/>
                <w:bCs/>
                <w:kern w:val="0"/>
                <w:szCs w:val="21"/>
                <w:vertAlign w:val="superscript"/>
              </w:rPr>
              <w:t>2</w:t>
            </w:r>
          </w:p>
        </w:tc>
        <w:tc>
          <w:tcPr>
            <w:tcW w:w="982" w:type="dxa"/>
            <w:shd w:val="clear" w:color="auto" w:fill="auto"/>
            <w:vAlign w:val="center"/>
          </w:tcPr>
          <w:p w14:paraId="5F504D99">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00</w:t>
            </w:r>
          </w:p>
        </w:tc>
        <w:tc>
          <w:tcPr>
            <w:tcW w:w="2167" w:type="dxa"/>
            <w:shd w:val="clear" w:color="auto" w:fill="auto"/>
            <w:vAlign w:val="center"/>
          </w:tcPr>
          <w:p w14:paraId="3E2F2B5A">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民房（1</w:t>
            </w:r>
            <w:r>
              <w:rPr>
                <w:rFonts w:ascii="宋体" w:hAnsi="宋体"/>
                <w:b w:val="0"/>
                <w:bCs/>
                <w:kern w:val="0"/>
                <w:szCs w:val="21"/>
              </w:rPr>
              <w:t>0</w:t>
            </w:r>
            <w:r>
              <w:rPr>
                <w:rFonts w:hint="eastAsia" w:ascii="宋体" w:hAnsi="宋体"/>
                <w:b w:val="0"/>
                <w:bCs/>
                <w:kern w:val="0"/>
                <w:szCs w:val="21"/>
              </w:rPr>
              <w:t>户以上）</w:t>
            </w:r>
          </w:p>
        </w:tc>
        <w:tc>
          <w:tcPr>
            <w:tcW w:w="1082" w:type="dxa"/>
            <w:shd w:val="clear" w:color="auto" w:fill="auto"/>
            <w:vAlign w:val="center"/>
          </w:tcPr>
          <w:p w14:paraId="20927873">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100</w:t>
            </w:r>
          </w:p>
        </w:tc>
        <w:tc>
          <w:tcPr>
            <w:tcW w:w="1107" w:type="dxa"/>
            <w:shd w:val="clear" w:color="auto" w:fill="auto"/>
            <w:vAlign w:val="center"/>
          </w:tcPr>
          <w:p w14:paraId="56E7E3B3">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114</w:t>
            </w:r>
          </w:p>
        </w:tc>
      </w:tr>
      <w:tr w14:paraId="23F829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01" w:type="dxa"/>
            <w:vMerge w:val="continue"/>
            <w:vAlign w:val="center"/>
          </w:tcPr>
          <w:p w14:paraId="3698056F">
            <w:pPr>
              <w:jc w:val="center"/>
              <w:rPr>
                <w:rFonts w:asciiTheme="minorEastAsia" w:hAnsiTheme="minorEastAsia" w:eastAsiaTheme="minorEastAsia"/>
                <w:b w:val="0"/>
                <w:bCs/>
                <w:szCs w:val="21"/>
              </w:rPr>
            </w:pPr>
          </w:p>
        </w:tc>
        <w:tc>
          <w:tcPr>
            <w:tcW w:w="2118" w:type="dxa"/>
            <w:shd w:val="clear" w:color="auto" w:fill="auto"/>
            <w:vAlign w:val="center"/>
          </w:tcPr>
          <w:p w14:paraId="0E7FF3CD">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89#成品库</w:t>
            </w:r>
          </w:p>
        </w:tc>
        <w:tc>
          <w:tcPr>
            <w:tcW w:w="700" w:type="dxa"/>
            <w:shd w:val="clear" w:color="auto" w:fill="auto"/>
            <w:vAlign w:val="center"/>
          </w:tcPr>
          <w:p w14:paraId="12CE55A4">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1.3</w:t>
            </w:r>
          </w:p>
        </w:tc>
        <w:tc>
          <w:tcPr>
            <w:tcW w:w="982" w:type="dxa"/>
            <w:shd w:val="clear" w:color="auto" w:fill="auto"/>
            <w:vAlign w:val="center"/>
          </w:tcPr>
          <w:p w14:paraId="511D8F69">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15000</w:t>
            </w:r>
          </w:p>
        </w:tc>
        <w:tc>
          <w:tcPr>
            <w:tcW w:w="2167" w:type="dxa"/>
            <w:shd w:val="clear" w:color="auto" w:fill="auto"/>
            <w:vAlign w:val="center"/>
          </w:tcPr>
          <w:p w14:paraId="693F2654">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民房（1</w:t>
            </w:r>
            <w:r>
              <w:rPr>
                <w:rFonts w:ascii="宋体" w:hAnsi="宋体"/>
                <w:b w:val="0"/>
                <w:bCs/>
                <w:kern w:val="0"/>
                <w:szCs w:val="21"/>
              </w:rPr>
              <w:t>0</w:t>
            </w:r>
            <w:r>
              <w:rPr>
                <w:rFonts w:hint="eastAsia" w:ascii="宋体" w:hAnsi="宋体"/>
                <w:b w:val="0"/>
                <w:bCs/>
                <w:kern w:val="0"/>
                <w:szCs w:val="21"/>
              </w:rPr>
              <w:t>户以上）</w:t>
            </w:r>
          </w:p>
        </w:tc>
        <w:tc>
          <w:tcPr>
            <w:tcW w:w="1082" w:type="dxa"/>
            <w:shd w:val="clear" w:color="auto" w:fill="auto"/>
            <w:vAlign w:val="center"/>
          </w:tcPr>
          <w:p w14:paraId="6450B828">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125</w:t>
            </w:r>
          </w:p>
        </w:tc>
        <w:tc>
          <w:tcPr>
            <w:tcW w:w="1107" w:type="dxa"/>
            <w:shd w:val="clear" w:color="auto" w:fill="auto"/>
            <w:vAlign w:val="center"/>
          </w:tcPr>
          <w:p w14:paraId="6BDAD392">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145</w:t>
            </w:r>
          </w:p>
        </w:tc>
      </w:tr>
      <w:tr w14:paraId="7108DD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01" w:type="dxa"/>
            <w:vMerge w:val="restart"/>
            <w:vAlign w:val="center"/>
          </w:tcPr>
          <w:p w14:paraId="4F54279D">
            <w:pPr>
              <w:jc w:val="center"/>
              <w:rPr>
                <w:rFonts w:asciiTheme="minorEastAsia" w:hAnsiTheme="minorEastAsia" w:eastAsiaTheme="minorEastAsia"/>
                <w:b w:val="0"/>
                <w:bCs/>
                <w:szCs w:val="21"/>
              </w:rPr>
            </w:pPr>
            <w:r>
              <w:rPr>
                <w:rFonts w:hint="eastAsia" w:asciiTheme="minorEastAsia" w:hAnsiTheme="minorEastAsia" w:eastAsiaTheme="minorEastAsia"/>
                <w:b w:val="0"/>
                <w:bCs/>
                <w:szCs w:val="21"/>
              </w:rPr>
              <w:t>南</w:t>
            </w:r>
          </w:p>
        </w:tc>
        <w:tc>
          <w:tcPr>
            <w:tcW w:w="2118" w:type="dxa"/>
            <w:vMerge w:val="restart"/>
            <w:shd w:val="clear" w:color="auto" w:fill="auto"/>
            <w:vAlign w:val="center"/>
          </w:tcPr>
          <w:p w14:paraId="18CF72F3">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53#单基火药中转</w:t>
            </w:r>
          </w:p>
        </w:tc>
        <w:tc>
          <w:tcPr>
            <w:tcW w:w="700" w:type="dxa"/>
            <w:vMerge w:val="restart"/>
            <w:shd w:val="clear" w:color="auto" w:fill="auto"/>
            <w:vAlign w:val="center"/>
          </w:tcPr>
          <w:p w14:paraId="087011F4">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.1</w:t>
            </w:r>
            <w:r>
              <w:rPr>
                <w:rFonts w:ascii="宋体" w:hAnsi="宋体"/>
                <w:b w:val="0"/>
                <w:bCs/>
                <w:kern w:val="0"/>
                <w:szCs w:val="21"/>
                <w:vertAlign w:val="superscript"/>
              </w:rPr>
              <w:t>-</w:t>
            </w:r>
            <w:r>
              <w:rPr>
                <w:rFonts w:hint="eastAsia" w:ascii="宋体" w:hAnsi="宋体"/>
                <w:b w:val="0"/>
                <w:bCs/>
                <w:kern w:val="0"/>
                <w:szCs w:val="21"/>
                <w:vertAlign w:val="superscript"/>
              </w:rPr>
              <w:t>2</w:t>
            </w:r>
          </w:p>
        </w:tc>
        <w:tc>
          <w:tcPr>
            <w:tcW w:w="982" w:type="dxa"/>
            <w:vMerge w:val="restart"/>
            <w:shd w:val="clear" w:color="auto" w:fill="auto"/>
            <w:vAlign w:val="center"/>
          </w:tcPr>
          <w:p w14:paraId="147BF92A">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00</w:t>
            </w:r>
          </w:p>
        </w:tc>
        <w:tc>
          <w:tcPr>
            <w:tcW w:w="2167" w:type="dxa"/>
            <w:shd w:val="clear" w:color="auto" w:fill="auto"/>
            <w:vAlign w:val="center"/>
          </w:tcPr>
          <w:p w14:paraId="656224D0">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民房（1</w:t>
            </w:r>
            <w:r>
              <w:rPr>
                <w:rFonts w:ascii="宋体" w:hAnsi="宋体"/>
                <w:b w:val="0"/>
                <w:bCs/>
                <w:color w:val="000000" w:themeColor="text1"/>
                <w:kern w:val="0"/>
                <w:szCs w:val="21"/>
                <w14:textFill>
                  <w14:solidFill>
                    <w14:schemeClr w14:val="tx1"/>
                  </w14:solidFill>
                </w14:textFill>
              </w:rPr>
              <w:t>0</w:t>
            </w:r>
            <w:r>
              <w:rPr>
                <w:rFonts w:hint="eastAsia" w:ascii="宋体" w:hAnsi="宋体"/>
                <w:b w:val="0"/>
                <w:bCs/>
                <w:color w:val="000000" w:themeColor="text1"/>
                <w:kern w:val="0"/>
                <w:szCs w:val="21"/>
                <w14:textFill>
                  <w14:solidFill>
                    <w14:schemeClr w14:val="tx1"/>
                  </w14:solidFill>
                </w14:textFill>
              </w:rPr>
              <w:t>户以内）</w:t>
            </w:r>
          </w:p>
        </w:tc>
        <w:tc>
          <w:tcPr>
            <w:tcW w:w="1082" w:type="dxa"/>
            <w:shd w:val="clear" w:color="auto" w:fill="auto"/>
            <w:vAlign w:val="center"/>
          </w:tcPr>
          <w:p w14:paraId="69A9E896">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80</w:t>
            </w:r>
          </w:p>
        </w:tc>
        <w:tc>
          <w:tcPr>
            <w:tcW w:w="1107" w:type="dxa"/>
            <w:shd w:val="clear" w:color="auto" w:fill="auto"/>
            <w:vAlign w:val="center"/>
          </w:tcPr>
          <w:p w14:paraId="2C538DE7">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89</w:t>
            </w:r>
          </w:p>
        </w:tc>
      </w:tr>
      <w:tr w14:paraId="085E6A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01" w:type="dxa"/>
            <w:vMerge w:val="continue"/>
            <w:vAlign w:val="center"/>
          </w:tcPr>
          <w:p w14:paraId="3C61B575">
            <w:pPr>
              <w:jc w:val="center"/>
              <w:rPr>
                <w:rFonts w:asciiTheme="minorEastAsia" w:hAnsiTheme="minorEastAsia" w:eastAsiaTheme="minorEastAsia"/>
                <w:b w:val="0"/>
                <w:bCs/>
                <w:szCs w:val="21"/>
              </w:rPr>
            </w:pPr>
          </w:p>
        </w:tc>
        <w:tc>
          <w:tcPr>
            <w:tcW w:w="2118" w:type="dxa"/>
            <w:vMerge w:val="continue"/>
            <w:shd w:val="clear" w:color="auto" w:fill="auto"/>
            <w:vAlign w:val="center"/>
          </w:tcPr>
          <w:p w14:paraId="016C74DE">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p>
        </w:tc>
        <w:tc>
          <w:tcPr>
            <w:tcW w:w="700" w:type="dxa"/>
            <w:vMerge w:val="continue"/>
            <w:shd w:val="clear" w:color="auto" w:fill="auto"/>
            <w:vAlign w:val="center"/>
          </w:tcPr>
          <w:p w14:paraId="2FF73B9E">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p>
        </w:tc>
        <w:tc>
          <w:tcPr>
            <w:tcW w:w="982" w:type="dxa"/>
            <w:vMerge w:val="continue"/>
            <w:shd w:val="clear" w:color="auto" w:fill="auto"/>
            <w:vAlign w:val="center"/>
          </w:tcPr>
          <w:p w14:paraId="7C62C228">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p>
        </w:tc>
        <w:tc>
          <w:tcPr>
            <w:tcW w:w="2167" w:type="dxa"/>
            <w:shd w:val="clear" w:color="auto" w:fill="auto"/>
            <w:vAlign w:val="center"/>
          </w:tcPr>
          <w:p w14:paraId="1119C6BB">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养殖场（50人以下）</w:t>
            </w:r>
          </w:p>
        </w:tc>
        <w:tc>
          <w:tcPr>
            <w:tcW w:w="1082" w:type="dxa"/>
            <w:shd w:val="clear" w:color="auto" w:fill="auto"/>
            <w:vAlign w:val="center"/>
          </w:tcPr>
          <w:p w14:paraId="7F1ECB48">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80</w:t>
            </w:r>
          </w:p>
        </w:tc>
        <w:tc>
          <w:tcPr>
            <w:tcW w:w="1107" w:type="dxa"/>
            <w:shd w:val="clear" w:color="auto" w:fill="auto"/>
            <w:vAlign w:val="center"/>
          </w:tcPr>
          <w:p w14:paraId="25F656F9">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82</w:t>
            </w:r>
          </w:p>
        </w:tc>
      </w:tr>
      <w:tr w14:paraId="005736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01" w:type="dxa"/>
            <w:vMerge w:val="continue"/>
            <w:vAlign w:val="center"/>
          </w:tcPr>
          <w:p w14:paraId="0A8CBD5B">
            <w:pPr>
              <w:jc w:val="center"/>
              <w:rPr>
                <w:rFonts w:asciiTheme="minorEastAsia" w:hAnsiTheme="minorEastAsia" w:eastAsiaTheme="minorEastAsia"/>
                <w:b w:val="0"/>
                <w:bCs/>
                <w:szCs w:val="21"/>
              </w:rPr>
            </w:pPr>
          </w:p>
        </w:tc>
        <w:tc>
          <w:tcPr>
            <w:tcW w:w="2118" w:type="dxa"/>
            <w:shd w:val="clear" w:color="auto" w:fill="auto"/>
            <w:vAlign w:val="center"/>
          </w:tcPr>
          <w:p w14:paraId="3E2F3C3E">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52#黑火药中转</w:t>
            </w:r>
          </w:p>
        </w:tc>
        <w:tc>
          <w:tcPr>
            <w:tcW w:w="700" w:type="dxa"/>
            <w:shd w:val="clear" w:color="auto" w:fill="auto"/>
            <w:vAlign w:val="center"/>
          </w:tcPr>
          <w:p w14:paraId="3A94EAC2">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.1</w:t>
            </w:r>
            <w:r>
              <w:rPr>
                <w:rFonts w:ascii="宋体" w:hAnsi="宋体"/>
                <w:b w:val="0"/>
                <w:bCs/>
                <w:kern w:val="0"/>
                <w:szCs w:val="21"/>
                <w:vertAlign w:val="superscript"/>
              </w:rPr>
              <w:t>-</w:t>
            </w:r>
            <w:r>
              <w:rPr>
                <w:rFonts w:hint="eastAsia" w:ascii="宋体" w:hAnsi="宋体"/>
                <w:b w:val="0"/>
                <w:bCs/>
                <w:kern w:val="0"/>
                <w:szCs w:val="21"/>
                <w:vertAlign w:val="superscript"/>
              </w:rPr>
              <w:t>2</w:t>
            </w:r>
          </w:p>
        </w:tc>
        <w:tc>
          <w:tcPr>
            <w:tcW w:w="982" w:type="dxa"/>
            <w:shd w:val="clear" w:color="auto" w:fill="auto"/>
            <w:vAlign w:val="center"/>
          </w:tcPr>
          <w:p w14:paraId="69796E56">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00</w:t>
            </w:r>
          </w:p>
        </w:tc>
        <w:tc>
          <w:tcPr>
            <w:tcW w:w="2167" w:type="dxa"/>
            <w:shd w:val="clear" w:color="auto" w:fill="auto"/>
            <w:vAlign w:val="center"/>
          </w:tcPr>
          <w:p w14:paraId="0D0A1F5C">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养殖场（50人以下）</w:t>
            </w:r>
          </w:p>
        </w:tc>
        <w:tc>
          <w:tcPr>
            <w:tcW w:w="1082" w:type="dxa"/>
            <w:shd w:val="clear" w:color="auto" w:fill="auto"/>
            <w:vAlign w:val="center"/>
          </w:tcPr>
          <w:p w14:paraId="26BC199C">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80</w:t>
            </w:r>
          </w:p>
        </w:tc>
        <w:tc>
          <w:tcPr>
            <w:tcW w:w="1107" w:type="dxa"/>
            <w:shd w:val="clear" w:color="auto" w:fill="auto"/>
            <w:vAlign w:val="center"/>
          </w:tcPr>
          <w:p w14:paraId="04A9FF9F">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81</w:t>
            </w:r>
          </w:p>
        </w:tc>
      </w:tr>
      <w:tr w14:paraId="0560AA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01" w:type="dxa"/>
            <w:vMerge w:val="continue"/>
            <w:vAlign w:val="center"/>
          </w:tcPr>
          <w:p w14:paraId="29B45F98">
            <w:pPr>
              <w:jc w:val="center"/>
              <w:rPr>
                <w:rFonts w:asciiTheme="minorEastAsia" w:hAnsiTheme="minorEastAsia" w:eastAsiaTheme="minorEastAsia"/>
                <w:b w:val="0"/>
                <w:bCs/>
                <w:szCs w:val="21"/>
              </w:rPr>
            </w:pPr>
          </w:p>
        </w:tc>
        <w:tc>
          <w:tcPr>
            <w:tcW w:w="2118" w:type="dxa"/>
            <w:shd w:val="clear" w:color="auto" w:fill="auto"/>
            <w:vAlign w:val="center"/>
          </w:tcPr>
          <w:p w14:paraId="16CB6988">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51#亮珠中转</w:t>
            </w:r>
          </w:p>
        </w:tc>
        <w:tc>
          <w:tcPr>
            <w:tcW w:w="700" w:type="dxa"/>
            <w:shd w:val="clear" w:color="auto" w:fill="auto"/>
            <w:vAlign w:val="center"/>
          </w:tcPr>
          <w:p w14:paraId="0B164CAB">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.1</w:t>
            </w:r>
            <w:r>
              <w:rPr>
                <w:rFonts w:ascii="宋体" w:hAnsi="宋体"/>
                <w:b w:val="0"/>
                <w:bCs/>
                <w:kern w:val="0"/>
                <w:szCs w:val="21"/>
                <w:vertAlign w:val="superscript"/>
              </w:rPr>
              <w:t>-</w:t>
            </w:r>
            <w:r>
              <w:rPr>
                <w:rFonts w:hint="eastAsia" w:ascii="宋体" w:hAnsi="宋体"/>
                <w:b w:val="0"/>
                <w:bCs/>
                <w:kern w:val="0"/>
                <w:szCs w:val="21"/>
                <w:vertAlign w:val="superscript"/>
              </w:rPr>
              <w:t>1</w:t>
            </w:r>
          </w:p>
        </w:tc>
        <w:tc>
          <w:tcPr>
            <w:tcW w:w="982" w:type="dxa"/>
            <w:shd w:val="clear" w:color="auto" w:fill="auto"/>
            <w:vAlign w:val="center"/>
          </w:tcPr>
          <w:p w14:paraId="2713B1DB">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00</w:t>
            </w:r>
          </w:p>
        </w:tc>
        <w:tc>
          <w:tcPr>
            <w:tcW w:w="2167" w:type="dxa"/>
            <w:shd w:val="clear" w:color="auto" w:fill="auto"/>
            <w:vAlign w:val="center"/>
          </w:tcPr>
          <w:p w14:paraId="54D01183">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养殖场（50人以下）</w:t>
            </w:r>
          </w:p>
        </w:tc>
        <w:tc>
          <w:tcPr>
            <w:tcW w:w="1082" w:type="dxa"/>
            <w:shd w:val="clear" w:color="auto" w:fill="auto"/>
            <w:vAlign w:val="center"/>
          </w:tcPr>
          <w:p w14:paraId="746A93DE">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80</w:t>
            </w:r>
          </w:p>
        </w:tc>
        <w:tc>
          <w:tcPr>
            <w:tcW w:w="1107" w:type="dxa"/>
            <w:shd w:val="clear" w:color="auto" w:fill="auto"/>
            <w:vAlign w:val="center"/>
          </w:tcPr>
          <w:p w14:paraId="79E6DAB3">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92</w:t>
            </w:r>
          </w:p>
        </w:tc>
      </w:tr>
      <w:tr w14:paraId="71DD98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01" w:type="dxa"/>
            <w:vMerge w:val="continue"/>
            <w:vAlign w:val="center"/>
          </w:tcPr>
          <w:p w14:paraId="5CD0E4DA">
            <w:pPr>
              <w:jc w:val="center"/>
              <w:rPr>
                <w:rFonts w:asciiTheme="minorEastAsia" w:hAnsiTheme="minorEastAsia" w:eastAsiaTheme="minorEastAsia"/>
                <w:b w:val="0"/>
                <w:bCs/>
                <w:szCs w:val="21"/>
              </w:rPr>
            </w:pPr>
          </w:p>
        </w:tc>
        <w:tc>
          <w:tcPr>
            <w:tcW w:w="2118" w:type="dxa"/>
            <w:shd w:val="clear" w:color="auto" w:fill="auto"/>
            <w:vAlign w:val="center"/>
          </w:tcPr>
          <w:p w14:paraId="766E9C27">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44#筑药</w:t>
            </w:r>
          </w:p>
        </w:tc>
        <w:tc>
          <w:tcPr>
            <w:tcW w:w="700" w:type="dxa"/>
            <w:shd w:val="clear" w:color="auto" w:fill="auto"/>
            <w:vAlign w:val="center"/>
          </w:tcPr>
          <w:p w14:paraId="4A13E593">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.1</w:t>
            </w:r>
            <w:r>
              <w:rPr>
                <w:rFonts w:ascii="宋体" w:hAnsi="宋体"/>
                <w:b w:val="0"/>
                <w:bCs/>
                <w:kern w:val="0"/>
                <w:szCs w:val="21"/>
                <w:vertAlign w:val="superscript"/>
              </w:rPr>
              <w:t>-</w:t>
            </w:r>
            <w:r>
              <w:rPr>
                <w:rFonts w:hint="eastAsia" w:ascii="宋体" w:hAnsi="宋体"/>
                <w:b w:val="0"/>
                <w:bCs/>
                <w:kern w:val="0"/>
                <w:szCs w:val="21"/>
                <w:vertAlign w:val="superscript"/>
              </w:rPr>
              <w:t>1</w:t>
            </w:r>
          </w:p>
        </w:tc>
        <w:tc>
          <w:tcPr>
            <w:tcW w:w="982" w:type="dxa"/>
            <w:shd w:val="clear" w:color="auto" w:fill="auto"/>
            <w:vAlign w:val="center"/>
          </w:tcPr>
          <w:p w14:paraId="418A722C">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FF0000"/>
                <w:kern w:val="0"/>
                <w:szCs w:val="21"/>
              </w:rPr>
            </w:pPr>
            <w:r>
              <w:rPr>
                <w:rFonts w:hint="eastAsia" w:ascii="宋体" w:hAnsi="宋体"/>
                <w:b w:val="0"/>
                <w:bCs/>
                <w:color w:val="000000" w:themeColor="text1"/>
                <w:kern w:val="0"/>
                <w:szCs w:val="21"/>
                <w14:textFill>
                  <w14:solidFill>
                    <w14:schemeClr w14:val="tx1"/>
                  </w14:solidFill>
                </w14:textFill>
              </w:rPr>
              <w:t>5</w:t>
            </w:r>
          </w:p>
        </w:tc>
        <w:tc>
          <w:tcPr>
            <w:tcW w:w="2167" w:type="dxa"/>
            <w:shd w:val="clear" w:color="auto" w:fill="auto"/>
            <w:vAlign w:val="center"/>
          </w:tcPr>
          <w:p w14:paraId="3735A28A">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养殖场（50人以下）</w:t>
            </w:r>
          </w:p>
        </w:tc>
        <w:tc>
          <w:tcPr>
            <w:tcW w:w="1082" w:type="dxa"/>
            <w:shd w:val="clear" w:color="auto" w:fill="auto"/>
            <w:vAlign w:val="center"/>
          </w:tcPr>
          <w:p w14:paraId="3BB5313A">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50</w:t>
            </w:r>
          </w:p>
        </w:tc>
        <w:tc>
          <w:tcPr>
            <w:tcW w:w="1107" w:type="dxa"/>
            <w:shd w:val="clear" w:color="auto" w:fill="auto"/>
            <w:vAlign w:val="center"/>
          </w:tcPr>
          <w:p w14:paraId="24EFA16E">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61</w:t>
            </w:r>
          </w:p>
        </w:tc>
      </w:tr>
      <w:tr w14:paraId="6E61C5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01" w:type="dxa"/>
            <w:vMerge w:val="continue"/>
            <w:vAlign w:val="center"/>
          </w:tcPr>
          <w:p w14:paraId="668B96FA">
            <w:pPr>
              <w:jc w:val="center"/>
              <w:rPr>
                <w:rFonts w:asciiTheme="minorEastAsia" w:hAnsiTheme="minorEastAsia" w:eastAsiaTheme="minorEastAsia"/>
                <w:b w:val="0"/>
                <w:bCs/>
                <w:szCs w:val="21"/>
              </w:rPr>
            </w:pPr>
          </w:p>
        </w:tc>
        <w:tc>
          <w:tcPr>
            <w:tcW w:w="2118" w:type="dxa"/>
            <w:shd w:val="clear" w:color="auto" w:fill="auto"/>
            <w:vAlign w:val="center"/>
          </w:tcPr>
          <w:p w14:paraId="61818C7C">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40#药物中转</w:t>
            </w:r>
          </w:p>
        </w:tc>
        <w:tc>
          <w:tcPr>
            <w:tcW w:w="700" w:type="dxa"/>
            <w:shd w:val="clear" w:color="auto" w:fill="auto"/>
            <w:vAlign w:val="center"/>
          </w:tcPr>
          <w:p w14:paraId="0A35799C">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.1</w:t>
            </w:r>
            <w:r>
              <w:rPr>
                <w:rFonts w:ascii="宋体" w:hAnsi="宋体"/>
                <w:b w:val="0"/>
                <w:bCs/>
                <w:kern w:val="0"/>
                <w:szCs w:val="21"/>
                <w:vertAlign w:val="superscript"/>
              </w:rPr>
              <w:t>-</w:t>
            </w:r>
            <w:r>
              <w:rPr>
                <w:rFonts w:hint="eastAsia" w:ascii="宋体" w:hAnsi="宋体"/>
                <w:b w:val="0"/>
                <w:bCs/>
                <w:kern w:val="0"/>
                <w:szCs w:val="21"/>
                <w:vertAlign w:val="superscript"/>
              </w:rPr>
              <w:t>1</w:t>
            </w:r>
          </w:p>
        </w:tc>
        <w:tc>
          <w:tcPr>
            <w:tcW w:w="982" w:type="dxa"/>
            <w:shd w:val="clear" w:color="auto" w:fill="auto"/>
            <w:vAlign w:val="center"/>
          </w:tcPr>
          <w:p w14:paraId="5231FC32">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FF0000"/>
                <w:kern w:val="0"/>
                <w:szCs w:val="21"/>
              </w:rPr>
            </w:pPr>
            <w:r>
              <w:rPr>
                <w:rFonts w:hint="eastAsia" w:ascii="宋体" w:hAnsi="宋体"/>
                <w:b w:val="0"/>
                <w:bCs/>
                <w:color w:val="000000" w:themeColor="text1"/>
                <w:kern w:val="0"/>
                <w:szCs w:val="21"/>
                <w14:textFill>
                  <w14:solidFill>
                    <w14:schemeClr w14:val="tx1"/>
                  </w14:solidFill>
                </w14:textFill>
              </w:rPr>
              <w:t>50</w:t>
            </w:r>
          </w:p>
        </w:tc>
        <w:tc>
          <w:tcPr>
            <w:tcW w:w="2167" w:type="dxa"/>
            <w:shd w:val="clear" w:color="auto" w:fill="auto"/>
            <w:vAlign w:val="center"/>
          </w:tcPr>
          <w:p w14:paraId="3DB5943B">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民房（1</w:t>
            </w:r>
            <w:r>
              <w:rPr>
                <w:rFonts w:ascii="宋体" w:hAnsi="宋体"/>
                <w:b w:val="0"/>
                <w:bCs/>
                <w:color w:val="000000" w:themeColor="text1"/>
                <w:kern w:val="0"/>
                <w:szCs w:val="21"/>
                <w14:textFill>
                  <w14:solidFill>
                    <w14:schemeClr w14:val="tx1"/>
                  </w14:solidFill>
                </w14:textFill>
              </w:rPr>
              <w:t>0</w:t>
            </w:r>
            <w:r>
              <w:rPr>
                <w:rFonts w:hint="eastAsia" w:ascii="宋体" w:hAnsi="宋体"/>
                <w:b w:val="0"/>
                <w:bCs/>
                <w:color w:val="000000" w:themeColor="text1"/>
                <w:kern w:val="0"/>
                <w:szCs w:val="21"/>
                <w14:textFill>
                  <w14:solidFill>
                    <w14:schemeClr w14:val="tx1"/>
                  </w14:solidFill>
                </w14:textFill>
              </w:rPr>
              <w:t>户以内）</w:t>
            </w:r>
          </w:p>
        </w:tc>
        <w:tc>
          <w:tcPr>
            <w:tcW w:w="1082" w:type="dxa"/>
            <w:shd w:val="clear" w:color="auto" w:fill="auto"/>
            <w:vAlign w:val="center"/>
          </w:tcPr>
          <w:p w14:paraId="3779C018">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70</w:t>
            </w:r>
          </w:p>
        </w:tc>
        <w:tc>
          <w:tcPr>
            <w:tcW w:w="1107" w:type="dxa"/>
            <w:shd w:val="clear" w:color="auto" w:fill="auto"/>
            <w:vAlign w:val="center"/>
          </w:tcPr>
          <w:p w14:paraId="0A16B2C8">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77</w:t>
            </w:r>
          </w:p>
        </w:tc>
      </w:tr>
      <w:tr w14:paraId="0D47BB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01" w:type="dxa"/>
            <w:vMerge w:val="continue"/>
            <w:vAlign w:val="center"/>
          </w:tcPr>
          <w:p w14:paraId="06586BFA">
            <w:pPr>
              <w:jc w:val="center"/>
              <w:rPr>
                <w:rFonts w:asciiTheme="minorEastAsia" w:hAnsiTheme="minorEastAsia" w:eastAsiaTheme="minorEastAsia"/>
                <w:b w:val="0"/>
                <w:bCs/>
                <w:szCs w:val="21"/>
              </w:rPr>
            </w:pPr>
          </w:p>
        </w:tc>
        <w:tc>
          <w:tcPr>
            <w:tcW w:w="2118" w:type="dxa"/>
            <w:shd w:val="clear" w:color="auto" w:fill="auto"/>
            <w:vAlign w:val="center"/>
          </w:tcPr>
          <w:p w14:paraId="20ECDBFA">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27#药物中转</w:t>
            </w:r>
          </w:p>
        </w:tc>
        <w:tc>
          <w:tcPr>
            <w:tcW w:w="700" w:type="dxa"/>
            <w:shd w:val="clear" w:color="auto" w:fill="auto"/>
            <w:vAlign w:val="center"/>
          </w:tcPr>
          <w:p w14:paraId="5DB4F78E">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.1</w:t>
            </w:r>
            <w:r>
              <w:rPr>
                <w:rFonts w:ascii="宋体" w:hAnsi="宋体"/>
                <w:b w:val="0"/>
                <w:bCs/>
                <w:kern w:val="0"/>
                <w:szCs w:val="21"/>
                <w:vertAlign w:val="superscript"/>
              </w:rPr>
              <w:t>-</w:t>
            </w:r>
            <w:r>
              <w:rPr>
                <w:rFonts w:hint="eastAsia" w:ascii="宋体" w:hAnsi="宋体"/>
                <w:b w:val="0"/>
                <w:bCs/>
                <w:kern w:val="0"/>
                <w:szCs w:val="21"/>
                <w:vertAlign w:val="superscript"/>
              </w:rPr>
              <w:t>2</w:t>
            </w:r>
          </w:p>
        </w:tc>
        <w:tc>
          <w:tcPr>
            <w:tcW w:w="982" w:type="dxa"/>
            <w:shd w:val="clear" w:color="auto" w:fill="auto"/>
            <w:vAlign w:val="center"/>
          </w:tcPr>
          <w:p w14:paraId="4837FEB0">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00</w:t>
            </w:r>
          </w:p>
        </w:tc>
        <w:tc>
          <w:tcPr>
            <w:tcW w:w="2167" w:type="dxa"/>
            <w:shd w:val="clear" w:color="auto" w:fill="auto"/>
            <w:vAlign w:val="center"/>
          </w:tcPr>
          <w:p w14:paraId="4131F38A">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民房（1</w:t>
            </w:r>
            <w:r>
              <w:rPr>
                <w:rFonts w:ascii="宋体" w:hAnsi="宋体"/>
                <w:b w:val="0"/>
                <w:bCs/>
                <w:color w:val="000000" w:themeColor="text1"/>
                <w:kern w:val="0"/>
                <w:szCs w:val="21"/>
                <w14:textFill>
                  <w14:solidFill>
                    <w14:schemeClr w14:val="tx1"/>
                  </w14:solidFill>
                </w14:textFill>
              </w:rPr>
              <w:t>0</w:t>
            </w:r>
            <w:r>
              <w:rPr>
                <w:rFonts w:hint="eastAsia" w:ascii="宋体" w:hAnsi="宋体"/>
                <w:b w:val="0"/>
                <w:bCs/>
                <w:color w:val="000000" w:themeColor="text1"/>
                <w:kern w:val="0"/>
                <w:szCs w:val="21"/>
                <w14:textFill>
                  <w14:solidFill>
                    <w14:schemeClr w14:val="tx1"/>
                  </w14:solidFill>
                </w14:textFill>
              </w:rPr>
              <w:t>户以内）</w:t>
            </w:r>
          </w:p>
        </w:tc>
        <w:tc>
          <w:tcPr>
            <w:tcW w:w="1082" w:type="dxa"/>
            <w:shd w:val="clear" w:color="auto" w:fill="auto"/>
            <w:vAlign w:val="center"/>
          </w:tcPr>
          <w:p w14:paraId="0685057E">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80</w:t>
            </w:r>
          </w:p>
        </w:tc>
        <w:tc>
          <w:tcPr>
            <w:tcW w:w="1107" w:type="dxa"/>
            <w:shd w:val="clear" w:color="auto" w:fill="auto"/>
            <w:vAlign w:val="center"/>
          </w:tcPr>
          <w:p w14:paraId="72114200">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89</w:t>
            </w:r>
          </w:p>
        </w:tc>
      </w:tr>
      <w:tr w14:paraId="64DFD1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01" w:type="dxa"/>
            <w:vMerge w:val="continue"/>
            <w:vAlign w:val="center"/>
          </w:tcPr>
          <w:p w14:paraId="4C86627E">
            <w:pPr>
              <w:jc w:val="center"/>
              <w:rPr>
                <w:rFonts w:asciiTheme="minorEastAsia" w:hAnsiTheme="minorEastAsia" w:eastAsiaTheme="minorEastAsia"/>
                <w:b w:val="0"/>
                <w:bCs/>
                <w:szCs w:val="21"/>
              </w:rPr>
            </w:pPr>
          </w:p>
        </w:tc>
        <w:tc>
          <w:tcPr>
            <w:tcW w:w="2118" w:type="dxa"/>
            <w:shd w:val="clear" w:color="auto" w:fill="auto"/>
            <w:vAlign w:val="center"/>
          </w:tcPr>
          <w:p w14:paraId="6AC26C0C">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23#半成品中转</w:t>
            </w:r>
          </w:p>
        </w:tc>
        <w:tc>
          <w:tcPr>
            <w:tcW w:w="700" w:type="dxa"/>
            <w:shd w:val="clear" w:color="auto" w:fill="auto"/>
            <w:vAlign w:val="center"/>
          </w:tcPr>
          <w:p w14:paraId="31ED052C">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1.3</w:t>
            </w:r>
          </w:p>
        </w:tc>
        <w:tc>
          <w:tcPr>
            <w:tcW w:w="982" w:type="dxa"/>
            <w:shd w:val="clear" w:color="auto" w:fill="auto"/>
            <w:vAlign w:val="center"/>
          </w:tcPr>
          <w:p w14:paraId="41AE8586">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100</w:t>
            </w:r>
          </w:p>
        </w:tc>
        <w:tc>
          <w:tcPr>
            <w:tcW w:w="2167" w:type="dxa"/>
            <w:shd w:val="clear" w:color="auto" w:fill="auto"/>
            <w:vAlign w:val="center"/>
          </w:tcPr>
          <w:p w14:paraId="7532C9A6">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民房（1</w:t>
            </w:r>
            <w:r>
              <w:rPr>
                <w:rFonts w:ascii="宋体" w:hAnsi="宋体"/>
                <w:b w:val="0"/>
                <w:bCs/>
                <w:color w:val="000000" w:themeColor="text1"/>
                <w:kern w:val="0"/>
                <w:szCs w:val="21"/>
                <w14:textFill>
                  <w14:solidFill>
                    <w14:schemeClr w14:val="tx1"/>
                  </w14:solidFill>
                </w14:textFill>
              </w:rPr>
              <w:t>0</w:t>
            </w:r>
            <w:r>
              <w:rPr>
                <w:rFonts w:hint="eastAsia" w:ascii="宋体" w:hAnsi="宋体"/>
                <w:b w:val="0"/>
                <w:bCs/>
                <w:color w:val="000000" w:themeColor="text1"/>
                <w:kern w:val="0"/>
                <w:szCs w:val="21"/>
                <w14:textFill>
                  <w14:solidFill>
                    <w14:schemeClr w14:val="tx1"/>
                  </w14:solidFill>
                </w14:textFill>
              </w:rPr>
              <w:t>户以内）</w:t>
            </w:r>
          </w:p>
        </w:tc>
        <w:tc>
          <w:tcPr>
            <w:tcW w:w="1082" w:type="dxa"/>
            <w:shd w:val="clear" w:color="auto" w:fill="auto"/>
            <w:vAlign w:val="center"/>
          </w:tcPr>
          <w:p w14:paraId="5F25075F">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35</w:t>
            </w:r>
          </w:p>
        </w:tc>
        <w:tc>
          <w:tcPr>
            <w:tcW w:w="1107" w:type="dxa"/>
            <w:shd w:val="clear" w:color="auto" w:fill="auto"/>
            <w:vAlign w:val="center"/>
          </w:tcPr>
          <w:p w14:paraId="2DF245D5">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55</w:t>
            </w:r>
          </w:p>
        </w:tc>
      </w:tr>
      <w:tr w14:paraId="03A92B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01" w:type="dxa"/>
            <w:vMerge w:val="continue"/>
            <w:vAlign w:val="center"/>
          </w:tcPr>
          <w:p w14:paraId="73CD301C">
            <w:pPr>
              <w:jc w:val="center"/>
              <w:rPr>
                <w:rFonts w:asciiTheme="minorEastAsia" w:hAnsiTheme="minorEastAsia" w:eastAsiaTheme="minorEastAsia"/>
                <w:b w:val="0"/>
                <w:bCs/>
                <w:szCs w:val="21"/>
              </w:rPr>
            </w:pPr>
          </w:p>
        </w:tc>
        <w:tc>
          <w:tcPr>
            <w:tcW w:w="2118" w:type="dxa"/>
            <w:shd w:val="clear" w:color="auto" w:fill="auto"/>
            <w:vAlign w:val="center"/>
          </w:tcPr>
          <w:p w14:paraId="79F5A86F">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19#半成品中转</w:t>
            </w:r>
          </w:p>
        </w:tc>
        <w:tc>
          <w:tcPr>
            <w:tcW w:w="700" w:type="dxa"/>
            <w:shd w:val="clear" w:color="auto" w:fill="auto"/>
            <w:vAlign w:val="center"/>
          </w:tcPr>
          <w:p w14:paraId="56EE3165">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1.3</w:t>
            </w:r>
          </w:p>
        </w:tc>
        <w:tc>
          <w:tcPr>
            <w:tcW w:w="982" w:type="dxa"/>
            <w:shd w:val="clear" w:color="auto" w:fill="auto"/>
            <w:vAlign w:val="center"/>
          </w:tcPr>
          <w:p w14:paraId="286204DD">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1000</w:t>
            </w:r>
          </w:p>
        </w:tc>
        <w:tc>
          <w:tcPr>
            <w:tcW w:w="2167" w:type="dxa"/>
            <w:shd w:val="clear" w:color="auto" w:fill="auto"/>
            <w:vAlign w:val="center"/>
          </w:tcPr>
          <w:p w14:paraId="6259F05E">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民房（1</w:t>
            </w:r>
            <w:r>
              <w:rPr>
                <w:rFonts w:ascii="宋体" w:hAnsi="宋体"/>
                <w:b w:val="0"/>
                <w:bCs/>
                <w:color w:val="000000" w:themeColor="text1"/>
                <w:kern w:val="0"/>
                <w:szCs w:val="21"/>
                <w14:textFill>
                  <w14:solidFill>
                    <w14:schemeClr w14:val="tx1"/>
                  </w14:solidFill>
                </w14:textFill>
              </w:rPr>
              <w:t>0</w:t>
            </w:r>
            <w:r>
              <w:rPr>
                <w:rFonts w:hint="eastAsia" w:ascii="宋体" w:hAnsi="宋体"/>
                <w:b w:val="0"/>
                <w:bCs/>
                <w:color w:val="000000" w:themeColor="text1"/>
                <w:kern w:val="0"/>
                <w:szCs w:val="21"/>
                <w14:textFill>
                  <w14:solidFill>
                    <w14:schemeClr w14:val="tx1"/>
                  </w14:solidFill>
                </w14:textFill>
              </w:rPr>
              <w:t>户以内）</w:t>
            </w:r>
          </w:p>
        </w:tc>
        <w:tc>
          <w:tcPr>
            <w:tcW w:w="1082" w:type="dxa"/>
            <w:shd w:val="clear" w:color="auto" w:fill="auto"/>
            <w:vAlign w:val="center"/>
          </w:tcPr>
          <w:p w14:paraId="705342AE">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35</w:t>
            </w:r>
          </w:p>
        </w:tc>
        <w:tc>
          <w:tcPr>
            <w:tcW w:w="1107" w:type="dxa"/>
            <w:shd w:val="clear" w:color="auto" w:fill="auto"/>
            <w:vAlign w:val="center"/>
          </w:tcPr>
          <w:p w14:paraId="198131E2">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77</w:t>
            </w:r>
          </w:p>
        </w:tc>
      </w:tr>
      <w:tr w14:paraId="296A6D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01" w:type="dxa"/>
            <w:vMerge w:val="restart"/>
            <w:vAlign w:val="center"/>
          </w:tcPr>
          <w:p w14:paraId="4A017528">
            <w:pPr>
              <w:jc w:val="center"/>
              <w:rPr>
                <w:rFonts w:asciiTheme="minorEastAsia" w:hAnsiTheme="minorEastAsia" w:eastAsiaTheme="minorEastAsia"/>
                <w:b w:val="0"/>
                <w:bCs/>
                <w:szCs w:val="21"/>
              </w:rPr>
            </w:pPr>
            <w:r>
              <w:rPr>
                <w:rFonts w:hint="eastAsia" w:asciiTheme="minorEastAsia" w:hAnsiTheme="minorEastAsia" w:eastAsiaTheme="minorEastAsia"/>
                <w:b w:val="0"/>
                <w:bCs/>
                <w:szCs w:val="21"/>
              </w:rPr>
              <w:t>西</w:t>
            </w:r>
          </w:p>
        </w:tc>
        <w:tc>
          <w:tcPr>
            <w:tcW w:w="2118" w:type="dxa"/>
            <w:shd w:val="clear" w:color="auto" w:fill="auto"/>
            <w:vAlign w:val="center"/>
          </w:tcPr>
          <w:p w14:paraId="5E64289C">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65#包装中转</w:t>
            </w:r>
          </w:p>
        </w:tc>
        <w:tc>
          <w:tcPr>
            <w:tcW w:w="700" w:type="dxa"/>
            <w:shd w:val="clear" w:color="auto" w:fill="auto"/>
            <w:vAlign w:val="center"/>
          </w:tcPr>
          <w:p w14:paraId="5356FA5B">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vertAlign w:val="superscript"/>
                <w14:textFill>
                  <w14:solidFill>
                    <w14:schemeClr w14:val="tx1"/>
                  </w14:solidFill>
                </w14:textFill>
              </w:rPr>
              <w:t>-1</w:t>
            </w:r>
          </w:p>
        </w:tc>
        <w:tc>
          <w:tcPr>
            <w:tcW w:w="982" w:type="dxa"/>
            <w:shd w:val="clear" w:color="auto" w:fill="auto"/>
            <w:vAlign w:val="center"/>
          </w:tcPr>
          <w:p w14:paraId="328AFBD0">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200</w:t>
            </w:r>
          </w:p>
        </w:tc>
        <w:tc>
          <w:tcPr>
            <w:tcW w:w="2167" w:type="dxa"/>
            <w:shd w:val="clear" w:color="auto" w:fill="auto"/>
            <w:vAlign w:val="center"/>
          </w:tcPr>
          <w:p w14:paraId="42852927">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FF0000"/>
                <w:kern w:val="0"/>
                <w:szCs w:val="21"/>
              </w:rPr>
            </w:pPr>
            <w:r>
              <w:rPr>
                <w:rFonts w:hint="eastAsia" w:ascii="宋体" w:hAnsi="宋体"/>
                <w:b w:val="0"/>
                <w:bCs/>
                <w:color w:val="000000" w:themeColor="text1"/>
                <w:kern w:val="0"/>
                <w:szCs w:val="21"/>
                <w14:textFill>
                  <w14:solidFill>
                    <w14:schemeClr w14:val="tx1"/>
                  </w14:solidFill>
                </w14:textFill>
              </w:rPr>
              <w:t>民房（1</w:t>
            </w:r>
            <w:r>
              <w:rPr>
                <w:rFonts w:ascii="宋体" w:hAnsi="宋体"/>
                <w:b w:val="0"/>
                <w:bCs/>
                <w:color w:val="000000" w:themeColor="text1"/>
                <w:kern w:val="0"/>
                <w:szCs w:val="21"/>
                <w14:textFill>
                  <w14:solidFill>
                    <w14:schemeClr w14:val="tx1"/>
                  </w14:solidFill>
                </w14:textFill>
              </w:rPr>
              <w:t>0</w:t>
            </w:r>
            <w:r>
              <w:rPr>
                <w:rFonts w:hint="eastAsia" w:ascii="宋体" w:hAnsi="宋体"/>
                <w:b w:val="0"/>
                <w:bCs/>
                <w:color w:val="000000" w:themeColor="text1"/>
                <w:kern w:val="0"/>
                <w:szCs w:val="21"/>
                <w14:textFill>
                  <w14:solidFill>
                    <w14:schemeClr w14:val="tx1"/>
                  </w14:solidFill>
                </w14:textFill>
              </w:rPr>
              <w:t>户以上）</w:t>
            </w:r>
          </w:p>
        </w:tc>
        <w:tc>
          <w:tcPr>
            <w:tcW w:w="1082" w:type="dxa"/>
            <w:shd w:val="clear" w:color="auto" w:fill="auto"/>
            <w:vAlign w:val="center"/>
          </w:tcPr>
          <w:p w14:paraId="0AC92125">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135</w:t>
            </w:r>
          </w:p>
        </w:tc>
        <w:tc>
          <w:tcPr>
            <w:tcW w:w="1107" w:type="dxa"/>
            <w:shd w:val="clear" w:color="auto" w:fill="auto"/>
            <w:vAlign w:val="center"/>
          </w:tcPr>
          <w:p w14:paraId="0FEFBEBC">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150</w:t>
            </w:r>
          </w:p>
        </w:tc>
      </w:tr>
      <w:tr w14:paraId="3467A5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01" w:type="dxa"/>
            <w:vMerge w:val="continue"/>
            <w:vAlign w:val="center"/>
          </w:tcPr>
          <w:p w14:paraId="7035552B">
            <w:pPr>
              <w:jc w:val="center"/>
              <w:rPr>
                <w:rFonts w:asciiTheme="minorEastAsia" w:hAnsiTheme="minorEastAsia" w:eastAsiaTheme="minorEastAsia"/>
                <w:b w:val="0"/>
                <w:bCs/>
                <w:szCs w:val="21"/>
              </w:rPr>
            </w:pPr>
          </w:p>
        </w:tc>
        <w:tc>
          <w:tcPr>
            <w:tcW w:w="2118" w:type="dxa"/>
            <w:shd w:val="clear" w:color="auto" w:fill="auto"/>
            <w:vAlign w:val="center"/>
          </w:tcPr>
          <w:p w14:paraId="57F1B98E">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62#单基火药库（湿）</w:t>
            </w:r>
          </w:p>
        </w:tc>
        <w:tc>
          <w:tcPr>
            <w:tcW w:w="700" w:type="dxa"/>
            <w:shd w:val="clear" w:color="auto" w:fill="auto"/>
            <w:vAlign w:val="center"/>
          </w:tcPr>
          <w:p w14:paraId="079E9313">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1.1</w:t>
            </w:r>
            <w:r>
              <w:rPr>
                <w:rFonts w:hint="eastAsia" w:ascii="宋体" w:hAnsi="宋体"/>
                <w:b w:val="0"/>
                <w:bCs/>
                <w:color w:val="000000" w:themeColor="text1"/>
                <w:kern w:val="0"/>
                <w:szCs w:val="21"/>
                <w:vertAlign w:val="superscript"/>
                <w14:textFill>
                  <w14:solidFill>
                    <w14:schemeClr w14:val="tx1"/>
                  </w14:solidFill>
                </w14:textFill>
              </w:rPr>
              <w:t>-2</w:t>
            </w:r>
          </w:p>
        </w:tc>
        <w:tc>
          <w:tcPr>
            <w:tcW w:w="982" w:type="dxa"/>
            <w:shd w:val="clear" w:color="auto" w:fill="auto"/>
            <w:vAlign w:val="center"/>
          </w:tcPr>
          <w:p w14:paraId="073BF5CA">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500</w:t>
            </w:r>
          </w:p>
        </w:tc>
        <w:tc>
          <w:tcPr>
            <w:tcW w:w="2167" w:type="dxa"/>
            <w:shd w:val="clear" w:color="auto" w:fill="auto"/>
            <w:vAlign w:val="center"/>
          </w:tcPr>
          <w:p w14:paraId="5450EBB7">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居民杂屋</w:t>
            </w:r>
          </w:p>
        </w:tc>
        <w:tc>
          <w:tcPr>
            <w:tcW w:w="1082" w:type="dxa"/>
            <w:shd w:val="clear" w:color="auto" w:fill="auto"/>
            <w:vAlign w:val="center"/>
          </w:tcPr>
          <w:p w14:paraId="1A7A8535">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115</w:t>
            </w:r>
          </w:p>
        </w:tc>
        <w:tc>
          <w:tcPr>
            <w:tcW w:w="1107" w:type="dxa"/>
            <w:shd w:val="clear" w:color="auto" w:fill="auto"/>
            <w:vAlign w:val="center"/>
          </w:tcPr>
          <w:p w14:paraId="29F6F784">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120</w:t>
            </w:r>
          </w:p>
        </w:tc>
      </w:tr>
      <w:tr w14:paraId="247789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01" w:type="dxa"/>
            <w:vMerge w:val="continue"/>
            <w:vAlign w:val="center"/>
          </w:tcPr>
          <w:p w14:paraId="5B22AA07">
            <w:pPr>
              <w:jc w:val="center"/>
              <w:rPr>
                <w:rFonts w:asciiTheme="minorEastAsia" w:hAnsiTheme="minorEastAsia" w:eastAsiaTheme="minorEastAsia"/>
                <w:b w:val="0"/>
                <w:bCs/>
                <w:szCs w:val="21"/>
              </w:rPr>
            </w:pPr>
          </w:p>
        </w:tc>
        <w:tc>
          <w:tcPr>
            <w:tcW w:w="2118" w:type="dxa"/>
            <w:shd w:val="clear" w:color="auto" w:fill="auto"/>
            <w:vAlign w:val="center"/>
          </w:tcPr>
          <w:p w14:paraId="73F9EFD3">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61#单基火药库（湿）</w:t>
            </w:r>
          </w:p>
        </w:tc>
        <w:tc>
          <w:tcPr>
            <w:tcW w:w="700" w:type="dxa"/>
            <w:shd w:val="clear" w:color="auto" w:fill="auto"/>
            <w:vAlign w:val="center"/>
          </w:tcPr>
          <w:p w14:paraId="6DC7C364">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1.1</w:t>
            </w:r>
            <w:r>
              <w:rPr>
                <w:rFonts w:hint="eastAsia" w:ascii="宋体" w:hAnsi="宋体"/>
                <w:b w:val="0"/>
                <w:bCs/>
                <w:color w:val="000000" w:themeColor="text1"/>
                <w:kern w:val="0"/>
                <w:szCs w:val="21"/>
                <w:vertAlign w:val="superscript"/>
                <w14:textFill>
                  <w14:solidFill>
                    <w14:schemeClr w14:val="tx1"/>
                  </w14:solidFill>
                </w14:textFill>
              </w:rPr>
              <w:t>-2</w:t>
            </w:r>
          </w:p>
        </w:tc>
        <w:tc>
          <w:tcPr>
            <w:tcW w:w="982" w:type="dxa"/>
            <w:shd w:val="clear" w:color="auto" w:fill="auto"/>
            <w:vAlign w:val="center"/>
          </w:tcPr>
          <w:p w14:paraId="0A0B4DD2">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500</w:t>
            </w:r>
          </w:p>
        </w:tc>
        <w:tc>
          <w:tcPr>
            <w:tcW w:w="2167" w:type="dxa"/>
            <w:shd w:val="clear" w:color="auto" w:fill="auto"/>
            <w:vAlign w:val="center"/>
          </w:tcPr>
          <w:p w14:paraId="71925B17">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破损建筑物</w:t>
            </w:r>
          </w:p>
        </w:tc>
        <w:tc>
          <w:tcPr>
            <w:tcW w:w="1082" w:type="dxa"/>
            <w:shd w:val="clear" w:color="auto" w:fill="auto"/>
            <w:vAlign w:val="center"/>
          </w:tcPr>
          <w:p w14:paraId="790AC240">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115</w:t>
            </w:r>
          </w:p>
        </w:tc>
        <w:tc>
          <w:tcPr>
            <w:tcW w:w="1107" w:type="dxa"/>
            <w:shd w:val="clear" w:color="auto" w:fill="auto"/>
            <w:vAlign w:val="center"/>
          </w:tcPr>
          <w:p w14:paraId="6CDB9D25">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151</w:t>
            </w:r>
          </w:p>
        </w:tc>
      </w:tr>
      <w:tr w14:paraId="64DEA4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01" w:type="dxa"/>
            <w:vMerge w:val="continue"/>
            <w:vAlign w:val="center"/>
          </w:tcPr>
          <w:p w14:paraId="15BAEE6F">
            <w:pPr>
              <w:jc w:val="center"/>
              <w:rPr>
                <w:rFonts w:asciiTheme="minorEastAsia" w:hAnsiTheme="minorEastAsia" w:eastAsiaTheme="minorEastAsia"/>
                <w:b w:val="0"/>
                <w:bCs/>
                <w:szCs w:val="21"/>
              </w:rPr>
            </w:pPr>
          </w:p>
        </w:tc>
        <w:tc>
          <w:tcPr>
            <w:tcW w:w="2118" w:type="dxa"/>
            <w:vMerge w:val="restart"/>
            <w:shd w:val="clear" w:color="auto" w:fill="auto"/>
            <w:vAlign w:val="center"/>
          </w:tcPr>
          <w:p w14:paraId="2651D6B5">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60#黑火药库</w:t>
            </w:r>
          </w:p>
        </w:tc>
        <w:tc>
          <w:tcPr>
            <w:tcW w:w="700" w:type="dxa"/>
            <w:vMerge w:val="restart"/>
            <w:shd w:val="clear" w:color="auto" w:fill="auto"/>
            <w:vAlign w:val="center"/>
          </w:tcPr>
          <w:p w14:paraId="3B8F59F8">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1.1</w:t>
            </w:r>
            <w:r>
              <w:rPr>
                <w:rFonts w:hint="eastAsia" w:ascii="宋体" w:hAnsi="宋体"/>
                <w:b w:val="0"/>
                <w:bCs/>
                <w:color w:val="000000" w:themeColor="text1"/>
                <w:kern w:val="0"/>
                <w:szCs w:val="21"/>
                <w:vertAlign w:val="superscript"/>
                <w14:textFill>
                  <w14:solidFill>
                    <w14:schemeClr w14:val="tx1"/>
                  </w14:solidFill>
                </w14:textFill>
              </w:rPr>
              <w:t>-2</w:t>
            </w:r>
          </w:p>
        </w:tc>
        <w:tc>
          <w:tcPr>
            <w:tcW w:w="982" w:type="dxa"/>
            <w:vMerge w:val="restart"/>
            <w:shd w:val="clear" w:color="auto" w:fill="auto"/>
            <w:vAlign w:val="center"/>
          </w:tcPr>
          <w:p w14:paraId="206969C1">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1000</w:t>
            </w:r>
          </w:p>
        </w:tc>
        <w:tc>
          <w:tcPr>
            <w:tcW w:w="2167" w:type="dxa"/>
            <w:shd w:val="clear" w:color="auto" w:fill="auto"/>
            <w:vAlign w:val="center"/>
          </w:tcPr>
          <w:p w14:paraId="74CDE6ED">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居民杂屋</w:t>
            </w:r>
          </w:p>
        </w:tc>
        <w:tc>
          <w:tcPr>
            <w:tcW w:w="1082" w:type="dxa"/>
            <w:shd w:val="clear" w:color="auto" w:fill="auto"/>
            <w:vAlign w:val="center"/>
          </w:tcPr>
          <w:p w14:paraId="532F23FE">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145</w:t>
            </w:r>
          </w:p>
        </w:tc>
        <w:tc>
          <w:tcPr>
            <w:tcW w:w="1107" w:type="dxa"/>
            <w:shd w:val="clear" w:color="auto" w:fill="auto"/>
            <w:vAlign w:val="center"/>
          </w:tcPr>
          <w:p w14:paraId="2D0EEB9B">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156</w:t>
            </w:r>
          </w:p>
        </w:tc>
      </w:tr>
      <w:tr w14:paraId="1ECB5E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701" w:type="dxa"/>
            <w:vMerge w:val="continue"/>
            <w:vAlign w:val="center"/>
          </w:tcPr>
          <w:p w14:paraId="7B961117">
            <w:pPr>
              <w:jc w:val="center"/>
              <w:rPr>
                <w:rFonts w:asciiTheme="minorEastAsia" w:hAnsiTheme="minorEastAsia" w:eastAsiaTheme="minorEastAsia"/>
                <w:b w:val="0"/>
                <w:bCs/>
                <w:szCs w:val="21"/>
              </w:rPr>
            </w:pPr>
          </w:p>
        </w:tc>
        <w:tc>
          <w:tcPr>
            <w:tcW w:w="2118" w:type="dxa"/>
            <w:vMerge w:val="continue"/>
            <w:shd w:val="clear" w:color="auto" w:fill="auto"/>
            <w:vAlign w:val="center"/>
          </w:tcPr>
          <w:p w14:paraId="20CD765D">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p>
        </w:tc>
        <w:tc>
          <w:tcPr>
            <w:tcW w:w="700" w:type="dxa"/>
            <w:vMerge w:val="continue"/>
            <w:shd w:val="clear" w:color="auto" w:fill="auto"/>
            <w:vAlign w:val="center"/>
          </w:tcPr>
          <w:p w14:paraId="1485C3E1">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p>
        </w:tc>
        <w:tc>
          <w:tcPr>
            <w:tcW w:w="982" w:type="dxa"/>
            <w:vMerge w:val="continue"/>
            <w:shd w:val="clear" w:color="auto" w:fill="auto"/>
            <w:vAlign w:val="center"/>
          </w:tcPr>
          <w:p w14:paraId="382E23C7">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p>
        </w:tc>
        <w:tc>
          <w:tcPr>
            <w:tcW w:w="2167" w:type="dxa"/>
            <w:shd w:val="clear" w:color="auto" w:fill="auto"/>
            <w:vAlign w:val="center"/>
          </w:tcPr>
          <w:p w14:paraId="4460BFCE">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破损建筑物</w:t>
            </w:r>
          </w:p>
        </w:tc>
        <w:tc>
          <w:tcPr>
            <w:tcW w:w="1082" w:type="dxa"/>
            <w:shd w:val="clear" w:color="auto" w:fill="auto"/>
            <w:vAlign w:val="center"/>
          </w:tcPr>
          <w:p w14:paraId="481FDFEC">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145</w:t>
            </w:r>
          </w:p>
        </w:tc>
        <w:tc>
          <w:tcPr>
            <w:tcW w:w="1107" w:type="dxa"/>
            <w:shd w:val="clear" w:color="auto" w:fill="auto"/>
            <w:vAlign w:val="center"/>
          </w:tcPr>
          <w:p w14:paraId="0E37D8CB">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163</w:t>
            </w:r>
          </w:p>
        </w:tc>
      </w:tr>
      <w:tr w14:paraId="240CB3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01" w:type="dxa"/>
            <w:vMerge w:val="continue"/>
            <w:vAlign w:val="center"/>
          </w:tcPr>
          <w:p w14:paraId="0167895E">
            <w:pPr>
              <w:jc w:val="center"/>
              <w:rPr>
                <w:rFonts w:asciiTheme="minorEastAsia" w:hAnsiTheme="minorEastAsia" w:eastAsiaTheme="minorEastAsia"/>
                <w:b w:val="0"/>
                <w:bCs/>
                <w:szCs w:val="21"/>
              </w:rPr>
            </w:pPr>
          </w:p>
        </w:tc>
        <w:tc>
          <w:tcPr>
            <w:tcW w:w="2118" w:type="dxa"/>
            <w:shd w:val="clear" w:color="auto" w:fill="auto"/>
            <w:vAlign w:val="center"/>
          </w:tcPr>
          <w:p w14:paraId="10C61806">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59#黑火药库</w:t>
            </w:r>
          </w:p>
        </w:tc>
        <w:tc>
          <w:tcPr>
            <w:tcW w:w="700" w:type="dxa"/>
            <w:shd w:val="clear" w:color="auto" w:fill="auto"/>
            <w:vAlign w:val="center"/>
          </w:tcPr>
          <w:p w14:paraId="68C51F98">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1.1</w:t>
            </w:r>
            <w:r>
              <w:rPr>
                <w:rFonts w:hint="eastAsia" w:ascii="宋体" w:hAnsi="宋体"/>
                <w:b w:val="0"/>
                <w:bCs/>
                <w:color w:val="000000" w:themeColor="text1"/>
                <w:kern w:val="0"/>
                <w:szCs w:val="21"/>
                <w:vertAlign w:val="superscript"/>
                <w14:textFill>
                  <w14:solidFill>
                    <w14:schemeClr w14:val="tx1"/>
                  </w14:solidFill>
                </w14:textFill>
              </w:rPr>
              <w:t>-2</w:t>
            </w:r>
          </w:p>
        </w:tc>
        <w:tc>
          <w:tcPr>
            <w:tcW w:w="982" w:type="dxa"/>
            <w:shd w:val="clear" w:color="auto" w:fill="auto"/>
            <w:vAlign w:val="center"/>
          </w:tcPr>
          <w:p w14:paraId="6260F96D">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1000</w:t>
            </w:r>
          </w:p>
        </w:tc>
        <w:tc>
          <w:tcPr>
            <w:tcW w:w="2167" w:type="dxa"/>
            <w:shd w:val="clear" w:color="auto" w:fill="auto"/>
            <w:vAlign w:val="center"/>
          </w:tcPr>
          <w:p w14:paraId="04D8C377">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破损建筑物</w:t>
            </w:r>
          </w:p>
        </w:tc>
        <w:tc>
          <w:tcPr>
            <w:tcW w:w="1082" w:type="dxa"/>
            <w:shd w:val="clear" w:color="auto" w:fill="auto"/>
            <w:vAlign w:val="center"/>
          </w:tcPr>
          <w:p w14:paraId="699059F3">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145</w:t>
            </w:r>
          </w:p>
        </w:tc>
        <w:tc>
          <w:tcPr>
            <w:tcW w:w="1107" w:type="dxa"/>
            <w:shd w:val="clear" w:color="auto" w:fill="auto"/>
            <w:vAlign w:val="center"/>
          </w:tcPr>
          <w:p w14:paraId="1160DD50">
            <w:pPr>
              <w:keepNext w:val="0"/>
              <w:keepLines w:val="0"/>
              <w:pageBreakBefore w:val="0"/>
              <w:kinsoku/>
              <w:wordWrap/>
              <w:overflowPunct/>
              <w:topLinePunct w:val="0"/>
              <w:autoSpaceDE/>
              <w:autoSpaceDN/>
              <w:bidi w:val="0"/>
              <w:adjustRightInd/>
              <w:snapToGrid/>
              <w:spacing w:line="340" w:lineRule="exact"/>
              <w:jc w:val="center"/>
              <w:textAlignment w:val="auto"/>
              <w:rPr>
                <w:rFonts w:ascii="宋体" w:hAnsi="宋体"/>
                <w:b w:val="0"/>
                <w:bCs/>
                <w:kern w:val="0"/>
                <w:szCs w:val="21"/>
              </w:rPr>
            </w:pPr>
            <w:r>
              <w:rPr>
                <w:rFonts w:hint="eastAsia" w:ascii="宋体" w:hAnsi="宋体"/>
                <w:b w:val="0"/>
                <w:bCs/>
                <w:kern w:val="0"/>
                <w:szCs w:val="21"/>
              </w:rPr>
              <w:t>154</w:t>
            </w:r>
          </w:p>
        </w:tc>
      </w:tr>
      <w:tr w14:paraId="3B96D6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701" w:type="dxa"/>
            <w:vMerge w:val="continue"/>
            <w:vAlign w:val="center"/>
          </w:tcPr>
          <w:p w14:paraId="0812E221">
            <w:pPr>
              <w:jc w:val="center"/>
              <w:rPr>
                <w:rFonts w:asciiTheme="minorEastAsia" w:hAnsiTheme="minorEastAsia" w:eastAsiaTheme="minorEastAsia"/>
                <w:b w:val="0"/>
                <w:bCs/>
                <w:szCs w:val="21"/>
              </w:rPr>
            </w:pPr>
          </w:p>
        </w:tc>
        <w:tc>
          <w:tcPr>
            <w:tcW w:w="2118" w:type="dxa"/>
            <w:shd w:val="clear" w:color="auto" w:fill="auto"/>
            <w:vAlign w:val="center"/>
          </w:tcPr>
          <w:p w14:paraId="138B9944">
            <w:pPr>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58#黑火药库</w:t>
            </w:r>
          </w:p>
        </w:tc>
        <w:tc>
          <w:tcPr>
            <w:tcW w:w="700" w:type="dxa"/>
            <w:shd w:val="clear" w:color="auto" w:fill="auto"/>
            <w:vAlign w:val="center"/>
          </w:tcPr>
          <w:p w14:paraId="29800326">
            <w:pPr>
              <w:widowControl/>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1.1</w:t>
            </w:r>
            <w:r>
              <w:rPr>
                <w:rFonts w:hint="eastAsia" w:ascii="宋体" w:hAnsi="宋体"/>
                <w:b w:val="0"/>
                <w:bCs/>
                <w:color w:val="000000" w:themeColor="text1"/>
                <w:kern w:val="0"/>
                <w:szCs w:val="21"/>
                <w:vertAlign w:val="superscript"/>
                <w14:textFill>
                  <w14:solidFill>
                    <w14:schemeClr w14:val="tx1"/>
                  </w14:solidFill>
                </w14:textFill>
              </w:rPr>
              <w:t>-2</w:t>
            </w:r>
          </w:p>
        </w:tc>
        <w:tc>
          <w:tcPr>
            <w:tcW w:w="982" w:type="dxa"/>
            <w:shd w:val="clear" w:color="auto" w:fill="auto"/>
            <w:vAlign w:val="center"/>
          </w:tcPr>
          <w:p w14:paraId="7B37EA59">
            <w:pPr>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1000</w:t>
            </w:r>
          </w:p>
        </w:tc>
        <w:tc>
          <w:tcPr>
            <w:tcW w:w="2167" w:type="dxa"/>
            <w:shd w:val="clear" w:color="auto" w:fill="auto"/>
            <w:vAlign w:val="center"/>
          </w:tcPr>
          <w:p w14:paraId="4898F630">
            <w:pPr>
              <w:jc w:val="center"/>
              <w:rPr>
                <w:rFonts w:ascii="宋体" w:hAnsi="宋体"/>
                <w:b w:val="0"/>
                <w:bCs/>
                <w:kern w:val="0"/>
                <w:szCs w:val="21"/>
              </w:rPr>
            </w:pPr>
            <w:r>
              <w:rPr>
                <w:rFonts w:hint="eastAsia" w:ascii="宋体" w:hAnsi="宋体"/>
                <w:b w:val="0"/>
                <w:bCs/>
                <w:kern w:val="0"/>
                <w:szCs w:val="21"/>
              </w:rPr>
              <w:t>破损建筑物</w:t>
            </w:r>
          </w:p>
        </w:tc>
        <w:tc>
          <w:tcPr>
            <w:tcW w:w="1082" w:type="dxa"/>
            <w:shd w:val="clear" w:color="auto" w:fill="auto"/>
            <w:vAlign w:val="center"/>
          </w:tcPr>
          <w:p w14:paraId="1792365B">
            <w:pPr>
              <w:jc w:val="center"/>
              <w:rPr>
                <w:rFonts w:ascii="宋体" w:hAnsi="宋体"/>
                <w:b w:val="0"/>
                <w:bCs/>
                <w:kern w:val="0"/>
                <w:szCs w:val="21"/>
              </w:rPr>
            </w:pPr>
            <w:r>
              <w:rPr>
                <w:rFonts w:hint="eastAsia" w:ascii="宋体" w:hAnsi="宋体"/>
                <w:b w:val="0"/>
                <w:bCs/>
                <w:kern w:val="0"/>
                <w:szCs w:val="21"/>
              </w:rPr>
              <w:t>145</w:t>
            </w:r>
            <w:r>
              <w:rPr>
                <w:rFonts w:ascii="Arial" w:hAnsi="Arial" w:cs="Arial"/>
                <w:b w:val="0"/>
                <w:bCs/>
                <w:kern w:val="0"/>
                <w:szCs w:val="21"/>
              </w:rPr>
              <w:t>×</w:t>
            </w:r>
            <w:r>
              <w:rPr>
                <w:rFonts w:hint="eastAsia" w:ascii="宋体" w:hAnsi="宋体"/>
                <w:b w:val="0"/>
                <w:bCs/>
                <w:kern w:val="0"/>
                <w:szCs w:val="21"/>
              </w:rPr>
              <w:t>75%</w:t>
            </w:r>
            <w:r>
              <w:rPr>
                <w:rFonts w:hint="eastAsia" w:ascii="微软雅黑" w:hAnsi="微软雅黑" w:eastAsia="微软雅黑" w:cs="微软雅黑"/>
                <w:b w:val="0"/>
                <w:bCs/>
                <w:kern w:val="0"/>
                <w:szCs w:val="21"/>
              </w:rPr>
              <w:t>=</w:t>
            </w:r>
            <w:r>
              <w:rPr>
                <w:rFonts w:hint="eastAsia" w:ascii="宋体" w:hAnsi="宋体"/>
                <w:b w:val="0"/>
                <w:bCs/>
                <w:spacing w:val="-11"/>
                <w:kern w:val="0"/>
                <w:szCs w:val="21"/>
              </w:rPr>
              <w:t>108.75</w:t>
            </w:r>
          </w:p>
        </w:tc>
        <w:tc>
          <w:tcPr>
            <w:tcW w:w="1107" w:type="dxa"/>
            <w:shd w:val="clear" w:color="auto" w:fill="auto"/>
            <w:vAlign w:val="center"/>
          </w:tcPr>
          <w:p w14:paraId="0CE4F012">
            <w:pPr>
              <w:jc w:val="center"/>
              <w:rPr>
                <w:rFonts w:ascii="宋体" w:hAnsi="宋体"/>
                <w:b w:val="0"/>
                <w:bCs/>
                <w:kern w:val="0"/>
                <w:szCs w:val="21"/>
              </w:rPr>
            </w:pPr>
            <w:r>
              <w:rPr>
                <w:rFonts w:hint="eastAsia" w:ascii="宋体" w:hAnsi="宋体"/>
                <w:b w:val="0"/>
                <w:bCs/>
                <w:kern w:val="0"/>
                <w:szCs w:val="21"/>
              </w:rPr>
              <w:t>129</w:t>
            </w:r>
          </w:p>
        </w:tc>
      </w:tr>
      <w:tr w14:paraId="27EC05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701" w:type="dxa"/>
            <w:vMerge w:val="continue"/>
            <w:vAlign w:val="center"/>
          </w:tcPr>
          <w:p w14:paraId="398C4ED7">
            <w:pPr>
              <w:jc w:val="center"/>
              <w:rPr>
                <w:rFonts w:asciiTheme="minorEastAsia" w:hAnsiTheme="minorEastAsia" w:eastAsiaTheme="minorEastAsia"/>
                <w:b w:val="0"/>
                <w:bCs/>
                <w:szCs w:val="21"/>
              </w:rPr>
            </w:pPr>
          </w:p>
        </w:tc>
        <w:tc>
          <w:tcPr>
            <w:tcW w:w="2118" w:type="dxa"/>
            <w:vMerge w:val="restart"/>
            <w:shd w:val="clear" w:color="auto" w:fill="auto"/>
            <w:vAlign w:val="center"/>
          </w:tcPr>
          <w:p w14:paraId="362A6FD7">
            <w:pPr>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57#亮珠库</w:t>
            </w:r>
          </w:p>
        </w:tc>
        <w:tc>
          <w:tcPr>
            <w:tcW w:w="700" w:type="dxa"/>
            <w:vMerge w:val="restart"/>
            <w:shd w:val="clear" w:color="auto" w:fill="auto"/>
            <w:vAlign w:val="center"/>
          </w:tcPr>
          <w:p w14:paraId="03E92C59">
            <w:pPr>
              <w:widowControl/>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vertAlign w:val="superscript"/>
                <w14:textFill>
                  <w14:solidFill>
                    <w14:schemeClr w14:val="tx1"/>
                  </w14:solidFill>
                </w14:textFill>
              </w:rPr>
              <w:t>-</w:t>
            </w:r>
            <w:r>
              <w:rPr>
                <w:rFonts w:hint="eastAsia" w:ascii="宋体" w:hAnsi="宋体"/>
                <w:b w:val="0"/>
                <w:bCs/>
                <w:color w:val="000000" w:themeColor="text1"/>
                <w:kern w:val="0"/>
                <w:szCs w:val="21"/>
                <w:vertAlign w:val="superscript"/>
                <w14:textFill>
                  <w14:solidFill>
                    <w14:schemeClr w14:val="tx1"/>
                  </w14:solidFill>
                </w14:textFill>
              </w:rPr>
              <w:t>1</w:t>
            </w:r>
          </w:p>
        </w:tc>
        <w:tc>
          <w:tcPr>
            <w:tcW w:w="982" w:type="dxa"/>
            <w:vMerge w:val="restart"/>
            <w:shd w:val="clear" w:color="auto" w:fill="auto"/>
            <w:vAlign w:val="center"/>
          </w:tcPr>
          <w:p w14:paraId="54E569BA">
            <w:pPr>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1000</w:t>
            </w:r>
          </w:p>
        </w:tc>
        <w:tc>
          <w:tcPr>
            <w:tcW w:w="2167" w:type="dxa"/>
            <w:shd w:val="clear" w:color="auto" w:fill="auto"/>
            <w:vAlign w:val="center"/>
          </w:tcPr>
          <w:p w14:paraId="0C4F2076">
            <w:pPr>
              <w:jc w:val="center"/>
              <w:rPr>
                <w:rFonts w:ascii="宋体" w:hAnsi="宋体"/>
                <w:b w:val="0"/>
                <w:bCs/>
                <w:kern w:val="0"/>
                <w:szCs w:val="21"/>
              </w:rPr>
            </w:pPr>
            <w:r>
              <w:rPr>
                <w:rFonts w:hint="eastAsia" w:ascii="宋体" w:hAnsi="宋体"/>
                <w:b w:val="0"/>
                <w:bCs/>
                <w:kern w:val="0"/>
                <w:szCs w:val="21"/>
              </w:rPr>
              <w:t>破损建筑物</w:t>
            </w:r>
          </w:p>
        </w:tc>
        <w:tc>
          <w:tcPr>
            <w:tcW w:w="1082" w:type="dxa"/>
            <w:shd w:val="clear" w:color="auto" w:fill="auto"/>
            <w:vAlign w:val="center"/>
          </w:tcPr>
          <w:p w14:paraId="056805C8">
            <w:pPr>
              <w:jc w:val="center"/>
              <w:rPr>
                <w:rFonts w:ascii="宋体" w:hAnsi="宋体"/>
                <w:b w:val="0"/>
                <w:bCs/>
                <w:kern w:val="0"/>
                <w:szCs w:val="21"/>
              </w:rPr>
            </w:pPr>
            <w:r>
              <w:rPr>
                <w:rFonts w:hint="eastAsia" w:ascii="宋体" w:hAnsi="宋体"/>
                <w:b w:val="0"/>
                <w:bCs/>
                <w:kern w:val="0"/>
                <w:szCs w:val="21"/>
              </w:rPr>
              <w:t>145</w:t>
            </w:r>
            <w:r>
              <w:rPr>
                <w:rFonts w:ascii="Arial" w:hAnsi="Arial" w:cs="Arial"/>
                <w:b w:val="0"/>
                <w:bCs/>
                <w:kern w:val="0"/>
                <w:szCs w:val="21"/>
              </w:rPr>
              <w:t>×</w:t>
            </w:r>
            <w:r>
              <w:rPr>
                <w:rFonts w:hint="eastAsia" w:ascii="宋体" w:hAnsi="宋体"/>
                <w:b w:val="0"/>
                <w:bCs/>
                <w:kern w:val="0"/>
                <w:szCs w:val="21"/>
              </w:rPr>
              <w:t>75%</w:t>
            </w:r>
            <w:r>
              <w:rPr>
                <w:rFonts w:hint="eastAsia" w:ascii="微软雅黑" w:hAnsi="微软雅黑" w:eastAsia="微软雅黑" w:cs="微软雅黑"/>
                <w:b w:val="0"/>
                <w:bCs/>
                <w:kern w:val="0"/>
                <w:szCs w:val="21"/>
              </w:rPr>
              <w:t>=</w:t>
            </w:r>
            <w:r>
              <w:rPr>
                <w:rFonts w:hint="eastAsia" w:ascii="宋体" w:hAnsi="宋体"/>
                <w:b w:val="0"/>
                <w:bCs/>
                <w:spacing w:val="-11"/>
                <w:kern w:val="0"/>
                <w:szCs w:val="21"/>
              </w:rPr>
              <w:t>108.75</w:t>
            </w:r>
          </w:p>
        </w:tc>
        <w:tc>
          <w:tcPr>
            <w:tcW w:w="1107" w:type="dxa"/>
            <w:shd w:val="clear" w:color="auto" w:fill="auto"/>
            <w:vAlign w:val="center"/>
          </w:tcPr>
          <w:p w14:paraId="45131B4A">
            <w:pPr>
              <w:jc w:val="center"/>
              <w:rPr>
                <w:rFonts w:ascii="宋体" w:hAnsi="宋体"/>
                <w:b w:val="0"/>
                <w:bCs/>
                <w:kern w:val="0"/>
                <w:szCs w:val="21"/>
              </w:rPr>
            </w:pPr>
            <w:r>
              <w:rPr>
                <w:rFonts w:hint="eastAsia" w:ascii="宋体" w:hAnsi="宋体"/>
                <w:b w:val="0"/>
                <w:bCs/>
                <w:kern w:val="0"/>
                <w:szCs w:val="21"/>
              </w:rPr>
              <w:t>131</w:t>
            </w:r>
          </w:p>
        </w:tc>
      </w:tr>
      <w:tr w14:paraId="1D00D8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701" w:type="dxa"/>
            <w:vMerge w:val="continue"/>
            <w:vAlign w:val="center"/>
          </w:tcPr>
          <w:p w14:paraId="41F3EACF">
            <w:pPr>
              <w:jc w:val="center"/>
              <w:rPr>
                <w:rFonts w:asciiTheme="minorEastAsia" w:hAnsiTheme="minorEastAsia" w:eastAsiaTheme="minorEastAsia"/>
                <w:b w:val="0"/>
                <w:bCs/>
                <w:szCs w:val="21"/>
              </w:rPr>
            </w:pPr>
          </w:p>
        </w:tc>
        <w:tc>
          <w:tcPr>
            <w:tcW w:w="2118" w:type="dxa"/>
            <w:vMerge w:val="continue"/>
            <w:shd w:val="clear" w:color="auto" w:fill="auto"/>
            <w:vAlign w:val="center"/>
          </w:tcPr>
          <w:p w14:paraId="684181BE">
            <w:pPr>
              <w:jc w:val="center"/>
              <w:rPr>
                <w:rFonts w:ascii="宋体" w:hAnsi="宋体"/>
                <w:b w:val="0"/>
                <w:bCs/>
                <w:color w:val="000000" w:themeColor="text1"/>
                <w:kern w:val="0"/>
                <w:szCs w:val="21"/>
                <w14:textFill>
                  <w14:solidFill>
                    <w14:schemeClr w14:val="tx1"/>
                  </w14:solidFill>
                </w14:textFill>
              </w:rPr>
            </w:pPr>
          </w:p>
        </w:tc>
        <w:tc>
          <w:tcPr>
            <w:tcW w:w="700" w:type="dxa"/>
            <w:vMerge w:val="continue"/>
            <w:shd w:val="clear" w:color="auto" w:fill="auto"/>
            <w:vAlign w:val="center"/>
          </w:tcPr>
          <w:p w14:paraId="3F652F5A">
            <w:pPr>
              <w:widowControl/>
              <w:jc w:val="center"/>
              <w:rPr>
                <w:rFonts w:ascii="宋体" w:hAnsi="宋体"/>
                <w:b w:val="0"/>
                <w:bCs/>
                <w:color w:val="000000" w:themeColor="text1"/>
                <w:kern w:val="0"/>
                <w:szCs w:val="21"/>
                <w14:textFill>
                  <w14:solidFill>
                    <w14:schemeClr w14:val="tx1"/>
                  </w14:solidFill>
                </w14:textFill>
              </w:rPr>
            </w:pPr>
          </w:p>
        </w:tc>
        <w:tc>
          <w:tcPr>
            <w:tcW w:w="982" w:type="dxa"/>
            <w:vMerge w:val="continue"/>
            <w:shd w:val="clear" w:color="auto" w:fill="auto"/>
            <w:vAlign w:val="center"/>
          </w:tcPr>
          <w:p w14:paraId="3029B8C6">
            <w:pPr>
              <w:jc w:val="center"/>
              <w:rPr>
                <w:rFonts w:ascii="宋体" w:hAnsi="宋体"/>
                <w:b w:val="0"/>
                <w:bCs/>
                <w:color w:val="000000" w:themeColor="text1"/>
                <w:kern w:val="0"/>
                <w:szCs w:val="21"/>
                <w14:textFill>
                  <w14:solidFill>
                    <w14:schemeClr w14:val="tx1"/>
                  </w14:solidFill>
                </w14:textFill>
              </w:rPr>
            </w:pPr>
          </w:p>
        </w:tc>
        <w:tc>
          <w:tcPr>
            <w:tcW w:w="2167" w:type="dxa"/>
            <w:shd w:val="clear" w:color="auto" w:fill="auto"/>
            <w:vAlign w:val="center"/>
          </w:tcPr>
          <w:p w14:paraId="4D4C3201">
            <w:pPr>
              <w:jc w:val="center"/>
              <w:rPr>
                <w:rFonts w:ascii="宋体" w:hAnsi="宋体"/>
                <w:b w:val="0"/>
                <w:bCs/>
                <w:kern w:val="0"/>
                <w:szCs w:val="21"/>
              </w:rPr>
            </w:pPr>
            <w:r>
              <w:rPr>
                <w:rFonts w:hint="eastAsia" w:ascii="宋体" w:hAnsi="宋体"/>
                <w:b w:val="0"/>
                <w:bCs/>
                <w:spacing w:val="-11"/>
                <w:kern w:val="0"/>
                <w:szCs w:val="21"/>
              </w:rPr>
              <w:t>浏阳市文龙鞭炮烟花烟制造有限公司装药线围墙（人数大于5</w:t>
            </w:r>
            <w:r>
              <w:rPr>
                <w:rFonts w:ascii="宋体" w:hAnsi="宋体"/>
                <w:b w:val="0"/>
                <w:bCs/>
                <w:spacing w:val="-11"/>
                <w:kern w:val="0"/>
                <w:szCs w:val="21"/>
              </w:rPr>
              <w:t>0</w:t>
            </w:r>
            <w:r>
              <w:rPr>
                <w:rFonts w:hint="eastAsia" w:ascii="宋体" w:hAnsi="宋体"/>
                <w:b w:val="0"/>
                <w:bCs/>
                <w:spacing w:val="-11"/>
                <w:kern w:val="0"/>
                <w:szCs w:val="21"/>
              </w:rPr>
              <w:t>人）</w:t>
            </w:r>
          </w:p>
        </w:tc>
        <w:tc>
          <w:tcPr>
            <w:tcW w:w="1082" w:type="dxa"/>
            <w:shd w:val="clear" w:color="auto" w:fill="auto"/>
            <w:vAlign w:val="center"/>
          </w:tcPr>
          <w:p w14:paraId="7F7FFAA7">
            <w:pPr>
              <w:jc w:val="center"/>
              <w:rPr>
                <w:rFonts w:ascii="宋体" w:hAnsi="宋体"/>
                <w:b w:val="0"/>
                <w:bCs/>
                <w:kern w:val="0"/>
                <w:szCs w:val="21"/>
              </w:rPr>
            </w:pPr>
            <w:r>
              <w:rPr>
                <w:rFonts w:hint="eastAsia" w:ascii="宋体" w:hAnsi="宋体"/>
                <w:b w:val="0"/>
                <w:bCs/>
                <w:kern w:val="0"/>
                <w:szCs w:val="21"/>
              </w:rPr>
              <w:t>200</w:t>
            </w:r>
          </w:p>
        </w:tc>
        <w:tc>
          <w:tcPr>
            <w:tcW w:w="1107" w:type="dxa"/>
            <w:shd w:val="clear" w:color="auto" w:fill="auto"/>
            <w:vAlign w:val="center"/>
          </w:tcPr>
          <w:p w14:paraId="3F4C965E">
            <w:pPr>
              <w:jc w:val="center"/>
              <w:rPr>
                <w:rFonts w:ascii="宋体" w:hAnsi="宋体"/>
                <w:b w:val="0"/>
                <w:bCs/>
                <w:kern w:val="0"/>
                <w:szCs w:val="21"/>
              </w:rPr>
            </w:pPr>
            <w:r>
              <w:rPr>
                <w:rFonts w:hint="eastAsia" w:ascii="宋体" w:hAnsi="宋体"/>
                <w:b w:val="0"/>
                <w:bCs/>
                <w:kern w:val="0"/>
                <w:szCs w:val="21"/>
              </w:rPr>
              <w:t>208</w:t>
            </w:r>
          </w:p>
        </w:tc>
      </w:tr>
      <w:tr w14:paraId="510BA5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01" w:type="dxa"/>
            <w:vMerge w:val="continue"/>
            <w:vAlign w:val="center"/>
          </w:tcPr>
          <w:p w14:paraId="3B1D52A7">
            <w:pPr>
              <w:jc w:val="center"/>
              <w:rPr>
                <w:rFonts w:asciiTheme="minorEastAsia" w:hAnsiTheme="minorEastAsia" w:eastAsiaTheme="minorEastAsia"/>
                <w:b w:val="0"/>
                <w:bCs/>
                <w:szCs w:val="21"/>
              </w:rPr>
            </w:pPr>
          </w:p>
        </w:tc>
        <w:tc>
          <w:tcPr>
            <w:tcW w:w="2118" w:type="dxa"/>
            <w:vMerge w:val="restart"/>
            <w:shd w:val="clear" w:color="auto" w:fill="auto"/>
            <w:vAlign w:val="center"/>
          </w:tcPr>
          <w:p w14:paraId="19ECEBA2">
            <w:pPr>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56#亮珠库</w:t>
            </w:r>
          </w:p>
        </w:tc>
        <w:tc>
          <w:tcPr>
            <w:tcW w:w="700" w:type="dxa"/>
            <w:vMerge w:val="restart"/>
            <w:shd w:val="clear" w:color="auto" w:fill="auto"/>
            <w:vAlign w:val="center"/>
          </w:tcPr>
          <w:p w14:paraId="66AD6274">
            <w:pPr>
              <w:widowControl/>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vertAlign w:val="superscript"/>
                <w14:textFill>
                  <w14:solidFill>
                    <w14:schemeClr w14:val="tx1"/>
                  </w14:solidFill>
                </w14:textFill>
              </w:rPr>
              <w:t>-</w:t>
            </w:r>
            <w:r>
              <w:rPr>
                <w:rFonts w:hint="eastAsia" w:ascii="宋体" w:hAnsi="宋体"/>
                <w:b w:val="0"/>
                <w:bCs/>
                <w:color w:val="000000" w:themeColor="text1"/>
                <w:kern w:val="0"/>
                <w:szCs w:val="21"/>
                <w:vertAlign w:val="superscript"/>
                <w14:textFill>
                  <w14:solidFill>
                    <w14:schemeClr w14:val="tx1"/>
                  </w14:solidFill>
                </w14:textFill>
              </w:rPr>
              <w:t>1</w:t>
            </w:r>
          </w:p>
        </w:tc>
        <w:tc>
          <w:tcPr>
            <w:tcW w:w="982" w:type="dxa"/>
            <w:vMerge w:val="restart"/>
            <w:shd w:val="clear" w:color="auto" w:fill="auto"/>
            <w:vAlign w:val="center"/>
          </w:tcPr>
          <w:p w14:paraId="2D05AD0C">
            <w:pPr>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500</w:t>
            </w:r>
          </w:p>
        </w:tc>
        <w:tc>
          <w:tcPr>
            <w:tcW w:w="2167" w:type="dxa"/>
            <w:shd w:val="clear" w:color="auto" w:fill="auto"/>
            <w:vAlign w:val="center"/>
          </w:tcPr>
          <w:p w14:paraId="1C1CF339">
            <w:pPr>
              <w:jc w:val="center"/>
              <w:rPr>
                <w:rFonts w:ascii="宋体" w:hAnsi="宋体"/>
                <w:b w:val="0"/>
                <w:bCs/>
                <w:kern w:val="0"/>
                <w:szCs w:val="21"/>
              </w:rPr>
            </w:pPr>
            <w:r>
              <w:rPr>
                <w:rFonts w:hint="eastAsia" w:ascii="宋体" w:hAnsi="宋体"/>
                <w:b w:val="0"/>
                <w:bCs/>
                <w:kern w:val="0"/>
                <w:szCs w:val="21"/>
              </w:rPr>
              <w:t>破损建筑物</w:t>
            </w:r>
          </w:p>
        </w:tc>
        <w:tc>
          <w:tcPr>
            <w:tcW w:w="1082" w:type="dxa"/>
            <w:shd w:val="clear" w:color="auto" w:fill="auto"/>
            <w:vAlign w:val="center"/>
          </w:tcPr>
          <w:p w14:paraId="3DD30BCB">
            <w:pPr>
              <w:jc w:val="center"/>
              <w:rPr>
                <w:rFonts w:ascii="宋体" w:hAnsi="宋体"/>
                <w:b w:val="0"/>
                <w:bCs/>
                <w:kern w:val="0"/>
                <w:szCs w:val="21"/>
              </w:rPr>
            </w:pPr>
            <w:r>
              <w:rPr>
                <w:rFonts w:hint="eastAsia" w:ascii="宋体" w:hAnsi="宋体"/>
                <w:b w:val="0"/>
                <w:bCs/>
                <w:kern w:val="0"/>
                <w:szCs w:val="21"/>
              </w:rPr>
              <w:t>115</w:t>
            </w:r>
          </w:p>
        </w:tc>
        <w:tc>
          <w:tcPr>
            <w:tcW w:w="1107" w:type="dxa"/>
            <w:shd w:val="clear" w:color="auto" w:fill="auto"/>
            <w:vAlign w:val="center"/>
          </w:tcPr>
          <w:p w14:paraId="5B273E42">
            <w:pPr>
              <w:jc w:val="center"/>
              <w:rPr>
                <w:rFonts w:ascii="宋体" w:hAnsi="宋体"/>
                <w:b w:val="0"/>
                <w:bCs/>
                <w:kern w:val="0"/>
                <w:szCs w:val="21"/>
              </w:rPr>
            </w:pPr>
            <w:r>
              <w:rPr>
                <w:rFonts w:hint="eastAsia" w:ascii="宋体" w:hAnsi="宋体"/>
                <w:b w:val="0"/>
                <w:bCs/>
                <w:kern w:val="0"/>
                <w:szCs w:val="21"/>
              </w:rPr>
              <w:t>127</w:t>
            </w:r>
          </w:p>
        </w:tc>
      </w:tr>
      <w:tr w14:paraId="3681FF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701" w:type="dxa"/>
            <w:vMerge w:val="continue"/>
            <w:vAlign w:val="center"/>
          </w:tcPr>
          <w:p w14:paraId="29B7014B">
            <w:pPr>
              <w:jc w:val="center"/>
              <w:rPr>
                <w:rFonts w:asciiTheme="minorEastAsia" w:hAnsiTheme="minorEastAsia" w:eastAsiaTheme="minorEastAsia"/>
                <w:b w:val="0"/>
                <w:bCs/>
                <w:szCs w:val="21"/>
              </w:rPr>
            </w:pPr>
          </w:p>
        </w:tc>
        <w:tc>
          <w:tcPr>
            <w:tcW w:w="2118" w:type="dxa"/>
            <w:vMerge w:val="continue"/>
            <w:shd w:val="clear" w:color="auto" w:fill="auto"/>
            <w:vAlign w:val="center"/>
          </w:tcPr>
          <w:p w14:paraId="36F69A59">
            <w:pPr>
              <w:jc w:val="center"/>
              <w:rPr>
                <w:rFonts w:ascii="宋体" w:hAnsi="宋体"/>
                <w:b w:val="0"/>
                <w:bCs/>
                <w:color w:val="000000" w:themeColor="text1"/>
                <w:kern w:val="0"/>
                <w:szCs w:val="21"/>
                <w14:textFill>
                  <w14:solidFill>
                    <w14:schemeClr w14:val="tx1"/>
                  </w14:solidFill>
                </w14:textFill>
              </w:rPr>
            </w:pPr>
          </w:p>
        </w:tc>
        <w:tc>
          <w:tcPr>
            <w:tcW w:w="700" w:type="dxa"/>
            <w:vMerge w:val="continue"/>
            <w:shd w:val="clear" w:color="auto" w:fill="auto"/>
            <w:vAlign w:val="center"/>
          </w:tcPr>
          <w:p w14:paraId="46E87EB1">
            <w:pPr>
              <w:widowControl/>
              <w:jc w:val="center"/>
              <w:rPr>
                <w:rFonts w:ascii="宋体" w:hAnsi="宋体"/>
                <w:b w:val="0"/>
                <w:bCs/>
                <w:color w:val="000000" w:themeColor="text1"/>
                <w:kern w:val="0"/>
                <w:szCs w:val="21"/>
                <w14:textFill>
                  <w14:solidFill>
                    <w14:schemeClr w14:val="tx1"/>
                  </w14:solidFill>
                </w14:textFill>
              </w:rPr>
            </w:pPr>
          </w:p>
        </w:tc>
        <w:tc>
          <w:tcPr>
            <w:tcW w:w="982" w:type="dxa"/>
            <w:vMerge w:val="continue"/>
            <w:shd w:val="clear" w:color="auto" w:fill="auto"/>
            <w:vAlign w:val="center"/>
          </w:tcPr>
          <w:p w14:paraId="36FADBBD">
            <w:pPr>
              <w:jc w:val="center"/>
              <w:rPr>
                <w:rFonts w:ascii="宋体" w:hAnsi="宋体"/>
                <w:b w:val="0"/>
                <w:bCs/>
                <w:color w:val="000000" w:themeColor="text1"/>
                <w:kern w:val="0"/>
                <w:szCs w:val="21"/>
                <w14:textFill>
                  <w14:solidFill>
                    <w14:schemeClr w14:val="tx1"/>
                  </w14:solidFill>
                </w14:textFill>
              </w:rPr>
            </w:pPr>
          </w:p>
        </w:tc>
        <w:tc>
          <w:tcPr>
            <w:tcW w:w="2167" w:type="dxa"/>
            <w:shd w:val="clear" w:color="auto" w:fill="auto"/>
            <w:vAlign w:val="center"/>
          </w:tcPr>
          <w:p w14:paraId="68067E1A">
            <w:pPr>
              <w:jc w:val="center"/>
              <w:rPr>
                <w:rFonts w:ascii="宋体" w:hAnsi="宋体"/>
                <w:b w:val="0"/>
                <w:bCs/>
                <w:spacing w:val="-11"/>
                <w:kern w:val="0"/>
                <w:szCs w:val="21"/>
              </w:rPr>
            </w:pPr>
            <w:r>
              <w:rPr>
                <w:rFonts w:hint="eastAsia" w:ascii="宋体" w:hAnsi="宋体"/>
                <w:b w:val="0"/>
                <w:bCs/>
                <w:spacing w:val="-11"/>
                <w:kern w:val="0"/>
                <w:szCs w:val="21"/>
              </w:rPr>
              <w:t>浏阳市文龙鞭炮烟花烟制造有限公司装药线围墙（人数大于50人）</w:t>
            </w:r>
          </w:p>
        </w:tc>
        <w:tc>
          <w:tcPr>
            <w:tcW w:w="1082" w:type="dxa"/>
            <w:shd w:val="clear" w:color="auto" w:fill="auto"/>
            <w:vAlign w:val="center"/>
          </w:tcPr>
          <w:p w14:paraId="5222C213">
            <w:pPr>
              <w:jc w:val="center"/>
              <w:rPr>
                <w:rFonts w:ascii="宋体" w:hAnsi="宋体"/>
                <w:b w:val="0"/>
                <w:bCs/>
                <w:kern w:val="0"/>
                <w:szCs w:val="21"/>
              </w:rPr>
            </w:pPr>
            <w:r>
              <w:rPr>
                <w:rFonts w:hint="eastAsia" w:ascii="宋体" w:hAnsi="宋体"/>
                <w:b w:val="0"/>
                <w:bCs/>
                <w:kern w:val="0"/>
                <w:szCs w:val="21"/>
              </w:rPr>
              <w:t>200</w:t>
            </w:r>
            <w:r>
              <w:rPr>
                <w:rFonts w:ascii="Arial" w:hAnsi="Arial" w:cs="Arial"/>
                <w:b w:val="0"/>
                <w:bCs/>
                <w:kern w:val="0"/>
                <w:szCs w:val="21"/>
              </w:rPr>
              <w:t>×</w:t>
            </w:r>
            <w:r>
              <w:rPr>
                <w:rFonts w:hint="eastAsia" w:ascii="宋体" w:hAnsi="宋体"/>
                <w:b w:val="0"/>
                <w:bCs/>
                <w:kern w:val="0"/>
                <w:szCs w:val="21"/>
              </w:rPr>
              <w:t>75%</w:t>
            </w:r>
            <w:r>
              <w:rPr>
                <w:rFonts w:hint="eastAsia" w:ascii="微软雅黑" w:hAnsi="微软雅黑" w:eastAsia="微软雅黑" w:cs="微软雅黑"/>
                <w:b w:val="0"/>
                <w:bCs/>
                <w:kern w:val="0"/>
                <w:szCs w:val="21"/>
              </w:rPr>
              <w:t>=</w:t>
            </w:r>
            <w:r>
              <w:rPr>
                <w:rFonts w:hint="eastAsia" w:ascii="宋体" w:hAnsi="宋体"/>
                <w:b w:val="0"/>
                <w:bCs/>
                <w:kern w:val="0"/>
                <w:szCs w:val="21"/>
              </w:rPr>
              <w:t>150</w:t>
            </w:r>
          </w:p>
        </w:tc>
        <w:tc>
          <w:tcPr>
            <w:tcW w:w="1107" w:type="dxa"/>
            <w:shd w:val="clear" w:color="auto" w:fill="auto"/>
            <w:vAlign w:val="center"/>
          </w:tcPr>
          <w:p w14:paraId="4C4817D7">
            <w:pPr>
              <w:jc w:val="center"/>
              <w:rPr>
                <w:rFonts w:ascii="宋体" w:hAnsi="宋体"/>
                <w:b w:val="0"/>
                <w:bCs/>
                <w:kern w:val="0"/>
                <w:szCs w:val="21"/>
              </w:rPr>
            </w:pPr>
            <w:r>
              <w:rPr>
                <w:rFonts w:hint="eastAsia" w:ascii="宋体" w:hAnsi="宋体"/>
                <w:b w:val="0"/>
                <w:bCs/>
                <w:kern w:val="0"/>
                <w:szCs w:val="21"/>
              </w:rPr>
              <w:t>192</w:t>
            </w:r>
          </w:p>
        </w:tc>
      </w:tr>
      <w:tr w14:paraId="3FEB45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701" w:type="dxa"/>
            <w:vMerge w:val="continue"/>
            <w:vAlign w:val="center"/>
          </w:tcPr>
          <w:p w14:paraId="320452D4">
            <w:pPr>
              <w:jc w:val="center"/>
              <w:rPr>
                <w:rFonts w:asciiTheme="minorEastAsia" w:hAnsiTheme="minorEastAsia" w:eastAsiaTheme="minorEastAsia"/>
                <w:b w:val="0"/>
                <w:bCs/>
                <w:szCs w:val="21"/>
              </w:rPr>
            </w:pPr>
          </w:p>
        </w:tc>
        <w:tc>
          <w:tcPr>
            <w:tcW w:w="2118" w:type="dxa"/>
            <w:shd w:val="clear" w:color="auto" w:fill="auto"/>
            <w:vAlign w:val="center"/>
          </w:tcPr>
          <w:p w14:paraId="33B1D5C4">
            <w:pPr>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55#亮珠库</w:t>
            </w:r>
          </w:p>
        </w:tc>
        <w:tc>
          <w:tcPr>
            <w:tcW w:w="700" w:type="dxa"/>
            <w:shd w:val="clear" w:color="auto" w:fill="auto"/>
            <w:vAlign w:val="center"/>
          </w:tcPr>
          <w:p w14:paraId="47953D44">
            <w:pPr>
              <w:widowControl/>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vertAlign w:val="superscript"/>
                <w14:textFill>
                  <w14:solidFill>
                    <w14:schemeClr w14:val="tx1"/>
                  </w14:solidFill>
                </w14:textFill>
              </w:rPr>
              <w:t>-</w:t>
            </w:r>
            <w:r>
              <w:rPr>
                <w:rFonts w:hint="eastAsia" w:ascii="宋体" w:hAnsi="宋体"/>
                <w:b w:val="0"/>
                <w:bCs/>
                <w:color w:val="000000" w:themeColor="text1"/>
                <w:kern w:val="0"/>
                <w:szCs w:val="21"/>
                <w:vertAlign w:val="superscript"/>
                <w14:textFill>
                  <w14:solidFill>
                    <w14:schemeClr w14:val="tx1"/>
                  </w14:solidFill>
                </w14:textFill>
              </w:rPr>
              <w:t>1</w:t>
            </w:r>
          </w:p>
        </w:tc>
        <w:tc>
          <w:tcPr>
            <w:tcW w:w="982" w:type="dxa"/>
            <w:shd w:val="clear" w:color="auto" w:fill="auto"/>
            <w:vAlign w:val="center"/>
          </w:tcPr>
          <w:p w14:paraId="7B4B7827">
            <w:pPr>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1000</w:t>
            </w:r>
          </w:p>
        </w:tc>
        <w:tc>
          <w:tcPr>
            <w:tcW w:w="2167" w:type="dxa"/>
            <w:shd w:val="clear" w:color="auto" w:fill="auto"/>
            <w:vAlign w:val="center"/>
          </w:tcPr>
          <w:p w14:paraId="2F71AF51">
            <w:pPr>
              <w:jc w:val="center"/>
              <w:rPr>
                <w:rFonts w:ascii="宋体" w:hAnsi="宋体"/>
                <w:b w:val="0"/>
                <w:bCs/>
                <w:spacing w:val="-11"/>
                <w:kern w:val="0"/>
                <w:szCs w:val="21"/>
              </w:rPr>
            </w:pPr>
            <w:r>
              <w:rPr>
                <w:rFonts w:hint="eastAsia" w:ascii="宋体" w:hAnsi="宋体"/>
                <w:b w:val="0"/>
                <w:bCs/>
                <w:spacing w:val="-11"/>
                <w:kern w:val="0"/>
                <w:szCs w:val="21"/>
              </w:rPr>
              <w:t>浏阳市文龙鞭炮烟花烟制造有限公司装药线围墙（人数大于50人）</w:t>
            </w:r>
          </w:p>
        </w:tc>
        <w:tc>
          <w:tcPr>
            <w:tcW w:w="1082" w:type="dxa"/>
            <w:shd w:val="clear" w:color="auto" w:fill="auto"/>
            <w:vAlign w:val="center"/>
          </w:tcPr>
          <w:p w14:paraId="4817AE80">
            <w:pPr>
              <w:jc w:val="center"/>
              <w:rPr>
                <w:rFonts w:ascii="宋体" w:hAnsi="宋体"/>
                <w:b w:val="0"/>
                <w:bCs/>
                <w:kern w:val="0"/>
                <w:szCs w:val="21"/>
              </w:rPr>
            </w:pPr>
            <w:r>
              <w:rPr>
                <w:rFonts w:hint="eastAsia" w:ascii="宋体" w:hAnsi="宋体"/>
                <w:b w:val="0"/>
                <w:bCs/>
                <w:kern w:val="0"/>
                <w:szCs w:val="21"/>
              </w:rPr>
              <w:t>200</w:t>
            </w:r>
            <w:r>
              <w:rPr>
                <w:rFonts w:ascii="Arial" w:hAnsi="Arial" w:cs="Arial"/>
                <w:b w:val="0"/>
                <w:bCs/>
                <w:kern w:val="0"/>
                <w:szCs w:val="21"/>
              </w:rPr>
              <w:t>×</w:t>
            </w:r>
            <w:r>
              <w:rPr>
                <w:rFonts w:hint="eastAsia" w:ascii="宋体" w:hAnsi="宋体"/>
                <w:b w:val="0"/>
                <w:bCs/>
                <w:kern w:val="0"/>
                <w:szCs w:val="21"/>
              </w:rPr>
              <w:t>75%</w:t>
            </w:r>
            <w:r>
              <w:rPr>
                <w:rFonts w:hint="eastAsia" w:ascii="微软雅黑" w:hAnsi="微软雅黑" w:eastAsia="微软雅黑" w:cs="微软雅黑"/>
                <w:b w:val="0"/>
                <w:bCs/>
                <w:kern w:val="0"/>
                <w:szCs w:val="21"/>
              </w:rPr>
              <w:t>=</w:t>
            </w:r>
            <w:r>
              <w:rPr>
                <w:rFonts w:hint="eastAsia" w:ascii="宋体" w:hAnsi="宋体"/>
                <w:b w:val="0"/>
                <w:bCs/>
                <w:kern w:val="0"/>
                <w:szCs w:val="21"/>
              </w:rPr>
              <w:t>150</w:t>
            </w:r>
          </w:p>
        </w:tc>
        <w:tc>
          <w:tcPr>
            <w:tcW w:w="1107" w:type="dxa"/>
            <w:shd w:val="clear" w:color="auto" w:fill="auto"/>
            <w:vAlign w:val="center"/>
          </w:tcPr>
          <w:p w14:paraId="478759DF">
            <w:pPr>
              <w:jc w:val="center"/>
              <w:rPr>
                <w:rFonts w:ascii="宋体" w:hAnsi="宋体"/>
                <w:b w:val="0"/>
                <w:bCs/>
                <w:kern w:val="0"/>
                <w:szCs w:val="21"/>
              </w:rPr>
            </w:pPr>
            <w:r>
              <w:rPr>
                <w:rFonts w:hint="eastAsia" w:ascii="宋体" w:hAnsi="宋体"/>
                <w:b w:val="0"/>
                <w:bCs/>
                <w:kern w:val="0"/>
                <w:szCs w:val="21"/>
              </w:rPr>
              <w:t>177</w:t>
            </w:r>
          </w:p>
        </w:tc>
      </w:tr>
      <w:tr w14:paraId="7080D0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701" w:type="dxa"/>
            <w:vMerge w:val="continue"/>
            <w:vAlign w:val="center"/>
          </w:tcPr>
          <w:p w14:paraId="5FA97222">
            <w:pPr>
              <w:jc w:val="center"/>
              <w:rPr>
                <w:rFonts w:asciiTheme="minorEastAsia" w:hAnsiTheme="minorEastAsia" w:eastAsiaTheme="minorEastAsia"/>
                <w:b w:val="0"/>
                <w:bCs/>
                <w:szCs w:val="21"/>
              </w:rPr>
            </w:pPr>
          </w:p>
        </w:tc>
        <w:tc>
          <w:tcPr>
            <w:tcW w:w="2118" w:type="dxa"/>
            <w:shd w:val="clear" w:color="auto" w:fill="auto"/>
            <w:vAlign w:val="center"/>
          </w:tcPr>
          <w:p w14:paraId="65341347">
            <w:pPr>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54#亮珠库</w:t>
            </w:r>
          </w:p>
        </w:tc>
        <w:tc>
          <w:tcPr>
            <w:tcW w:w="700" w:type="dxa"/>
            <w:shd w:val="clear" w:color="auto" w:fill="auto"/>
            <w:vAlign w:val="center"/>
          </w:tcPr>
          <w:p w14:paraId="72F9D9CA">
            <w:pPr>
              <w:widowControl/>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vertAlign w:val="superscript"/>
                <w14:textFill>
                  <w14:solidFill>
                    <w14:schemeClr w14:val="tx1"/>
                  </w14:solidFill>
                </w14:textFill>
              </w:rPr>
              <w:t>-</w:t>
            </w:r>
            <w:r>
              <w:rPr>
                <w:rFonts w:hint="eastAsia" w:ascii="宋体" w:hAnsi="宋体"/>
                <w:b w:val="0"/>
                <w:bCs/>
                <w:color w:val="000000" w:themeColor="text1"/>
                <w:kern w:val="0"/>
                <w:szCs w:val="21"/>
                <w:vertAlign w:val="superscript"/>
                <w14:textFill>
                  <w14:solidFill>
                    <w14:schemeClr w14:val="tx1"/>
                  </w14:solidFill>
                </w14:textFill>
              </w:rPr>
              <w:t>1</w:t>
            </w:r>
          </w:p>
        </w:tc>
        <w:tc>
          <w:tcPr>
            <w:tcW w:w="982" w:type="dxa"/>
            <w:shd w:val="clear" w:color="auto" w:fill="auto"/>
            <w:vAlign w:val="center"/>
          </w:tcPr>
          <w:p w14:paraId="760B7CF5">
            <w:pPr>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1000</w:t>
            </w:r>
          </w:p>
        </w:tc>
        <w:tc>
          <w:tcPr>
            <w:tcW w:w="2167" w:type="dxa"/>
            <w:shd w:val="clear" w:color="auto" w:fill="auto"/>
            <w:vAlign w:val="center"/>
          </w:tcPr>
          <w:p w14:paraId="34571E62">
            <w:pPr>
              <w:jc w:val="center"/>
              <w:rPr>
                <w:rFonts w:ascii="宋体" w:hAnsi="宋体"/>
                <w:b w:val="0"/>
                <w:bCs/>
                <w:spacing w:val="-11"/>
                <w:kern w:val="0"/>
                <w:szCs w:val="21"/>
              </w:rPr>
            </w:pPr>
            <w:r>
              <w:rPr>
                <w:rFonts w:hint="eastAsia" w:ascii="宋体" w:hAnsi="宋体"/>
                <w:b w:val="0"/>
                <w:bCs/>
                <w:spacing w:val="-11"/>
                <w:kern w:val="0"/>
                <w:szCs w:val="21"/>
              </w:rPr>
              <w:t>浏阳市文龙鞭炮烟花烟制造有限公司装药线围墙（人数大于50人）</w:t>
            </w:r>
          </w:p>
        </w:tc>
        <w:tc>
          <w:tcPr>
            <w:tcW w:w="1082" w:type="dxa"/>
            <w:shd w:val="clear" w:color="auto" w:fill="auto"/>
            <w:vAlign w:val="center"/>
          </w:tcPr>
          <w:p w14:paraId="21C64B1D">
            <w:pPr>
              <w:jc w:val="center"/>
              <w:rPr>
                <w:rFonts w:ascii="宋体" w:hAnsi="宋体"/>
                <w:b w:val="0"/>
                <w:bCs/>
                <w:kern w:val="0"/>
                <w:szCs w:val="21"/>
              </w:rPr>
            </w:pPr>
            <w:r>
              <w:rPr>
                <w:rFonts w:hint="eastAsia" w:ascii="宋体" w:hAnsi="宋体"/>
                <w:b w:val="0"/>
                <w:bCs/>
                <w:kern w:val="0"/>
                <w:szCs w:val="21"/>
              </w:rPr>
              <w:t>150</w:t>
            </w:r>
          </w:p>
        </w:tc>
        <w:tc>
          <w:tcPr>
            <w:tcW w:w="1107" w:type="dxa"/>
            <w:shd w:val="clear" w:color="auto" w:fill="auto"/>
            <w:vAlign w:val="center"/>
          </w:tcPr>
          <w:p w14:paraId="692D0FFC">
            <w:pPr>
              <w:jc w:val="center"/>
              <w:rPr>
                <w:rFonts w:ascii="宋体" w:hAnsi="宋体"/>
                <w:b w:val="0"/>
                <w:bCs/>
                <w:kern w:val="0"/>
                <w:szCs w:val="21"/>
              </w:rPr>
            </w:pPr>
            <w:r>
              <w:rPr>
                <w:rFonts w:hint="eastAsia" w:ascii="宋体" w:hAnsi="宋体"/>
                <w:b w:val="0"/>
                <w:bCs/>
                <w:kern w:val="0"/>
                <w:szCs w:val="21"/>
              </w:rPr>
              <w:t>177</w:t>
            </w:r>
          </w:p>
        </w:tc>
      </w:tr>
      <w:tr w14:paraId="492F11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01" w:type="dxa"/>
            <w:vMerge w:val="restart"/>
            <w:vAlign w:val="center"/>
          </w:tcPr>
          <w:p w14:paraId="4C727E78">
            <w:pPr>
              <w:jc w:val="center"/>
              <w:rPr>
                <w:rFonts w:cs="宋体" w:asciiTheme="minorEastAsia" w:hAnsiTheme="minorEastAsia" w:eastAsiaTheme="minorEastAsia"/>
                <w:b w:val="0"/>
                <w:bCs/>
                <w:szCs w:val="21"/>
              </w:rPr>
            </w:pPr>
            <w:r>
              <w:rPr>
                <w:rFonts w:hint="eastAsia" w:cs="宋体" w:asciiTheme="minorEastAsia" w:hAnsiTheme="minorEastAsia" w:eastAsiaTheme="minorEastAsia"/>
                <w:b w:val="0"/>
                <w:bCs/>
                <w:szCs w:val="21"/>
              </w:rPr>
              <w:t>北</w:t>
            </w:r>
          </w:p>
        </w:tc>
        <w:tc>
          <w:tcPr>
            <w:tcW w:w="2118" w:type="dxa"/>
            <w:shd w:val="clear" w:color="auto" w:fill="auto"/>
            <w:vAlign w:val="center"/>
          </w:tcPr>
          <w:p w14:paraId="25E48449">
            <w:pPr>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67#电烘房/散热</w:t>
            </w:r>
          </w:p>
        </w:tc>
        <w:tc>
          <w:tcPr>
            <w:tcW w:w="700" w:type="dxa"/>
            <w:shd w:val="clear" w:color="auto" w:fill="auto"/>
            <w:vAlign w:val="center"/>
          </w:tcPr>
          <w:p w14:paraId="6F3F3EFA">
            <w:pPr>
              <w:widowControl/>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vertAlign w:val="superscript"/>
                <w14:textFill>
                  <w14:solidFill>
                    <w14:schemeClr w14:val="tx1"/>
                  </w14:solidFill>
                </w14:textFill>
              </w:rPr>
              <w:t>-</w:t>
            </w:r>
            <w:r>
              <w:rPr>
                <w:rFonts w:hint="eastAsia" w:ascii="宋体" w:hAnsi="宋体"/>
                <w:b w:val="0"/>
                <w:bCs/>
                <w:color w:val="000000" w:themeColor="text1"/>
                <w:kern w:val="0"/>
                <w:szCs w:val="21"/>
                <w:vertAlign w:val="superscript"/>
                <w14:textFill>
                  <w14:solidFill>
                    <w14:schemeClr w14:val="tx1"/>
                  </w14:solidFill>
                </w14:textFill>
              </w:rPr>
              <w:t>1</w:t>
            </w:r>
          </w:p>
        </w:tc>
        <w:tc>
          <w:tcPr>
            <w:tcW w:w="982" w:type="dxa"/>
            <w:shd w:val="clear" w:color="auto" w:fill="auto"/>
            <w:vAlign w:val="center"/>
          </w:tcPr>
          <w:p w14:paraId="7E674ED2">
            <w:pPr>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500</w:t>
            </w:r>
          </w:p>
        </w:tc>
        <w:tc>
          <w:tcPr>
            <w:tcW w:w="2167" w:type="dxa"/>
            <w:shd w:val="clear" w:color="auto" w:fill="auto"/>
            <w:vAlign w:val="center"/>
          </w:tcPr>
          <w:p w14:paraId="3E45B24C">
            <w:pPr>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田心小学围墙</w:t>
            </w:r>
          </w:p>
        </w:tc>
        <w:tc>
          <w:tcPr>
            <w:tcW w:w="1082" w:type="dxa"/>
            <w:shd w:val="clear" w:color="auto" w:fill="auto"/>
            <w:vAlign w:val="center"/>
          </w:tcPr>
          <w:p w14:paraId="764C5AC3">
            <w:pPr>
              <w:jc w:val="center"/>
              <w:rPr>
                <w:rFonts w:ascii="宋体" w:hAnsi="宋体"/>
                <w:b w:val="0"/>
                <w:bCs/>
                <w:kern w:val="0"/>
                <w:szCs w:val="21"/>
              </w:rPr>
            </w:pPr>
            <w:r>
              <w:rPr>
                <w:rFonts w:hint="eastAsia" w:ascii="宋体" w:hAnsi="宋体"/>
                <w:b w:val="0"/>
                <w:bCs/>
                <w:kern w:val="0"/>
                <w:szCs w:val="21"/>
              </w:rPr>
              <w:t>350</w:t>
            </w:r>
          </w:p>
        </w:tc>
        <w:tc>
          <w:tcPr>
            <w:tcW w:w="1107" w:type="dxa"/>
            <w:shd w:val="clear" w:color="auto" w:fill="auto"/>
            <w:vAlign w:val="center"/>
          </w:tcPr>
          <w:p w14:paraId="2FE64E0E">
            <w:pPr>
              <w:jc w:val="center"/>
              <w:rPr>
                <w:rFonts w:ascii="宋体" w:hAnsi="宋体"/>
                <w:b w:val="0"/>
                <w:bCs/>
                <w:kern w:val="0"/>
                <w:szCs w:val="21"/>
              </w:rPr>
            </w:pPr>
            <w:r>
              <w:rPr>
                <w:rFonts w:hint="eastAsia" w:ascii="宋体" w:hAnsi="宋体"/>
                <w:b w:val="0"/>
                <w:bCs/>
                <w:kern w:val="0"/>
                <w:szCs w:val="21"/>
              </w:rPr>
              <w:t>420</w:t>
            </w:r>
          </w:p>
        </w:tc>
      </w:tr>
      <w:tr w14:paraId="518294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01" w:type="dxa"/>
            <w:vMerge w:val="continue"/>
            <w:vAlign w:val="center"/>
          </w:tcPr>
          <w:p w14:paraId="73DB0CA4">
            <w:pPr>
              <w:jc w:val="center"/>
              <w:rPr>
                <w:rFonts w:cs="宋体" w:asciiTheme="minorEastAsia" w:hAnsiTheme="minorEastAsia" w:eastAsiaTheme="minorEastAsia"/>
                <w:b w:val="0"/>
                <w:bCs/>
                <w:szCs w:val="21"/>
              </w:rPr>
            </w:pPr>
          </w:p>
        </w:tc>
        <w:tc>
          <w:tcPr>
            <w:tcW w:w="2118" w:type="dxa"/>
            <w:vMerge w:val="restart"/>
            <w:shd w:val="clear" w:color="auto" w:fill="auto"/>
            <w:vAlign w:val="center"/>
          </w:tcPr>
          <w:p w14:paraId="7316C968">
            <w:pPr>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82</w:t>
            </w:r>
            <w:r>
              <w:rPr>
                <w:rFonts w:ascii="宋体" w:hAnsi="宋体"/>
                <w:b w:val="0"/>
                <w:bCs/>
                <w:color w:val="000000" w:themeColor="text1"/>
                <w:kern w:val="0"/>
                <w:szCs w:val="21"/>
                <w14:textFill>
                  <w14:solidFill>
                    <w14:schemeClr w14:val="tx1"/>
                  </w14:solidFill>
                </w14:textFill>
              </w:rPr>
              <w:t>#</w:t>
            </w:r>
            <w:r>
              <w:rPr>
                <w:rFonts w:hint="eastAsia" w:ascii="宋体" w:hAnsi="宋体"/>
                <w:b w:val="0"/>
                <w:bCs/>
                <w:color w:val="000000" w:themeColor="text1"/>
                <w:kern w:val="0"/>
                <w:szCs w:val="21"/>
                <w14:textFill>
                  <w14:solidFill>
                    <w14:schemeClr w14:val="tx1"/>
                  </w14:solidFill>
                </w14:textFill>
              </w:rPr>
              <w:t>危废暂存间</w:t>
            </w:r>
          </w:p>
        </w:tc>
        <w:tc>
          <w:tcPr>
            <w:tcW w:w="700" w:type="dxa"/>
            <w:vMerge w:val="restart"/>
            <w:shd w:val="clear" w:color="auto" w:fill="auto"/>
            <w:vAlign w:val="center"/>
          </w:tcPr>
          <w:p w14:paraId="51FFD1E3">
            <w:pPr>
              <w:widowControl/>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vertAlign w:val="superscript"/>
                <w14:textFill>
                  <w14:solidFill>
                    <w14:schemeClr w14:val="tx1"/>
                  </w14:solidFill>
                </w14:textFill>
              </w:rPr>
              <w:t>-</w:t>
            </w:r>
            <w:r>
              <w:rPr>
                <w:rFonts w:hint="eastAsia" w:ascii="宋体" w:hAnsi="宋体"/>
                <w:b w:val="0"/>
                <w:bCs/>
                <w:color w:val="000000" w:themeColor="text1"/>
                <w:kern w:val="0"/>
                <w:szCs w:val="21"/>
                <w:vertAlign w:val="superscript"/>
                <w14:textFill>
                  <w14:solidFill>
                    <w14:schemeClr w14:val="tx1"/>
                  </w14:solidFill>
                </w14:textFill>
              </w:rPr>
              <w:t>1</w:t>
            </w:r>
          </w:p>
        </w:tc>
        <w:tc>
          <w:tcPr>
            <w:tcW w:w="982" w:type="dxa"/>
            <w:vMerge w:val="restart"/>
            <w:shd w:val="clear" w:color="auto" w:fill="auto"/>
            <w:vAlign w:val="center"/>
          </w:tcPr>
          <w:p w14:paraId="0A91BB5E">
            <w:pPr>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2</w:t>
            </w:r>
            <w:r>
              <w:rPr>
                <w:rFonts w:ascii="宋体" w:hAnsi="宋体"/>
                <w:b w:val="0"/>
                <w:bCs/>
                <w:color w:val="000000" w:themeColor="text1"/>
                <w:kern w:val="0"/>
                <w:szCs w:val="21"/>
                <w14:textFill>
                  <w14:solidFill>
                    <w14:schemeClr w14:val="tx1"/>
                  </w14:solidFill>
                </w14:textFill>
              </w:rPr>
              <w:t>0</w:t>
            </w:r>
          </w:p>
        </w:tc>
        <w:tc>
          <w:tcPr>
            <w:tcW w:w="2167" w:type="dxa"/>
            <w:shd w:val="clear" w:color="auto" w:fill="auto"/>
            <w:vAlign w:val="center"/>
          </w:tcPr>
          <w:p w14:paraId="1CE35A5D">
            <w:pPr>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民房（1</w:t>
            </w:r>
            <w:r>
              <w:rPr>
                <w:rFonts w:ascii="宋体" w:hAnsi="宋体"/>
                <w:b w:val="0"/>
                <w:bCs/>
                <w:color w:val="000000" w:themeColor="text1"/>
                <w:kern w:val="0"/>
                <w:szCs w:val="21"/>
                <w14:textFill>
                  <w14:solidFill>
                    <w14:schemeClr w14:val="tx1"/>
                  </w14:solidFill>
                </w14:textFill>
              </w:rPr>
              <w:t>0</w:t>
            </w:r>
            <w:r>
              <w:rPr>
                <w:rFonts w:hint="eastAsia" w:ascii="宋体" w:hAnsi="宋体"/>
                <w:b w:val="0"/>
                <w:bCs/>
                <w:color w:val="000000" w:themeColor="text1"/>
                <w:kern w:val="0"/>
                <w:szCs w:val="21"/>
                <w14:textFill>
                  <w14:solidFill>
                    <w14:schemeClr w14:val="tx1"/>
                  </w14:solidFill>
                </w14:textFill>
              </w:rPr>
              <w:t>户以上）</w:t>
            </w:r>
          </w:p>
        </w:tc>
        <w:tc>
          <w:tcPr>
            <w:tcW w:w="1082" w:type="dxa"/>
            <w:shd w:val="clear" w:color="auto" w:fill="auto"/>
            <w:vAlign w:val="center"/>
          </w:tcPr>
          <w:p w14:paraId="15D39060">
            <w:pPr>
              <w:jc w:val="center"/>
              <w:rPr>
                <w:rFonts w:ascii="宋体" w:hAnsi="宋体"/>
                <w:b w:val="0"/>
                <w:bCs/>
                <w:kern w:val="0"/>
                <w:szCs w:val="21"/>
              </w:rPr>
            </w:pPr>
            <w:r>
              <w:rPr>
                <w:rFonts w:hint="eastAsia" w:ascii="宋体" w:hAnsi="宋体"/>
                <w:b w:val="0"/>
                <w:bCs/>
                <w:kern w:val="0"/>
                <w:szCs w:val="21"/>
              </w:rPr>
              <w:t>63</w:t>
            </w:r>
          </w:p>
        </w:tc>
        <w:tc>
          <w:tcPr>
            <w:tcW w:w="1107" w:type="dxa"/>
            <w:shd w:val="clear" w:color="auto" w:fill="auto"/>
            <w:vAlign w:val="center"/>
          </w:tcPr>
          <w:p w14:paraId="7D5411A6">
            <w:pPr>
              <w:jc w:val="center"/>
              <w:rPr>
                <w:rFonts w:ascii="宋体" w:hAnsi="宋体"/>
                <w:b w:val="0"/>
                <w:bCs/>
                <w:kern w:val="0"/>
                <w:szCs w:val="21"/>
              </w:rPr>
            </w:pPr>
            <w:r>
              <w:rPr>
                <w:rFonts w:hint="eastAsia" w:ascii="宋体" w:hAnsi="宋体"/>
                <w:b w:val="0"/>
                <w:bCs/>
                <w:kern w:val="0"/>
                <w:szCs w:val="21"/>
              </w:rPr>
              <w:t>134</w:t>
            </w:r>
          </w:p>
        </w:tc>
      </w:tr>
      <w:tr w14:paraId="706158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01" w:type="dxa"/>
            <w:vMerge w:val="continue"/>
            <w:vAlign w:val="center"/>
          </w:tcPr>
          <w:p w14:paraId="120D5513">
            <w:pPr>
              <w:jc w:val="center"/>
              <w:rPr>
                <w:rFonts w:cs="宋体" w:asciiTheme="minorEastAsia" w:hAnsiTheme="minorEastAsia" w:eastAsiaTheme="minorEastAsia"/>
                <w:b w:val="0"/>
                <w:bCs/>
                <w:szCs w:val="21"/>
              </w:rPr>
            </w:pPr>
          </w:p>
        </w:tc>
        <w:tc>
          <w:tcPr>
            <w:tcW w:w="2118" w:type="dxa"/>
            <w:vMerge w:val="continue"/>
            <w:shd w:val="clear" w:color="auto" w:fill="auto"/>
            <w:vAlign w:val="center"/>
          </w:tcPr>
          <w:p w14:paraId="1A76B7D6">
            <w:pPr>
              <w:jc w:val="center"/>
              <w:rPr>
                <w:rFonts w:ascii="宋体" w:hAnsi="宋体"/>
                <w:b w:val="0"/>
                <w:bCs/>
                <w:color w:val="FF0000"/>
                <w:kern w:val="0"/>
                <w:szCs w:val="21"/>
              </w:rPr>
            </w:pPr>
          </w:p>
        </w:tc>
        <w:tc>
          <w:tcPr>
            <w:tcW w:w="700" w:type="dxa"/>
            <w:vMerge w:val="continue"/>
            <w:shd w:val="clear" w:color="auto" w:fill="auto"/>
            <w:vAlign w:val="center"/>
          </w:tcPr>
          <w:p w14:paraId="50C1157D">
            <w:pPr>
              <w:widowControl/>
              <w:jc w:val="center"/>
              <w:rPr>
                <w:rFonts w:ascii="宋体" w:hAnsi="宋体"/>
                <w:b w:val="0"/>
                <w:bCs/>
                <w:color w:val="FF0000"/>
                <w:kern w:val="0"/>
                <w:szCs w:val="21"/>
              </w:rPr>
            </w:pPr>
          </w:p>
        </w:tc>
        <w:tc>
          <w:tcPr>
            <w:tcW w:w="982" w:type="dxa"/>
            <w:vMerge w:val="continue"/>
            <w:shd w:val="clear" w:color="auto" w:fill="auto"/>
            <w:vAlign w:val="center"/>
          </w:tcPr>
          <w:p w14:paraId="6A9EF75A">
            <w:pPr>
              <w:jc w:val="center"/>
              <w:rPr>
                <w:rFonts w:ascii="宋体" w:hAnsi="宋体"/>
                <w:b w:val="0"/>
                <w:bCs/>
                <w:color w:val="FF0000"/>
                <w:kern w:val="0"/>
                <w:szCs w:val="21"/>
              </w:rPr>
            </w:pPr>
          </w:p>
        </w:tc>
        <w:tc>
          <w:tcPr>
            <w:tcW w:w="2167" w:type="dxa"/>
            <w:shd w:val="clear" w:color="auto" w:fill="auto"/>
            <w:vAlign w:val="center"/>
          </w:tcPr>
          <w:p w14:paraId="65FA9D08">
            <w:pPr>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田心小学围墙</w:t>
            </w:r>
          </w:p>
        </w:tc>
        <w:tc>
          <w:tcPr>
            <w:tcW w:w="1082" w:type="dxa"/>
            <w:shd w:val="clear" w:color="auto" w:fill="auto"/>
            <w:vAlign w:val="center"/>
          </w:tcPr>
          <w:p w14:paraId="1AFDC64B">
            <w:pPr>
              <w:jc w:val="center"/>
              <w:rPr>
                <w:rFonts w:ascii="宋体" w:hAnsi="宋体"/>
                <w:b w:val="0"/>
                <w:bCs/>
                <w:kern w:val="0"/>
                <w:szCs w:val="21"/>
              </w:rPr>
            </w:pPr>
            <w:r>
              <w:rPr>
                <w:rFonts w:hint="eastAsia" w:ascii="宋体" w:hAnsi="宋体"/>
                <w:b w:val="0"/>
                <w:bCs/>
                <w:kern w:val="0"/>
                <w:szCs w:val="21"/>
              </w:rPr>
              <w:t>290</w:t>
            </w:r>
          </w:p>
        </w:tc>
        <w:tc>
          <w:tcPr>
            <w:tcW w:w="1107" w:type="dxa"/>
            <w:shd w:val="clear" w:color="auto" w:fill="auto"/>
            <w:vAlign w:val="center"/>
          </w:tcPr>
          <w:p w14:paraId="6FAAEE16">
            <w:pPr>
              <w:jc w:val="center"/>
              <w:rPr>
                <w:rFonts w:ascii="宋体" w:hAnsi="宋体"/>
                <w:b w:val="0"/>
                <w:bCs/>
                <w:kern w:val="0"/>
                <w:szCs w:val="21"/>
              </w:rPr>
            </w:pPr>
            <w:r>
              <w:rPr>
                <w:rFonts w:hint="eastAsia" w:ascii="宋体" w:hAnsi="宋体"/>
                <w:b w:val="0"/>
                <w:bCs/>
                <w:kern w:val="0"/>
                <w:szCs w:val="21"/>
              </w:rPr>
              <w:t>353</w:t>
            </w:r>
          </w:p>
        </w:tc>
      </w:tr>
      <w:tr w14:paraId="051DE5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01" w:type="dxa"/>
            <w:vMerge w:val="continue"/>
            <w:vAlign w:val="center"/>
          </w:tcPr>
          <w:p w14:paraId="2263E9C6">
            <w:pPr>
              <w:jc w:val="center"/>
              <w:rPr>
                <w:rFonts w:cs="宋体" w:asciiTheme="minorEastAsia" w:hAnsiTheme="minorEastAsia" w:eastAsiaTheme="minorEastAsia"/>
                <w:b w:val="0"/>
                <w:bCs/>
                <w:szCs w:val="21"/>
              </w:rPr>
            </w:pPr>
          </w:p>
        </w:tc>
        <w:tc>
          <w:tcPr>
            <w:tcW w:w="2118" w:type="dxa"/>
            <w:vMerge w:val="restart"/>
            <w:shd w:val="clear" w:color="auto" w:fill="auto"/>
            <w:vAlign w:val="center"/>
          </w:tcPr>
          <w:p w14:paraId="3A09FD7F">
            <w:pPr>
              <w:jc w:val="center"/>
              <w:rPr>
                <w:rFonts w:ascii="宋体" w:hAnsi="宋体"/>
                <w:b w:val="0"/>
                <w:bCs/>
                <w:kern w:val="0"/>
                <w:szCs w:val="21"/>
              </w:rPr>
            </w:pPr>
            <w:r>
              <w:rPr>
                <w:rFonts w:hint="eastAsia" w:ascii="宋体" w:hAnsi="宋体"/>
                <w:b w:val="0"/>
                <w:bCs/>
                <w:kern w:val="0"/>
                <w:szCs w:val="21"/>
              </w:rPr>
              <w:t>84#单基火药中转（湿）</w:t>
            </w:r>
          </w:p>
        </w:tc>
        <w:tc>
          <w:tcPr>
            <w:tcW w:w="700" w:type="dxa"/>
            <w:vMerge w:val="restart"/>
            <w:shd w:val="clear" w:color="auto" w:fill="auto"/>
            <w:vAlign w:val="center"/>
          </w:tcPr>
          <w:p w14:paraId="11F37198">
            <w:pPr>
              <w:widowControl/>
              <w:jc w:val="center"/>
              <w:rPr>
                <w:rFonts w:ascii="宋体" w:hAnsi="宋体"/>
                <w:b w:val="0"/>
                <w:bCs/>
                <w:kern w:val="0"/>
                <w:szCs w:val="21"/>
              </w:rPr>
            </w:pPr>
            <w:r>
              <w:rPr>
                <w:rFonts w:hint="eastAsia" w:ascii="宋体" w:hAnsi="宋体"/>
                <w:b w:val="0"/>
                <w:bCs/>
                <w:kern w:val="0"/>
                <w:szCs w:val="21"/>
              </w:rPr>
              <w:t>1.1</w:t>
            </w:r>
            <w:r>
              <w:rPr>
                <w:rFonts w:hint="eastAsia" w:ascii="宋体" w:hAnsi="宋体"/>
                <w:b w:val="0"/>
                <w:bCs/>
                <w:kern w:val="0"/>
                <w:szCs w:val="21"/>
                <w:vertAlign w:val="superscript"/>
              </w:rPr>
              <w:t>-2</w:t>
            </w:r>
          </w:p>
        </w:tc>
        <w:tc>
          <w:tcPr>
            <w:tcW w:w="982" w:type="dxa"/>
            <w:vMerge w:val="restart"/>
            <w:shd w:val="clear" w:color="auto" w:fill="auto"/>
            <w:vAlign w:val="center"/>
          </w:tcPr>
          <w:p w14:paraId="796032D2">
            <w:pPr>
              <w:jc w:val="center"/>
              <w:rPr>
                <w:rFonts w:ascii="宋体" w:hAnsi="宋体"/>
                <w:b w:val="0"/>
                <w:bCs/>
                <w:kern w:val="0"/>
                <w:szCs w:val="21"/>
              </w:rPr>
            </w:pPr>
            <w:r>
              <w:rPr>
                <w:rFonts w:hint="eastAsia" w:ascii="宋体" w:hAnsi="宋体"/>
                <w:b w:val="0"/>
                <w:bCs/>
                <w:kern w:val="0"/>
                <w:szCs w:val="21"/>
              </w:rPr>
              <w:t>200</w:t>
            </w:r>
          </w:p>
        </w:tc>
        <w:tc>
          <w:tcPr>
            <w:tcW w:w="2167" w:type="dxa"/>
            <w:shd w:val="clear" w:color="auto" w:fill="auto"/>
            <w:vAlign w:val="center"/>
          </w:tcPr>
          <w:p w14:paraId="3197782C">
            <w:pPr>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民房（1</w:t>
            </w:r>
            <w:r>
              <w:rPr>
                <w:rFonts w:ascii="宋体" w:hAnsi="宋体"/>
                <w:b w:val="0"/>
                <w:bCs/>
                <w:color w:val="000000" w:themeColor="text1"/>
                <w:kern w:val="0"/>
                <w:szCs w:val="21"/>
                <w14:textFill>
                  <w14:solidFill>
                    <w14:schemeClr w14:val="tx1"/>
                  </w14:solidFill>
                </w14:textFill>
              </w:rPr>
              <w:t>0</w:t>
            </w:r>
            <w:r>
              <w:rPr>
                <w:rFonts w:hint="eastAsia" w:ascii="宋体" w:hAnsi="宋体"/>
                <w:b w:val="0"/>
                <w:bCs/>
                <w:color w:val="000000" w:themeColor="text1"/>
                <w:kern w:val="0"/>
                <w:szCs w:val="21"/>
                <w14:textFill>
                  <w14:solidFill>
                    <w14:schemeClr w14:val="tx1"/>
                  </w14:solidFill>
                </w14:textFill>
              </w:rPr>
              <w:t>户以下）</w:t>
            </w:r>
          </w:p>
        </w:tc>
        <w:tc>
          <w:tcPr>
            <w:tcW w:w="1082" w:type="dxa"/>
            <w:shd w:val="clear" w:color="auto" w:fill="auto"/>
            <w:vAlign w:val="center"/>
          </w:tcPr>
          <w:p w14:paraId="70DA211E">
            <w:pPr>
              <w:jc w:val="center"/>
              <w:rPr>
                <w:rFonts w:ascii="宋体" w:hAnsi="宋体"/>
                <w:b w:val="0"/>
                <w:bCs/>
                <w:kern w:val="0"/>
                <w:szCs w:val="21"/>
              </w:rPr>
            </w:pPr>
            <w:r>
              <w:rPr>
                <w:rFonts w:hint="eastAsia" w:ascii="宋体" w:hAnsi="宋体"/>
                <w:b w:val="0"/>
                <w:bCs/>
                <w:kern w:val="0"/>
                <w:szCs w:val="21"/>
              </w:rPr>
              <w:t>110</w:t>
            </w:r>
          </w:p>
        </w:tc>
        <w:tc>
          <w:tcPr>
            <w:tcW w:w="1107" w:type="dxa"/>
            <w:shd w:val="clear" w:color="auto" w:fill="auto"/>
            <w:vAlign w:val="center"/>
          </w:tcPr>
          <w:p w14:paraId="0AA7A561">
            <w:pPr>
              <w:jc w:val="center"/>
              <w:rPr>
                <w:rFonts w:ascii="宋体" w:hAnsi="宋体"/>
                <w:b w:val="0"/>
                <w:bCs/>
                <w:kern w:val="0"/>
                <w:szCs w:val="21"/>
              </w:rPr>
            </w:pPr>
            <w:r>
              <w:rPr>
                <w:rFonts w:hint="eastAsia" w:ascii="宋体" w:hAnsi="宋体"/>
                <w:b w:val="0"/>
                <w:bCs/>
                <w:kern w:val="0"/>
                <w:szCs w:val="21"/>
              </w:rPr>
              <w:t>157</w:t>
            </w:r>
          </w:p>
        </w:tc>
      </w:tr>
      <w:tr w14:paraId="52C8FB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01" w:type="dxa"/>
            <w:vMerge w:val="continue"/>
            <w:vAlign w:val="center"/>
          </w:tcPr>
          <w:p w14:paraId="11A6159F">
            <w:pPr>
              <w:jc w:val="center"/>
              <w:rPr>
                <w:rFonts w:cs="宋体" w:asciiTheme="minorEastAsia" w:hAnsiTheme="minorEastAsia" w:eastAsiaTheme="minorEastAsia"/>
                <w:b w:val="0"/>
                <w:bCs/>
                <w:szCs w:val="21"/>
              </w:rPr>
            </w:pPr>
          </w:p>
        </w:tc>
        <w:tc>
          <w:tcPr>
            <w:tcW w:w="2118" w:type="dxa"/>
            <w:vMerge w:val="continue"/>
            <w:shd w:val="clear" w:color="auto" w:fill="auto"/>
            <w:vAlign w:val="center"/>
          </w:tcPr>
          <w:p w14:paraId="7BE3601B">
            <w:pPr>
              <w:jc w:val="center"/>
              <w:rPr>
                <w:rFonts w:ascii="宋体" w:hAnsi="宋体"/>
                <w:b w:val="0"/>
                <w:bCs/>
                <w:kern w:val="0"/>
                <w:szCs w:val="21"/>
              </w:rPr>
            </w:pPr>
          </w:p>
        </w:tc>
        <w:tc>
          <w:tcPr>
            <w:tcW w:w="700" w:type="dxa"/>
            <w:vMerge w:val="continue"/>
            <w:shd w:val="clear" w:color="auto" w:fill="auto"/>
            <w:vAlign w:val="center"/>
          </w:tcPr>
          <w:p w14:paraId="375F95E0">
            <w:pPr>
              <w:widowControl/>
              <w:jc w:val="center"/>
              <w:rPr>
                <w:rFonts w:ascii="宋体" w:hAnsi="宋体"/>
                <w:b w:val="0"/>
                <w:bCs/>
                <w:kern w:val="0"/>
                <w:szCs w:val="21"/>
              </w:rPr>
            </w:pPr>
          </w:p>
        </w:tc>
        <w:tc>
          <w:tcPr>
            <w:tcW w:w="982" w:type="dxa"/>
            <w:vMerge w:val="continue"/>
            <w:shd w:val="clear" w:color="auto" w:fill="auto"/>
            <w:vAlign w:val="center"/>
          </w:tcPr>
          <w:p w14:paraId="2568932A">
            <w:pPr>
              <w:jc w:val="center"/>
              <w:rPr>
                <w:rFonts w:ascii="宋体" w:hAnsi="宋体"/>
                <w:b w:val="0"/>
                <w:bCs/>
                <w:kern w:val="0"/>
                <w:szCs w:val="21"/>
              </w:rPr>
            </w:pPr>
          </w:p>
        </w:tc>
        <w:tc>
          <w:tcPr>
            <w:tcW w:w="2167" w:type="dxa"/>
            <w:shd w:val="clear" w:color="auto" w:fill="auto"/>
            <w:vAlign w:val="center"/>
          </w:tcPr>
          <w:p w14:paraId="00E4F4DC">
            <w:pPr>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田心小学围墙</w:t>
            </w:r>
          </w:p>
        </w:tc>
        <w:tc>
          <w:tcPr>
            <w:tcW w:w="1082" w:type="dxa"/>
            <w:shd w:val="clear" w:color="auto" w:fill="auto"/>
            <w:vAlign w:val="center"/>
          </w:tcPr>
          <w:p w14:paraId="2CCF0333">
            <w:pPr>
              <w:jc w:val="center"/>
              <w:rPr>
                <w:rFonts w:ascii="宋体" w:hAnsi="宋体"/>
                <w:b w:val="0"/>
                <w:bCs/>
                <w:kern w:val="0"/>
                <w:szCs w:val="21"/>
              </w:rPr>
            </w:pPr>
            <w:r>
              <w:rPr>
                <w:rFonts w:hint="eastAsia" w:ascii="宋体" w:hAnsi="宋体"/>
                <w:b w:val="0"/>
                <w:bCs/>
                <w:kern w:val="0"/>
                <w:szCs w:val="21"/>
              </w:rPr>
              <w:t>290</w:t>
            </w:r>
          </w:p>
        </w:tc>
        <w:tc>
          <w:tcPr>
            <w:tcW w:w="1107" w:type="dxa"/>
            <w:shd w:val="clear" w:color="auto" w:fill="auto"/>
            <w:vAlign w:val="center"/>
          </w:tcPr>
          <w:p w14:paraId="256B6209">
            <w:pPr>
              <w:jc w:val="center"/>
              <w:rPr>
                <w:rFonts w:ascii="宋体" w:hAnsi="宋体"/>
                <w:b w:val="0"/>
                <w:bCs/>
                <w:kern w:val="0"/>
                <w:szCs w:val="21"/>
              </w:rPr>
            </w:pPr>
            <w:r>
              <w:rPr>
                <w:rFonts w:hint="eastAsia" w:ascii="宋体" w:hAnsi="宋体"/>
                <w:b w:val="0"/>
                <w:bCs/>
                <w:kern w:val="0"/>
                <w:szCs w:val="21"/>
              </w:rPr>
              <w:t>361</w:t>
            </w:r>
          </w:p>
        </w:tc>
      </w:tr>
      <w:tr w14:paraId="632FCE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701" w:type="dxa"/>
            <w:vMerge w:val="continue"/>
            <w:vAlign w:val="center"/>
          </w:tcPr>
          <w:p w14:paraId="3F7E6A0F">
            <w:pPr>
              <w:jc w:val="center"/>
              <w:rPr>
                <w:rFonts w:cs="宋体" w:asciiTheme="minorEastAsia" w:hAnsiTheme="minorEastAsia" w:eastAsiaTheme="minorEastAsia"/>
                <w:b w:val="0"/>
                <w:bCs/>
                <w:szCs w:val="21"/>
              </w:rPr>
            </w:pPr>
          </w:p>
        </w:tc>
        <w:tc>
          <w:tcPr>
            <w:tcW w:w="2118" w:type="dxa"/>
            <w:vMerge w:val="restart"/>
            <w:shd w:val="clear" w:color="auto" w:fill="auto"/>
            <w:vAlign w:val="center"/>
          </w:tcPr>
          <w:p w14:paraId="4805A0E2">
            <w:pPr>
              <w:jc w:val="center"/>
              <w:rPr>
                <w:rFonts w:ascii="宋体" w:hAnsi="宋体"/>
                <w:b w:val="0"/>
                <w:bCs/>
                <w:kern w:val="0"/>
                <w:szCs w:val="21"/>
              </w:rPr>
            </w:pPr>
            <w:r>
              <w:rPr>
                <w:rFonts w:hint="eastAsia" w:ascii="宋体" w:hAnsi="宋体"/>
                <w:b w:val="0"/>
                <w:bCs/>
                <w:kern w:val="0"/>
                <w:szCs w:val="21"/>
              </w:rPr>
              <w:t>85#晒坪/晾棚</w:t>
            </w:r>
          </w:p>
        </w:tc>
        <w:tc>
          <w:tcPr>
            <w:tcW w:w="700" w:type="dxa"/>
            <w:vMerge w:val="restart"/>
            <w:shd w:val="clear" w:color="auto" w:fill="auto"/>
            <w:vAlign w:val="center"/>
          </w:tcPr>
          <w:p w14:paraId="0D2F3E15">
            <w:pPr>
              <w:widowControl/>
              <w:jc w:val="center"/>
              <w:rPr>
                <w:rFonts w:ascii="宋体" w:hAnsi="宋体"/>
                <w:b w:val="0"/>
                <w:bCs/>
                <w:kern w:val="0"/>
                <w:szCs w:val="21"/>
              </w:rPr>
            </w:pPr>
            <w:r>
              <w:rPr>
                <w:rFonts w:hint="eastAsia" w:ascii="宋体" w:hAnsi="宋体"/>
                <w:b w:val="0"/>
                <w:bCs/>
                <w:kern w:val="0"/>
                <w:szCs w:val="21"/>
              </w:rPr>
              <w:t>1.1</w:t>
            </w:r>
            <w:r>
              <w:rPr>
                <w:rFonts w:hint="eastAsia" w:ascii="宋体" w:hAnsi="宋体"/>
                <w:b w:val="0"/>
                <w:bCs/>
                <w:kern w:val="0"/>
                <w:szCs w:val="21"/>
                <w:vertAlign w:val="superscript"/>
              </w:rPr>
              <w:t>-2</w:t>
            </w:r>
          </w:p>
        </w:tc>
        <w:tc>
          <w:tcPr>
            <w:tcW w:w="982" w:type="dxa"/>
            <w:vMerge w:val="restart"/>
            <w:shd w:val="clear" w:color="auto" w:fill="auto"/>
            <w:vAlign w:val="center"/>
          </w:tcPr>
          <w:p w14:paraId="5A0A11BB">
            <w:pPr>
              <w:jc w:val="center"/>
              <w:rPr>
                <w:rFonts w:ascii="宋体" w:hAnsi="宋体"/>
                <w:b w:val="0"/>
                <w:bCs/>
                <w:kern w:val="0"/>
                <w:szCs w:val="21"/>
              </w:rPr>
            </w:pPr>
            <w:r>
              <w:rPr>
                <w:rFonts w:hint="eastAsia" w:ascii="宋体" w:hAnsi="宋体"/>
                <w:b w:val="0"/>
                <w:bCs/>
                <w:kern w:val="0"/>
                <w:szCs w:val="21"/>
              </w:rPr>
              <w:t>200</w:t>
            </w:r>
          </w:p>
        </w:tc>
        <w:tc>
          <w:tcPr>
            <w:tcW w:w="2167" w:type="dxa"/>
            <w:shd w:val="clear" w:color="auto" w:fill="auto"/>
            <w:vAlign w:val="center"/>
          </w:tcPr>
          <w:p w14:paraId="097D9D2A">
            <w:pPr>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民房（1</w:t>
            </w:r>
            <w:r>
              <w:rPr>
                <w:rFonts w:ascii="宋体" w:hAnsi="宋体"/>
                <w:b w:val="0"/>
                <w:bCs/>
                <w:color w:val="000000" w:themeColor="text1"/>
                <w:kern w:val="0"/>
                <w:szCs w:val="21"/>
                <w14:textFill>
                  <w14:solidFill>
                    <w14:schemeClr w14:val="tx1"/>
                  </w14:solidFill>
                </w14:textFill>
              </w:rPr>
              <w:t>0</w:t>
            </w:r>
            <w:r>
              <w:rPr>
                <w:rFonts w:hint="eastAsia" w:ascii="宋体" w:hAnsi="宋体"/>
                <w:b w:val="0"/>
                <w:bCs/>
                <w:color w:val="000000" w:themeColor="text1"/>
                <w:kern w:val="0"/>
                <w:szCs w:val="21"/>
                <w14:textFill>
                  <w14:solidFill>
                    <w14:schemeClr w14:val="tx1"/>
                  </w14:solidFill>
                </w14:textFill>
              </w:rPr>
              <w:t>户以下）</w:t>
            </w:r>
          </w:p>
        </w:tc>
        <w:tc>
          <w:tcPr>
            <w:tcW w:w="1082" w:type="dxa"/>
            <w:shd w:val="clear" w:color="auto" w:fill="auto"/>
            <w:vAlign w:val="center"/>
          </w:tcPr>
          <w:p w14:paraId="1C366F8D">
            <w:pPr>
              <w:jc w:val="center"/>
              <w:rPr>
                <w:rFonts w:ascii="宋体" w:hAnsi="宋体"/>
                <w:b w:val="0"/>
                <w:bCs/>
                <w:kern w:val="0"/>
                <w:szCs w:val="21"/>
              </w:rPr>
            </w:pPr>
            <w:r>
              <w:rPr>
                <w:rFonts w:hint="eastAsia" w:ascii="宋体" w:hAnsi="宋体"/>
                <w:b w:val="0"/>
                <w:bCs/>
                <w:kern w:val="0"/>
                <w:szCs w:val="21"/>
              </w:rPr>
              <w:t>110</w:t>
            </w:r>
          </w:p>
        </w:tc>
        <w:tc>
          <w:tcPr>
            <w:tcW w:w="1107" w:type="dxa"/>
            <w:shd w:val="clear" w:color="auto" w:fill="auto"/>
            <w:vAlign w:val="center"/>
          </w:tcPr>
          <w:p w14:paraId="2DDAB180">
            <w:pPr>
              <w:jc w:val="center"/>
              <w:rPr>
                <w:rFonts w:ascii="宋体" w:hAnsi="宋体"/>
                <w:b w:val="0"/>
                <w:bCs/>
                <w:kern w:val="0"/>
                <w:szCs w:val="21"/>
              </w:rPr>
            </w:pPr>
            <w:r>
              <w:rPr>
                <w:rFonts w:hint="eastAsia" w:ascii="宋体" w:hAnsi="宋体"/>
                <w:b w:val="0"/>
                <w:bCs/>
                <w:kern w:val="0"/>
                <w:szCs w:val="21"/>
              </w:rPr>
              <w:t>149</w:t>
            </w:r>
          </w:p>
        </w:tc>
      </w:tr>
      <w:tr w14:paraId="0D94FC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701" w:type="dxa"/>
            <w:vMerge w:val="continue"/>
            <w:vAlign w:val="center"/>
          </w:tcPr>
          <w:p w14:paraId="6367F6DC">
            <w:pPr>
              <w:jc w:val="center"/>
              <w:rPr>
                <w:rFonts w:cs="宋体" w:asciiTheme="minorEastAsia" w:hAnsiTheme="minorEastAsia" w:eastAsiaTheme="minorEastAsia"/>
                <w:b w:val="0"/>
                <w:bCs/>
                <w:szCs w:val="21"/>
              </w:rPr>
            </w:pPr>
          </w:p>
        </w:tc>
        <w:tc>
          <w:tcPr>
            <w:tcW w:w="2118" w:type="dxa"/>
            <w:vMerge w:val="continue"/>
            <w:shd w:val="clear" w:color="auto" w:fill="auto"/>
            <w:vAlign w:val="center"/>
          </w:tcPr>
          <w:p w14:paraId="75160930">
            <w:pPr>
              <w:jc w:val="center"/>
              <w:rPr>
                <w:rFonts w:ascii="宋体" w:hAnsi="宋体"/>
                <w:b w:val="0"/>
                <w:bCs/>
                <w:kern w:val="0"/>
                <w:szCs w:val="21"/>
              </w:rPr>
            </w:pPr>
          </w:p>
        </w:tc>
        <w:tc>
          <w:tcPr>
            <w:tcW w:w="700" w:type="dxa"/>
            <w:vMerge w:val="continue"/>
            <w:shd w:val="clear" w:color="auto" w:fill="auto"/>
            <w:vAlign w:val="center"/>
          </w:tcPr>
          <w:p w14:paraId="05A5341A">
            <w:pPr>
              <w:widowControl/>
              <w:jc w:val="center"/>
              <w:rPr>
                <w:rFonts w:ascii="宋体" w:hAnsi="宋体"/>
                <w:b w:val="0"/>
                <w:bCs/>
                <w:kern w:val="0"/>
                <w:szCs w:val="21"/>
              </w:rPr>
            </w:pPr>
          </w:p>
        </w:tc>
        <w:tc>
          <w:tcPr>
            <w:tcW w:w="982" w:type="dxa"/>
            <w:vMerge w:val="continue"/>
            <w:shd w:val="clear" w:color="auto" w:fill="auto"/>
            <w:vAlign w:val="center"/>
          </w:tcPr>
          <w:p w14:paraId="5DDE1C58">
            <w:pPr>
              <w:jc w:val="center"/>
              <w:rPr>
                <w:rFonts w:ascii="宋体" w:hAnsi="宋体"/>
                <w:b w:val="0"/>
                <w:bCs/>
                <w:kern w:val="0"/>
                <w:szCs w:val="21"/>
              </w:rPr>
            </w:pPr>
          </w:p>
        </w:tc>
        <w:tc>
          <w:tcPr>
            <w:tcW w:w="2167" w:type="dxa"/>
            <w:shd w:val="clear" w:color="auto" w:fill="auto"/>
            <w:vAlign w:val="center"/>
          </w:tcPr>
          <w:p w14:paraId="5286DA7B">
            <w:pPr>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田心小学围墙</w:t>
            </w:r>
          </w:p>
        </w:tc>
        <w:tc>
          <w:tcPr>
            <w:tcW w:w="1082" w:type="dxa"/>
            <w:shd w:val="clear" w:color="auto" w:fill="auto"/>
            <w:vAlign w:val="center"/>
          </w:tcPr>
          <w:p w14:paraId="4E76390B">
            <w:pPr>
              <w:jc w:val="center"/>
              <w:rPr>
                <w:rFonts w:ascii="宋体" w:hAnsi="宋体"/>
                <w:b w:val="0"/>
                <w:bCs/>
                <w:kern w:val="0"/>
                <w:szCs w:val="21"/>
              </w:rPr>
            </w:pPr>
            <w:r>
              <w:rPr>
                <w:rFonts w:hint="eastAsia" w:ascii="宋体" w:hAnsi="宋体"/>
                <w:b w:val="0"/>
                <w:bCs/>
                <w:kern w:val="0"/>
                <w:szCs w:val="21"/>
              </w:rPr>
              <w:t>290</w:t>
            </w:r>
          </w:p>
        </w:tc>
        <w:tc>
          <w:tcPr>
            <w:tcW w:w="1107" w:type="dxa"/>
            <w:shd w:val="clear" w:color="auto" w:fill="auto"/>
            <w:vAlign w:val="center"/>
          </w:tcPr>
          <w:p w14:paraId="4264F1CF">
            <w:pPr>
              <w:jc w:val="center"/>
              <w:rPr>
                <w:rFonts w:ascii="宋体" w:hAnsi="宋体"/>
                <w:b w:val="0"/>
                <w:bCs/>
                <w:kern w:val="0"/>
                <w:szCs w:val="21"/>
              </w:rPr>
            </w:pPr>
            <w:r>
              <w:rPr>
                <w:rFonts w:hint="eastAsia" w:ascii="宋体" w:hAnsi="宋体"/>
                <w:b w:val="0"/>
                <w:bCs/>
                <w:kern w:val="0"/>
                <w:szCs w:val="21"/>
              </w:rPr>
              <w:t>368</w:t>
            </w:r>
          </w:p>
        </w:tc>
      </w:tr>
      <w:tr w14:paraId="4F133B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701" w:type="dxa"/>
            <w:vMerge w:val="continue"/>
            <w:vAlign w:val="center"/>
          </w:tcPr>
          <w:p w14:paraId="3C4AA42D">
            <w:pPr>
              <w:jc w:val="center"/>
              <w:rPr>
                <w:rFonts w:cs="宋体" w:asciiTheme="minorEastAsia" w:hAnsiTheme="minorEastAsia" w:eastAsiaTheme="minorEastAsia"/>
                <w:b w:val="0"/>
                <w:bCs/>
                <w:szCs w:val="21"/>
              </w:rPr>
            </w:pPr>
          </w:p>
        </w:tc>
        <w:tc>
          <w:tcPr>
            <w:tcW w:w="2118" w:type="dxa"/>
            <w:shd w:val="clear" w:color="auto" w:fill="auto"/>
            <w:vAlign w:val="center"/>
          </w:tcPr>
          <w:p w14:paraId="3D221591">
            <w:pPr>
              <w:jc w:val="center"/>
              <w:rPr>
                <w:rFonts w:ascii="宋体" w:hAnsi="宋体"/>
                <w:b w:val="0"/>
                <w:bCs/>
                <w:kern w:val="0"/>
                <w:szCs w:val="21"/>
              </w:rPr>
            </w:pPr>
            <w:r>
              <w:rPr>
                <w:rFonts w:hint="eastAsia" w:ascii="宋体" w:hAnsi="宋体"/>
                <w:b w:val="0"/>
                <w:bCs/>
                <w:kern w:val="0"/>
                <w:szCs w:val="21"/>
              </w:rPr>
              <w:t>86#包装</w:t>
            </w:r>
          </w:p>
        </w:tc>
        <w:tc>
          <w:tcPr>
            <w:tcW w:w="700" w:type="dxa"/>
            <w:shd w:val="clear" w:color="auto" w:fill="auto"/>
            <w:vAlign w:val="center"/>
          </w:tcPr>
          <w:p w14:paraId="2CBAED05">
            <w:pPr>
              <w:widowControl/>
              <w:jc w:val="center"/>
              <w:rPr>
                <w:rFonts w:ascii="宋体" w:hAnsi="宋体"/>
                <w:b w:val="0"/>
                <w:bCs/>
                <w:kern w:val="0"/>
                <w:szCs w:val="21"/>
              </w:rPr>
            </w:pPr>
            <w:r>
              <w:rPr>
                <w:rFonts w:hint="eastAsia" w:ascii="宋体" w:hAnsi="宋体"/>
                <w:b w:val="0"/>
                <w:bCs/>
                <w:kern w:val="0"/>
                <w:szCs w:val="21"/>
              </w:rPr>
              <w:t>1.1</w:t>
            </w:r>
            <w:r>
              <w:rPr>
                <w:rFonts w:hint="eastAsia" w:ascii="宋体" w:hAnsi="宋体"/>
                <w:b w:val="0"/>
                <w:bCs/>
                <w:kern w:val="0"/>
                <w:szCs w:val="21"/>
                <w:vertAlign w:val="superscript"/>
              </w:rPr>
              <w:t>-2</w:t>
            </w:r>
          </w:p>
        </w:tc>
        <w:tc>
          <w:tcPr>
            <w:tcW w:w="982" w:type="dxa"/>
            <w:shd w:val="clear" w:color="auto" w:fill="auto"/>
            <w:vAlign w:val="center"/>
          </w:tcPr>
          <w:p w14:paraId="780AD975">
            <w:pPr>
              <w:jc w:val="center"/>
              <w:rPr>
                <w:rFonts w:ascii="宋体" w:hAnsi="宋体"/>
                <w:b w:val="0"/>
                <w:bCs/>
                <w:kern w:val="0"/>
                <w:szCs w:val="21"/>
              </w:rPr>
            </w:pPr>
            <w:r>
              <w:rPr>
                <w:rFonts w:hint="eastAsia" w:ascii="宋体" w:hAnsi="宋体"/>
                <w:b w:val="0"/>
                <w:bCs/>
                <w:kern w:val="0"/>
                <w:szCs w:val="21"/>
              </w:rPr>
              <w:t>30</w:t>
            </w:r>
          </w:p>
        </w:tc>
        <w:tc>
          <w:tcPr>
            <w:tcW w:w="2167" w:type="dxa"/>
            <w:shd w:val="clear" w:color="auto" w:fill="auto"/>
            <w:vAlign w:val="center"/>
          </w:tcPr>
          <w:p w14:paraId="2981635A">
            <w:pPr>
              <w:jc w:val="center"/>
              <w:rPr>
                <w:rFonts w:ascii="宋体" w:hAnsi="宋体"/>
                <w:b w:val="0"/>
                <w:bCs/>
                <w:color w:val="000000" w:themeColor="text1"/>
                <w:kern w:val="0"/>
                <w:szCs w:val="21"/>
                <w14:textFill>
                  <w14:solidFill>
                    <w14:schemeClr w14:val="tx1"/>
                  </w14:solidFill>
                </w14:textFill>
              </w:rPr>
            </w:pPr>
            <w:r>
              <w:rPr>
                <w:rFonts w:hint="eastAsia" w:ascii="宋体" w:hAnsi="宋体"/>
                <w:b w:val="0"/>
                <w:bCs/>
                <w:kern w:val="0"/>
                <w:szCs w:val="21"/>
              </w:rPr>
              <w:t>民房（1</w:t>
            </w:r>
            <w:r>
              <w:rPr>
                <w:rFonts w:ascii="宋体" w:hAnsi="宋体"/>
                <w:b w:val="0"/>
                <w:bCs/>
                <w:kern w:val="0"/>
                <w:szCs w:val="21"/>
              </w:rPr>
              <w:t>0</w:t>
            </w:r>
            <w:r>
              <w:rPr>
                <w:rFonts w:hint="eastAsia" w:ascii="宋体" w:hAnsi="宋体"/>
                <w:b w:val="0"/>
                <w:bCs/>
                <w:kern w:val="0"/>
                <w:szCs w:val="21"/>
              </w:rPr>
              <w:t>户以下）</w:t>
            </w:r>
          </w:p>
        </w:tc>
        <w:tc>
          <w:tcPr>
            <w:tcW w:w="1082" w:type="dxa"/>
            <w:shd w:val="clear" w:color="auto" w:fill="auto"/>
            <w:vAlign w:val="center"/>
          </w:tcPr>
          <w:p w14:paraId="26253531">
            <w:pPr>
              <w:jc w:val="center"/>
              <w:rPr>
                <w:rFonts w:ascii="宋体" w:hAnsi="宋体"/>
                <w:b w:val="0"/>
                <w:bCs/>
                <w:kern w:val="0"/>
                <w:szCs w:val="21"/>
              </w:rPr>
            </w:pPr>
            <w:r>
              <w:rPr>
                <w:rFonts w:hint="eastAsia" w:ascii="宋体" w:hAnsi="宋体"/>
                <w:b w:val="0"/>
                <w:bCs/>
                <w:kern w:val="0"/>
                <w:szCs w:val="21"/>
              </w:rPr>
              <w:t>110</w:t>
            </w:r>
          </w:p>
        </w:tc>
        <w:tc>
          <w:tcPr>
            <w:tcW w:w="1107" w:type="dxa"/>
            <w:shd w:val="clear" w:color="auto" w:fill="auto"/>
            <w:vAlign w:val="center"/>
          </w:tcPr>
          <w:p w14:paraId="394FD500">
            <w:pPr>
              <w:jc w:val="center"/>
              <w:rPr>
                <w:rFonts w:ascii="宋体" w:hAnsi="宋体"/>
                <w:b w:val="0"/>
                <w:bCs/>
                <w:kern w:val="0"/>
                <w:szCs w:val="21"/>
              </w:rPr>
            </w:pPr>
            <w:r>
              <w:rPr>
                <w:rFonts w:hint="eastAsia" w:ascii="宋体" w:hAnsi="宋体"/>
                <w:b w:val="0"/>
                <w:bCs/>
                <w:kern w:val="0"/>
                <w:szCs w:val="21"/>
              </w:rPr>
              <w:t>141</w:t>
            </w:r>
          </w:p>
        </w:tc>
      </w:tr>
      <w:tr w14:paraId="0ED93B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59" w:hRule="atLeast"/>
          <w:jc w:val="center"/>
        </w:trPr>
        <w:tc>
          <w:tcPr>
            <w:tcW w:w="8857" w:type="dxa"/>
            <w:gridSpan w:val="7"/>
            <w:vAlign w:val="center"/>
          </w:tcPr>
          <w:p w14:paraId="0C41A6E8">
            <w:pPr>
              <w:jc w:val="left"/>
              <w:rPr>
                <w:rFonts w:ascii="宋体" w:hAnsi="宋体"/>
                <w:b w:val="0"/>
                <w:bCs/>
                <w:kern w:val="0"/>
                <w:szCs w:val="21"/>
              </w:rPr>
            </w:pPr>
            <w:r>
              <w:rPr>
                <w:rFonts w:hint="eastAsia" w:ascii="宋体" w:hAnsi="宋体"/>
                <w:b w:val="0"/>
                <w:bCs/>
                <w:kern w:val="0"/>
                <w:szCs w:val="21"/>
              </w:rPr>
              <w:t>备注：1、78#黑火药中转、65#包装中转、82#危废暂存间与民房的外部距离按10户以上计算；</w:t>
            </w:r>
          </w:p>
          <w:p w14:paraId="47AB26A9">
            <w:pPr>
              <w:ind w:firstLine="630" w:firstLineChars="300"/>
              <w:jc w:val="left"/>
              <w:rPr>
                <w:rFonts w:ascii="宋体" w:hAnsi="宋体"/>
                <w:b w:val="0"/>
                <w:bCs/>
                <w:kern w:val="0"/>
                <w:szCs w:val="21"/>
              </w:rPr>
            </w:pPr>
            <w:r>
              <w:rPr>
                <w:rFonts w:hint="eastAsia" w:ascii="宋体" w:hAnsi="宋体"/>
                <w:b w:val="0"/>
                <w:bCs/>
                <w:kern w:val="0"/>
                <w:szCs w:val="21"/>
              </w:rPr>
              <w:t>2、54#亮珠库、55#亮珠库与</w:t>
            </w:r>
            <w:r>
              <w:rPr>
                <w:rFonts w:hint="eastAsia" w:ascii="宋体" w:hAnsi="宋体"/>
                <w:b w:val="0"/>
                <w:bCs/>
                <w:spacing w:val="-11"/>
                <w:kern w:val="0"/>
                <w:szCs w:val="21"/>
              </w:rPr>
              <w:t>浏阳市文龙鞭炮烟花烟制造有限公司装药线围墙（人数大于50人）及57#、58#黑火药库与破损建筑物的外部距离依据</w:t>
            </w:r>
            <w:r>
              <w:rPr>
                <w:rFonts w:hint="eastAsia" w:ascii="宋体" w:hAnsi="宋体" w:cs="宋体"/>
                <w:b w:val="0"/>
                <w:bCs/>
                <w:szCs w:val="21"/>
              </w:rPr>
              <w:t>G</w:t>
            </w:r>
            <w:r>
              <w:rPr>
                <w:rFonts w:ascii="宋体" w:hAnsi="宋体" w:cs="宋体"/>
                <w:b w:val="0"/>
                <w:bCs/>
                <w:szCs w:val="21"/>
              </w:rPr>
              <w:t>B50161-2022</w:t>
            </w:r>
            <w:r>
              <w:rPr>
                <w:rFonts w:hint="eastAsia" w:ascii="宋体" w:hAnsi="宋体" w:cs="宋体"/>
                <w:b w:val="0"/>
                <w:bCs/>
                <w:szCs w:val="21"/>
              </w:rPr>
              <w:t>中4</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.2</w:t>
            </w:r>
            <w:r>
              <w:rPr>
                <w:rFonts w:hint="eastAsia" w:ascii="宋体" w:hAnsi="宋体" w:cs="宋体"/>
                <w:b w:val="0"/>
                <w:bCs/>
                <w:szCs w:val="21"/>
              </w:rPr>
              <w:t>“注3”确定标准距离取值</w:t>
            </w:r>
            <w:r>
              <w:rPr>
                <w:rFonts w:hint="eastAsia" w:ascii="宋体" w:hAnsi="宋体"/>
                <w:b w:val="0"/>
                <w:bCs/>
                <w:kern w:val="0"/>
                <w:szCs w:val="21"/>
              </w:rPr>
              <w:t>。</w:t>
            </w:r>
          </w:p>
          <w:p w14:paraId="2D5AD1D7">
            <w:pPr>
              <w:ind w:firstLine="630" w:firstLineChars="300"/>
              <w:jc w:val="left"/>
              <w:rPr>
                <w:rFonts w:ascii="宋体" w:hAnsi="宋体"/>
                <w:b w:val="0"/>
                <w:bCs/>
                <w:kern w:val="0"/>
                <w:szCs w:val="21"/>
              </w:rPr>
            </w:pPr>
            <w:r>
              <w:rPr>
                <w:rFonts w:hint="eastAsia" w:ascii="宋体" w:hAnsi="宋体"/>
                <w:b w:val="0"/>
                <w:bCs/>
                <w:kern w:val="0"/>
                <w:szCs w:val="21"/>
              </w:rPr>
              <w:t>3、</w:t>
            </w:r>
            <w:r>
              <w:rPr>
                <w:rFonts w:hint="eastAsia" w:ascii="宋体" w:hAnsi="宋体"/>
                <w:b w:val="0"/>
                <w:bCs/>
                <w:szCs w:val="21"/>
              </w:rPr>
              <w:t>89成品库与民房（10户以上）外部距离标准值</w:t>
            </w:r>
            <w:r>
              <w:rPr>
                <w:rFonts w:hint="eastAsia" w:ascii="宋体" w:hAnsi="宋体"/>
                <w:b w:val="0"/>
                <w:bCs/>
                <w:spacing w:val="-11"/>
                <w:kern w:val="0"/>
                <w:szCs w:val="21"/>
              </w:rPr>
              <w:t>依据</w:t>
            </w:r>
            <w:r>
              <w:rPr>
                <w:rFonts w:hint="eastAsia" w:ascii="宋体" w:hAnsi="宋体" w:cs="宋体"/>
                <w:b w:val="0"/>
                <w:bCs/>
                <w:szCs w:val="21"/>
              </w:rPr>
              <w:t>G</w:t>
            </w:r>
            <w:r>
              <w:rPr>
                <w:rFonts w:ascii="宋体" w:hAnsi="宋体" w:cs="宋体"/>
                <w:b w:val="0"/>
                <w:bCs/>
                <w:szCs w:val="21"/>
              </w:rPr>
              <w:t>B50161-2022</w:t>
            </w:r>
            <w:r>
              <w:rPr>
                <w:rFonts w:hint="eastAsia" w:ascii="宋体" w:hAnsi="宋体" w:cs="宋体"/>
                <w:b w:val="0"/>
                <w:bCs/>
                <w:szCs w:val="21"/>
              </w:rPr>
              <w:t>中4</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3“注”采用线性插入法确定。</w:t>
            </w:r>
          </w:p>
        </w:tc>
      </w:tr>
    </w:tbl>
    <w:p w14:paraId="7BFE5458">
      <w:pPr>
        <w:rPr>
          <w:rFonts w:hint="eastAsia" w:ascii="宋体" w:hAnsi="宋体"/>
          <w:b w:val="0"/>
          <w:snapToGrid w:val="0"/>
          <w:sz w:val="28"/>
          <w:szCs w:val="28"/>
        </w:rPr>
      </w:pPr>
      <w:r>
        <w:rPr>
          <w:rFonts w:hint="eastAsia" w:ascii="宋体" w:hAnsi="宋体"/>
          <w:b w:val="0"/>
          <w:snapToGrid w:val="0"/>
          <w:sz w:val="28"/>
          <w:szCs w:val="28"/>
        </w:rPr>
        <w:br w:type="page"/>
      </w:r>
    </w:p>
    <w:p w14:paraId="6F26307B">
      <w:pPr>
        <w:spacing w:before="120" w:beforeLines="50" w:line="360" w:lineRule="auto"/>
        <w:ind w:firstLine="560" w:firstLineChars="200"/>
        <w:jc w:val="left"/>
        <w:rPr>
          <w:rFonts w:ascii="宋体" w:hAnsi="宋体"/>
          <w:b w:val="0"/>
          <w:snapToGrid w:val="0"/>
          <w:sz w:val="28"/>
          <w:szCs w:val="28"/>
        </w:rPr>
      </w:pPr>
      <w:r>
        <w:rPr>
          <w:rFonts w:hint="eastAsia" w:ascii="宋体" w:hAnsi="宋体"/>
          <w:b w:val="0"/>
          <w:snapToGrid w:val="0"/>
          <w:sz w:val="28"/>
          <w:szCs w:val="28"/>
        </w:rPr>
        <w:t>2）改建项目危险品库区与危险品生产区的距离</w:t>
      </w:r>
      <w:r>
        <w:rPr>
          <w:rFonts w:hint="eastAsia" w:ascii="宋体" w:hAnsi="宋体"/>
          <w:b w:val="0"/>
          <w:snapToGrid w:val="0"/>
          <w:sz w:val="28"/>
          <w:szCs w:val="28"/>
          <w:lang w:val="en-GB"/>
        </w:rPr>
        <w:t>抽取较近工房作为参照，</w:t>
      </w:r>
      <w:r>
        <w:rPr>
          <w:rFonts w:hint="eastAsia" w:ascii="宋体" w:hAnsi="宋体"/>
          <w:b w:val="0"/>
          <w:snapToGrid w:val="0"/>
          <w:sz w:val="28"/>
          <w:szCs w:val="28"/>
        </w:rPr>
        <w:t>情况见表2.8-2。</w:t>
      </w:r>
    </w:p>
    <w:p w14:paraId="278C3218">
      <w:pPr>
        <w:jc w:val="center"/>
        <w:rPr>
          <w:rFonts w:ascii="黑体" w:hAnsi="黑体" w:eastAsia="黑体"/>
          <w:b w:val="0"/>
          <w:bCs/>
          <w:sz w:val="24"/>
        </w:rPr>
      </w:pPr>
      <w:r>
        <w:rPr>
          <w:rFonts w:hint="eastAsia" w:ascii="黑体" w:hAnsi="黑体" w:eastAsia="黑体"/>
          <w:b w:val="0"/>
          <w:bCs/>
          <w:sz w:val="24"/>
        </w:rPr>
        <w:t>表2.7-1-2 危险品库区与危险品生产区外部距离情况表</w:t>
      </w:r>
    </w:p>
    <w:tbl>
      <w:tblPr>
        <w:tblStyle w:val="88"/>
        <w:tblW w:w="889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8"/>
        <w:gridCol w:w="737"/>
        <w:gridCol w:w="1009"/>
        <w:gridCol w:w="1550"/>
        <w:gridCol w:w="709"/>
        <w:gridCol w:w="850"/>
        <w:gridCol w:w="1132"/>
        <w:gridCol w:w="995"/>
      </w:tblGrid>
      <w:tr w14:paraId="5A66AE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6" w:hRule="atLeast"/>
          <w:tblHeader/>
          <w:jc w:val="center"/>
        </w:trPr>
        <w:tc>
          <w:tcPr>
            <w:tcW w:w="1908" w:type="dxa"/>
            <w:tcMar>
              <w:left w:w="28" w:type="dxa"/>
              <w:right w:w="28" w:type="dxa"/>
            </w:tcMar>
            <w:vAlign w:val="center"/>
          </w:tcPr>
          <w:p w14:paraId="09422E77">
            <w:pPr>
              <w:spacing w:line="240" w:lineRule="exact"/>
              <w:jc w:val="center"/>
              <w:rPr>
                <w:rFonts w:ascii="宋体" w:hAnsi="宋体"/>
                <w:szCs w:val="21"/>
              </w:rPr>
            </w:pPr>
            <w:r>
              <w:rPr>
                <w:rFonts w:hint="eastAsia" w:ascii="宋体" w:hAnsi="宋体"/>
                <w:szCs w:val="21"/>
              </w:rPr>
              <w:t>工房名称</w:t>
            </w:r>
          </w:p>
        </w:tc>
        <w:tc>
          <w:tcPr>
            <w:tcW w:w="737" w:type="dxa"/>
            <w:tcMar>
              <w:left w:w="28" w:type="dxa"/>
              <w:right w:w="28" w:type="dxa"/>
            </w:tcMar>
            <w:vAlign w:val="center"/>
          </w:tcPr>
          <w:p w14:paraId="383DBFB6">
            <w:pPr>
              <w:spacing w:line="240" w:lineRule="exact"/>
              <w:jc w:val="center"/>
              <w:rPr>
                <w:rFonts w:ascii="宋体" w:hAnsi="宋体"/>
                <w:szCs w:val="21"/>
              </w:rPr>
            </w:pPr>
            <w:r>
              <w:rPr>
                <w:rFonts w:hint="eastAsia" w:ascii="宋体" w:hAnsi="宋体"/>
                <w:szCs w:val="21"/>
              </w:rPr>
              <w:t>危险</w:t>
            </w:r>
          </w:p>
          <w:p w14:paraId="382662B0">
            <w:pPr>
              <w:spacing w:line="240" w:lineRule="exact"/>
              <w:jc w:val="center"/>
              <w:rPr>
                <w:rFonts w:ascii="宋体" w:hAnsi="宋体"/>
                <w:szCs w:val="21"/>
              </w:rPr>
            </w:pPr>
            <w:r>
              <w:rPr>
                <w:rFonts w:hint="eastAsia" w:ascii="宋体" w:hAnsi="宋体"/>
                <w:szCs w:val="21"/>
              </w:rPr>
              <w:t>等级</w:t>
            </w:r>
          </w:p>
        </w:tc>
        <w:tc>
          <w:tcPr>
            <w:tcW w:w="1009" w:type="dxa"/>
            <w:tcMar>
              <w:left w:w="28" w:type="dxa"/>
              <w:right w:w="28" w:type="dxa"/>
            </w:tcMar>
            <w:vAlign w:val="center"/>
          </w:tcPr>
          <w:p w14:paraId="471CDA95">
            <w:pPr>
              <w:spacing w:line="240" w:lineRule="exact"/>
              <w:jc w:val="center"/>
              <w:rPr>
                <w:rFonts w:ascii="宋体" w:hAnsi="宋体"/>
                <w:szCs w:val="21"/>
              </w:rPr>
            </w:pPr>
            <w:r>
              <w:rPr>
                <w:rFonts w:hint="eastAsia" w:ascii="宋体" w:hAnsi="宋体"/>
                <w:szCs w:val="21"/>
              </w:rPr>
              <w:t>限药量(kg)</w:t>
            </w:r>
          </w:p>
        </w:tc>
        <w:tc>
          <w:tcPr>
            <w:tcW w:w="1550" w:type="dxa"/>
            <w:tcMar>
              <w:left w:w="28" w:type="dxa"/>
              <w:right w:w="28" w:type="dxa"/>
            </w:tcMar>
            <w:vAlign w:val="center"/>
          </w:tcPr>
          <w:p w14:paraId="6DB2A940">
            <w:pPr>
              <w:spacing w:line="240" w:lineRule="exact"/>
              <w:jc w:val="center"/>
              <w:rPr>
                <w:rFonts w:ascii="宋体" w:hAnsi="宋体"/>
                <w:szCs w:val="21"/>
              </w:rPr>
            </w:pPr>
            <w:r>
              <w:rPr>
                <w:rFonts w:hint="eastAsia" w:ascii="宋体" w:hAnsi="宋体"/>
                <w:szCs w:val="21"/>
              </w:rPr>
              <w:t>相邻工房</w:t>
            </w:r>
          </w:p>
          <w:p w14:paraId="75ABE384">
            <w:pPr>
              <w:spacing w:line="240" w:lineRule="exact"/>
              <w:jc w:val="center"/>
              <w:rPr>
                <w:rFonts w:ascii="宋体" w:hAnsi="宋体"/>
                <w:szCs w:val="21"/>
              </w:rPr>
            </w:pPr>
            <w:r>
              <w:rPr>
                <w:rFonts w:hint="eastAsia" w:ascii="宋体" w:hAnsi="宋体"/>
                <w:szCs w:val="21"/>
              </w:rPr>
              <w:t>名    称</w:t>
            </w:r>
          </w:p>
        </w:tc>
        <w:tc>
          <w:tcPr>
            <w:tcW w:w="709" w:type="dxa"/>
            <w:tcMar>
              <w:left w:w="28" w:type="dxa"/>
              <w:right w:w="28" w:type="dxa"/>
            </w:tcMar>
            <w:vAlign w:val="center"/>
          </w:tcPr>
          <w:p w14:paraId="7040A9CC">
            <w:pPr>
              <w:spacing w:line="240" w:lineRule="exact"/>
              <w:jc w:val="center"/>
              <w:rPr>
                <w:rFonts w:ascii="宋体" w:hAnsi="宋体"/>
                <w:szCs w:val="21"/>
              </w:rPr>
            </w:pPr>
            <w:r>
              <w:rPr>
                <w:rFonts w:hint="eastAsia" w:ascii="宋体" w:hAnsi="宋体"/>
                <w:szCs w:val="21"/>
              </w:rPr>
              <w:t>危险</w:t>
            </w:r>
          </w:p>
          <w:p w14:paraId="53871018">
            <w:pPr>
              <w:spacing w:line="240" w:lineRule="exact"/>
              <w:jc w:val="center"/>
              <w:rPr>
                <w:rFonts w:ascii="宋体" w:hAnsi="宋体"/>
                <w:szCs w:val="21"/>
              </w:rPr>
            </w:pPr>
            <w:r>
              <w:rPr>
                <w:rFonts w:hint="eastAsia" w:ascii="宋体" w:hAnsi="宋体"/>
                <w:szCs w:val="21"/>
              </w:rPr>
              <w:t>等级</w:t>
            </w:r>
          </w:p>
        </w:tc>
        <w:tc>
          <w:tcPr>
            <w:tcW w:w="850" w:type="dxa"/>
            <w:tcMar>
              <w:left w:w="28" w:type="dxa"/>
              <w:right w:w="28" w:type="dxa"/>
            </w:tcMar>
            <w:vAlign w:val="center"/>
          </w:tcPr>
          <w:p w14:paraId="7A1C45AD">
            <w:pPr>
              <w:spacing w:line="240" w:lineRule="exact"/>
              <w:jc w:val="center"/>
              <w:rPr>
                <w:rFonts w:ascii="宋体" w:hAnsi="宋体"/>
                <w:szCs w:val="21"/>
              </w:rPr>
            </w:pPr>
            <w:r>
              <w:rPr>
                <w:rFonts w:hint="eastAsia" w:ascii="宋体" w:hAnsi="宋体"/>
                <w:szCs w:val="21"/>
              </w:rPr>
              <w:t>限药量（Kg）</w:t>
            </w:r>
          </w:p>
        </w:tc>
        <w:tc>
          <w:tcPr>
            <w:tcW w:w="1132" w:type="dxa"/>
            <w:vAlign w:val="center"/>
          </w:tcPr>
          <w:p w14:paraId="4234320E">
            <w:pPr>
              <w:spacing w:line="240" w:lineRule="exact"/>
              <w:jc w:val="center"/>
              <w:rPr>
                <w:rFonts w:ascii="宋体" w:hAnsi="宋体"/>
                <w:szCs w:val="21"/>
              </w:rPr>
            </w:pPr>
            <w:r>
              <w:rPr>
                <w:rFonts w:hint="eastAsia" w:ascii="宋体" w:hAnsi="宋体"/>
                <w:szCs w:val="21"/>
              </w:rPr>
              <w:t>标准距离（m)</w:t>
            </w:r>
          </w:p>
        </w:tc>
        <w:tc>
          <w:tcPr>
            <w:tcW w:w="995" w:type="dxa"/>
            <w:tcMar>
              <w:left w:w="28" w:type="dxa"/>
              <w:right w:w="28" w:type="dxa"/>
            </w:tcMar>
            <w:vAlign w:val="center"/>
          </w:tcPr>
          <w:p w14:paraId="4F2114D5">
            <w:pPr>
              <w:spacing w:line="240" w:lineRule="exact"/>
              <w:jc w:val="center"/>
            </w:pPr>
            <w:r>
              <w:rPr>
                <w:rFonts w:hint="eastAsia" w:ascii="宋体" w:hAnsi="宋体"/>
                <w:szCs w:val="21"/>
              </w:rPr>
              <w:t>设计距离（m)</w:t>
            </w:r>
          </w:p>
        </w:tc>
      </w:tr>
      <w:tr w14:paraId="04ECF9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08" w:type="dxa"/>
            <w:vAlign w:val="center"/>
          </w:tcPr>
          <w:p w14:paraId="50FAA555">
            <w:pPr>
              <w:spacing w:line="260" w:lineRule="exact"/>
              <w:jc w:val="center"/>
              <w:rPr>
                <w:rFonts w:ascii="宋体" w:hAnsi="宋体"/>
                <w:b w:val="0"/>
                <w:bCs/>
                <w:szCs w:val="21"/>
              </w:rPr>
            </w:pPr>
            <w:r>
              <w:rPr>
                <w:rFonts w:hint="eastAsia" w:ascii="宋体" w:hAnsi="宋体"/>
                <w:b w:val="0"/>
                <w:bCs/>
                <w:szCs w:val="21"/>
              </w:rPr>
              <w:t>54#亮珠库</w:t>
            </w:r>
          </w:p>
        </w:tc>
        <w:tc>
          <w:tcPr>
            <w:tcW w:w="737" w:type="dxa"/>
            <w:vAlign w:val="center"/>
          </w:tcPr>
          <w:p w14:paraId="466D7223">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1009" w:type="dxa"/>
            <w:vAlign w:val="center"/>
          </w:tcPr>
          <w:p w14:paraId="3CA85C74">
            <w:pPr>
              <w:spacing w:line="260" w:lineRule="exact"/>
              <w:jc w:val="center"/>
              <w:rPr>
                <w:rFonts w:ascii="宋体" w:hAnsi="宋体"/>
                <w:b w:val="0"/>
                <w:bCs/>
                <w:szCs w:val="21"/>
              </w:rPr>
            </w:pPr>
            <w:r>
              <w:rPr>
                <w:rFonts w:hint="eastAsia" w:ascii="宋体" w:hAnsi="宋体"/>
                <w:b w:val="0"/>
                <w:bCs/>
                <w:szCs w:val="21"/>
              </w:rPr>
              <w:t>1000</w:t>
            </w:r>
          </w:p>
        </w:tc>
        <w:tc>
          <w:tcPr>
            <w:tcW w:w="1550" w:type="dxa"/>
            <w:vAlign w:val="center"/>
          </w:tcPr>
          <w:p w14:paraId="3F320CD7">
            <w:pPr>
              <w:spacing w:line="260" w:lineRule="exact"/>
              <w:jc w:val="center"/>
              <w:rPr>
                <w:rFonts w:ascii="宋体" w:hAnsi="宋体"/>
                <w:b w:val="0"/>
                <w:bCs/>
                <w:szCs w:val="21"/>
              </w:rPr>
            </w:pPr>
            <w:r>
              <w:rPr>
                <w:rFonts w:hint="eastAsia" w:ascii="宋体" w:hAnsi="宋体"/>
                <w:b w:val="0"/>
                <w:bCs/>
                <w:szCs w:val="21"/>
              </w:rPr>
              <w:t>53#单基火药中转</w:t>
            </w:r>
          </w:p>
        </w:tc>
        <w:tc>
          <w:tcPr>
            <w:tcW w:w="709" w:type="dxa"/>
            <w:shd w:val="clear" w:color="auto" w:fill="auto"/>
            <w:vAlign w:val="center"/>
          </w:tcPr>
          <w:p w14:paraId="2323A7EB">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-2</w:t>
            </w:r>
          </w:p>
        </w:tc>
        <w:tc>
          <w:tcPr>
            <w:tcW w:w="850" w:type="dxa"/>
            <w:shd w:val="clear" w:color="auto" w:fill="auto"/>
            <w:vAlign w:val="center"/>
          </w:tcPr>
          <w:p w14:paraId="2D090968">
            <w:pPr>
              <w:spacing w:line="260" w:lineRule="exact"/>
              <w:jc w:val="center"/>
              <w:rPr>
                <w:rFonts w:ascii="宋体" w:hAnsi="宋体"/>
                <w:b w:val="0"/>
                <w:bCs/>
                <w:szCs w:val="21"/>
              </w:rPr>
            </w:pPr>
            <w:r>
              <w:rPr>
                <w:rFonts w:hint="eastAsia" w:ascii="宋体" w:hAnsi="宋体"/>
                <w:b w:val="0"/>
                <w:bCs/>
                <w:szCs w:val="21"/>
              </w:rPr>
              <w:t>100</w:t>
            </w:r>
          </w:p>
        </w:tc>
        <w:tc>
          <w:tcPr>
            <w:tcW w:w="1132" w:type="dxa"/>
            <w:vAlign w:val="center"/>
          </w:tcPr>
          <w:p w14:paraId="0BAF7843">
            <w:pPr>
              <w:spacing w:line="260" w:lineRule="exact"/>
              <w:jc w:val="center"/>
              <w:rPr>
                <w:rFonts w:ascii="宋体" w:hAnsi="宋体"/>
                <w:b w:val="0"/>
                <w:bCs/>
                <w:szCs w:val="21"/>
              </w:rPr>
            </w:pPr>
            <w:r>
              <w:rPr>
                <w:rFonts w:hint="eastAsia" w:ascii="宋体" w:hAnsi="宋体"/>
                <w:b w:val="0"/>
                <w:bCs/>
                <w:szCs w:val="21"/>
              </w:rPr>
              <w:t>145</w:t>
            </w:r>
          </w:p>
        </w:tc>
        <w:tc>
          <w:tcPr>
            <w:tcW w:w="995" w:type="dxa"/>
            <w:vAlign w:val="center"/>
          </w:tcPr>
          <w:p w14:paraId="2F87503E">
            <w:pPr>
              <w:spacing w:line="260" w:lineRule="exact"/>
              <w:jc w:val="center"/>
              <w:rPr>
                <w:rFonts w:ascii="宋体" w:hAnsi="宋体"/>
                <w:b w:val="0"/>
                <w:bCs/>
                <w:szCs w:val="21"/>
              </w:rPr>
            </w:pPr>
            <w:r>
              <w:rPr>
                <w:rFonts w:hint="eastAsia" w:ascii="宋体" w:hAnsi="宋体"/>
                <w:b w:val="0"/>
                <w:bCs/>
                <w:szCs w:val="21"/>
              </w:rPr>
              <w:t>146</w:t>
            </w:r>
          </w:p>
        </w:tc>
      </w:tr>
      <w:tr w14:paraId="67609E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08" w:type="dxa"/>
            <w:vAlign w:val="center"/>
          </w:tcPr>
          <w:p w14:paraId="44380350">
            <w:pPr>
              <w:spacing w:line="260" w:lineRule="exact"/>
              <w:jc w:val="center"/>
              <w:rPr>
                <w:rFonts w:ascii="宋体" w:hAnsi="宋体"/>
                <w:b w:val="0"/>
                <w:bCs/>
                <w:szCs w:val="21"/>
              </w:rPr>
            </w:pPr>
            <w:r>
              <w:rPr>
                <w:rFonts w:hint="eastAsia" w:ascii="宋体" w:hAnsi="宋体"/>
                <w:b w:val="0"/>
                <w:bCs/>
                <w:szCs w:val="21"/>
              </w:rPr>
              <w:t>55#亮珠库</w:t>
            </w:r>
          </w:p>
        </w:tc>
        <w:tc>
          <w:tcPr>
            <w:tcW w:w="737" w:type="dxa"/>
            <w:vAlign w:val="center"/>
          </w:tcPr>
          <w:p w14:paraId="1F82A038">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1009" w:type="dxa"/>
            <w:vAlign w:val="center"/>
          </w:tcPr>
          <w:p w14:paraId="08EED8D2">
            <w:pPr>
              <w:spacing w:line="260" w:lineRule="exact"/>
              <w:jc w:val="center"/>
              <w:rPr>
                <w:rFonts w:ascii="宋体" w:hAnsi="宋体"/>
                <w:b w:val="0"/>
                <w:bCs/>
                <w:szCs w:val="21"/>
              </w:rPr>
            </w:pPr>
            <w:r>
              <w:rPr>
                <w:rFonts w:hint="eastAsia" w:ascii="宋体" w:hAnsi="宋体"/>
                <w:b w:val="0"/>
                <w:bCs/>
                <w:szCs w:val="21"/>
              </w:rPr>
              <w:t>1000</w:t>
            </w:r>
          </w:p>
        </w:tc>
        <w:tc>
          <w:tcPr>
            <w:tcW w:w="1550" w:type="dxa"/>
            <w:vAlign w:val="center"/>
          </w:tcPr>
          <w:p w14:paraId="05C60031">
            <w:pPr>
              <w:spacing w:line="260" w:lineRule="exact"/>
              <w:jc w:val="center"/>
              <w:rPr>
                <w:rFonts w:ascii="宋体" w:hAnsi="宋体"/>
                <w:b w:val="0"/>
                <w:bCs/>
                <w:szCs w:val="21"/>
              </w:rPr>
            </w:pPr>
            <w:r>
              <w:rPr>
                <w:rFonts w:hint="eastAsia" w:ascii="宋体" w:hAnsi="宋体"/>
                <w:b w:val="0"/>
                <w:bCs/>
                <w:szCs w:val="21"/>
              </w:rPr>
              <w:t>51#亮珠中转</w:t>
            </w:r>
          </w:p>
        </w:tc>
        <w:tc>
          <w:tcPr>
            <w:tcW w:w="709" w:type="dxa"/>
            <w:shd w:val="clear" w:color="auto" w:fill="auto"/>
            <w:vAlign w:val="center"/>
          </w:tcPr>
          <w:p w14:paraId="0A3B1DBA">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850" w:type="dxa"/>
            <w:shd w:val="clear" w:color="auto" w:fill="auto"/>
            <w:vAlign w:val="center"/>
          </w:tcPr>
          <w:p w14:paraId="68051C3B">
            <w:pPr>
              <w:spacing w:line="260" w:lineRule="exact"/>
              <w:jc w:val="center"/>
              <w:rPr>
                <w:rFonts w:ascii="宋体" w:hAnsi="宋体"/>
                <w:b w:val="0"/>
                <w:bCs/>
                <w:szCs w:val="21"/>
              </w:rPr>
            </w:pPr>
            <w:r>
              <w:rPr>
                <w:rFonts w:hint="eastAsia" w:ascii="宋体" w:hAnsi="宋体"/>
                <w:b w:val="0"/>
                <w:bCs/>
                <w:szCs w:val="21"/>
              </w:rPr>
              <w:t>100</w:t>
            </w:r>
          </w:p>
        </w:tc>
        <w:tc>
          <w:tcPr>
            <w:tcW w:w="1132" w:type="dxa"/>
            <w:vAlign w:val="center"/>
          </w:tcPr>
          <w:p w14:paraId="36EFBB94">
            <w:pPr>
              <w:spacing w:line="260" w:lineRule="exact"/>
              <w:jc w:val="center"/>
              <w:rPr>
                <w:rFonts w:ascii="宋体" w:hAnsi="宋体"/>
                <w:b w:val="0"/>
                <w:bCs/>
                <w:szCs w:val="21"/>
              </w:rPr>
            </w:pPr>
            <w:r>
              <w:rPr>
                <w:rFonts w:hint="eastAsia" w:ascii="宋体" w:hAnsi="宋体"/>
                <w:b w:val="0"/>
                <w:bCs/>
                <w:szCs w:val="21"/>
              </w:rPr>
              <w:t>145</w:t>
            </w:r>
          </w:p>
        </w:tc>
        <w:tc>
          <w:tcPr>
            <w:tcW w:w="995" w:type="dxa"/>
            <w:vAlign w:val="center"/>
          </w:tcPr>
          <w:p w14:paraId="51F80853">
            <w:pPr>
              <w:spacing w:line="260" w:lineRule="exact"/>
              <w:jc w:val="center"/>
              <w:rPr>
                <w:rFonts w:ascii="宋体" w:hAnsi="宋体"/>
                <w:b w:val="0"/>
                <w:bCs/>
                <w:szCs w:val="21"/>
              </w:rPr>
            </w:pPr>
            <w:r>
              <w:rPr>
                <w:rFonts w:hint="eastAsia" w:ascii="宋体" w:hAnsi="宋体"/>
                <w:b w:val="0"/>
                <w:bCs/>
                <w:szCs w:val="21"/>
              </w:rPr>
              <w:t>156</w:t>
            </w:r>
          </w:p>
        </w:tc>
      </w:tr>
      <w:tr w14:paraId="02A3A4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08" w:type="dxa"/>
            <w:vAlign w:val="center"/>
          </w:tcPr>
          <w:p w14:paraId="71D271E3">
            <w:pPr>
              <w:spacing w:line="260" w:lineRule="exact"/>
              <w:jc w:val="center"/>
              <w:rPr>
                <w:rFonts w:ascii="宋体" w:hAnsi="宋体"/>
                <w:b w:val="0"/>
                <w:bCs/>
                <w:szCs w:val="21"/>
              </w:rPr>
            </w:pPr>
            <w:r>
              <w:rPr>
                <w:rFonts w:hint="eastAsia" w:ascii="宋体" w:hAnsi="宋体"/>
                <w:b w:val="0"/>
                <w:bCs/>
                <w:szCs w:val="21"/>
              </w:rPr>
              <w:t>56#亮珠库</w:t>
            </w:r>
          </w:p>
        </w:tc>
        <w:tc>
          <w:tcPr>
            <w:tcW w:w="737" w:type="dxa"/>
            <w:vAlign w:val="center"/>
          </w:tcPr>
          <w:p w14:paraId="0F530150">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1009" w:type="dxa"/>
            <w:vAlign w:val="center"/>
          </w:tcPr>
          <w:p w14:paraId="05E90EF0">
            <w:pPr>
              <w:spacing w:line="260" w:lineRule="exact"/>
              <w:jc w:val="center"/>
              <w:rPr>
                <w:rFonts w:ascii="宋体" w:hAnsi="宋体"/>
                <w:b w:val="0"/>
                <w:bCs/>
                <w:szCs w:val="21"/>
              </w:rPr>
            </w:pPr>
            <w:r>
              <w:rPr>
                <w:rFonts w:hint="eastAsia" w:ascii="宋体" w:hAnsi="宋体"/>
                <w:b w:val="0"/>
                <w:bCs/>
                <w:szCs w:val="21"/>
              </w:rPr>
              <w:t>500</w:t>
            </w:r>
          </w:p>
        </w:tc>
        <w:tc>
          <w:tcPr>
            <w:tcW w:w="1550" w:type="dxa"/>
            <w:vAlign w:val="center"/>
          </w:tcPr>
          <w:p w14:paraId="7596C2E5">
            <w:pPr>
              <w:spacing w:line="260" w:lineRule="exact"/>
              <w:jc w:val="center"/>
              <w:rPr>
                <w:rFonts w:ascii="宋体" w:hAnsi="宋体"/>
                <w:b w:val="0"/>
                <w:bCs/>
                <w:szCs w:val="21"/>
              </w:rPr>
            </w:pPr>
            <w:r>
              <w:rPr>
                <w:rFonts w:hint="eastAsia" w:ascii="宋体" w:hAnsi="宋体"/>
                <w:b w:val="0"/>
                <w:bCs/>
                <w:szCs w:val="21"/>
              </w:rPr>
              <w:t>51#亮珠中转</w:t>
            </w:r>
          </w:p>
        </w:tc>
        <w:tc>
          <w:tcPr>
            <w:tcW w:w="709" w:type="dxa"/>
            <w:vAlign w:val="center"/>
          </w:tcPr>
          <w:p w14:paraId="117378CF">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850" w:type="dxa"/>
            <w:vAlign w:val="center"/>
          </w:tcPr>
          <w:p w14:paraId="7419D4A6">
            <w:pPr>
              <w:spacing w:line="260" w:lineRule="exact"/>
              <w:jc w:val="center"/>
              <w:rPr>
                <w:rFonts w:ascii="宋体" w:hAnsi="宋体"/>
                <w:b w:val="0"/>
                <w:bCs/>
                <w:szCs w:val="21"/>
              </w:rPr>
            </w:pPr>
            <w:r>
              <w:rPr>
                <w:rFonts w:hint="eastAsia" w:ascii="宋体" w:hAnsi="宋体"/>
                <w:b w:val="0"/>
                <w:bCs/>
                <w:szCs w:val="21"/>
              </w:rPr>
              <w:t>100</w:t>
            </w:r>
          </w:p>
        </w:tc>
        <w:tc>
          <w:tcPr>
            <w:tcW w:w="1132" w:type="dxa"/>
            <w:vAlign w:val="center"/>
          </w:tcPr>
          <w:p w14:paraId="3F3E6E28">
            <w:pPr>
              <w:spacing w:line="260" w:lineRule="exact"/>
              <w:jc w:val="center"/>
              <w:rPr>
                <w:rFonts w:ascii="宋体" w:hAnsi="宋体"/>
                <w:b w:val="0"/>
                <w:bCs/>
                <w:szCs w:val="21"/>
              </w:rPr>
            </w:pPr>
            <w:r>
              <w:rPr>
                <w:rFonts w:hint="eastAsia" w:ascii="宋体" w:hAnsi="宋体"/>
                <w:b w:val="0"/>
                <w:bCs/>
                <w:szCs w:val="21"/>
              </w:rPr>
              <w:t>115</w:t>
            </w:r>
          </w:p>
        </w:tc>
        <w:tc>
          <w:tcPr>
            <w:tcW w:w="995" w:type="dxa"/>
            <w:vAlign w:val="center"/>
          </w:tcPr>
          <w:p w14:paraId="4FAC602F">
            <w:pPr>
              <w:spacing w:line="260" w:lineRule="exact"/>
              <w:jc w:val="center"/>
              <w:rPr>
                <w:rFonts w:ascii="宋体" w:hAnsi="宋体"/>
                <w:b w:val="0"/>
                <w:bCs/>
                <w:szCs w:val="21"/>
              </w:rPr>
            </w:pPr>
            <w:r>
              <w:rPr>
                <w:rFonts w:hint="eastAsia" w:ascii="宋体" w:hAnsi="宋体"/>
                <w:b w:val="0"/>
                <w:bCs/>
                <w:szCs w:val="21"/>
              </w:rPr>
              <w:t>149</w:t>
            </w:r>
          </w:p>
        </w:tc>
      </w:tr>
      <w:tr w14:paraId="05A373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08" w:type="dxa"/>
            <w:vAlign w:val="center"/>
          </w:tcPr>
          <w:p w14:paraId="131067A2">
            <w:pPr>
              <w:spacing w:line="260" w:lineRule="exact"/>
              <w:jc w:val="center"/>
              <w:rPr>
                <w:rFonts w:ascii="宋体" w:hAnsi="宋体"/>
                <w:b w:val="0"/>
                <w:bCs/>
                <w:szCs w:val="21"/>
              </w:rPr>
            </w:pPr>
            <w:r>
              <w:rPr>
                <w:rFonts w:hint="eastAsia" w:ascii="宋体" w:hAnsi="宋体"/>
                <w:b w:val="0"/>
                <w:bCs/>
                <w:szCs w:val="21"/>
              </w:rPr>
              <w:t>57#亮珠库</w:t>
            </w:r>
          </w:p>
        </w:tc>
        <w:tc>
          <w:tcPr>
            <w:tcW w:w="737" w:type="dxa"/>
            <w:vAlign w:val="center"/>
          </w:tcPr>
          <w:p w14:paraId="17770E4E">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1009" w:type="dxa"/>
            <w:vAlign w:val="center"/>
          </w:tcPr>
          <w:p w14:paraId="1F65E02C">
            <w:pPr>
              <w:spacing w:line="260" w:lineRule="exact"/>
              <w:jc w:val="center"/>
              <w:rPr>
                <w:rFonts w:ascii="宋体" w:hAnsi="宋体"/>
                <w:b w:val="0"/>
                <w:bCs/>
                <w:szCs w:val="21"/>
              </w:rPr>
            </w:pPr>
            <w:r>
              <w:rPr>
                <w:rFonts w:hint="eastAsia" w:ascii="宋体" w:hAnsi="宋体"/>
                <w:b w:val="0"/>
                <w:bCs/>
                <w:szCs w:val="21"/>
              </w:rPr>
              <w:t>1000</w:t>
            </w:r>
          </w:p>
        </w:tc>
        <w:tc>
          <w:tcPr>
            <w:tcW w:w="1550" w:type="dxa"/>
            <w:vAlign w:val="center"/>
          </w:tcPr>
          <w:p w14:paraId="5A7F53A3">
            <w:pPr>
              <w:spacing w:line="260" w:lineRule="exact"/>
              <w:jc w:val="center"/>
              <w:rPr>
                <w:rFonts w:ascii="宋体" w:hAnsi="宋体"/>
                <w:b w:val="0"/>
                <w:bCs/>
                <w:szCs w:val="21"/>
              </w:rPr>
            </w:pPr>
            <w:r>
              <w:rPr>
                <w:rFonts w:hint="eastAsia" w:ascii="宋体" w:hAnsi="宋体"/>
                <w:b w:val="0"/>
                <w:bCs/>
                <w:szCs w:val="21"/>
              </w:rPr>
              <w:t>51#亮珠中转</w:t>
            </w:r>
          </w:p>
        </w:tc>
        <w:tc>
          <w:tcPr>
            <w:tcW w:w="709" w:type="dxa"/>
            <w:vAlign w:val="center"/>
          </w:tcPr>
          <w:p w14:paraId="46C66A12">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850" w:type="dxa"/>
            <w:vAlign w:val="center"/>
          </w:tcPr>
          <w:p w14:paraId="4717517F">
            <w:pPr>
              <w:spacing w:line="260" w:lineRule="exact"/>
              <w:jc w:val="center"/>
              <w:rPr>
                <w:rFonts w:ascii="宋体" w:hAnsi="宋体"/>
                <w:b w:val="0"/>
                <w:bCs/>
                <w:szCs w:val="21"/>
              </w:rPr>
            </w:pPr>
            <w:r>
              <w:rPr>
                <w:rFonts w:hint="eastAsia" w:ascii="宋体" w:hAnsi="宋体"/>
                <w:b w:val="0"/>
                <w:bCs/>
                <w:szCs w:val="21"/>
              </w:rPr>
              <w:t>100</w:t>
            </w:r>
          </w:p>
        </w:tc>
        <w:tc>
          <w:tcPr>
            <w:tcW w:w="1132" w:type="dxa"/>
            <w:vAlign w:val="center"/>
          </w:tcPr>
          <w:p w14:paraId="7A78ED6F">
            <w:pPr>
              <w:spacing w:line="260" w:lineRule="exact"/>
              <w:jc w:val="center"/>
              <w:rPr>
                <w:rFonts w:ascii="宋体" w:hAnsi="宋体"/>
                <w:b w:val="0"/>
                <w:bCs/>
                <w:szCs w:val="21"/>
              </w:rPr>
            </w:pPr>
            <w:r>
              <w:rPr>
                <w:rFonts w:hint="eastAsia" w:ascii="宋体" w:hAnsi="宋体"/>
                <w:b w:val="0"/>
                <w:bCs/>
                <w:szCs w:val="21"/>
              </w:rPr>
              <w:t>145</w:t>
            </w:r>
          </w:p>
        </w:tc>
        <w:tc>
          <w:tcPr>
            <w:tcW w:w="995" w:type="dxa"/>
            <w:vAlign w:val="center"/>
          </w:tcPr>
          <w:p w14:paraId="23BF4FBA">
            <w:pPr>
              <w:spacing w:line="260" w:lineRule="exact"/>
              <w:jc w:val="center"/>
              <w:rPr>
                <w:rFonts w:ascii="宋体" w:hAnsi="宋体"/>
                <w:b w:val="0"/>
                <w:bCs/>
                <w:szCs w:val="21"/>
              </w:rPr>
            </w:pPr>
            <w:r>
              <w:rPr>
                <w:rFonts w:hint="eastAsia" w:ascii="宋体" w:hAnsi="宋体"/>
                <w:b w:val="0"/>
                <w:bCs/>
                <w:szCs w:val="21"/>
              </w:rPr>
              <w:t>146</w:t>
            </w:r>
          </w:p>
        </w:tc>
      </w:tr>
      <w:tr w14:paraId="4697E9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08" w:type="dxa"/>
            <w:vAlign w:val="center"/>
          </w:tcPr>
          <w:p w14:paraId="07FBE440">
            <w:pPr>
              <w:spacing w:line="260" w:lineRule="exact"/>
              <w:jc w:val="center"/>
              <w:rPr>
                <w:rFonts w:ascii="宋体" w:hAnsi="宋体"/>
                <w:b w:val="0"/>
                <w:bCs/>
                <w:szCs w:val="21"/>
              </w:rPr>
            </w:pPr>
            <w:r>
              <w:rPr>
                <w:rFonts w:hint="eastAsia" w:ascii="宋体" w:hAnsi="宋体"/>
                <w:b w:val="0"/>
                <w:bCs/>
                <w:szCs w:val="21"/>
              </w:rPr>
              <w:t>58#黑火药库</w:t>
            </w:r>
          </w:p>
        </w:tc>
        <w:tc>
          <w:tcPr>
            <w:tcW w:w="737" w:type="dxa"/>
            <w:shd w:val="clear" w:color="auto" w:fill="auto"/>
            <w:vAlign w:val="center"/>
          </w:tcPr>
          <w:p w14:paraId="1F5236CA">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1009" w:type="dxa"/>
            <w:shd w:val="clear" w:color="auto" w:fill="auto"/>
            <w:vAlign w:val="center"/>
          </w:tcPr>
          <w:p w14:paraId="685CD5AC">
            <w:pPr>
              <w:spacing w:line="260" w:lineRule="exact"/>
              <w:jc w:val="center"/>
              <w:rPr>
                <w:rFonts w:ascii="宋体" w:hAnsi="宋体"/>
                <w:b w:val="0"/>
                <w:bCs/>
                <w:szCs w:val="21"/>
              </w:rPr>
            </w:pPr>
            <w:r>
              <w:rPr>
                <w:rFonts w:hint="eastAsia" w:ascii="宋体" w:hAnsi="宋体"/>
                <w:b w:val="0"/>
                <w:bCs/>
                <w:szCs w:val="21"/>
              </w:rPr>
              <w:t>1000</w:t>
            </w:r>
          </w:p>
        </w:tc>
        <w:tc>
          <w:tcPr>
            <w:tcW w:w="1550" w:type="dxa"/>
            <w:shd w:val="clear" w:color="auto" w:fill="auto"/>
            <w:vAlign w:val="center"/>
          </w:tcPr>
          <w:p w14:paraId="06B50214">
            <w:pPr>
              <w:spacing w:line="260" w:lineRule="exact"/>
              <w:jc w:val="center"/>
              <w:rPr>
                <w:rFonts w:ascii="宋体" w:hAnsi="宋体"/>
                <w:b w:val="0"/>
                <w:bCs/>
                <w:szCs w:val="21"/>
              </w:rPr>
            </w:pPr>
            <w:r>
              <w:rPr>
                <w:rFonts w:hint="eastAsia" w:ascii="宋体" w:hAnsi="宋体"/>
                <w:b w:val="0"/>
                <w:bCs/>
                <w:szCs w:val="21"/>
              </w:rPr>
              <w:t>51#亮珠中转</w:t>
            </w:r>
          </w:p>
        </w:tc>
        <w:tc>
          <w:tcPr>
            <w:tcW w:w="709" w:type="dxa"/>
            <w:shd w:val="clear" w:color="auto" w:fill="auto"/>
            <w:vAlign w:val="center"/>
          </w:tcPr>
          <w:p w14:paraId="7DDA4E82">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850" w:type="dxa"/>
            <w:shd w:val="clear" w:color="auto" w:fill="auto"/>
            <w:vAlign w:val="center"/>
          </w:tcPr>
          <w:p w14:paraId="0BD258EB">
            <w:pPr>
              <w:spacing w:line="260" w:lineRule="exact"/>
              <w:jc w:val="center"/>
              <w:rPr>
                <w:rFonts w:ascii="宋体" w:hAnsi="宋体"/>
                <w:b w:val="0"/>
                <w:bCs/>
                <w:szCs w:val="21"/>
              </w:rPr>
            </w:pPr>
            <w:r>
              <w:rPr>
                <w:rFonts w:hint="eastAsia" w:ascii="宋体" w:hAnsi="宋体"/>
                <w:b w:val="0"/>
                <w:bCs/>
                <w:szCs w:val="21"/>
              </w:rPr>
              <w:t>100</w:t>
            </w:r>
          </w:p>
        </w:tc>
        <w:tc>
          <w:tcPr>
            <w:tcW w:w="1132" w:type="dxa"/>
            <w:shd w:val="clear" w:color="auto" w:fill="auto"/>
            <w:vAlign w:val="center"/>
          </w:tcPr>
          <w:p w14:paraId="2FA1C790">
            <w:pPr>
              <w:spacing w:line="260" w:lineRule="exact"/>
              <w:jc w:val="center"/>
              <w:rPr>
                <w:rFonts w:ascii="宋体" w:hAnsi="宋体"/>
                <w:b w:val="0"/>
                <w:bCs/>
                <w:szCs w:val="21"/>
              </w:rPr>
            </w:pPr>
            <w:r>
              <w:rPr>
                <w:rFonts w:hint="eastAsia" w:ascii="宋体" w:hAnsi="宋体"/>
                <w:b w:val="0"/>
                <w:bCs/>
                <w:szCs w:val="21"/>
              </w:rPr>
              <w:t>145</w:t>
            </w:r>
          </w:p>
        </w:tc>
        <w:tc>
          <w:tcPr>
            <w:tcW w:w="995" w:type="dxa"/>
            <w:vAlign w:val="center"/>
          </w:tcPr>
          <w:p w14:paraId="656E6265">
            <w:pPr>
              <w:spacing w:line="260" w:lineRule="exact"/>
              <w:jc w:val="center"/>
              <w:rPr>
                <w:rFonts w:ascii="宋体" w:hAnsi="宋体"/>
                <w:b w:val="0"/>
                <w:bCs/>
                <w:szCs w:val="21"/>
              </w:rPr>
            </w:pPr>
            <w:r>
              <w:rPr>
                <w:rFonts w:hint="eastAsia" w:ascii="宋体" w:hAnsi="宋体"/>
                <w:b w:val="0"/>
                <w:bCs/>
                <w:szCs w:val="21"/>
              </w:rPr>
              <w:t>156</w:t>
            </w:r>
          </w:p>
        </w:tc>
      </w:tr>
      <w:tr w14:paraId="3670BA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08" w:type="dxa"/>
            <w:vAlign w:val="center"/>
          </w:tcPr>
          <w:p w14:paraId="37B0B272">
            <w:pPr>
              <w:spacing w:line="260" w:lineRule="exact"/>
              <w:jc w:val="center"/>
              <w:rPr>
                <w:rFonts w:ascii="宋体" w:hAnsi="宋体"/>
                <w:b w:val="0"/>
                <w:bCs/>
                <w:szCs w:val="21"/>
              </w:rPr>
            </w:pPr>
            <w:r>
              <w:rPr>
                <w:rFonts w:hint="eastAsia" w:ascii="宋体" w:hAnsi="宋体"/>
                <w:b w:val="0"/>
                <w:bCs/>
                <w:szCs w:val="21"/>
              </w:rPr>
              <w:t>59#黑火药库</w:t>
            </w:r>
          </w:p>
        </w:tc>
        <w:tc>
          <w:tcPr>
            <w:tcW w:w="737" w:type="dxa"/>
            <w:vAlign w:val="center"/>
          </w:tcPr>
          <w:p w14:paraId="4BDEB116">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-2</w:t>
            </w:r>
          </w:p>
        </w:tc>
        <w:tc>
          <w:tcPr>
            <w:tcW w:w="1009" w:type="dxa"/>
            <w:vAlign w:val="center"/>
          </w:tcPr>
          <w:p w14:paraId="724E34A6">
            <w:pPr>
              <w:spacing w:line="260" w:lineRule="exact"/>
              <w:jc w:val="center"/>
              <w:rPr>
                <w:rFonts w:ascii="宋体" w:hAnsi="宋体"/>
                <w:b w:val="0"/>
                <w:bCs/>
                <w:szCs w:val="21"/>
              </w:rPr>
            </w:pPr>
            <w:r>
              <w:rPr>
                <w:rFonts w:hint="eastAsia" w:ascii="宋体" w:hAnsi="宋体"/>
                <w:b w:val="0"/>
                <w:bCs/>
                <w:szCs w:val="21"/>
              </w:rPr>
              <w:t>1000</w:t>
            </w:r>
          </w:p>
        </w:tc>
        <w:tc>
          <w:tcPr>
            <w:tcW w:w="1550" w:type="dxa"/>
            <w:shd w:val="clear" w:color="auto" w:fill="auto"/>
            <w:vAlign w:val="center"/>
          </w:tcPr>
          <w:p w14:paraId="6DE9EFAD">
            <w:pPr>
              <w:spacing w:line="260" w:lineRule="exact"/>
              <w:jc w:val="center"/>
              <w:rPr>
                <w:rFonts w:ascii="宋体" w:hAnsi="宋体"/>
                <w:b w:val="0"/>
                <w:bCs/>
                <w:szCs w:val="21"/>
              </w:rPr>
            </w:pPr>
            <w:r>
              <w:rPr>
                <w:rFonts w:hint="eastAsia" w:ascii="宋体" w:hAnsi="宋体"/>
                <w:b w:val="0"/>
                <w:bCs/>
                <w:szCs w:val="21"/>
              </w:rPr>
              <w:t>51#亮珠中转</w:t>
            </w:r>
          </w:p>
        </w:tc>
        <w:tc>
          <w:tcPr>
            <w:tcW w:w="709" w:type="dxa"/>
            <w:shd w:val="clear" w:color="auto" w:fill="auto"/>
            <w:vAlign w:val="center"/>
          </w:tcPr>
          <w:p w14:paraId="5237BD17">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850" w:type="dxa"/>
            <w:shd w:val="clear" w:color="auto" w:fill="auto"/>
            <w:vAlign w:val="center"/>
          </w:tcPr>
          <w:p w14:paraId="1E8D8203">
            <w:pPr>
              <w:spacing w:line="260" w:lineRule="exact"/>
              <w:jc w:val="center"/>
              <w:rPr>
                <w:rFonts w:ascii="宋体" w:hAnsi="宋体"/>
                <w:b w:val="0"/>
                <w:bCs/>
                <w:szCs w:val="21"/>
              </w:rPr>
            </w:pPr>
            <w:r>
              <w:rPr>
                <w:rFonts w:hint="eastAsia" w:ascii="宋体" w:hAnsi="宋体"/>
                <w:b w:val="0"/>
                <w:bCs/>
                <w:szCs w:val="21"/>
              </w:rPr>
              <w:t>100</w:t>
            </w:r>
          </w:p>
        </w:tc>
        <w:tc>
          <w:tcPr>
            <w:tcW w:w="1132" w:type="dxa"/>
            <w:shd w:val="clear" w:color="auto" w:fill="auto"/>
            <w:vAlign w:val="center"/>
          </w:tcPr>
          <w:p w14:paraId="3C9712E2">
            <w:pPr>
              <w:spacing w:line="260" w:lineRule="exact"/>
              <w:jc w:val="center"/>
              <w:rPr>
                <w:rFonts w:ascii="宋体" w:hAnsi="宋体"/>
                <w:b w:val="0"/>
                <w:bCs/>
                <w:szCs w:val="21"/>
              </w:rPr>
            </w:pPr>
            <w:r>
              <w:rPr>
                <w:rFonts w:hint="eastAsia" w:ascii="宋体" w:hAnsi="宋体"/>
                <w:b w:val="0"/>
                <w:bCs/>
                <w:szCs w:val="21"/>
              </w:rPr>
              <w:t>145</w:t>
            </w:r>
          </w:p>
        </w:tc>
        <w:tc>
          <w:tcPr>
            <w:tcW w:w="995" w:type="dxa"/>
            <w:vAlign w:val="center"/>
          </w:tcPr>
          <w:p w14:paraId="4DC88087">
            <w:pPr>
              <w:spacing w:line="260" w:lineRule="exact"/>
              <w:jc w:val="center"/>
              <w:rPr>
                <w:rFonts w:ascii="宋体" w:hAnsi="宋体"/>
                <w:b w:val="0"/>
                <w:bCs/>
                <w:szCs w:val="21"/>
              </w:rPr>
            </w:pPr>
            <w:r>
              <w:rPr>
                <w:rFonts w:hint="eastAsia" w:ascii="宋体" w:hAnsi="宋体"/>
                <w:b w:val="0"/>
                <w:bCs/>
                <w:szCs w:val="21"/>
              </w:rPr>
              <w:t>145</w:t>
            </w:r>
          </w:p>
        </w:tc>
      </w:tr>
      <w:tr w14:paraId="3867C3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08" w:type="dxa"/>
            <w:vAlign w:val="center"/>
          </w:tcPr>
          <w:p w14:paraId="791C62A5">
            <w:pPr>
              <w:spacing w:line="260" w:lineRule="exact"/>
              <w:jc w:val="center"/>
              <w:rPr>
                <w:rFonts w:ascii="宋体" w:hAnsi="宋体"/>
                <w:b w:val="0"/>
                <w:bCs/>
                <w:szCs w:val="21"/>
              </w:rPr>
            </w:pPr>
            <w:r>
              <w:rPr>
                <w:rFonts w:hint="eastAsia" w:ascii="宋体" w:hAnsi="宋体"/>
                <w:b w:val="0"/>
                <w:bCs/>
                <w:szCs w:val="21"/>
              </w:rPr>
              <w:t>60#黑火药库</w:t>
            </w:r>
          </w:p>
        </w:tc>
        <w:tc>
          <w:tcPr>
            <w:tcW w:w="737" w:type="dxa"/>
            <w:vAlign w:val="center"/>
          </w:tcPr>
          <w:p w14:paraId="1CF78301">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-2</w:t>
            </w:r>
          </w:p>
        </w:tc>
        <w:tc>
          <w:tcPr>
            <w:tcW w:w="1009" w:type="dxa"/>
            <w:vAlign w:val="center"/>
          </w:tcPr>
          <w:p w14:paraId="2E55EAEE">
            <w:pPr>
              <w:spacing w:line="260" w:lineRule="exact"/>
              <w:jc w:val="center"/>
              <w:rPr>
                <w:rFonts w:ascii="宋体" w:hAnsi="宋体"/>
                <w:b w:val="0"/>
                <w:bCs/>
                <w:szCs w:val="21"/>
              </w:rPr>
            </w:pPr>
            <w:r>
              <w:rPr>
                <w:rFonts w:hint="eastAsia" w:ascii="宋体" w:hAnsi="宋体"/>
                <w:b w:val="0"/>
                <w:bCs/>
                <w:szCs w:val="21"/>
              </w:rPr>
              <w:t>1000</w:t>
            </w:r>
          </w:p>
        </w:tc>
        <w:tc>
          <w:tcPr>
            <w:tcW w:w="1550" w:type="dxa"/>
            <w:vAlign w:val="center"/>
          </w:tcPr>
          <w:p w14:paraId="7542E9DB">
            <w:pPr>
              <w:spacing w:line="260" w:lineRule="exact"/>
              <w:jc w:val="center"/>
              <w:rPr>
                <w:rFonts w:ascii="宋体" w:hAnsi="宋体"/>
                <w:b w:val="0"/>
                <w:bCs/>
                <w:szCs w:val="21"/>
              </w:rPr>
            </w:pPr>
            <w:r>
              <w:rPr>
                <w:rFonts w:hint="eastAsia" w:ascii="宋体" w:hAnsi="宋体"/>
                <w:b w:val="0"/>
                <w:bCs/>
                <w:szCs w:val="21"/>
              </w:rPr>
              <w:t>50#化工原材料库</w:t>
            </w:r>
          </w:p>
        </w:tc>
        <w:tc>
          <w:tcPr>
            <w:tcW w:w="709" w:type="dxa"/>
            <w:vAlign w:val="center"/>
          </w:tcPr>
          <w:p w14:paraId="22E94DBD">
            <w:pPr>
              <w:jc w:val="center"/>
              <w:rPr>
                <w:rFonts w:ascii="宋体" w:hAnsi="宋体"/>
                <w:b w:val="0"/>
                <w:bCs/>
                <w:szCs w:val="21"/>
              </w:rPr>
            </w:pPr>
            <w:r>
              <w:rPr>
                <w:rFonts w:hint="eastAsia" w:ascii="宋体" w:hAnsi="宋体"/>
                <w:b w:val="0"/>
                <w:bCs/>
                <w:szCs w:val="21"/>
              </w:rPr>
              <w:t>甲类</w:t>
            </w:r>
          </w:p>
        </w:tc>
        <w:tc>
          <w:tcPr>
            <w:tcW w:w="850" w:type="dxa"/>
            <w:vAlign w:val="center"/>
          </w:tcPr>
          <w:p w14:paraId="42CF55E5">
            <w:pPr>
              <w:jc w:val="center"/>
              <w:rPr>
                <w:rFonts w:ascii="宋体" w:hAnsi="宋体"/>
                <w:b w:val="0"/>
                <w:bCs/>
                <w:szCs w:val="21"/>
              </w:rPr>
            </w:pPr>
            <w:r>
              <w:rPr>
                <w:rFonts w:hint="eastAsia" w:ascii="宋体" w:hAnsi="宋体"/>
                <w:b w:val="0"/>
                <w:bCs/>
                <w:szCs w:val="21"/>
              </w:rPr>
              <w:t>2000</w:t>
            </w:r>
          </w:p>
        </w:tc>
        <w:tc>
          <w:tcPr>
            <w:tcW w:w="1132" w:type="dxa"/>
            <w:vAlign w:val="center"/>
          </w:tcPr>
          <w:p w14:paraId="28FA4459">
            <w:pPr>
              <w:spacing w:line="260" w:lineRule="exact"/>
              <w:jc w:val="center"/>
              <w:rPr>
                <w:rFonts w:ascii="宋体" w:hAnsi="宋体"/>
                <w:b w:val="0"/>
                <w:bCs/>
                <w:szCs w:val="21"/>
              </w:rPr>
            </w:pPr>
            <w:r>
              <w:rPr>
                <w:rFonts w:hint="eastAsia" w:ascii="宋体" w:hAnsi="宋体"/>
                <w:b w:val="0"/>
                <w:bCs/>
                <w:szCs w:val="21"/>
              </w:rPr>
              <w:t>145</w:t>
            </w:r>
          </w:p>
        </w:tc>
        <w:tc>
          <w:tcPr>
            <w:tcW w:w="995" w:type="dxa"/>
            <w:vAlign w:val="center"/>
          </w:tcPr>
          <w:p w14:paraId="515C747F">
            <w:pPr>
              <w:spacing w:line="260" w:lineRule="exact"/>
              <w:jc w:val="center"/>
              <w:rPr>
                <w:rFonts w:ascii="宋体" w:hAnsi="宋体"/>
                <w:b w:val="0"/>
                <w:bCs/>
                <w:szCs w:val="21"/>
              </w:rPr>
            </w:pPr>
            <w:r>
              <w:rPr>
                <w:rFonts w:hint="eastAsia" w:ascii="宋体" w:hAnsi="宋体"/>
                <w:b w:val="0"/>
                <w:bCs/>
                <w:szCs w:val="21"/>
              </w:rPr>
              <w:t>148</w:t>
            </w:r>
          </w:p>
        </w:tc>
      </w:tr>
      <w:tr w14:paraId="541528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08" w:type="dxa"/>
            <w:vAlign w:val="center"/>
          </w:tcPr>
          <w:p w14:paraId="7E04ED5D">
            <w:pPr>
              <w:spacing w:line="260" w:lineRule="exact"/>
              <w:jc w:val="center"/>
              <w:rPr>
                <w:rFonts w:ascii="宋体" w:hAnsi="宋体"/>
                <w:b w:val="0"/>
                <w:bCs/>
                <w:szCs w:val="21"/>
              </w:rPr>
            </w:pPr>
            <w:r>
              <w:rPr>
                <w:rFonts w:hint="eastAsia" w:ascii="宋体" w:hAnsi="宋体"/>
                <w:b w:val="0"/>
                <w:bCs/>
                <w:szCs w:val="21"/>
              </w:rPr>
              <w:t>63#引线库</w:t>
            </w:r>
          </w:p>
        </w:tc>
        <w:tc>
          <w:tcPr>
            <w:tcW w:w="737" w:type="dxa"/>
            <w:vAlign w:val="center"/>
          </w:tcPr>
          <w:p w14:paraId="260C2DED">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-2</w:t>
            </w:r>
          </w:p>
        </w:tc>
        <w:tc>
          <w:tcPr>
            <w:tcW w:w="1009" w:type="dxa"/>
            <w:vAlign w:val="center"/>
          </w:tcPr>
          <w:p w14:paraId="5E72AEF6">
            <w:pPr>
              <w:spacing w:line="260" w:lineRule="exact"/>
              <w:jc w:val="center"/>
              <w:rPr>
                <w:rFonts w:ascii="宋体" w:hAnsi="宋体"/>
                <w:b w:val="0"/>
                <w:bCs/>
                <w:szCs w:val="21"/>
              </w:rPr>
            </w:pPr>
            <w:r>
              <w:rPr>
                <w:rFonts w:hint="eastAsia" w:ascii="宋体" w:hAnsi="宋体"/>
                <w:b w:val="0"/>
                <w:bCs/>
                <w:szCs w:val="21"/>
              </w:rPr>
              <w:t>500</w:t>
            </w:r>
          </w:p>
        </w:tc>
        <w:tc>
          <w:tcPr>
            <w:tcW w:w="1550" w:type="dxa"/>
            <w:shd w:val="clear" w:color="auto" w:fill="auto"/>
            <w:vAlign w:val="center"/>
          </w:tcPr>
          <w:p w14:paraId="1915F529">
            <w:pPr>
              <w:spacing w:line="260" w:lineRule="exact"/>
              <w:jc w:val="center"/>
              <w:rPr>
                <w:rFonts w:ascii="宋体" w:hAnsi="宋体"/>
                <w:b w:val="0"/>
                <w:bCs/>
                <w:szCs w:val="21"/>
              </w:rPr>
            </w:pPr>
            <w:r>
              <w:rPr>
                <w:rFonts w:hint="eastAsia" w:ascii="宋体" w:hAnsi="宋体"/>
                <w:b w:val="0"/>
                <w:bCs/>
                <w:szCs w:val="21"/>
              </w:rPr>
              <w:t>50#化工原材料库</w:t>
            </w:r>
          </w:p>
        </w:tc>
        <w:tc>
          <w:tcPr>
            <w:tcW w:w="709" w:type="dxa"/>
            <w:shd w:val="clear" w:color="auto" w:fill="auto"/>
            <w:vAlign w:val="center"/>
          </w:tcPr>
          <w:p w14:paraId="6FC891D3">
            <w:pPr>
              <w:jc w:val="center"/>
              <w:rPr>
                <w:rFonts w:ascii="宋体" w:hAnsi="宋体"/>
                <w:b w:val="0"/>
                <w:bCs/>
                <w:szCs w:val="21"/>
              </w:rPr>
            </w:pPr>
            <w:r>
              <w:rPr>
                <w:rFonts w:hint="eastAsia" w:ascii="宋体" w:hAnsi="宋体"/>
                <w:b w:val="0"/>
                <w:bCs/>
                <w:szCs w:val="21"/>
              </w:rPr>
              <w:t>甲类</w:t>
            </w:r>
          </w:p>
        </w:tc>
        <w:tc>
          <w:tcPr>
            <w:tcW w:w="850" w:type="dxa"/>
            <w:shd w:val="clear" w:color="auto" w:fill="auto"/>
            <w:vAlign w:val="center"/>
          </w:tcPr>
          <w:p w14:paraId="2FD9C70A">
            <w:pPr>
              <w:jc w:val="center"/>
              <w:rPr>
                <w:rFonts w:ascii="宋体" w:hAnsi="宋体"/>
                <w:b w:val="0"/>
                <w:bCs/>
                <w:szCs w:val="21"/>
              </w:rPr>
            </w:pPr>
            <w:r>
              <w:rPr>
                <w:rFonts w:hint="eastAsia" w:ascii="宋体" w:hAnsi="宋体"/>
                <w:b w:val="0"/>
                <w:bCs/>
                <w:szCs w:val="21"/>
              </w:rPr>
              <w:t>2000</w:t>
            </w:r>
          </w:p>
        </w:tc>
        <w:tc>
          <w:tcPr>
            <w:tcW w:w="1132" w:type="dxa"/>
            <w:shd w:val="clear" w:color="auto" w:fill="auto"/>
            <w:vAlign w:val="center"/>
          </w:tcPr>
          <w:p w14:paraId="74C5161D">
            <w:pPr>
              <w:spacing w:line="260" w:lineRule="exact"/>
              <w:jc w:val="center"/>
              <w:rPr>
                <w:rFonts w:ascii="宋体" w:hAnsi="宋体"/>
                <w:b w:val="0"/>
                <w:bCs/>
                <w:szCs w:val="21"/>
              </w:rPr>
            </w:pPr>
            <w:r>
              <w:rPr>
                <w:rFonts w:hint="eastAsia" w:ascii="宋体" w:hAnsi="宋体"/>
                <w:b w:val="0"/>
                <w:bCs/>
                <w:szCs w:val="21"/>
              </w:rPr>
              <w:t>115</w:t>
            </w:r>
          </w:p>
        </w:tc>
        <w:tc>
          <w:tcPr>
            <w:tcW w:w="995" w:type="dxa"/>
            <w:vAlign w:val="center"/>
          </w:tcPr>
          <w:p w14:paraId="4AC7823B">
            <w:pPr>
              <w:spacing w:line="260" w:lineRule="exact"/>
              <w:jc w:val="center"/>
              <w:rPr>
                <w:rFonts w:ascii="宋体" w:hAnsi="宋体"/>
                <w:b w:val="0"/>
                <w:bCs/>
                <w:szCs w:val="21"/>
              </w:rPr>
            </w:pPr>
            <w:r>
              <w:rPr>
                <w:rFonts w:hint="eastAsia" w:ascii="宋体" w:hAnsi="宋体"/>
                <w:b w:val="0"/>
                <w:bCs/>
                <w:szCs w:val="21"/>
              </w:rPr>
              <w:t>147</w:t>
            </w:r>
          </w:p>
        </w:tc>
      </w:tr>
      <w:tr w14:paraId="7ED2A7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08" w:type="dxa"/>
            <w:vMerge w:val="restart"/>
            <w:vAlign w:val="center"/>
          </w:tcPr>
          <w:p w14:paraId="133DEAA5">
            <w:pPr>
              <w:spacing w:line="260" w:lineRule="exact"/>
              <w:jc w:val="center"/>
              <w:rPr>
                <w:rFonts w:ascii="宋体" w:hAnsi="宋体"/>
                <w:b w:val="0"/>
                <w:bCs/>
                <w:szCs w:val="21"/>
              </w:rPr>
            </w:pPr>
            <w:r>
              <w:rPr>
                <w:rFonts w:hint="eastAsia" w:ascii="宋体" w:hAnsi="宋体"/>
                <w:b w:val="0"/>
                <w:bCs/>
                <w:szCs w:val="21"/>
              </w:rPr>
              <w:t>89#成品库</w:t>
            </w:r>
          </w:p>
        </w:tc>
        <w:tc>
          <w:tcPr>
            <w:tcW w:w="737" w:type="dxa"/>
            <w:vMerge w:val="restart"/>
            <w:vAlign w:val="center"/>
          </w:tcPr>
          <w:p w14:paraId="3AE3203F">
            <w:pPr>
              <w:spacing w:line="260" w:lineRule="exact"/>
              <w:jc w:val="center"/>
              <w:rPr>
                <w:rFonts w:ascii="宋体" w:hAnsi="宋体"/>
                <w:b w:val="0"/>
                <w:bCs/>
                <w:szCs w:val="21"/>
              </w:rPr>
            </w:pPr>
            <w:r>
              <w:rPr>
                <w:rFonts w:hint="eastAsia" w:ascii="宋体" w:hAnsi="宋体"/>
                <w:b w:val="0"/>
                <w:bCs/>
                <w:szCs w:val="21"/>
              </w:rPr>
              <w:t>1.3</w:t>
            </w:r>
          </w:p>
        </w:tc>
        <w:tc>
          <w:tcPr>
            <w:tcW w:w="1009" w:type="dxa"/>
            <w:vMerge w:val="restart"/>
            <w:vAlign w:val="center"/>
          </w:tcPr>
          <w:p w14:paraId="14B9BF5C">
            <w:pPr>
              <w:spacing w:line="260" w:lineRule="exact"/>
              <w:jc w:val="center"/>
              <w:rPr>
                <w:rFonts w:ascii="宋体" w:hAnsi="宋体"/>
                <w:b w:val="0"/>
                <w:bCs/>
                <w:szCs w:val="21"/>
              </w:rPr>
            </w:pPr>
            <w:r>
              <w:rPr>
                <w:rFonts w:hint="eastAsia" w:ascii="宋体" w:hAnsi="宋体"/>
                <w:b w:val="0"/>
                <w:bCs/>
                <w:szCs w:val="21"/>
              </w:rPr>
              <w:t>15000</w:t>
            </w:r>
          </w:p>
        </w:tc>
        <w:tc>
          <w:tcPr>
            <w:tcW w:w="1550" w:type="dxa"/>
            <w:shd w:val="clear" w:color="auto" w:fill="auto"/>
            <w:vAlign w:val="center"/>
          </w:tcPr>
          <w:p w14:paraId="493EEA4F">
            <w:pPr>
              <w:spacing w:line="260" w:lineRule="exact"/>
              <w:jc w:val="center"/>
              <w:rPr>
                <w:rFonts w:ascii="宋体" w:hAnsi="宋体"/>
                <w:b w:val="0"/>
                <w:bCs/>
                <w:szCs w:val="21"/>
              </w:rPr>
            </w:pPr>
            <w:r>
              <w:rPr>
                <w:rFonts w:hint="eastAsia" w:ascii="宋体" w:hAnsi="宋体"/>
                <w:b w:val="0"/>
                <w:bCs/>
                <w:szCs w:val="21"/>
              </w:rPr>
              <w:t>16#引中转</w:t>
            </w:r>
          </w:p>
        </w:tc>
        <w:tc>
          <w:tcPr>
            <w:tcW w:w="709" w:type="dxa"/>
            <w:shd w:val="clear" w:color="auto" w:fill="auto"/>
            <w:vAlign w:val="center"/>
          </w:tcPr>
          <w:p w14:paraId="389692CF">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-2</w:t>
            </w:r>
          </w:p>
        </w:tc>
        <w:tc>
          <w:tcPr>
            <w:tcW w:w="850" w:type="dxa"/>
            <w:shd w:val="clear" w:color="auto" w:fill="auto"/>
            <w:vAlign w:val="center"/>
          </w:tcPr>
          <w:p w14:paraId="22EA1964">
            <w:pPr>
              <w:spacing w:line="260" w:lineRule="exact"/>
              <w:jc w:val="center"/>
              <w:rPr>
                <w:rFonts w:ascii="宋体" w:hAnsi="宋体"/>
                <w:b w:val="0"/>
                <w:bCs/>
                <w:szCs w:val="21"/>
              </w:rPr>
            </w:pPr>
            <w:r>
              <w:rPr>
                <w:rFonts w:hint="eastAsia" w:ascii="宋体" w:hAnsi="宋体"/>
                <w:b w:val="0"/>
                <w:bCs/>
                <w:szCs w:val="21"/>
              </w:rPr>
              <w:t>100</w:t>
            </w:r>
          </w:p>
        </w:tc>
        <w:tc>
          <w:tcPr>
            <w:tcW w:w="1132" w:type="dxa"/>
            <w:vAlign w:val="center"/>
          </w:tcPr>
          <w:p w14:paraId="1C3992D4">
            <w:pPr>
              <w:spacing w:line="260" w:lineRule="exact"/>
              <w:jc w:val="center"/>
              <w:rPr>
                <w:rFonts w:ascii="宋体" w:hAnsi="宋体"/>
                <w:b w:val="0"/>
                <w:bCs/>
                <w:szCs w:val="21"/>
              </w:rPr>
            </w:pPr>
            <w:r>
              <w:rPr>
                <w:rFonts w:hint="eastAsia" w:ascii="宋体" w:hAnsi="宋体"/>
                <w:b w:val="0"/>
                <w:bCs/>
                <w:szCs w:val="21"/>
              </w:rPr>
              <w:t>81.5</w:t>
            </w:r>
          </w:p>
        </w:tc>
        <w:tc>
          <w:tcPr>
            <w:tcW w:w="995" w:type="dxa"/>
            <w:vAlign w:val="center"/>
          </w:tcPr>
          <w:p w14:paraId="3DCE9D54">
            <w:pPr>
              <w:spacing w:line="260" w:lineRule="exact"/>
              <w:jc w:val="center"/>
              <w:rPr>
                <w:rFonts w:ascii="宋体" w:hAnsi="宋体"/>
                <w:b w:val="0"/>
                <w:bCs/>
                <w:szCs w:val="21"/>
              </w:rPr>
            </w:pPr>
            <w:r>
              <w:rPr>
                <w:rFonts w:hint="eastAsia" w:ascii="宋体" w:hAnsi="宋体"/>
                <w:b w:val="0"/>
                <w:bCs/>
                <w:szCs w:val="21"/>
              </w:rPr>
              <w:t>95</w:t>
            </w:r>
          </w:p>
        </w:tc>
      </w:tr>
      <w:tr w14:paraId="4D643B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08" w:type="dxa"/>
            <w:vMerge w:val="continue"/>
            <w:vAlign w:val="center"/>
          </w:tcPr>
          <w:p w14:paraId="78845A28">
            <w:pPr>
              <w:spacing w:line="260" w:lineRule="exact"/>
              <w:jc w:val="center"/>
              <w:rPr>
                <w:rFonts w:ascii="宋体" w:hAnsi="宋体"/>
                <w:b w:val="0"/>
                <w:bCs/>
                <w:szCs w:val="21"/>
              </w:rPr>
            </w:pPr>
          </w:p>
        </w:tc>
        <w:tc>
          <w:tcPr>
            <w:tcW w:w="737" w:type="dxa"/>
            <w:vMerge w:val="continue"/>
            <w:vAlign w:val="center"/>
          </w:tcPr>
          <w:p w14:paraId="09A9D55E">
            <w:pPr>
              <w:spacing w:line="260" w:lineRule="exact"/>
              <w:jc w:val="center"/>
              <w:rPr>
                <w:rFonts w:ascii="宋体" w:hAnsi="宋体"/>
                <w:b w:val="0"/>
                <w:bCs/>
                <w:szCs w:val="21"/>
              </w:rPr>
            </w:pPr>
          </w:p>
        </w:tc>
        <w:tc>
          <w:tcPr>
            <w:tcW w:w="1009" w:type="dxa"/>
            <w:vMerge w:val="continue"/>
            <w:vAlign w:val="center"/>
          </w:tcPr>
          <w:p w14:paraId="70057D29">
            <w:pPr>
              <w:spacing w:line="260" w:lineRule="exact"/>
              <w:jc w:val="center"/>
              <w:rPr>
                <w:rFonts w:ascii="宋体" w:hAnsi="宋体"/>
                <w:b w:val="0"/>
                <w:bCs/>
                <w:szCs w:val="21"/>
              </w:rPr>
            </w:pPr>
          </w:p>
        </w:tc>
        <w:tc>
          <w:tcPr>
            <w:tcW w:w="1550" w:type="dxa"/>
            <w:shd w:val="clear" w:color="auto" w:fill="auto"/>
            <w:vAlign w:val="center"/>
          </w:tcPr>
          <w:p w14:paraId="2F984C5C">
            <w:pPr>
              <w:spacing w:line="260" w:lineRule="exact"/>
              <w:jc w:val="center"/>
              <w:rPr>
                <w:rFonts w:ascii="宋体" w:hAnsi="宋体"/>
                <w:b w:val="0"/>
                <w:bCs/>
                <w:szCs w:val="21"/>
              </w:rPr>
            </w:pPr>
            <w:r>
              <w:rPr>
                <w:rFonts w:hint="eastAsia" w:ascii="宋体" w:hAnsi="宋体"/>
                <w:b w:val="0"/>
                <w:bCs/>
                <w:szCs w:val="21"/>
              </w:rPr>
              <w:t>34#药物中转</w:t>
            </w:r>
          </w:p>
        </w:tc>
        <w:tc>
          <w:tcPr>
            <w:tcW w:w="709" w:type="dxa"/>
            <w:shd w:val="clear" w:color="auto" w:fill="auto"/>
            <w:vAlign w:val="center"/>
          </w:tcPr>
          <w:p w14:paraId="69EF0930">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-2</w:t>
            </w:r>
          </w:p>
        </w:tc>
        <w:tc>
          <w:tcPr>
            <w:tcW w:w="850" w:type="dxa"/>
            <w:shd w:val="clear" w:color="auto" w:fill="auto"/>
            <w:vAlign w:val="center"/>
          </w:tcPr>
          <w:p w14:paraId="3FE0DA25">
            <w:pPr>
              <w:spacing w:line="260" w:lineRule="exact"/>
              <w:jc w:val="center"/>
              <w:rPr>
                <w:rFonts w:ascii="宋体" w:hAnsi="宋体"/>
                <w:b w:val="0"/>
                <w:bCs/>
                <w:szCs w:val="21"/>
              </w:rPr>
            </w:pPr>
            <w:r>
              <w:rPr>
                <w:rFonts w:hint="eastAsia" w:ascii="宋体" w:hAnsi="宋体"/>
                <w:b w:val="0"/>
                <w:bCs/>
                <w:szCs w:val="21"/>
              </w:rPr>
              <w:t>100</w:t>
            </w:r>
          </w:p>
        </w:tc>
        <w:tc>
          <w:tcPr>
            <w:tcW w:w="1132" w:type="dxa"/>
            <w:shd w:val="clear" w:color="auto" w:fill="auto"/>
            <w:vAlign w:val="center"/>
          </w:tcPr>
          <w:p w14:paraId="71F01960">
            <w:pPr>
              <w:spacing w:line="260" w:lineRule="exact"/>
              <w:jc w:val="center"/>
              <w:rPr>
                <w:rFonts w:ascii="宋体" w:hAnsi="宋体"/>
                <w:b w:val="0"/>
                <w:bCs/>
                <w:szCs w:val="21"/>
              </w:rPr>
            </w:pPr>
            <w:r>
              <w:rPr>
                <w:rFonts w:hint="eastAsia" w:ascii="宋体" w:hAnsi="宋体"/>
                <w:b w:val="0"/>
                <w:bCs/>
                <w:szCs w:val="21"/>
              </w:rPr>
              <w:t>81.5</w:t>
            </w:r>
          </w:p>
        </w:tc>
        <w:tc>
          <w:tcPr>
            <w:tcW w:w="995" w:type="dxa"/>
            <w:shd w:val="clear" w:color="auto" w:fill="auto"/>
            <w:vAlign w:val="center"/>
          </w:tcPr>
          <w:p w14:paraId="2B83001F">
            <w:pPr>
              <w:spacing w:line="260" w:lineRule="exact"/>
              <w:jc w:val="center"/>
              <w:rPr>
                <w:rFonts w:ascii="宋体" w:hAnsi="宋体"/>
                <w:b w:val="0"/>
                <w:bCs/>
                <w:szCs w:val="21"/>
              </w:rPr>
            </w:pPr>
            <w:r>
              <w:rPr>
                <w:rFonts w:hint="eastAsia" w:ascii="宋体" w:hAnsi="宋体"/>
                <w:b w:val="0"/>
                <w:bCs/>
                <w:szCs w:val="21"/>
              </w:rPr>
              <w:t>128</w:t>
            </w:r>
          </w:p>
        </w:tc>
      </w:tr>
      <w:tr w14:paraId="0000CF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08" w:type="dxa"/>
            <w:vMerge w:val="continue"/>
            <w:vAlign w:val="center"/>
          </w:tcPr>
          <w:p w14:paraId="015D2A6F">
            <w:pPr>
              <w:spacing w:line="260" w:lineRule="exact"/>
              <w:jc w:val="center"/>
              <w:rPr>
                <w:rFonts w:ascii="宋体" w:hAnsi="宋体"/>
                <w:b w:val="0"/>
                <w:bCs/>
                <w:szCs w:val="21"/>
              </w:rPr>
            </w:pPr>
          </w:p>
        </w:tc>
        <w:tc>
          <w:tcPr>
            <w:tcW w:w="737" w:type="dxa"/>
            <w:vMerge w:val="continue"/>
            <w:vAlign w:val="center"/>
          </w:tcPr>
          <w:p w14:paraId="5878E2F9">
            <w:pPr>
              <w:spacing w:line="260" w:lineRule="exact"/>
              <w:jc w:val="center"/>
              <w:rPr>
                <w:rFonts w:ascii="宋体" w:hAnsi="宋体"/>
                <w:b w:val="0"/>
                <w:bCs/>
                <w:szCs w:val="21"/>
              </w:rPr>
            </w:pPr>
          </w:p>
        </w:tc>
        <w:tc>
          <w:tcPr>
            <w:tcW w:w="1009" w:type="dxa"/>
            <w:vMerge w:val="continue"/>
            <w:vAlign w:val="center"/>
          </w:tcPr>
          <w:p w14:paraId="08C2EEBD">
            <w:pPr>
              <w:spacing w:line="260" w:lineRule="exact"/>
              <w:jc w:val="center"/>
              <w:rPr>
                <w:rFonts w:ascii="宋体" w:hAnsi="宋体"/>
                <w:b w:val="0"/>
                <w:bCs/>
                <w:szCs w:val="21"/>
              </w:rPr>
            </w:pPr>
          </w:p>
        </w:tc>
        <w:tc>
          <w:tcPr>
            <w:tcW w:w="1550" w:type="dxa"/>
            <w:shd w:val="clear" w:color="auto" w:fill="auto"/>
            <w:vAlign w:val="center"/>
          </w:tcPr>
          <w:p w14:paraId="2167EA27">
            <w:pPr>
              <w:spacing w:line="260" w:lineRule="exact"/>
              <w:jc w:val="center"/>
              <w:rPr>
                <w:rFonts w:ascii="宋体" w:hAnsi="宋体"/>
                <w:b w:val="0"/>
                <w:bCs/>
                <w:szCs w:val="21"/>
              </w:rPr>
            </w:pPr>
            <w:r>
              <w:rPr>
                <w:rFonts w:hint="eastAsia" w:ascii="宋体" w:hAnsi="宋体"/>
                <w:b w:val="0"/>
                <w:bCs/>
                <w:szCs w:val="21"/>
              </w:rPr>
              <w:t>72#亮珠中转</w:t>
            </w:r>
          </w:p>
        </w:tc>
        <w:tc>
          <w:tcPr>
            <w:tcW w:w="709" w:type="dxa"/>
            <w:shd w:val="clear" w:color="auto" w:fill="auto"/>
            <w:vAlign w:val="center"/>
          </w:tcPr>
          <w:p w14:paraId="73B22BBB">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850" w:type="dxa"/>
            <w:shd w:val="clear" w:color="auto" w:fill="auto"/>
            <w:vAlign w:val="center"/>
          </w:tcPr>
          <w:p w14:paraId="172CF038">
            <w:pPr>
              <w:spacing w:line="260" w:lineRule="exact"/>
              <w:jc w:val="center"/>
              <w:rPr>
                <w:rFonts w:ascii="宋体" w:hAnsi="宋体"/>
                <w:b w:val="0"/>
                <w:bCs/>
                <w:szCs w:val="21"/>
              </w:rPr>
            </w:pPr>
            <w:r>
              <w:rPr>
                <w:rFonts w:hint="eastAsia" w:ascii="宋体" w:hAnsi="宋体"/>
                <w:b w:val="0"/>
                <w:bCs/>
                <w:szCs w:val="21"/>
              </w:rPr>
              <w:t>100</w:t>
            </w:r>
          </w:p>
        </w:tc>
        <w:tc>
          <w:tcPr>
            <w:tcW w:w="1132" w:type="dxa"/>
            <w:shd w:val="clear" w:color="auto" w:fill="auto"/>
            <w:vAlign w:val="center"/>
          </w:tcPr>
          <w:p w14:paraId="5BA8D28F">
            <w:pPr>
              <w:spacing w:line="260" w:lineRule="exact"/>
              <w:jc w:val="center"/>
              <w:rPr>
                <w:rFonts w:ascii="宋体" w:hAnsi="宋体"/>
                <w:b w:val="0"/>
                <w:bCs/>
                <w:szCs w:val="21"/>
              </w:rPr>
            </w:pPr>
            <w:r>
              <w:rPr>
                <w:rFonts w:hint="eastAsia" w:ascii="宋体" w:hAnsi="宋体"/>
                <w:b w:val="0"/>
                <w:bCs/>
                <w:szCs w:val="21"/>
              </w:rPr>
              <w:t>81.5</w:t>
            </w:r>
          </w:p>
        </w:tc>
        <w:tc>
          <w:tcPr>
            <w:tcW w:w="995" w:type="dxa"/>
            <w:shd w:val="clear" w:color="auto" w:fill="auto"/>
            <w:vAlign w:val="center"/>
          </w:tcPr>
          <w:p w14:paraId="14B87DC4">
            <w:pPr>
              <w:spacing w:line="260" w:lineRule="exact"/>
              <w:jc w:val="center"/>
              <w:rPr>
                <w:rFonts w:ascii="宋体" w:hAnsi="宋体"/>
                <w:b w:val="0"/>
                <w:bCs/>
                <w:szCs w:val="21"/>
              </w:rPr>
            </w:pPr>
            <w:r>
              <w:rPr>
                <w:rFonts w:hint="eastAsia" w:ascii="宋体" w:hAnsi="宋体"/>
                <w:b w:val="0"/>
                <w:bCs/>
                <w:szCs w:val="21"/>
              </w:rPr>
              <w:t>98</w:t>
            </w:r>
          </w:p>
        </w:tc>
      </w:tr>
      <w:tr w14:paraId="5B3D84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08" w:type="dxa"/>
            <w:vMerge w:val="continue"/>
            <w:vAlign w:val="center"/>
          </w:tcPr>
          <w:p w14:paraId="6F6518E7">
            <w:pPr>
              <w:spacing w:line="260" w:lineRule="exact"/>
              <w:jc w:val="center"/>
              <w:rPr>
                <w:rFonts w:ascii="宋体" w:hAnsi="宋体"/>
                <w:b w:val="0"/>
                <w:bCs/>
                <w:szCs w:val="21"/>
              </w:rPr>
            </w:pPr>
          </w:p>
        </w:tc>
        <w:tc>
          <w:tcPr>
            <w:tcW w:w="737" w:type="dxa"/>
            <w:vMerge w:val="continue"/>
            <w:vAlign w:val="center"/>
          </w:tcPr>
          <w:p w14:paraId="335F53B5">
            <w:pPr>
              <w:spacing w:line="260" w:lineRule="exact"/>
              <w:jc w:val="center"/>
              <w:rPr>
                <w:rFonts w:ascii="宋体" w:hAnsi="宋体"/>
                <w:b w:val="0"/>
                <w:bCs/>
                <w:szCs w:val="21"/>
              </w:rPr>
            </w:pPr>
          </w:p>
        </w:tc>
        <w:tc>
          <w:tcPr>
            <w:tcW w:w="1009" w:type="dxa"/>
            <w:vMerge w:val="continue"/>
            <w:vAlign w:val="center"/>
          </w:tcPr>
          <w:p w14:paraId="0B55B1FA">
            <w:pPr>
              <w:spacing w:line="260" w:lineRule="exact"/>
              <w:jc w:val="center"/>
              <w:rPr>
                <w:rFonts w:ascii="宋体" w:hAnsi="宋体"/>
                <w:b w:val="0"/>
                <w:bCs/>
                <w:szCs w:val="21"/>
              </w:rPr>
            </w:pPr>
          </w:p>
        </w:tc>
        <w:tc>
          <w:tcPr>
            <w:tcW w:w="1550" w:type="dxa"/>
            <w:shd w:val="clear" w:color="auto" w:fill="auto"/>
            <w:vAlign w:val="center"/>
          </w:tcPr>
          <w:p w14:paraId="6C822612">
            <w:pPr>
              <w:spacing w:line="260" w:lineRule="exact"/>
              <w:jc w:val="center"/>
              <w:rPr>
                <w:rFonts w:ascii="宋体" w:hAnsi="宋体"/>
                <w:b w:val="0"/>
                <w:bCs/>
                <w:szCs w:val="21"/>
              </w:rPr>
            </w:pPr>
            <w:r>
              <w:rPr>
                <w:rFonts w:hint="eastAsia" w:ascii="宋体" w:hAnsi="宋体"/>
                <w:b w:val="0"/>
                <w:bCs/>
                <w:spacing w:val="-11"/>
                <w:szCs w:val="21"/>
              </w:rPr>
              <w:t>79#还原剂粉碎</w:t>
            </w:r>
          </w:p>
        </w:tc>
        <w:tc>
          <w:tcPr>
            <w:tcW w:w="709" w:type="dxa"/>
            <w:shd w:val="clear" w:color="auto" w:fill="auto"/>
            <w:vAlign w:val="center"/>
          </w:tcPr>
          <w:p w14:paraId="5B4A36E9">
            <w:pPr>
              <w:spacing w:line="260" w:lineRule="exact"/>
              <w:jc w:val="center"/>
              <w:rPr>
                <w:rFonts w:ascii="宋体" w:hAnsi="宋体"/>
                <w:b w:val="0"/>
                <w:bCs/>
                <w:szCs w:val="21"/>
              </w:rPr>
            </w:pPr>
            <w:r>
              <w:rPr>
                <w:rFonts w:hint="eastAsia" w:ascii="宋体" w:hAnsi="宋体"/>
                <w:b w:val="0"/>
                <w:bCs/>
                <w:szCs w:val="21"/>
              </w:rPr>
              <w:t>1.3</w:t>
            </w:r>
          </w:p>
        </w:tc>
        <w:tc>
          <w:tcPr>
            <w:tcW w:w="850" w:type="dxa"/>
            <w:shd w:val="clear" w:color="auto" w:fill="auto"/>
            <w:vAlign w:val="center"/>
          </w:tcPr>
          <w:p w14:paraId="768DB382">
            <w:pPr>
              <w:spacing w:line="260" w:lineRule="exact"/>
              <w:jc w:val="center"/>
              <w:rPr>
                <w:rFonts w:ascii="宋体" w:hAnsi="宋体"/>
                <w:b w:val="0"/>
                <w:bCs/>
                <w:szCs w:val="21"/>
              </w:rPr>
            </w:pPr>
            <w:r>
              <w:rPr>
                <w:rFonts w:hint="eastAsia" w:ascii="宋体" w:hAnsi="宋体"/>
                <w:b w:val="0"/>
                <w:bCs/>
                <w:szCs w:val="21"/>
              </w:rPr>
              <w:t>100</w:t>
            </w:r>
          </w:p>
        </w:tc>
        <w:tc>
          <w:tcPr>
            <w:tcW w:w="1132" w:type="dxa"/>
            <w:shd w:val="clear" w:color="auto" w:fill="auto"/>
            <w:vAlign w:val="center"/>
          </w:tcPr>
          <w:p w14:paraId="3A1D1F39">
            <w:pPr>
              <w:spacing w:line="260" w:lineRule="exact"/>
              <w:jc w:val="center"/>
              <w:rPr>
                <w:rFonts w:ascii="宋体" w:hAnsi="宋体"/>
                <w:b w:val="0"/>
                <w:bCs/>
                <w:szCs w:val="21"/>
              </w:rPr>
            </w:pPr>
            <w:r>
              <w:rPr>
                <w:rFonts w:hint="eastAsia" w:ascii="宋体" w:hAnsi="宋体"/>
                <w:b w:val="0"/>
                <w:bCs/>
                <w:szCs w:val="21"/>
              </w:rPr>
              <w:t>81.5</w:t>
            </w:r>
          </w:p>
        </w:tc>
        <w:tc>
          <w:tcPr>
            <w:tcW w:w="995" w:type="dxa"/>
            <w:shd w:val="clear" w:color="auto" w:fill="auto"/>
            <w:vAlign w:val="center"/>
          </w:tcPr>
          <w:p w14:paraId="5F2F82F8">
            <w:pPr>
              <w:spacing w:line="260" w:lineRule="exact"/>
              <w:jc w:val="center"/>
              <w:rPr>
                <w:rFonts w:ascii="宋体" w:hAnsi="宋体"/>
                <w:b w:val="0"/>
                <w:bCs/>
                <w:szCs w:val="21"/>
              </w:rPr>
            </w:pPr>
            <w:r>
              <w:rPr>
                <w:rFonts w:hint="eastAsia" w:ascii="宋体" w:hAnsi="宋体"/>
                <w:b w:val="0"/>
                <w:bCs/>
                <w:szCs w:val="21"/>
              </w:rPr>
              <w:t>93</w:t>
            </w:r>
          </w:p>
        </w:tc>
      </w:tr>
      <w:tr w14:paraId="6C9B59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08" w:type="dxa"/>
            <w:vMerge w:val="continue"/>
            <w:vAlign w:val="center"/>
          </w:tcPr>
          <w:p w14:paraId="4A9A573E">
            <w:pPr>
              <w:spacing w:line="260" w:lineRule="exact"/>
              <w:jc w:val="center"/>
              <w:rPr>
                <w:rFonts w:ascii="宋体" w:hAnsi="宋体"/>
                <w:b w:val="0"/>
                <w:bCs/>
                <w:szCs w:val="21"/>
              </w:rPr>
            </w:pPr>
          </w:p>
        </w:tc>
        <w:tc>
          <w:tcPr>
            <w:tcW w:w="737" w:type="dxa"/>
            <w:vMerge w:val="continue"/>
            <w:vAlign w:val="center"/>
          </w:tcPr>
          <w:p w14:paraId="3ACCCC4E">
            <w:pPr>
              <w:spacing w:line="260" w:lineRule="exact"/>
              <w:jc w:val="center"/>
              <w:rPr>
                <w:rFonts w:ascii="宋体" w:hAnsi="宋体"/>
                <w:b w:val="0"/>
                <w:bCs/>
                <w:szCs w:val="21"/>
              </w:rPr>
            </w:pPr>
          </w:p>
        </w:tc>
        <w:tc>
          <w:tcPr>
            <w:tcW w:w="1009" w:type="dxa"/>
            <w:vMerge w:val="continue"/>
            <w:vAlign w:val="center"/>
          </w:tcPr>
          <w:p w14:paraId="59914AEE">
            <w:pPr>
              <w:spacing w:line="260" w:lineRule="exact"/>
              <w:jc w:val="center"/>
              <w:rPr>
                <w:rFonts w:ascii="宋体" w:hAnsi="宋体"/>
                <w:b w:val="0"/>
                <w:bCs/>
                <w:szCs w:val="21"/>
              </w:rPr>
            </w:pPr>
          </w:p>
        </w:tc>
        <w:tc>
          <w:tcPr>
            <w:tcW w:w="1550" w:type="dxa"/>
            <w:shd w:val="clear" w:color="auto" w:fill="auto"/>
            <w:vAlign w:val="center"/>
          </w:tcPr>
          <w:p w14:paraId="29FD4195">
            <w:pPr>
              <w:spacing w:line="260" w:lineRule="exact"/>
              <w:jc w:val="center"/>
              <w:rPr>
                <w:rFonts w:ascii="宋体" w:hAnsi="宋体"/>
                <w:b w:val="0"/>
                <w:bCs/>
                <w:szCs w:val="21"/>
              </w:rPr>
            </w:pPr>
            <w:r>
              <w:rPr>
                <w:rFonts w:hint="eastAsia" w:ascii="宋体" w:hAnsi="宋体"/>
                <w:b w:val="0"/>
                <w:bCs/>
                <w:szCs w:val="21"/>
              </w:rPr>
              <w:t>82#酒精库</w:t>
            </w:r>
          </w:p>
        </w:tc>
        <w:tc>
          <w:tcPr>
            <w:tcW w:w="709" w:type="dxa"/>
            <w:shd w:val="clear" w:color="auto" w:fill="auto"/>
            <w:vAlign w:val="center"/>
          </w:tcPr>
          <w:p w14:paraId="24F8D18B">
            <w:pPr>
              <w:spacing w:line="260" w:lineRule="exact"/>
              <w:jc w:val="center"/>
              <w:rPr>
                <w:rFonts w:ascii="宋体" w:hAnsi="宋体"/>
                <w:b w:val="0"/>
                <w:bCs/>
                <w:szCs w:val="21"/>
              </w:rPr>
            </w:pPr>
            <w:r>
              <w:rPr>
                <w:rFonts w:hint="eastAsia" w:ascii="宋体" w:hAnsi="宋体"/>
                <w:b w:val="0"/>
                <w:bCs/>
                <w:szCs w:val="21"/>
              </w:rPr>
              <w:t>甲类</w:t>
            </w:r>
          </w:p>
        </w:tc>
        <w:tc>
          <w:tcPr>
            <w:tcW w:w="850" w:type="dxa"/>
            <w:shd w:val="clear" w:color="auto" w:fill="auto"/>
            <w:vAlign w:val="center"/>
          </w:tcPr>
          <w:p w14:paraId="17853D14">
            <w:pPr>
              <w:spacing w:line="260" w:lineRule="exact"/>
              <w:jc w:val="center"/>
              <w:rPr>
                <w:rFonts w:ascii="宋体" w:hAnsi="宋体"/>
                <w:b w:val="0"/>
                <w:bCs/>
                <w:szCs w:val="21"/>
              </w:rPr>
            </w:pPr>
            <w:r>
              <w:rPr>
                <w:rFonts w:hint="eastAsia" w:ascii="宋体" w:hAnsi="宋体"/>
                <w:b w:val="0"/>
                <w:bCs/>
                <w:szCs w:val="21"/>
              </w:rPr>
              <w:t>2000</w:t>
            </w:r>
          </w:p>
        </w:tc>
        <w:tc>
          <w:tcPr>
            <w:tcW w:w="1132" w:type="dxa"/>
            <w:shd w:val="clear" w:color="auto" w:fill="auto"/>
            <w:vAlign w:val="center"/>
          </w:tcPr>
          <w:p w14:paraId="163C7296">
            <w:pPr>
              <w:spacing w:line="260" w:lineRule="exact"/>
              <w:jc w:val="center"/>
              <w:rPr>
                <w:rFonts w:ascii="宋体" w:hAnsi="宋体"/>
                <w:b w:val="0"/>
                <w:bCs/>
                <w:szCs w:val="21"/>
              </w:rPr>
            </w:pPr>
            <w:r>
              <w:rPr>
                <w:rFonts w:hint="eastAsia" w:ascii="宋体" w:hAnsi="宋体"/>
                <w:b w:val="0"/>
                <w:bCs/>
                <w:szCs w:val="21"/>
              </w:rPr>
              <w:t>81.5</w:t>
            </w:r>
          </w:p>
        </w:tc>
        <w:tc>
          <w:tcPr>
            <w:tcW w:w="995" w:type="dxa"/>
            <w:shd w:val="clear" w:color="auto" w:fill="auto"/>
            <w:vAlign w:val="center"/>
          </w:tcPr>
          <w:p w14:paraId="69B73FC4">
            <w:pPr>
              <w:spacing w:line="260" w:lineRule="exact"/>
              <w:jc w:val="center"/>
              <w:rPr>
                <w:rFonts w:ascii="宋体" w:hAnsi="宋体"/>
                <w:b w:val="0"/>
                <w:bCs/>
                <w:szCs w:val="21"/>
              </w:rPr>
            </w:pPr>
            <w:r>
              <w:rPr>
                <w:rFonts w:hint="eastAsia" w:ascii="宋体" w:hAnsi="宋体"/>
                <w:b w:val="0"/>
                <w:bCs/>
                <w:szCs w:val="21"/>
              </w:rPr>
              <w:t>96</w:t>
            </w:r>
          </w:p>
        </w:tc>
      </w:tr>
      <w:tr w14:paraId="31878F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08" w:type="dxa"/>
            <w:vMerge w:val="restart"/>
            <w:vAlign w:val="center"/>
          </w:tcPr>
          <w:p w14:paraId="21C9DD27">
            <w:pPr>
              <w:spacing w:line="260" w:lineRule="exact"/>
              <w:jc w:val="center"/>
              <w:rPr>
                <w:rFonts w:ascii="宋体" w:hAnsi="宋体"/>
                <w:b w:val="0"/>
                <w:bCs/>
                <w:szCs w:val="21"/>
              </w:rPr>
            </w:pPr>
            <w:r>
              <w:rPr>
                <w:rFonts w:hint="eastAsia" w:ascii="宋体" w:hAnsi="宋体"/>
                <w:b w:val="0"/>
                <w:bCs/>
                <w:szCs w:val="21"/>
              </w:rPr>
              <w:t>90#成品库</w:t>
            </w:r>
          </w:p>
        </w:tc>
        <w:tc>
          <w:tcPr>
            <w:tcW w:w="737" w:type="dxa"/>
            <w:vMerge w:val="restart"/>
            <w:vAlign w:val="center"/>
          </w:tcPr>
          <w:p w14:paraId="245AE6F6">
            <w:pPr>
              <w:spacing w:line="260" w:lineRule="exact"/>
              <w:jc w:val="center"/>
              <w:rPr>
                <w:rFonts w:ascii="宋体" w:hAnsi="宋体"/>
                <w:b w:val="0"/>
                <w:bCs/>
                <w:szCs w:val="21"/>
              </w:rPr>
            </w:pPr>
            <w:r>
              <w:rPr>
                <w:rFonts w:hint="eastAsia" w:ascii="宋体" w:hAnsi="宋体"/>
                <w:b w:val="0"/>
                <w:bCs/>
                <w:szCs w:val="21"/>
              </w:rPr>
              <w:t>1.3</w:t>
            </w:r>
          </w:p>
        </w:tc>
        <w:tc>
          <w:tcPr>
            <w:tcW w:w="1009" w:type="dxa"/>
            <w:vMerge w:val="restart"/>
            <w:vAlign w:val="center"/>
          </w:tcPr>
          <w:p w14:paraId="4D64B514">
            <w:pPr>
              <w:spacing w:line="260" w:lineRule="exact"/>
              <w:jc w:val="center"/>
              <w:rPr>
                <w:rFonts w:ascii="宋体" w:hAnsi="宋体"/>
                <w:b w:val="0"/>
                <w:bCs/>
                <w:szCs w:val="21"/>
              </w:rPr>
            </w:pPr>
            <w:r>
              <w:rPr>
                <w:rFonts w:hint="eastAsia" w:ascii="宋体" w:hAnsi="宋体"/>
                <w:b w:val="0"/>
                <w:bCs/>
                <w:szCs w:val="21"/>
              </w:rPr>
              <w:t>10000</w:t>
            </w:r>
          </w:p>
        </w:tc>
        <w:tc>
          <w:tcPr>
            <w:tcW w:w="1550" w:type="dxa"/>
            <w:vAlign w:val="center"/>
          </w:tcPr>
          <w:p w14:paraId="599C096A">
            <w:pPr>
              <w:spacing w:line="260" w:lineRule="exact"/>
              <w:jc w:val="center"/>
              <w:rPr>
                <w:rFonts w:ascii="宋体" w:hAnsi="宋体"/>
                <w:b w:val="0"/>
                <w:bCs/>
                <w:szCs w:val="21"/>
              </w:rPr>
            </w:pPr>
            <w:r>
              <w:rPr>
                <w:rFonts w:hint="eastAsia" w:ascii="宋体" w:hAnsi="宋体"/>
                <w:b w:val="0"/>
                <w:bCs/>
                <w:szCs w:val="21"/>
              </w:rPr>
              <w:t>48#电控</w:t>
            </w:r>
          </w:p>
        </w:tc>
        <w:tc>
          <w:tcPr>
            <w:tcW w:w="709" w:type="dxa"/>
            <w:vAlign w:val="center"/>
          </w:tcPr>
          <w:p w14:paraId="34AFD073">
            <w:pPr>
              <w:jc w:val="center"/>
              <w:rPr>
                <w:rFonts w:ascii="宋体" w:hAnsi="宋体"/>
                <w:b w:val="0"/>
                <w:bCs/>
                <w:szCs w:val="21"/>
              </w:rPr>
            </w:pPr>
            <w:r>
              <w:rPr>
                <w:rFonts w:hint="eastAsia" w:ascii="宋体" w:hAnsi="宋体"/>
                <w:b w:val="0"/>
                <w:bCs/>
                <w:szCs w:val="21"/>
              </w:rPr>
              <w:t>/</w:t>
            </w:r>
          </w:p>
        </w:tc>
        <w:tc>
          <w:tcPr>
            <w:tcW w:w="850" w:type="dxa"/>
            <w:vAlign w:val="center"/>
          </w:tcPr>
          <w:p w14:paraId="6075E478">
            <w:pPr>
              <w:jc w:val="center"/>
              <w:rPr>
                <w:rFonts w:ascii="宋体" w:hAnsi="宋体"/>
                <w:b w:val="0"/>
                <w:bCs/>
                <w:szCs w:val="21"/>
              </w:rPr>
            </w:pPr>
            <w:r>
              <w:rPr>
                <w:rFonts w:hint="eastAsia" w:ascii="宋体" w:hAnsi="宋体"/>
                <w:b w:val="0"/>
                <w:bCs/>
                <w:szCs w:val="21"/>
              </w:rPr>
              <w:t>/</w:t>
            </w:r>
          </w:p>
        </w:tc>
        <w:tc>
          <w:tcPr>
            <w:tcW w:w="1132" w:type="dxa"/>
            <w:vAlign w:val="center"/>
          </w:tcPr>
          <w:p w14:paraId="2E1E6589">
            <w:pPr>
              <w:spacing w:line="260" w:lineRule="exact"/>
              <w:jc w:val="center"/>
              <w:rPr>
                <w:rFonts w:ascii="宋体" w:hAnsi="宋体"/>
                <w:b w:val="0"/>
                <w:bCs/>
                <w:szCs w:val="21"/>
              </w:rPr>
            </w:pPr>
            <w:r>
              <w:rPr>
                <w:rFonts w:hint="eastAsia" w:ascii="宋体" w:hAnsi="宋体"/>
                <w:b w:val="0"/>
                <w:bCs/>
                <w:szCs w:val="21"/>
              </w:rPr>
              <w:t>85</w:t>
            </w:r>
          </w:p>
        </w:tc>
        <w:tc>
          <w:tcPr>
            <w:tcW w:w="995" w:type="dxa"/>
            <w:vAlign w:val="center"/>
          </w:tcPr>
          <w:p w14:paraId="792178D1">
            <w:pPr>
              <w:spacing w:line="260" w:lineRule="exact"/>
              <w:jc w:val="center"/>
              <w:rPr>
                <w:rFonts w:ascii="宋体" w:hAnsi="宋体"/>
                <w:b w:val="0"/>
                <w:bCs/>
                <w:szCs w:val="21"/>
              </w:rPr>
            </w:pPr>
            <w:r>
              <w:rPr>
                <w:rFonts w:hint="eastAsia" w:ascii="宋体" w:hAnsi="宋体"/>
                <w:b w:val="0"/>
                <w:bCs/>
                <w:szCs w:val="21"/>
              </w:rPr>
              <w:t>99</w:t>
            </w:r>
          </w:p>
        </w:tc>
      </w:tr>
      <w:tr w14:paraId="23CE20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08" w:type="dxa"/>
            <w:vMerge w:val="continue"/>
            <w:vAlign w:val="center"/>
          </w:tcPr>
          <w:p w14:paraId="4B737B98">
            <w:pPr>
              <w:spacing w:line="260" w:lineRule="exact"/>
              <w:jc w:val="center"/>
              <w:rPr>
                <w:rFonts w:ascii="宋体" w:hAnsi="宋体"/>
                <w:b w:val="0"/>
                <w:bCs/>
                <w:szCs w:val="21"/>
              </w:rPr>
            </w:pPr>
          </w:p>
        </w:tc>
        <w:tc>
          <w:tcPr>
            <w:tcW w:w="737" w:type="dxa"/>
            <w:vMerge w:val="continue"/>
            <w:vAlign w:val="center"/>
          </w:tcPr>
          <w:p w14:paraId="1AB948B6">
            <w:pPr>
              <w:spacing w:line="260" w:lineRule="exact"/>
              <w:jc w:val="center"/>
              <w:rPr>
                <w:rFonts w:ascii="宋体" w:hAnsi="宋体"/>
                <w:b w:val="0"/>
                <w:bCs/>
                <w:szCs w:val="21"/>
              </w:rPr>
            </w:pPr>
          </w:p>
        </w:tc>
        <w:tc>
          <w:tcPr>
            <w:tcW w:w="1009" w:type="dxa"/>
            <w:vMerge w:val="continue"/>
            <w:vAlign w:val="center"/>
          </w:tcPr>
          <w:p w14:paraId="0A93DB79">
            <w:pPr>
              <w:spacing w:line="260" w:lineRule="exact"/>
              <w:jc w:val="center"/>
              <w:rPr>
                <w:rFonts w:ascii="宋体" w:hAnsi="宋体"/>
                <w:b w:val="0"/>
                <w:bCs/>
                <w:szCs w:val="21"/>
              </w:rPr>
            </w:pPr>
          </w:p>
        </w:tc>
        <w:tc>
          <w:tcPr>
            <w:tcW w:w="1550" w:type="dxa"/>
            <w:vAlign w:val="center"/>
          </w:tcPr>
          <w:p w14:paraId="633DE1AC">
            <w:pPr>
              <w:spacing w:line="260" w:lineRule="exact"/>
              <w:jc w:val="center"/>
              <w:rPr>
                <w:rFonts w:ascii="宋体" w:hAnsi="宋体"/>
                <w:b w:val="0"/>
                <w:bCs/>
                <w:szCs w:val="21"/>
              </w:rPr>
            </w:pPr>
            <w:r>
              <w:rPr>
                <w:rFonts w:hint="eastAsia" w:ascii="宋体" w:hAnsi="宋体"/>
                <w:b w:val="0"/>
                <w:bCs/>
                <w:spacing w:val="-11"/>
                <w:szCs w:val="21"/>
              </w:rPr>
              <w:t>67#电烘房/散热</w:t>
            </w:r>
          </w:p>
        </w:tc>
        <w:tc>
          <w:tcPr>
            <w:tcW w:w="709" w:type="dxa"/>
            <w:vAlign w:val="center"/>
          </w:tcPr>
          <w:p w14:paraId="2A158D49">
            <w:pPr>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850" w:type="dxa"/>
            <w:vAlign w:val="center"/>
          </w:tcPr>
          <w:p w14:paraId="0FB0FBED">
            <w:pPr>
              <w:jc w:val="center"/>
              <w:rPr>
                <w:rFonts w:ascii="宋体" w:hAnsi="宋体"/>
                <w:b w:val="0"/>
                <w:bCs/>
                <w:szCs w:val="21"/>
              </w:rPr>
            </w:pPr>
            <w:r>
              <w:rPr>
                <w:rFonts w:hint="eastAsia" w:ascii="宋体" w:hAnsi="宋体"/>
                <w:b w:val="0"/>
                <w:bCs/>
                <w:szCs w:val="21"/>
              </w:rPr>
              <w:t>500</w:t>
            </w:r>
          </w:p>
        </w:tc>
        <w:tc>
          <w:tcPr>
            <w:tcW w:w="1132" w:type="dxa"/>
            <w:vAlign w:val="center"/>
          </w:tcPr>
          <w:p w14:paraId="7EBE9654">
            <w:pPr>
              <w:spacing w:line="260" w:lineRule="exact"/>
              <w:jc w:val="center"/>
              <w:rPr>
                <w:rFonts w:ascii="宋体" w:hAnsi="宋体"/>
                <w:b w:val="0"/>
                <w:bCs/>
                <w:szCs w:val="21"/>
              </w:rPr>
            </w:pPr>
            <w:r>
              <w:rPr>
                <w:rFonts w:hint="eastAsia" w:ascii="宋体" w:hAnsi="宋体"/>
                <w:b w:val="0"/>
                <w:bCs/>
                <w:szCs w:val="21"/>
              </w:rPr>
              <w:t>140</w:t>
            </w:r>
          </w:p>
        </w:tc>
        <w:tc>
          <w:tcPr>
            <w:tcW w:w="995" w:type="dxa"/>
            <w:vAlign w:val="center"/>
          </w:tcPr>
          <w:p w14:paraId="309E70AB">
            <w:pPr>
              <w:spacing w:line="260" w:lineRule="exact"/>
              <w:jc w:val="center"/>
              <w:rPr>
                <w:rFonts w:ascii="宋体" w:hAnsi="宋体"/>
                <w:b w:val="0"/>
                <w:bCs/>
                <w:szCs w:val="21"/>
              </w:rPr>
            </w:pPr>
            <w:r>
              <w:rPr>
                <w:rFonts w:hint="eastAsia" w:ascii="宋体" w:hAnsi="宋体"/>
                <w:b w:val="0"/>
                <w:bCs/>
                <w:szCs w:val="21"/>
              </w:rPr>
              <w:t>143</w:t>
            </w:r>
          </w:p>
        </w:tc>
      </w:tr>
      <w:tr w14:paraId="0809B7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08" w:type="dxa"/>
            <w:vMerge w:val="continue"/>
            <w:vAlign w:val="center"/>
          </w:tcPr>
          <w:p w14:paraId="4FECA7E5">
            <w:pPr>
              <w:spacing w:line="260" w:lineRule="exact"/>
              <w:jc w:val="center"/>
              <w:rPr>
                <w:rFonts w:ascii="宋体" w:hAnsi="宋体"/>
                <w:b w:val="0"/>
                <w:bCs/>
                <w:szCs w:val="21"/>
              </w:rPr>
            </w:pPr>
          </w:p>
        </w:tc>
        <w:tc>
          <w:tcPr>
            <w:tcW w:w="737" w:type="dxa"/>
            <w:vMerge w:val="continue"/>
            <w:vAlign w:val="center"/>
          </w:tcPr>
          <w:p w14:paraId="7A5FE928">
            <w:pPr>
              <w:spacing w:line="260" w:lineRule="exact"/>
              <w:jc w:val="center"/>
              <w:rPr>
                <w:rFonts w:ascii="宋体" w:hAnsi="宋体"/>
                <w:b w:val="0"/>
                <w:bCs/>
                <w:szCs w:val="21"/>
              </w:rPr>
            </w:pPr>
          </w:p>
        </w:tc>
        <w:tc>
          <w:tcPr>
            <w:tcW w:w="1009" w:type="dxa"/>
            <w:vMerge w:val="continue"/>
            <w:vAlign w:val="center"/>
          </w:tcPr>
          <w:p w14:paraId="7F0EBD78">
            <w:pPr>
              <w:spacing w:line="260" w:lineRule="exact"/>
              <w:jc w:val="center"/>
              <w:rPr>
                <w:rFonts w:ascii="宋体" w:hAnsi="宋体"/>
                <w:b w:val="0"/>
                <w:bCs/>
                <w:szCs w:val="21"/>
              </w:rPr>
            </w:pPr>
          </w:p>
        </w:tc>
        <w:tc>
          <w:tcPr>
            <w:tcW w:w="1550" w:type="dxa"/>
            <w:vAlign w:val="center"/>
          </w:tcPr>
          <w:p w14:paraId="6F918799">
            <w:pPr>
              <w:spacing w:line="260" w:lineRule="exact"/>
              <w:jc w:val="center"/>
              <w:rPr>
                <w:rFonts w:ascii="宋体" w:hAnsi="宋体"/>
                <w:b w:val="0"/>
                <w:bCs/>
                <w:szCs w:val="21"/>
              </w:rPr>
            </w:pPr>
            <w:r>
              <w:rPr>
                <w:rFonts w:hint="eastAsia" w:ascii="宋体" w:hAnsi="宋体"/>
                <w:b w:val="0"/>
                <w:bCs/>
                <w:szCs w:val="21"/>
              </w:rPr>
              <w:t>65#包装中转</w:t>
            </w:r>
          </w:p>
        </w:tc>
        <w:tc>
          <w:tcPr>
            <w:tcW w:w="709" w:type="dxa"/>
            <w:shd w:val="clear" w:color="auto" w:fill="auto"/>
            <w:vAlign w:val="center"/>
          </w:tcPr>
          <w:p w14:paraId="7494D6D8">
            <w:pPr>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850" w:type="dxa"/>
            <w:shd w:val="clear" w:color="auto" w:fill="auto"/>
            <w:vAlign w:val="center"/>
          </w:tcPr>
          <w:p w14:paraId="6DEBD893">
            <w:pPr>
              <w:jc w:val="center"/>
              <w:rPr>
                <w:rFonts w:ascii="宋体" w:hAnsi="宋体"/>
                <w:b w:val="0"/>
                <w:bCs/>
                <w:szCs w:val="21"/>
              </w:rPr>
            </w:pPr>
            <w:r>
              <w:rPr>
                <w:rFonts w:hint="eastAsia" w:ascii="宋体" w:hAnsi="宋体"/>
                <w:b w:val="0"/>
                <w:bCs/>
                <w:szCs w:val="21"/>
              </w:rPr>
              <w:t>200</w:t>
            </w:r>
          </w:p>
        </w:tc>
        <w:tc>
          <w:tcPr>
            <w:tcW w:w="1132" w:type="dxa"/>
            <w:vAlign w:val="center"/>
          </w:tcPr>
          <w:p w14:paraId="7DC76DC2">
            <w:pPr>
              <w:spacing w:line="260" w:lineRule="exact"/>
              <w:jc w:val="center"/>
              <w:rPr>
                <w:rFonts w:ascii="宋体" w:hAnsi="宋体"/>
                <w:b w:val="0"/>
                <w:bCs/>
                <w:szCs w:val="21"/>
              </w:rPr>
            </w:pPr>
            <w:r>
              <w:rPr>
                <w:rFonts w:hint="eastAsia" w:ascii="宋体" w:hAnsi="宋体"/>
                <w:b w:val="0"/>
                <w:bCs/>
                <w:szCs w:val="21"/>
              </w:rPr>
              <w:t>110</w:t>
            </w:r>
          </w:p>
        </w:tc>
        <w:tc>
          <w:tcPr>
            <w:tcW w:w="995" w:type="dxa"/>
            <w:vAlign w:val="center"/>
          </w:tcPr>
          <w:p w14:paraId="78280955">
            <w:pPr>
              <w:spacing w:line="260" w:lineRule="exact"/>
              <w:jc w:val="center"/>
              <w:rPr>
                <w:rFonts w:ascii="宋体" w:hAnsi="宋体"/>
                <w:b w:val="0"/>
                <w:bCs/>
                <w:szCs w:val="21"/>
              </w:rPr>
            </w:pPr>
            <w:r>
              <w:rPr>
                <w:rFonts w:hint="eastAsia" w:ascii="宋体" w:hAnsi="宋体"/>
                <w:b w:val="0"/>
                <w:bCs/>
                <w:szCs w:val="21"/>
              </w:rPr>
              <w:t>145</w:t>
            </w:r>
          </w:p>
        </w:tc>
      </w:tr>
      <w:tr w14:paraId="12042E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90" w:type="dxa"/>
            <w:gridSpan w:val="8"/>
            <w:vAlign w:val="center"/>
          </w:tcPr>
          <w:p w14:paraId="5391F27C">
            <w:pPr>
              <w:spacing w:line="260" w:lineRule="exact"/>
              <w:rPr>
                <w:rFonts w:ascii="宋体" w:hAnsi="宋体"/>
                <w:b w:val="0"/>
                <w:bCs/>
                <w:szCs w:val="21"/>
              </w:rPr>
            </w:pPr>
            <w:r>
              <w:rPr>
                <w:rFonts w:hint="eastAsia" w:ascii="宋体" w:hAnsi="宋体"/>
                <w:b w:val="0"/>
                <w:bCs/>
                <w:szCs w:val="21"/>
              </w:rPr>
              <w:t>注：1、89成品库与危险品生产区外部距离标准值</w:t>
            </w:r>
            <w:r>
              <w:rPr>
                <w:rFonts w:hint="eastAsia" w:ascii="宋体" w:hAnsi="宋体"/>
                <w:b w:val="0"/>
                <w:bCs/>
                <w:spacing w:val="-11"/>
                <w:kern w:val="0"/>
                <w:szCs w:val="21"/>
              </w:rPr>
              <w:t>依据</w:t>
            </w:r>
            <w:r>
              <w:rPr>
                <w:rFonts w:hint="eastAsia" w:ascii="宋体" w:hAnsi="宋体" w:cs="宋体"/>
                <w:b w:val="0"/>
                <w:bCs/>
                <w:szCs w:val="21"/>
              </w:rPr>
              <w:t>G</w:t>
            </w:r>
            <w:r>
              <w:rPr>
                <w:rFonts w:ascii="宋体" w:hAnsi="宋体" w:cs="宋体"/>
                <w:b w:val="0"/>
                <w:bCs/>
                <w:szCs w:val="21"/>
              </w:rPr>
              <w:t>B50161-2022</w:t>
            </w:r>
            <w:r>
              <w:rPr>
                <w:rFonts w:hint="eastAsia" w:ascii="宋体" w:hAnsi="宋体" w:cs="宋体"/>
                <w:b w:val="0"/>
                <w:bCs/>
                <w:szCs w:val="21"/>
              </w:rPr>
              <w:t>中4</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3“注”采用线性插入法确定。</w:t>
            </w:r>
          </w:p>
        </w:tc>
      </w:tr>
    </w:tbl>
    <w:p w14:paraId="4235988E">
      <w:pPr>
        <w:spacing w:before="120" w:beforeLines="50" w:line="360" w:lineRule="auto"/>
        <w:ind w:firstLine="560" w:firstLineChars="200"/>
        <w:rPr>
          <w:rFonts w:ascii="黑体" w:hAnsi="黑体" w:cs="黑体"/>
          <w:b w:val="0"/>
          <w:bCs/>
          <w:szCs w:val="28"/>
        </w:rPr>
      </w:pPr>
      <w:r>
        <w:rPr>
          <w:rFonts w:hAnsi="宋体"/>
          <w:b w:val="0"/>
          <w:bCs/>
          <w:sz w:val="28"/>
        </w:rPr>
        <w:t>在对</w:t>
      </w:r>
      <w:r>
        <w:rPr>
          <w:rFonts w:hint="eastAsia" w:hAnsi="宋体"/>
          <w:b w:val="0"/>
          <w:bCs/>
          <w:sz w:val="28"/>
        </w:rPr>
        <w:t>该项目</w:t>
      </w:r>
      <w:r>
        <w:rPr>
          <w:rFonts w:hAnsi="宋体"/>
          <w:b w:val="0"/>
          <w:bCs/>
          <w:sz w:val="28"/>
        </w:rPr>
        <w:t>的外部安全距离检查中，所检查项目</w:t>
      </w:r>
      <w:r>
        <w:rPr>
          <w:rFonts w:hint="eastAsia" w:hAnsi="宋体"/>
          <w:b w:val="0"/>
          <w:bCs/>
          <w:sz w:val="28"/>
        </w:rPr>
        <w:t>均能</w:t>
      </w:r>
      <w:r>
        <w:rPr>
          <w:rFonts w:hint="eastAsia" w:ascii="宋体" w:hAnsi="宋体"/>
          <w:b w:val="0"/>
          <w:bCs/>
          <w:sz w:val="28"/>
          <w:szCs w:val="28"/>
        </w:rPr>
        <w:t>符合《烟花爆竹工程设计安全标准</w:t>
      </w:r>
      <w:r>
        <w:rPr>
          <w:rFonts w:hint="eastAsia" w:ascii="宋体" w:hAnsi="宋体" w:cs="宋体"/>
          <w:b w:val="0"/>
          <w:bCs/>
          <w:sz w:val="28"/>
          <w:szCs w:val="28"/>
        </w:rPr>
        <w:t>》</w:t>
      </w:r>
      <w:r>
        <w:rPr>
          <w:rFonts w:hint="eastAsia" w:ascii="宋体" w:hAnsi="宋体" w:cs="宋体"/>
          <w:b w:val="0"/>
          <w:bCs/>
          <w:sz w:val="28"/>
        </w:rPr>
        <w:t>（GB50161-2022）所规定</w:t>
      </w:r>
      <w:r>
        <w:rPr>
          <w:rFonts w:hint="eastAsia" w:ascii="宋体" w:hAnsi="宋体"/>
          <w:b w:val="0"/>
          <w:bCs/>
          <w:sz w:val="28"/>
          <w:szCs w:val="28"/>
        </w:rPr>
        <w:t>要求。</w:t>
      </w:r>
    </w:p>
    <w:p w14:paraId="24BBB598">
      <w:pPr>
        <w:pStyle w:val="5"/>
        <w:rPr>
          <w:rFonts w:ascii="黑体" w:hAnsi="宋体" w:eastAsia="黑体"/>
          <w:b w:val="0"/>
          <w:bCs w:val="0"/>
          <w:snapToGrid w:val="0"/>
          <w:color w:val="000000" w:themeColor="text1"/>
          <w:sz w:val="30"/>
          <w:szCs w:val="30"/>
          <w14:textFill>
            <w14:solidFill>
              <w14:schemeClr w14:val="tx1"/>
            </w14:solidFill>
          </w14:textFill>
        </w:rPr>
      </w:pPr>
      <w:bookmarkStart w:id="136" w:name="_Toc278054188"/>
      <w:bookmarkStart w:id="137" w:name="_Toc300344396"/>
      <w:bookmarkStart w:id="138" w:name="_Toc165038782"/>
      <w:bookmarkStart w:id="139" w:name="_Toc300329574"/>
      <w:bookmarkStart w:id="140" w:name="_Toc300256199"/>
      <w:r>
        <w:rPr>
          <w:rFonts w:hint="eastAsia" w:ascii="黑体" w:hAnsi="宋体" w:eastAsia="黑体"/>
          <w:b w:val="0"/>
          <w:bCs w:val="0"/>
          <w:snapToGrid w:val="0"/>
          <w:color w:val="000000" w:themeColor="text1"/>
          <w:sz w:val="30"/>
          <w:szCs w:val="30"/>
          <w14:textFill>
            <w14:solidFill>
              <w14:schemeClr w14:val="tx1"/>
            </w14:solidFill>
          </w14:textFill>
        </w:rPr>
        <w:t>2.8.2内部安全距离</w:t>
      </w:r>
      <w:bookmarkEnd w:id="136"/>
      <w:bookmarkEnd w:id="137"/>
      <w:bookmarkEnd w:id="138"/>
      <w:bookmarkEnd w:id="139"/>
      <w:bookmarkEnd w:id="140"/>
    </w:p>
    <w:p w14:paraId="692F93F0">
      <w:pPr>
        <w:spacing w:line="360" w:lineRule="auto"/>
        <w:ind w:firstLine="560" w:firstLineChars="200"/>
        <w:rPr>
          <w:rFonts w:ascii="宋体" w:hAnsi="宋体"/>
          <w:b w:val="0"/>
          <w:sz w:val="28"/>
          <w:szCs w:val="28"/>
          <w:lang w:val="en-GB"/>
        </w:rPr>
      </w:pPr>
      <w:r>
        <w:rPr>
          <w:rFonts w:hint="eastAsia" w:ascii="宋体" w:hAnsi="宋体"/>
          <w:b w:val="0"/>
          <w:sz w:val="28"/>
          <w:szCs w:val="28"/>
          <w:lang w:val="en-GB"/>
        </w:rPr>
        <w:t>根据原有工房的现场布置及《浏阳市太平复兴花炮厂（个人独资）厂房升级改造项目总平面布置图》（初步设计方案图）），该项目原有工房及厂房升级改造项目工房的内部距离按不小于《烟花爆竹工程设计安全标准》（GB50161-2022）及《建筑设计防火规范（2018年修订版）》GB50016-2014规定进行建设（设计）。划定的工库房内部最小允许距离范围内不得进行相应的工程建设。</w:t>
      </w:r>
    </w:p>
    <w:p w14:paraId="719DBBE2">
      <w:pPr>
        <w:jc w:val="center"/>
        <w:rPr>
          <w:rFonts w:ascii="黑体" w:hAnsi="黑体" w:eastAsia="黑体"/>
          <w:b w:val="0"/>
          <w:bCs/>
          <w:sz w:val="24"/>
        </w:rPr>
      </w:pPr>
      <w:r>
        <w:rPr>
          <w:rFonts w:hint="eastAsia" w:ascii="黑体" w:hAnsi="黑体" w:eastAsia="黑体"/>
          <w:b w:val="0"/>
          <w:bCs/>
          <w:sz w:val="24"/>
        </w:rPr>
        <w:t>表2</w:t>
      </w:r>
      <w:r>
        <w:rPr>
          <w:rFonts w:ascii="黑体" w:hAnsi="黑体" w:eastAsia="黑体"/>
          <w:b w:val="0"/>
          <w:bCs/>
          <w:sz w:val="24"/>
        </w:rPr>
        <w:t>.</w:t>
      </w:r>
      <w:r>
        <w:rPr>
          <w:rFonts w:hint="eastAsia" w:ascii="黑体" w:hAnsi="黑体" w:eastAsia="黑体"/>
          <w:b w:val="0"/>
          <w:bCs/>
          <w:sz w:val="24"/>
        </w:rPr>
        <w:t>8-3新、改建建（构）筑物之间内部距离平面布置图设计情况表</w:t>
      </w:r>
    </w:p>
    <w:tbl>
      <w:tblPr>
        <w:tblStyle w:val="88"/>
        <w:tblW w:w="5283"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693"/>
        <w:gridCol w:w="1018"/>
        <w:gridCol w:w="2111"/>
        <w:gridCol w:w="804"/>
        <w:gridCol w:w="702"/>
        <w:gridCol w:w="762"/>
        <w:gridCol w:w="1745"/>
      </w:tblGrid>
      <w:tr w14:paraId="31B774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5" w:hRule="atLeast"/>
          <w:tblHeader/>
          <w:jc w:val="center"/>
        </w:trPr>
        <w:tc>
          <w:tcPr>
            <w:tcW w:w="1008" w:type="pct"/>
            <w:shd w:val="clear" w:color="auto" w:fill="auto"/>
            <w:vAlign w:val="center"/>
          </w:tcPr>
          <w:p w14:paraId="1F5B619D">
            <w:pPr>
              <w:jc w:val="center"/>
              <w:rPr>
                <w:rFonts w:ascii="宋体" w:hAnsi="宋体" w:cs="宋体"/>
                <w:szCs w:val="21"/>
              </w:rPr>
            </w:pPr>
            <w:r>
              <w:rPr>
                <w:rFonts w:hint="eastAsia" w:ascii="宋体" w:hAnsi="宋体" w:cs="宋体"/>
                <w:szCs w:val="21"/>
              </w:rPr>
              <w:t>建（构）筑物名称</w:t>
            </w:r>
          </w:p>
        </w:tc>
        <w:tc>
          <w:tcPr>
            <w:tcW w:w="353" w:type="pct"/>
            <w:shd w:val="clear" w:color="auto" w:fill="auto"/>
            <w:vAlign w:val="center"/>
          </w:tcPr>
          <w:p w14:paraId="759322A0">
            <w:pPr>
              <w:jc w:val="center"/>
              <w:rPr>
                <w:rFonts w:ascii="宋体" w:hAnsi="宋体" w:cs="宋体"/>
                <w:szCs w:val="21"/>
              </w:rPr>
            </w:pPr>
            <w:r>
              <w:rPr>
                <w:rFonts w:hint="eastAsia" w:ascii="宋体" w:hAnsi="宋体" w:cs="宋体"/>
                <w:szCs w:val="21"/>
              </w:rPr>
              <w:t>危险等级</w:t>
            </w:r>
          </w:p>
        </w:tc>
        <w:tc>
          <w:tcPr>
            <w:tcW w:w="518" w:type="pct"/>
            <w:shd w:val="clear" w:color="auto" w:fill="auto"/>
            <w:vAlign w:val="center"/>
          </w:tcPr>
          <w:p w14:paraId="7FB0B63C">
            <w:pPr>
              <w:jc w:val="center"/>
              <w:rPr>
                <w:rFonts w:ascii="宋体" w:hAnsi="宋体" w:cs="宋体"/>
                <w:szCs w:val="21"/>
              </w:rPr>
            </w:pPr>
            <w:r>
              <w:rPr>
                <w:rFonts w:hint="eastAsia" w:ascii="宋体" w:hAnsi="宋体" w:cs="宋体"/>
                <w:szCs w:val="21"/>
              </w:rPr>
              <w:t>计算药量(㎏)</w:t>
            </w:r>
          </w:p>
        </w:tc>
        <w:tc>
          <w:tcPr>
            <w:tcW w:w="1075" w:type="pct"/>
            <w:vAlign w:val="center"/>
          </w:tcPr>
          <w:p w14:paraId="390B0EF8">
            <w:pPr>
              <w:jc w:val="center"/>
              <w:rPr>
                <w:rFonts w:ascii="宋体" w:hAnsi="宋体" w:cs="宋体"/>
                <w:szCs w:val="21"/>
              </w:rPr>
            </w:pPr>
            <w:r>
              <w:rPr>
                <w:rFonts w:hint="eastAsia" w:ascii="宋体" w:hAnsi="宋体" w:cs="宋体"/>
                <w:szCs w:val="21"/>
              </w:rPr>
              <w:t>相邻建筑物名称</w:t>
            </w:r>
          </w:p>
        </w:tc>
        <w:tc>
          <w:tcPr>
            <w:tcW w:w="409" w:type="pct"/>
            <w:vAlign w:val="center"/>
          </w:tcPr>
          <w:p w14:paraId="53257A13">
            <w:pPr>
              <w:jc w:val="center"/>
              <w:rPr>
                <w:rFonts w:ascii="宋体" w:hAnsi="宋体" w:cs="宋体"/>
                <w:szCs w:val="21"/>
              </w:rPr>
            </w:pPr>
            <w:r>
              <w:rPr>
                <w:rFonts w:hint="eastAsia" w:ascii="宋体" w:hAnsi="宋体" w:cs="宋体"/>
                <w:szCs w:val="21"/>
              </w:rPr>
              <w:t>标准距离(m)</w:t>
            </w:r>
          </w:p>
        </w:tc>
        <w:tc>
          <w:tcPr>
            <w:tcW w:w="357" w:type="pct"/>
            <w:vAlign w:val="center"/>
          </w:tcPr>
          <w:p w14:paraId="7B11BD7A">
            <w:pPr>
              <w:jc w:val="center"/>
              <w:rPr>
                <w:rFonts w:ascii="宋体" w:hAnsi="宋体" w:cs="宋体"/>
                <w:szCs w:val="21"/>
              </w:rPr>
            </w:pPr>
            <w:r>
              <w:rPr>
                <w:rFonts w:hint="eastAsia" w:ascii="宋体" w:hAnsi="宋体" w:cs="宋体"/>
                <w:szCs w:val="21"/>
              </w:rPr>
              <w:t>设计距离(m)</w:t>
            </w:r>
          </w:p>
        </w:tc>
        <w:tc>
          <w:tcPr>
            <w:tcW w:w="388" w:type="pct"/>
            <w:vAlign w:val="center"/>
          </w:tcPr>
          <w:p w14:paraId="2090BC8C">
            <w:pPr>
              <w:jc w:val="center"/>
              <w:rPr>
                <w:rFonts w:ascii="宋体" w:hAnsi="宋体" w:cs="宋体"/>
                <w:szCs w:val="21"/>
              </w:rPr>
            </w:pPr>
            <w:r>
              <w:rPr>
                <w:rFonts w:hint="eastAsia" w:ascii="宋体" w:hAnsi="宋体" w:cs="宋体"/>
                <w:szCs w:val="21"/>
              </w:rPr>
              <w:t>防护措施</w:t>
            </w:r>
          </w:p>
        </w:tc>
        <w:tc>
          <w:tcPr>
            <w:tcW w:w="888" w:type="pct"/>
            <w:vAlign w:val="center"/>
          </w:tcPr>
          <w:p w14:paraId="2259EE7B">
            <w:pPr>
              <w:jc w:val="center"/>
              <w:rPr>
                <w:rFonts w:ascii="宋体" w:hAnsi="宋体" w:cs="宋体"/>
                <w:szCs w:val="21"/>
              </w:rPr>
            </w:pPr>
            <w:r>
              <w:rPr>
                <w:rFonts w:hint="eastAsia" w:ascii="宋体" w:hAnsi="宋体" w:cs="宋体"/>
                <w:szCs w:val="21"/>
              </w:rPr>
              <w:t>标准依据</w:t>
            </w:r>
          </w:p>
        </w:tc>
      </w:tr>
      <w:tr w14:paraId="2D0F73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74" w:hRule="atLeast"/>
          <w:jc w:val="center"/>
        </w:trPr>
        <w:tc>
          <w:tcPr>
            <w:tcW w:w="1008" w:type="pct"/>
            <w:shd w:val="clear" w:color="auto" w:fill="auto"/>
            <w:vAlign w:val="center"/>
          </w:tcPr>
          <w:p w14:paraId="2D02C449">
            <w:pPr>
              <w:jc w:val="center"/>
              <w:rPr>
                <w:rFonts w:ascii="宋体" w:hAnsi="宋体" w:cs="Arial"/>
                <w:b w:val="0"/>
                <w:bCs/>
                <w:szCs w:val="21"/>
              </w:rPr>
            </w:pPr>
            <w:r>
              <w:rPr>
                <w:rFonts w:hint="eastAsia" w:ascii="宋体" w:hAnsi="宋体" w:cs="Arial"/>
                <w:b w:val="0"/>
                <w:bCs/>
                <w:szCs w:val="21"/>
              </w:rPr>
              <w:t>9</w:t>
            </w:r>
            <w:r>
              <w:rPr>
                <w:rFonts w:ascii="宋体" w:hAnsi="宋体" w:cs="Arial"/>
                <w:b w:val="0"/>
                <w:bCs/>
                <w:szCs w:val="21"/>
              </w:rPr>
              <w:t>#</w:t>
            </w:r>
            <w:r>
              <w:rPr>
                <w:rFonts w:hint="eastAsia" w:ascii="宋体" w:hAnsi="宋体" w:cs="Arial"/>
                <w:b w:val="0"/>
                <w:bCs/>
                <w:szCs w:val="21"/>
              </w:rPr>
              <w:t>引中转</w:t>
            </w:r>
          </w:p>
        </w:tc>
        <w:tc>
          <w:tcPr>
            <w:tcW w:w="353" w:type="pct"/>
            <w:shd w:val="clear" w:color="auto" w:fill="auto"/>
            <w:vAlign w:val="center"/>
          </w:tcPr>
          <w:p w14:paraId="097A5D08">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-2</w:t>
            </w:r>
          </w:p>
        </w:tc>
        <w:tc>
          <w:tcPr>
            <w:tcW w:w="518" w:type="pct"/>
            <w:shd w:val="clear" w:color="auto" w:fill="auto"/>
            <w:vAlign w:val="center"/>
          </w:tcPr>
          <w:p w14:paraId="1AE201B7">
            <w:pPr>
              <w:jc w:val="center"/>
              <w:rPr>
                <w:rFonts w:ascii="宋体" w:hAnsi="宋体" w:cs="Arial"/>
                <w:b w:val="0"/>
                <w:bCs/>
                <w:szCs w:val="21"/>
              </w:rPr>
            </w:pPr>
            <w:r>
              <w:rPr>
                <w:rFonts w:hint="eastAsia" w:ascii="宋体" w:hAnsi="宋体" w:cs="Arial"/>
                <w:b w:val="0"/>
                <w:bCs/>
                <w:szCs w:val="21"/>
              </w:rPr>
              <w:t>100</w:t>
            </w:r>
          </w:p>
        </w:tc>
        <w:tc>
          <w:tcPr>
            <w:tcW w:w="1075" w:type="pct"/>
            <w:shd w:val="clear" w:color="auto" w:fill="auto"/>
            <w:vAlign w:val="center"/>
          </w:tcPr>
          <w:p w14:paraId="06BD0D2F">
            <w:pPr>
              <w:jc w:val="center"/>
              <w:rPr>
                <w:rFonts w:ascii="宋体" w:hAnsi="宋体"/>
                <w:b w:val="0"/>
                <w:bCs/>
                <w:spacing w:val="-4"/>
                <w:szCs w:val="21"/>
              </w:rPr>
            </w:pPr>
            <w:r>
              <w:rPr>
                <w:rFonts w:hint="eastAsia" w:ascii="宋体" w:hAnsi="宋体"/>
                <w:b w:val="0"/>
                <w:bCs/>
                <w:spacing w:val="-4"/>
                <w:szCs w:val="21"/>
              </w:rPr>
              <w:t>10</w:t>
            </w:r>
            <w:r>
              <w:rPr>
                <w:rFonts w:ascii="宋体" w:hAnsi="宋体"/>
                <w:b w:val="0"/>
                <w:bCs/>
                <w:spacing w:val="-4"/>
                <w:szCs w:val="21"/>
              </w:rPr>
              <w:t>#</w:t>
            </w:r>
            <w:r>
              <w:rPr>
                <w:rFonts w:hint="eastAsia" w:ascii="宋体" w:hAnsi="宋体"/>
                <w:b w:val="0"/>
                <w:bCs/>
                <w:spacing w:val="-4"/>
                <w:szCs w:val="21"/>
              </w:rPr>
              <w:t>半成品中转</w:t>
            </w:r>
          </w:p>
          <w:p w14:paraId="355D623F">
            <w:pPr>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.3</w:t>
            </w:r>
            <w:r>
              <w:rPr>
                <w:rFonts w:hint="eastAsia" w:ascii="宋体" w:hAnsi="宋体"/>
                <w:b w:val="0"/>
                <w:bCs/>
                <w:spacing w:val="-4"/>
                <w:szCs w:val="21"/>
              </w:rPr>
              <w:t>级、4</w:t>
            </w:r>
            <w:r>
              <w:rPr>
                <w:rFonts w:ascii="宋体" w:hAnsi="宋体"/>
                <w:b w:val="0"/>
                <w:bCs/>
                <w:spacing w:val="-4"/>
                <w:szCs w:val="21"/>
              </w:rPr>
              <w:t>00kg</w:t>
            </w:r>
            <w:r>
              <w:rPr>
                <w:rFonts w:hint="eastAsia" w:ascii="宋体" w:hAnsi="宋体"/>
                <w:b w:val="0"/>
                <w:bCs/>
                <w:spacing w:val="-4"/>
                <w:szCs w:val="21"/>
              </w:rPr>
              <w:t>）</w:t>
            </w:r>
          </w:p>
        </w:tc>
        <w:tc>
          <w:tcPr>
            <w:tcW w:w="409" w:type="pct"/>
            <w:shd w:val="clear" w:color="auto" w:fill="auto"/>
            <w:vAlign w:val="center"/>
          </w:tcPr>
          <w:p w14:paraId="0765AEB4">
            <w:pPr>
              <w:widowControl/>
              <w:jc w:val="center"/>
              <w:rPr>
                <w:rFonts w:ascii="宋体" w:hAnsi="宋体" w:cs="宋体"/>
                <w:b w:val="0"/>
                <w:bCs/>
                <w:szCs w:val="21"/>
              </w:rPr>
            </w:pPr>
            <w:r>
              <w:rPr>
                <w:rFonts w:hint="eastAsia" w:ascii="宋体" w:hAnsi="宋体" w:cs="宋体"/>
                <w:b w:val="0"/>
                <w:bCs/>
                <w:szCs w:val="21"/>
              </w:rPr>
              <w:t>18</w:t>
            </w:r>
          </w:p>
        </w:tc>
        <w:tc>
          <w:tcPr>
            <w:tcW w:w="357" w:type="pct"/>
            <w:shd w:val="clear" w:color="auto" w:fill="auto"/>
            <w:vAlign w:val="center"/>
          </w:tcPr>
          <w:p w14:paraId="0888302A">
            <w:pPr>
              <w:jc w:val="center"/>
              <w:rPr>
                <w:rFonts w:ascii="宋体" w:hAnsi="宋体" w:cs="宋体"/>
                <w:b w:val="0"/>
                <w:bCs/>
                <w:szCs w:val="21"/>
              </w:rPr>
            </w:pPr>
            <w:r>
              <w:rPr>
                <w:rFonts w:hint="eastAsia" w:ascii="宋体" w:hAnsi="宋体" w:cs="宋体"/>
                <w:b w:val="0"/>
                <w:bCs/>
                <w:szCs w:val="21"/>
              </w:rPr>
              <w:t>19</w:t>
            </w:r>
          </w:p>
        </w:tc>
        <w:tc>
          <w:tcPr>
            <w:tcW w:w="388" w:type="pct"/>
            <w:shd w:val="clear" w:color="auto" w:fill="auto"/>
            <w:vAlign w:val="center"/>
          </w:tcPr>
          <w:p w14:paraId="007D8181">
            <w:pPr>
              <w:jc w:val="center"/>
              <w:rPr>
                <w:rFonts w:ascii="宋体" w:hAnsi="宋体" w:cs="宋体"/>
                <w:b w:val="0"/>
                <w:bCs/>
                <w:szCs w:val="21"/>
              </w:rPr>
            </w:pPr>
            <w:r>
              <w:rPr>
                <w:rFonts w:hint="eastAsia" w:ascii="宋体" w:hAnsi="宋体" w:cs="宋体"/>
                <w:b w:val="0"/>
                <w:bCs/>
                <w:szCs w:val="21"/>
              </w:rPr>
              <w:t>单有</w:t>
            </w:r>
          </w:p>
        </w:tc>
        <w:tc>
          <w:tcPr>
            <w:tcW w:w="888" w:type="pct"/>
            <w:shd w:val="clear" w:color="auto" w:fill="auto"/>
            <w:vAlign w:val="center"/>
          </w:tcPr>
          <w:p w14:paraId="77BD8C4E">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2</w:t>
            </w:r>
            <w:r>
              <w:rPr>
                <w:rFonts w:ascii="宋体" w:hAnsi="宋体" w:cs="宋体"/>
                <w:b w:val="0"/>
                <w:bCs/>
                <w:szCs w:val="21"/>
              </w:rPr>
              <w:t>.</w:t>
            </w:r>
            <w:r>
              <w:rPr>
                <w:rFonts w:hint="eastAsia" w:ascii="宋体" w:hAnsi="宋体" w:cs="宋体"/>
                <w:b w:val="0"/>
                <w:bCs/>
                <w:szCs w:val="21"/>
              </w:rPr>
              <w:t>8</w:t>
            </w:r>
          </w:p>
        </w:tc>
      </w:tr>
      <w:tr w14:paraId="2126C4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restart"/>
            <w:shd w:val="clear" w:color="auto" w:fill="auto"/>
            <w:vAlign w:val="center"/>
          </w:tcPr>
          <w:p w14:paraId="77BF6D5D">
            <w:pPr>
              <w:jc w:val="center"/>
              <w:rPr>
                <w:rFonts w:ascii="宋体" w:hAnsi="宋体" w:cs="Arial"/>
                <w:b w:val="0"/>
                <w:bCs/>
                <w:szCs w:val="21"/>
              </w:rPr>
            </w:pPr>
            <w:r>
              <w:rPr>
                <w:rFonts w:hint="eastAsia" w:ascii="宋体" w:hAnsi="宋体" w:cs="Arial"/>
                <w:b w:val="0"/>
                <w:bCs/>
                <w:szCs w:val="21"/>
              </w:rPr>
              <w:t>11</w:t>
            </w:r>
            <w:r>
              <w:rPr>
                <w:rFonts w:ascii="宋体" w:hAnsi="宋体" w:cs="Arial"/>
                <w:b w:val="0"/>
                <w:bCs/>
                <w:szCs w:val="21"/>
              </w:rPr>
              <w:t>#</w:t>
            </w:r>
            <w:r>
              <w:rPr>
                <w:rFonts w:hint="eastAsia" w:ascii="宋体" w:hAnsi="宋体" w:cs="Arial"/>
                <w:b w:val="0"/>
                <w:bCs/>
                <w:szCs w:val="21"/>
              </w:rPr>
              <w:t>组装/包装</w:t>
            </w:r>
          </w:p>
        </w:tc>
        <w:tc>
          <w:tcPr>
            <w:tcW w:w="353" w:type="pct"/>
            <w:vMerge w:val="restart"/>
            <w:shd w:val="clear" w:color="auto" w:fill="auto"/>
            <w:vAlign w:val="center"/>
          </w:tcPr>
          <w:p w14:paraId="264F288A">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.3</w:t>
            </w:r>
          </w:p>
        </w:tc>
        <w:tc>
          <w:tcPr>
            <w:tcW w:w="518" w:type="pct"/>
            <w:vMerge w:val="restart"/>
            <w:shd w:val="clear" w:color="auto" w:fill="auto"/>
            <w:vAlign w:val="center"/>
          </w:tcPr>
          <w:p w14:paraId="74AFCCC9">
            <w:pPr>
              <w:jc w:val="center"/>
              <w:rPr>
                <w:rFonts w:ascii="宋体" w:hAnsi="宋体" w:cs="Arial"/>
                <w:b w:val="0"/>
                <w:bCs/>
                <w:szCs w:val="21"/>
              </w:rPr>
            </w:pPr>
            <w:r>
              <w:rPr>
                <w:rFonts w:hint="eastAsia" w:ascii="宋体" w:hAnsi="宋体" w:cs="Arial"/>
                <w:b w:val="0"/>
                <w:bCs/>
                <w:szCs w:val="21"/>
              </w:rPr>
              <w:t>360</w:t>
            </w:r>
          </w:p>
        </w:tc>
        <w:tc>
          <w:tcPr>
            <w:tcW w:w="1075" w:type="pct"/>
            <w:shd w:val="clear" w:color="auto" w:fill="auto"/>
            <w:vAlign w:val="center"/>
          </w:tcPr>
          <w:p w14:paraId="7A45B9AA">
            <w:pPr>
              <w:jc w:val="center"/>
              <w:rPr>
                <w:rFonts w:ascii="宋体" w:hAnsi="宋体"/>
                <w:b w:val="0"/>
                <w:bCs/>
                <w:spacing w:val="-4"/>
                <w:szCs w:val="21"/>
              </w:rPr>
            </w:pPr>
            <w:r>
              <w:rPr>
                <w:rFonts w:hint="eastAsia" w:ascii="宋体" w:hAnsi="宋体"/>
                <w:b w:val="0"/>
                <w:bCs/>
                <w:spacing w:val="-4"/>
                <w:szCs w:val="21"/>
              </w:rPr>
              <w:t>10</w:t>
            </w:r>
            <w:r>
              <w:rPr>
                <w:rFonts w:ascii="宋体" w:hAnsi="宋体"/>
                <w:b w:val="0"/>
                <w:bCs/>
                <w:spacing w:val="-4"/>
                <w:szCs w:val="21"/>
              </w:rPr>
              <w:t>#</w:t>
            </w:r>
            <w:r>
              <w:rPr>
                <w:rFonts w:hint="eastAsia" w:ascii="宋体" w:hAnsi="宋体"/>
                <w:b w:val="0"/>
                <w:bCs/>
                <w:spacing w:val="-4"/>
                <w:szCs w:val="21"/>
              </w:rPr>
              <w:t>半成品中转</w:t>
            </w:r>
          </w:p>
          <w:p w14:paraId="01B549A8">
            <w:pPr>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.3</w:t>
            </w:r>
            <w:r>
              <w:rPr>
                <w:rFonts w:hint="eastAsia" w:ascii="宋体" w:hAnsi="宋体"/>
                <w:b w:val="0"/>
                <w:bCs/>
                <w:spacing w:val="-4"/>
                <w:szCs w:val="21"/>
              </w:rPr>
              <w:t>级、4</w:t>
            </w:r>
            <w:r>
              <w:rPr>
                <w:rFonts w:ascii="宋体" w:hAnsi="宋体"/>
                <w:b w:val="0"/>
                <w:bCs/>
                <w:spacing w:val="-4"/>
                <w:szCs w:val="21"/>
              </w:rPr>
              <w:t>00kg</w:t>
            </w:r>
            <w:r>
              <w:rPr>
                <w:rFonts w:hint="eastAsia" w:ascii="宋体" w:hAnsi="宋体"/>
                <w:b w:val="0"/>
                <w:bCs/>
                <w:spacing w:val="-4"/>
                <w:szCs w:val="21"/>
              </w:rPr>
              <w:t>）</w:t>
            </w:r>
          </w:p>
        </w:tc>
        <w:tc>
          <w:tcPr>
            <w:tcW w:w="409" w:type="pct"/>
            <w:shd w:val="clear" w:color="auto" w:fill="auto"/>
            <w:vAlign w:val="center"/>
          </w:tcPr>
          <w:p w14:paraId="563BACEA">
            <w:pPr>
              <w:widowControl/>
              <w:jc w:val="center"/>
              <w:rPr>
                <w:rFonts w:ascii="宋体" w:hAnsi="宋体" w:cs="宋体"/>
                <w:b w:val="0"/>
                <w:bCs/>
                <w:szCs w:val="21"/>
              </w:rPr>
            </w:pPr>
            <w:r>
              <w:rPr>
                <w:rFonts w:hint="eastAsia" w:ascii="宋体" w:hAnsi="宋体" w:cs="宋体"/>
                <w:b w:val="0"/>
                <w:bCs/>
                <w:szCs w:val="21"/>
              </w:rPr>
              <w:t>18</w:t>
            </w:r>
          </w:p>
        </w:tc>
        <w:tc>
          <w:tcPr>
            <w:tcW w:w="357" w:type="pct"/>
            <w:shd w:val="clear" w:color="auto" w:fill="auto"/>
            <w:vAlign w:val="center"/>
          </w:tcPr>
          <w:p w14:paraId="61EC3B56">
            <w:pPr>
              <w:jc w:val="center"/>
              <w:rPr>
                <w:rFonts w:ascii="宋体" w:hAnsi="宋体" w:cs="宋体"/>
                <w:b w:val="0"/>
                <w:bCs/>
                <w:szCs w:val="21"/>
              </w:rPr>
            </w:pPr>
            <w:r>
              <w:rPr>
                <w:rFonts w:hint="eastAsia" w:ascii="宋体" w:hAnsi="宋体" w:cs="宋体"/>
                <w:b w:val="0"/>
                <w:bCs/>
                <w:szCs w:val="21"/>
              </w:rPr>
              <w:t>18</w:t>
            </w:r>
          </w:p>
        </w:tc>
        <w:tc>
          <w:tcPr>
            <w:tcW w:w="388" w:type="pct"/>
            <w:vAlign w:val="center"/>
          </w:tcPr>
          <w:p w14:paraId="4DF3FF33">
            <w:pPr>
              <w:jc w:val="center"/>
              <w:rPr>
                <w:rFonts w:ascii="宋体" w:hAnsi="宋体" w:cs="宋体"/>
                <w:b w:val="0"/>
                <w:bCs/>
                <w:szCs w:val="21"/>
              </w:rPr>
            </w:pPr>
            <w:r>
              <w:rPr>
                <w:rFonts w:hint="eastAsia" w:ascii="宋体" w:hAnsi="宋体" w:cs="宋体"/>
                <w:b w:val="0"/>
                <w:bCs/>
                <w:szCs w:val="21"/>
              </w:rPr>
              <w:t>/</w:t>
            </w:r>
          </w:p>
        </w:tc>
        <w:tc>
          <w:tcPr>
            <w:tcW w:w="888" w:type="pct"/>
            <w:shd w:val="clear" w:color="auto" w:fill="auto"/>
            <w:vAlign w:val="center"/>
          </w:tcPr>
          <w:p w14:paraId="3037CCB0">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2</w:t>
            </w:r>
            <w:r>
              <w:rPr>
                <w:rFonts w:ascii="宋体" w:hAnsi="宋体" w:cs="宋体"/>
                <w:b w:val="0"/>
                <w:bCs/>
                <w:szCs w:val="21"/>
              </w:rPr>
              <w:t>.</w:t>
            </w:r>
            <w:r>
              <w:rPr>
                <w:rFonts w:hint="eastAsia" w:ascii="宋体" w:hAnsi="宋体" w:cs="宋体"/>
                <w:b w:val="0"/>
                <w:bCs/>
                <w:szCs w:val="21"/>
              </w:rPr>
              <w:t>8</w:t>
            </w:r>
          </w:p>
        </w:tc>
      </w:tr>
      <w:tr w14:paraId="59C241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067FF559">
            <w:pPr>
              <w:jc w:val="center"/>
              <w:rPr>
                <w:rFonts w:ascii="宋体" w:hAnsi="宋体" w:cs="Arial"/>
                <w:b w:val="0"/>
                <w:bCs/>
                <w:szCs w:val="21"/>
              </w:rPr>
            </w:pPr>
          </w:p>
        </w:tc>
        <w:tc>
          <w:tcPr>
            <w:tcW w:w="353" w:type="pct"/>
            <w:vMerge w:val="continue"/>
            <w:shd w:val="clear" w:color="auto" w:fill="auto"/>
            <w:vAlign w:val="center"/>
          </w:tcPr>
          <w:p w14:paraId="281985D2">
            <w:pPr>
              <w:jc w:val="center"/>
              <w:rPr>
                <w:rFonts w:ascii="宋体" w:hAnsi="宋体" w:cs="Arial"/>
                <w:b w:val="0"/>
                <w:bCs/>
                <w:szCs w:val="21"/>
              </w:rPr>
            </w:pPr>
          </w:p>
        </w:tc>
        <w:tc>
          <w:tcPr>
            <w:tcW w:w="518" w:type="pct"/>
            <w:vMerge w:val="continue"/>
            <w:shd w:val="clear" w:color="auto" w:fill="auto"/>
            <w:vAlign w:val="center"/>
          </w:tcPr>
          <w:p w14:paraId="71FDB01C">
            <w:pPr>
              <w:jc w:val="center"/>
              <w:rPr>
                <w:rFonts w:ascii="宋体" w:hAnsi="宋体" w:cs="Arial"/>
                <w:b w:val="0"/>
                <w:bCs/>
                <w:szCs w:val="21"/>
              </w:rPr>
            </w:pPr>
          </w:p>
        </w:tc>
        <w:tc>
          <w:tcPr>
            <w:tcW w:w="1075" w:type="pct"/>
            <w:shd w:val="clear" w:color="auto" w:fill="auto"/>
            <w:vAlign w:val="center"/>
          </w:tcPr>
          <w:p w14:paraId="0C8E100C">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7</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包装材料库</w:t>
            </w:r>
          </w:p>
        </w:tc>
        <w:tc>
          <w:tcPr>
            <w:tcW w:w="409" w:type="pct"/>
            <w:shd w:val="clear" w:color="auto" w:fill="auto"/>
            <w:vAlign w:val="center"/>
          </w:tcPr>
          <w:p w14:paraId="2C203B9C">
            <w:pPr>
              <w:widowControl/>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14.4</w:t>
            </w:r>
          </w:p>
        </w:tc>
        <w:tc>
          <w:tcPr>
            <w:tcW w:w="357" w:type="pct"/>
            <w:shd w:val="clear" w:color="auto" w:fill="auto"/>
            <w:vAlign w:val="center"/>
          </w:tcPr>
          <w:p w14:paraId="10D37DCA">
            <w:pPr>
              <w:widowControl/>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18</w:t>
            </w:r>
          </w:p>
        </w:tc>
        <w:tc>
          <w:tcPr>
            <w:tcW w:w="388" w:type="pct"/>
            <w:vAlign w:val="center"/>
          </w:tcPr>
          <w:p w14:paraId="2F464D1E">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pacing w:val="-11"/>
                <w:sz w:val="18"/>
                <w:szCs w:val="18"/>
                <w14:textFill>
                  <w14:solidFill>
                    <w14:schemeClr w14:val="tx1"/>
                  </w14:solidFill>
                </w14:textFill>
              </w:rPr>
              <w:t>双有防火墙</w:t>
            </w:r>
          </w:p>
        </w:tc>
        <w:tc>
          <w:tcPr>
            <w:tcW w:w="888" w:type="pct"/>
            <w:shd w:val="clear" w:color="auto" w:fill="auto"/>
            <w:vAlign w:val="center"/>
          </w:tcPr>
          <w:p w14:paraId="3D0A96FD">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.2.8</w:t>
            </w:r>
          </w:p>
        </w:tc>
      </w:tr>
      <w:tr w14:paraId="7A13AC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46D1A9E5">
            <w:pPr>
              <w:jc w:val="center"/>
              <w:rPr>
                <w:rFonts w:ascii="宋体" w:hAnsi="宋体" w:cs="Arial"/>
                <w:b w:val="0"/>
                <w:bCs/>
                <w:szCs w:val="21"/>
              </w:rPr>
            </w:pPr>
          </w:p>
        </w:tc>
        <w:tc>
          <w:tcPr>
            <w:tcW w:w="353" w:type="pct"/>
            <w:vMerge w:val="continue"/>
            <w:shd w:val="clear" w:color="auto" w:fill="auto"/>
            <w:vAlign w:val="center"/>
          </w:tcPr>
          <w:p w14:paraId="6FB162A1">
            <w:pPr>
              <w:jc w:val="center"/>
              <w:rPr>
                <w:rFonts w:ascii="宋体" w:hAnsi="宋体" w:cs="Arial"/>
                <w:b w:val="0"/>
                <w:bCs/>
                <w:szCs w:val="21"/>
              </w:rPr>
            </w:pPr>
          </w:p>
        </w:tc>
        <w:tc>
          <w:tcPr>
            <w:tcW w:w="518" w:type="pct"/>
            <w:vMerge w:val="continue"/>
            <w:shd w:val="clear" w:color="auto" w:fill="auto"/>
            <w:vAlign w:val="center"/>
          </w:tcPr>
          <w:p w14:paraId="5982B8BC">
            <w:pPr>
              <w:jc w:val="center"/>
              <w:rPr>
                <w:rFonts w:ascii="宋体" w:hAnsi="宋体" w:cs="Arial"/>
                <w:b w:val="0"/>
                <w:bCs/>
                <w:szCs w:val="21"/>
              </w:rPr>
            </w:pPr>
          </w:p>
        </w:tc>
        <w:tc>
          <w:tcPr>
            <w:tcW w:w="1075" w:type="pct"/>
            <w:shd w:val="clear" w:color="auto" w:fill="auto"/>
            <w:vAlign w:val="center"/>
          </w:tcPr>
          <w:p w14:paraId="356B4633">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12</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组装/包装  </w:t>
            </w:r>
          </w:p>
          <w:p w14:paraId="72987141">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w:t>
            </w:r>
            <w:r>
              <w:rPr>
                <w:rFonts w:ascii="宋体" w:hAnsi="宋体"/>
                <w:b w:val="0"/>
                <w:bCs/>
                <w:color w:val="000000" w:themeColor="text1"/>
                <w:spacing w:val="-4"/>
                <w:szCs w:val="21"/>
                <w14:textFill>
                  <w14:solidFill>
                    <w14:schemeClr w14:val="tx1"/>
                  </w14:solidFill>
                </w14:textFill>
              </w:rPr>
              <w:t>.3</w:t>
            </w:r>
            <w:r>
              <w:rPr>
                <w:rFonts w:hint="eastAsia" w:ascii="宋体" w:hAnsi="宋体"/>
                <w:b w:val="0"/>
                <w:bCs/>
                <w:color w:val="000000" w:themeColor="text1"/>
                <w:spacing w:val="-4"/>
                <w:szCs w:val="21"/>
                <w14:textFill>
                  <w14:solidFill>
                    <w14:schemeClr w14:val="tx1"/>
                  </w14:solidFill>
                </w14:textFill>
              </w:rPr>
              <w:t>级、36</w:t>
            </w:r>
            <w:r>
              <w:rPr>
                <w:rFonts w:ascii="宋体" w:hAnsi="宋体"/>
                <w:b w:val="0"/>
                <w:bCs/>
                <w:color w:val="000000" w:themeColor="text1"/>
                <w:spacing w:val="-4"/>
                <w:szCs w:val="21"/>
                <w14:textFill>
                  <w14:solidFill>
                    <w14:schemeClr w14:val="tx1"/>
                  </w14:solidFill>
                </w14:textFill>
              </w:rPr>
              <w:t>0kg</w:t>
            </w:r>
            <w:r>
              <w:rPr>
                <w:rFonts w:hint="eastAsia" w:ascii="宋体" w:hAnsi="宋体"/>
                <w:b w:val="0"/>
                <w:bCs/>
                <w:color w:val="000000" w:themeColor="text1"/>
                <w:spacing w:val="-4"/>
                <w:szCs w:val="21"/>
                <w14:textFill>
                  <w14:solidFill>
                    <w14:schemeClr w14:val="tx1"/>
                  </w14:solidFill>
                </w14:textFill>
              </w:rPr>
              <w:t>）</w:t>
            </w:r>
          </w:p>
        </w:tc>
        <w:tc>
          <w:tcPr>
            <w:tcW w:w="409" w:type="pct"/>
            <w:shd w:val="clear" w:color="auto" w:fill="auto"/>
            <w:vAlign w:val="center"/>
          </w:tcPr>
          <w:p w14:paraId="23128717">
            <w:pPr>
              <w:widowControl/>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18</w:t>
            </w:r>
          </w:p>
        </w:tc>
        <w:tc>
          <w:tcPr>
            <w:tcW w:w="357" w:type="pct"/>
            <w:shd w:val="clear" w:color="auto" w:fill="auto"/>
            <w:vAlign w:val="center"/>
          </w:tcPr>
          <w:p w14:paraId="1AAC4127">
            <w:pPr>
              <w:widowControl/>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18</w:t>
            </w:r>
          </w:p>
        </w:tc>
        <w:tc>
          <w:tcPr>
            <w:tcW w:w="388" w:type="pct"/>
            <w:vAlign w:val="center"/>
          </w:tcPr>
          <w:p w14:paraId="19FB905F">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w:t>
            </w:r>
          </w:p>
        </w:tc>
        <w:tc>
          <w:tcPr>
            <w:tcW w:w="888" w:type="pct"/>
            <w:shd w:val="clear" w:color="auto" w:fill="auto"/>
            <w:vAlign w:val="center"/>
          </w:tcPr>
          <w:p w14:paraId="2C8317CE">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.2.8</w:t>
            </w:r>
          </w:p>
        </w:tc>
      </w:tr>
      <w:tr w14:paraId="5EC218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restart"/>
            <w:shd w:val="clear" w:color="auto" w:fill="auto"/>
            <w:vAlign w:val="center"/>
          </w:tcPr>
          <w:p w14:paraId="58AFF5AE">
            <w:pPr>
              <w:jc w:val="center"/>
              <w:rPr>
                <w:rFonts w:ascii="宋体" w:hAnsi="宋体" w:cs="Arial"/>
                <w:b w:val="0"/>
                <w:bCs/>
                <w:szCs w:val="21"/>
              </w:rPr>
            </w:pPr>
            <w:r>
              <w:rPr>
                <w:rFonts w:hint="eastAsia" w:ascii="宋体" w:hAnsi="宋体" w:cs="Arial"/>
                <w:b w:val="0"/>
                <w:bCs/>
                <w:szCs w:val="21"/>
              </w:rPr>
              <w:t>13</w:t>
            </w:r>
            <w:r>
              <w:rPr>
                <w:rFonts w:ascii="宋体" w:hAnsi="宋体" w:cs="Arial"/>
                <w:b w:val="0"/>
                <w:bCs/>
                <w:szCs w:val="21"/>
              </w:rPr>
              <w:t>#</w:t>
            </w:r>
            <w:r>
              <w:rPr>
                <w:rFonts w:hint="eastAsia" w:ascii="宋体" w:hAnsi="宋体" w:cs="Arial"/>
                <w:b w:val="0"/>
                <w:bCs/>
                <w:szCs w:val="21"/>
              </w:rPr>
              <w:t>组装/包装</w:t>
            </w:r>
          </w:p>
        </w:tc>
        <w:tc>
          <w:tcPr>
            <w:tcW w:w="353" w:type="pct"/>
            <w:vMerge w:val="restart"/>
            <w:shd w:val="clear" w:color="auto" w:fill="auto"/>
            <w:vAlign w:val="center"/>
          </w:tcPr>
          <w:p w14:paraId="6E4C50C3">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.3</w:t>
            </w:r>
          </w:p>
        </w:tc>
        <w:tc>
          <w:tcPr>
            <w:tcW w:w="518" w:type="pct"/>
            <w:vMerge w:val="restart"/>
            <w:shd w:val="clear" w:color="auto" w:fill="auto"/>
            <w:vAlign w:val="center"/>
          </w:tcPr>
          <w:p w14:paraId="614D459E">
            <w:pPr>
              <w:jc w:val="center"/>
              <w:rPr>
                <w:rFonts w:ascii="宋体" w:hAnsi="宋体" w:cs="Arial"/>
                <w:b w:val="0"/>
                <w:bCs/>
                <w:szCs w:val="21"/>
              </w:rPr>
            </w:pPr>
            <w:r>
              <w:rPr>
                <w:rFonts w:hint="eastAsia" w:ascii="宋体" w:hAnsi="宋体" w:cs="Arial"/>
                <w:b w:val="0"/>
                <w:bCs/>
                <w:szCs w:val="21"/>
              </w:rPr>
              <w:t>360</w:t>
            </w:r>
          </w:p>
        </w:tc>
        <w:tc>
          <w:tcPr>
            <w:tcW w:w="1075" w:type="pct"/>
            <w:shd w:val="clear" w:color="auto" w:fill="auto"/>
            <w:vAlign w:val="center"/>
          </w:tcPr>
          <w:p w14:paraId="63DA28C1">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12</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组装/包装  </w:t>
            </w:r>
          </w:p>
          <w:p w14:paraId="50CB347A">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w:t>
            </w:r>
            <w:r>
              <w:rPr>
                <w:rFonts w:ascii="宋体" w:hAnsi="宋体"/>
                <w:b w:val="0"/>
                <w:bCs/>
                <w:color w:val="000000" w:themeColor="text1"/>
                <w:spacing w:val="-4"/>
                <w:szCs w:val="21"/>
                <w14:textFill>
                  <w14:solidFill>
                    <w14:schemeClr w14:val="tx1"/>
                  </w14:solidFill>
                </w14:textFill>
              </w:rPr>
              <w:t>.3</w:t>
            </w:r>
            <w:r>
              <w:rPr>
                <w:rFonts w:hint="eastAsia" w:ascii="宋体" w:hAnsi="宋体"/>
                <w:b w:val="0"/>
                <w:bCs/>
                <w:color w:val="000000" w:themeColor="text1"/>
                <w:spacing w:val="-4"/>
                <w:szCs w:val="21"/>
                <w14:textFill>
                  <w14:solidFill>
                    <w14:schemeClr w14:val="tx1"/>
                  </w14:solidFill>
                </w14:textFill>
              </w:rPr>
              <w:t>级、36</w:t>
            </w:r>
            <w:r>
              <w:rPr>
                <w:rFonts w:ascii="宋体" w:hAnsi="宋体"/>
                <w:b w:val="0"/>
                <w:bCs/>
                <w:color w:val="000000" w:themeColor="text1"/>
                <w:spacing w:val="-4"/>
                <w:szCs w:val="21"/>
                <w14:textFill>
                  <w14:solidFill>
                    <w14:schemeClr w14:val="tx1"/>
                  </w14:solidFill>
                </w14:textFill>
              </w:rPr>
              <w:t>0kg</w:t>
            </w:r>
            <w:r>
              <w:rPr>
                <w:rFonts w:hint="eastAsia" w:ascii="宋体" w:hAnsi="宋体"/>
                <w:b w:val="0"/>
                <w:bCs/>
                <w:color w:val="000000" w:themeColor="text1"/>
                <w:spacing w:val="-4"/>
                <w:szCs w:val="21"/>
                <w14:textFill>
                  <w14:solidFill>
                    <w14:schemeClr w14:val="tx1"/>
                  </w14:solidFill>
                </w14:textFill>
              </w:rPr>
              <w:t>）</w:t>
            </w:r>
          </w:p>
        </w:tc>
        <w:tc>
          <w:tcPr>
            <w:tcW w:w="409" w:type="pct"/>
            <w:shd w:val="clear" w:color="auto" w:fill="auto"/>
            <w:vAlign w:val="center"/>
          </w:tcPr>
          <w:p w14:paraId="5636E9C5">
            <w:pPr>
              <w:widowControl/>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18</w:t>
            </w:r>
          </w:p>
        </w:tc>
        <w:tc>
          <w:tcPr>
            <w:tcW w:w="357" w:type="pct"/>
            <w:shd w:val="clear" w:color="auto" w:fill="auto"/>
            <w:vAlign w:val="center"/>
          </w:tcPr>
          <w:p w14:paraId="0E9CD02E">
            <w:pPr>
              <w:widowControl/>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18</w:t>
            </w:r>
          </w:p>
        </w:tc>
        <w:tc>
          <w:tcPr>
            <w:tcW w:w="388" w:type="pct"/>
            <w:shd w:val="clear" w:color="auto" w:fill="auto"/>
            <w:vAlign w:val="center"/>
          </w:tcPr>
          <w:p w14:paraId="0C20D5E4">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w:t>
            </w:r>
          </w:p>
        </w:tc>
        <w:tc>
          <w:tcPr>
            <w:tcW w:w="888" w:type="pct"/>
            <w:shd w:val="clear" w:color="auto" w:fill="auto"/>
          </w:tcPr>
          <w:p w14:paraId="2AE99A91">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.2.8</w:t>
            </w:r>
          </w:p>
        </w:tc>
      </w:tr>
      <w:tr w14:paraId="640795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17AE633D">
            <w:pPr>
              <w:jc w:val="center"/>
              <w:rPr>
                <w:rFonts w:ascii="宋体" w:hAnsi="宋体" w:cs="Arial"/>
                <w:b w:val="0"/>
                <w:bCs/>
                <w:szCs w:val="21"/>
              </w:rPr>
            </w:pPr>
          </w:p>
        </w:tc>
        <w:tc>
          <w:tcPr>
            <w:tcW w:w="353" w:type="pct"/>
            <w:vMerge w:val="continue"/>
            <w:shd w:val="clear" w:color="auto" w:fill="auto"/>
            <w:vAlign w:val="center"/>
          </w:tcPr>
          <w:p w14:paraId="44777CC4">
            <w:pPr>
              <w:jc w:val="center"/>
              <w:rPr>
                <w:rFonts w:ascii="宋体" w:hAnsi="宋体" w:cs="Arial"/>
                <w:b w:val="0"/>
                <w:bCs/>
                <w:szCs w:val="21"/>
              </w:rPr>
            </w:pPr>
          </w:p>
        </w:tc>
        <w:tc>
          <w:tcPr>
            <w:tcW w:w="518" w:type="pct"/>
            <w:vMerge w:val="continue"/>
            <w:shd w:val="clear" w:color="auto" w:fill="auto"/>
            <w:vAlign w:val="center"/>
          </w:tcPr>
          <w:p w14:paraId="0BE9C050">
            <w:pPr>
              <w:jc w:val="center"/>
              <w:rPr>
                <w:rFonts w:ascii="宋体" w:hAnsi="宋体" w:cs="Arial"/>
                <w:b w:val="0"/>
                <w:bCs/>
                <w:szCs w:val="21"/>
              </w:rPr>
            </w:pPr>
          </w:p>
        </w:tc>
        <w:tc>
          <w:tcPr>
            <w:tcW w:w="1075" w:type="pct"/>
            <w:shd w:val="clear" w:color="auto" w:fill="auto"/>
            <w:vAlign w:val="center"/>
          </w:tcPr>
          <w:p w14:paraId="38E30EDC">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14</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组装/包装  </w:t>
            </w:r>
          </w:p>
          <w:p w14:paraId="32AA2225">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w:t>
            </w:r>
            <w:r>
              <w:rPr>
                <w:rFonts w:ascii="宋体" w:hAnsi="宋体"/>
                <w:b w:val="0"/>
                <w:bCs/>
                <w:color w:val="000000" w:themeColor="text1"/>
                <w:spacing w:val="-4"/>
                <w:szCs w:val="21"/>
                <w14:textFill>
                  <w14:solidFill>
                    <w14:schemeClr w14:val="tx1"/>
                  </w14:solidFill>
                </w14:textFill>
              </w:rPr>
              <w:t>.3</w:t>
            </w:r>
            <w:r>
              <w:rPr>
                <w:rFonts w:hint="eastAsia" w:ascii="宋体" w:hAnsi="宋体"/>
                <w:b w:val="0"/>
                <w:bCs/>
                <w:color w:val="000000" w:themeColor="text1"/>
                <w:spacing w:val="-4"/>
                <w:szCs w:val="21"/>
                <w14:textFill>
                  <w14:solidFill>
                    <w14:schemeClr w14:val="tx1"/>
                  </w14:solidFill>
                </w14:textFill>
              </w:rPr>
              <w:t>级、3</w:t>
            </w:r>
            <w:r>
              <w:rPr>
                <w:rFonts w:ascii="宋体" w:hAnsi="宋体"/>
                <w:b w:val="0"/>
                <w:bCs/>
                <w:color w:val="000000" w:themeColor="text1"/>
                <w:spacing w:val="-4"/>
                <w:szCs w:val="21"/>
                <w14:textFill>
                  <w14:solidFill>
                    <w14:schemeClr w14:val="tx1"/>
                  </w14:solidFill>
                </w14:textFill>
              </w:rPr>
              <w:t>60kg</w:t>
            </w:r>
            <w:r>
              <w:rPr>
                <w:rFonts w:hint="eastAsia" w:ascii="宋体" w:hAnsi="宋体"/>
                <w:b w:val="0"/>
                <w:bCs/>
                <w:color w:val="000000" w:themeColor="text1"/>
                <w:spacing w:val="-4"/>
                <w:szCs w:val="21"/>
                <w14:textFill>
                  <w14:solidFill>
                    <w14:schemeClr w14:val="tx1"/>
                  </w14:solidFill>
                </w14:textFill>
              </w:rPr>
              <w:t>）</w:t>
            </w:r>
          </w:p>
        </w:tc>
        <w:tc>
          <w:tcPr>
            <w:tcW w:w="409" w:type="pct"/>
            <w:shd w:val="clear" w:color="auto" w:fill="auto"/>
            <w:vAlign w:val="center"/>
          </w:tcPr>
          <w:p w14:paraId="2ADFDD48">
            <w:pPr>
              <w:widowControl/>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18</w:t>
            </w:r>
          </w:p>
        </w:tc>
        <w:tc>
          <w:tcPr>
            <w:tcW w:w="357" w:type="pct"/>
            <w:shd w:val="clear" w:color="auto" w:fill="auto"/>
            <w:vAlign w:val="center"/>
          </w:tcPr>
          <w:p w14:paraId="3140CA10">
            <w:pPr>
              <w:widowControl/>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18</w:t>
            </w:r>
          </w:p>
        </w:tc>
        <w:tc>
          <w:tcPr>
            <w:tcW w:w="388" w:type="pct"/>
            <w:shd w:val="clear" w:color="auto" w:fill="auto"/>
            <w:vAlign w:val="center"/>
          </w:tcPr>
          <w:p w14:paraId="1A7BDD55">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w:t>
            </w:r>
          </w:p>
        </w:tc>
        <w:tc>
          <w:tcPr>
            <w:tcW w:w="888" w:type="pct"/>
            <w:shd w:val="clear" w:color="auto" w:fill="auto"/>
          </w:tcPr>
          <w:p w14:paraId="632D239A">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.2.8</w:t>
            </w:r>
          </w:p>
        </w:tc>
      </w:tr>
      <w:tr w14:paraId="4D3146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restart"/>
            <w:shd w:val="clear" w:color="auto" w:fill="auto"/>
            <w:vAlign w:val="center"/>
          </w:tcPr>
          <w:p w14:paraId="374C2DBD">
            <w:pPr>
              <w:jc w:val="center"/>
              <w:rPr>
                <w:rFonts w:ascii="宋体" w:hAnsi="宋体" w:cs="Arial"/>
                <w:b w:val="0"/>
                <w:bCs/>
                <w:szCs w:val="21"/>
              </w:rPr>
            </w:pPr>
            <w:r>
              <w:rPr>
                <w:rFonts w:hint="eastAsia" w:ascii="宋体" w:hAnsi="宋体" w:cs="Arial"/>
                <w:b w:val="0"/>
                <w:bCs/>
                <w:szCs w:val="21"/>
              </w:rPr>
              <w:t>15</w:t>
            </w:r>
            <w:r>
              <w:rPr>
                <w:rFonts w:ascii="宋体" w:hAnsi="宋体" w:cs="Arial"/>
                <w:b w:val="0"/>
                <w:bCs/>
                <w:szCs w:val="21"/>
              </w:rPr>
              <w:t>#</w:t>
            </w:r>
            <w:r>
              <w:rPr>
                <w:rFonts w:hint="eastAsia" w:ascii="宋体" w:hAnsi="宋体" w:cs="Arial"/>
                <w:b w:val="0"/>
                <w:bCs/>
                <w:szCs w:val="21"/>
              </w:rPr>
              <w:t>组装/包装</w:t>
            </w:r>
          </w:p>
        </w:tc>
        <w:tc>
          <w:tcPr>
            <w:tcW w:w="353" w:type="pct"/>
            <w:vMerge w:val="restart"/>
            <w:shd w:val="clear" w:color="auto" w:fill="auto"/>
            <w:vAlign w:val="center"/>
          </w:tcPr>
          <w:p w14:paraId="556BD3D0">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.3</w:t>
            </w:r>
          </w:p>
        </w:tc>
        <w:tc>
          <w:tcPr>
            <w:tcW w:w="518" w:type="pct"/>
            <w:vMerge w:val="restart"/>
            <w:shd w:val="clear" w:color="auto" w:fill="auto"/>
            <w:vAlign w:val="center"/>
          </w:tcPr>
          <w:p w14:paraId="55F1AA13">
            <w:pPr>
              <w:jc w:val="center"/>
              <w:rPr>
                <w:rFonts w:ascii="宋体" w:hAnsi="宋体" w:cs="Arial"/>
                <w:b w:val="0"/>
                <w:bCs/>
                <w:szCs w:val="21"/>
              </w:rPr>
            </w:pPr>
            <w:r>
              <w:rPr>
                <w:rFonts w:hint="eastAsia" w:ascii="宋体" w:hAnsi="宋体" w:cs="Arial"/>
                <w:b w:val="0"/>
                <w:bCs/>
                <w:szCs w:val="21"/>
              </w:rPr>
              <w:t>36</w:t>
            </w:r>
            <w:r>
              <w:rPr>
                <w:rFonts w:ascii="宋体" w:hAnsi="宋体" w:cs="Arial"/>
                <w:b w:val="0"/>
                <w:bCs/>
                <w:szCs w:val="21"/>
              </w:rPr>
              <w:t>0</w:t>
            </w:r>
          </w:p>
        </w:tc>
        <w:tc>
          <w:tcPr>
            <w:tcW w:w="1075" w:type="pct"/>
            <w:shd w:val="clear" w:color="auto" w:fill="auto"/>
            <w:vAlign w:val="center"/>
          </w:tcPr>
          <w:p w14:paraId="0B14D141">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14</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组装/包装  </w:t>
            </w:r>
          </w:p>
          <w:p w14:paraId="1303C357">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w:t>
            </w:r>
            <w:r>
              <w:rPr>
                <w:rFonts w:ascii="宋体" w:hAnsi="宋体"/>
                <w:b w:val="0"/>
                <w:bCs/>
                <w:color w:val="000000" w:themeColor="text1"/>
                <w:spacing w:val="-4"/>
                <w:szCs w:val="21"/>
                <w14:textFill>
                  <w14:solidFill>
                    <w14:schemeClr w14:val="tx1"/>
                  </w14:solidFill>
                </w14:textFill>
              </w:rPr>
              <w:t>.3</w:t>
            </w:r>
            <w:r>
              <w:rPr>
                <w:rFonts w:hint="eastAsia" w:ascii="宋体" w:hAnsi="宋体"/>
                <w:b w:val="0"/>
                <w:bCs/>
                <w:color w:val="000000" w:themeColor="text1"/>
                <w:spacing w:val="-4"/>
                <w:szCs w:val="21"/>
                <w14:textFill>
                  <w14:solidFill>
                    <w14:schemeClr w14:val="tx1"/>
                  </w14:solidFill>
                </w14:textFill>
              </w:rPr>
              <w:t>级、3</w:t>
            </w:r>
            <w:r>
              <w:rPr>
                <w:rFonts w:ascii="宋体" w:hAnsi="宋体"/>
                <w:b w:val="0"/>
                <w:bCs/>
                <w:color w:val="000000" w:themeColor="text1"/>
                <w:spacing w:val="-4"/>
                <w:szCs w:val="21"/>
                <w14:textFill>
                  <w14:solidFill>
                    <w14:schemeClr w14:val="tx1"/>
                  </w14:solidFill>
                </w14:textFill>
              </w:rPr>
              <w:t>60kg</w:t>
            </w:r>
            <w:r>
              <w:rPr>
                <w:rFonts w:hint="eastAsia" w:ascii="宋体" w:hAnsi="宋体"/>
                <w:b w:val="0"/>
                <w:bCs/>
                <w:color w:val="000000" w:themeColor="text1"/>
                <w:spacing w:val="-4"/>
                <w:szCs w:val="21"/>
                <w14:textFill>
                  <w14:solidFill>
                    <w14:schemeClr w14:val="tx1"/>
                  </w14:solidFill>
                </w14:textFill>
              </w:rPr>
              <w:t>）</w:t>
            </w:r>
          </w:p>
        </w:tc>
        <w:tc>
          <w:tcPr>
            <w:tcW w:w="409" w:type="pct"/>
            <w:shd w:val="clear" w:color="auto" w:fill="auto"/>
            <w:vAlign w:val="center"/>
          </w:tcPr>
          <w:p w14:paraId="0DE8E258">
            <w:pPr>
              <w:widowControl/>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18</w:t>
            </w:r>
          </w:p>
        </w:tc>
        <w:tc>
          <w:tcPr>
            <w:tcW w:w="357" w:type="pct"/>
            <w:shd w:val="clear" w:color="auto" w:fill="auto"/>
            <w:vAlign w:val="center"/>
          </w:tcPr>
          <w:p w14:paraId="45CB231A">
            <w:pPr>
              <w:widowControl/>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18</w:t>
            </w:r>
          </w:p>
        </w:tc>
        <w:tc>
          <w:tcPr>
            <w:tcW w:w="388" w:type="pct"/>
            <w:shd w:val="clear" w:color="auto" w:fill="auto"/>
            <w:vAlign w:val="center"/>
          </w:tcPr>
          <w:p w14:paraId="4543FB6C">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w:t>
            </w:r>
          </w:p>
        </w:tc>
        <w:tc>
          <w:tcPr>
            <w:tcW w:w="888" w:type="pct"/>
            <w:shd w:val="clear" w:color="auto" w:fill="auto"/>
          </w:tcPr>
          <w:p w14:paraId="4CB2787A">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.2.8</w:t>
            </w:r>
          </w:p>
        </w:tc>
      </w:tr>
      <w:tr w14:paraId="750026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39FF0E62">
            <w:pPr>
              <w:jc w:val="center"/>
              <w:rPr>
                <w:rFonts w:ascii="宋体" w:hAnsi="宋体" w:cs="Arial"/>
                <w:b w:val="0"/>
                <w:bCs/>
                <w:szCs w:val="21"/>
              </w:rPr>
            </w:pPr>
          </w:p>
        </w:tc>
        <w:tc>
          <w:tcPr>
            <w:tcW w:w="353" w:type="pct"/>
            <w:vMerge w:val="continue"/>
            <w:shd w:val="clear" w:color="auto" w:fill="auto"/>
            <w:vAlign w:val="center"/>
          </w:tcPr>
          <w:p w14:paraId="0DADE6B1">
            <w:pPr>
              <w:jc w:val="center"/>
              <w:rPr>
                <w:rFonts w:ascii="宋体" w:hAnsi="宋体" w:cs="Arial"/>
                <w:b w:val="0"/>
                <w:bCs/>
                <w:szCs w:val="21"/>
              </w:rPr>
            </w:pPr>
          </w:p>
        </w:tc>
        <w:tc>
          <w:tcPr>
            <w:tcW w:w="518" w:type="pct"/>
            <w:vMerge w:val="continue"/>
            <w:shd w:val="clear" w:color="auto" w:fill="auto"/>
            <w:vAlign w:val="center"/>
          </w:tcPr>
          <w:p w14:paraId="7E9800BC">
            <w:pPr>
              <w:jc w:val="center"/>
              <w:rPr>
                <w:rFonts w:ascii="宋体" w:hAnsi="宋体" w:cs="Arial"/>
                <w:b w:val="0"/>
                <w:bCs/>
                <w:szCs w:val="21"/>
              </w:rPr>
            </w:pPr>
          </w:p>
        </w:tc>
        <w:tc>
          <w:tcPr>
            <w:tcW w:w="1075" w:type="pct"/>
            <w:shd w:val="clear" w:color="auto" w:fill="auto"/>
            <w:vAlign w:val="center"/>
          </w:tcPr>
          <w:p w14:paraId="527C4107">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16</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引中转   </w:t>
            </w:r>
          </w:p>
          <w:p w14:paraId="7479FAAC">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 xml:space="preserve"> （</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-2</w:t>
            </w:r>
            <w:r>
              <w:rPr>
                <w:rFonts w:hint="eastAsia" w:ascii="宋体" w:hAnsi="宋体" w:cs="Arial"/>
                <w:b w:val="0"/>
                <w:bCs/>
                <w:color w:val="000000" w:themeColor="text1"/>
                <w:szCs w:val="21"/>
                <w14:textFill>
                  <w14:solidFill>
                    <w14:schemeClr w14:val="tx1"/>
                  </w14:solidFill>
                </w14:textFill>
              </w:rPr>
              <w:t>级</w:t>
            </w:r>
            <w:r>
              <w:rPr>
                <w:rFonts w:hint="eastAsia" w:ascii="宋体" w:hAnsi="宋体"/>
                <w:b w:val="0"/>
                <w:bCs/>
                <w:color w:val="000000" w:themeColor="text1"/>
                <w:spacing w:val="-4"/>
                <w:szCs w:val="21"/>
                <w14:textFill>
                  <w14:solidFill>
                    <w14:schemeClr w14:val="tx1"/>
                  </w14:solidFill>
                </w14:textFill>
              </w:rPr>
              <w:t>、100</w:t>
            </w:r>
            <w:r>
              <w:rPr>
                <w:rFonts w:ascii="宋体" w:hAnsi="宋体"/>
                <w:b w:val="0"/>
                <w:bCs/>
                <w:color w:val="000000" w:themeColor="text1"/>
                <w:spacing w:val="-4"/>
                <w:szCs w:val="21"/>
                <w14:textFill>
                  <w14:solidFill>
                    <w14:schemeClr w14:val="tx1"/>
                  </w14:solidFill>
                </w14:textFill>
              </w:rPr>
              <w:t>kg</w:t>
            </w:r>
            <w:r>
              <w:rPr>
                <w:rFonts w:hint="eastAsia" w:ascii="宋体" w:hAnsi="宋体"/>
                <w:b w:val="0"/>
                <w:bCs/>
                <w:color w:val="000000" w:themeColor="text1"/>
                <w:spacing w:val="-4"/>
                <w:szCs w:val="21"/>
                <w14:textFill>
                  <w14:solidFill>
                    <w14:schemeClr w14:val="tx1"/>
                  </w14:solidFill>
                </w14:textFill>
              </w:rPr>
              <w:t>）</w:t>
            </w:r>
          </w:p>
        </w:tc>
        <w:tc>
          <w:tcPr>
            <w:tcW w:w="409" w:type="pct"/>
            <w:shd w:val="clear" w:color="auto" w:fill="auto"/>
            <w:vAlign w:val="center"/>
          </w:tcPr>
          <w:p w14:paraId="6036E804">
            <w:pPr>
              <w:widowControl/>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18</w:t>
            </w:r>
          </w:p>
        </w:tc>
        <w:tc>
          <w:tcPr>
            <w:tcW w:w="357" w:type="pct"/>
            <w:shd w:val="clear" w:color="auto" w:fill="auto"/>
            <w:vAlign w:val="center"/>
          </w:tcPr>
          <w:p w14:paraId="5F50F6A8">
            <w:pPr>
              <w:widowControl/>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21</w:t>
            </w:r>
          </w:p>
        </w:tc>
        <w:tc>
          <w:tcPr>
            <w:tcW w:w="388" w:type="pct"/>
            <w:shd w:val="clear" w:color="auto" w:fill="auto"/>
            <w:vAlign w:val="center"/>
          </w:tcPr>
          <w:p w14:paraId="0E8027AD">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单有</w:t>
            </w:r>
          </w:p>
        </w:tc>
        <w:tc>
          <w:tcPr>
            <w:tcW w:w="888" w:type="pct"/>
            <w:shd w:val="clear" w:color="auto" w:fill="auto"/>
          </w:tcPr>
          <w:p w14:paraId="7A90F394">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.2.8</w:t>
            </w:r>
          </w:p>
        </w:tc>
      </w:tr>
      <w:tr w14:paraId="5F0AB8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7800421C">
            <w:pPr>
              <w:jc w:val="center"/>
              <w:rPr>
                <w:rFonts w:ascii="宋体" w:hAnsi="宋体" w:cs="Arial"/>
                <w:b w:val="0"/>
                <w:bCs/>
                <w:szCs w:val="21"/>
              </w:rPr>
            </w:pPr>
          </w:p>
        </w:tc>
        <w:tc>
          <w:tcPr>
            <w:tcW w:w="353" w:type="pct"/>
            <w:vMerge w:val="continue"/>
            <w:shd w:val="clear" w:color="auto" w:fill="auto"/>
            <w:vAlign w:val="center"/>
          </w:tcPr>
          <w:p w14:paraId="2B48C535">
            <w:pPr>
              <w:jc w:val="center"/>
              <w:rPr>
                <w:rFonts w:ascii="宋体" w:hAnsi="宋体" w:cs="Arial"/>
                <w:b w:val="0"/>
                <w:bCs/>
                <w:szCs w:val="21"/>
              </w:rPr>
            </w:pPr>
          </w:p>
        </w:tc>
        <w:tc>
          <w:tcPr>
            <w:tcW w:w="518" w:type="pct"/>
            <w:vMerge w:val="continue"/>
            <w:shd w:val="clear" w:color="auto" w:fill="auto"/>
            <w:vAlign w:val="center"/>
          </w:tcPr>
          <w:p w14:paraId="6BE5734D">
            <w:pPr>
              <w:jc w:val="center"/>
              <w:rPr>
                <w:rFonts w:ascii="宋体" w:hAnsi="宋体" w:cs="Arial"/>
                <w:b w:val="0"/>
                <w:bCs/>
                <w:szCs w:val="21"/>
              </w:rPr>
            </w:pPr>
          </w:p>
        </w:tc>
        <w:tc>
          <w:tcPr>
            <w:tcW w:w="1075" w:type="pct"/>
            <w:shd w:val="clear" w:color="auto" w:fill="auto"/>
            <w:vAlign w:val="center"/>
          </w:tcPr>
          <w:p w14:paraId="7216F0ED">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w:t>
            </w:r>
            <w:r>
              <w:rPr>
                <w:rFonts w:ascii="宋体" w:hAnsi="宋体"/>
                <w:b w:val="0"/>
                <w:bCs/>
                <w:color w:val="000000" w:themeColor="text1"/>
                <w:spacing w:val="-4"/>
                <w:szCs w:val="21"/>
                <w14:textFill>
                  <w14:solidFill>
                    <w14:schemeClr w14:val="tx1"/>
                  </w14:solidFill>
                </w14:textFill>
              </w:rPr>
              <w:t>7#</w:t>
            </w:r>
            <w:r>
              <w:rPr>
                <w:rFonts w:hint="eastAsia" w:ascii="宋体" w:hAnsi="宋体"/>
                <w:b w:val="0"/>
                <w:bCs/>
                <w:color w:val="000000" w:themeColor="text1"/>
                <w:spacing w:val="-4"/>
                <w:szCs w:val="21"/>
                <w14:textFill>
                  <w14:solidFill>
                    <w14:schemeClr w14:val="tx1"/>
                  </w14:solidFill>
                </w14:textFill>
              </w:rPr>
              <w:t xml:space="preserve">半成品中转 </w:t>
            </w:r>
          </w:p>
          <w:p w14:paraId="0A054146">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w:t>
            </w:r>
            <w:r>
              <w:rPr>
                <w:rFonts w:ascii="宋体" w:hAnsi="宋体"/>
                <w:b w:val="0"/>
                <w:bCs/>
                <w:color w:val="000000" w:themeColor="text1"/>
                <w:spacing w:val="-4"/>
                <w:szCs w:val="21"/>
                <w14:textFill>
                  <w14:solidFill>
                    <w14:schemeClr w14:val="tx1"/>
                  </w14:solidFill>
                </w14:textFill>
              </w:rPr>
              <w:t>.3</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00kg</w:t>
            </w:r>
            <w:r>
              <w:rPr>
                <w:rFonts w:hint="eastAsia" w:ascii="宋体" w:hAnsi="宋体"/>
                <w:b w:val="0"/>
                <w:bCs/>
                <w:color w:val="000000" w:themeColor="text1"/>
                <w:spacing w:val="-4"/>
                <w:szCs w:val="21"/>
                <w14:textFill>
                  <w14:solidFill>
                    <w14:schemeClr w14:val="tx1"/>
                  </w14:solidFill>
                </w14:textFill>
              </w:rPr>
              <w:t>）</w:t>
            </w:r>
          </w:p>
        </w:tc>
        <w:tc>
          <w:tcPr>
            <w:tcW w:w="409" w:type="pct"/>
            <w:shd w:val="clear" w:color="auto" w:fill="auto"/>
            <w:vAlign w:val="center"/>
          </w:tcPr>
          <w:p w14:paraId="7EAC3FC7">
            <w:pPr>
              <w:widowControl/>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19</w:t>
            </w:r>
          </w:p>
        </w:tc>
        <w:tc>
          <w:tcPr>
            <w:tcW w:w="357" w:type="pct"/>
            <w:shd w:val="clear" w:color="auto" w:fill="auto"/>
            <w:vAlign w:val="center"/>
          </w:tcPr>
          <w:p w14:paraId="14038ABF">
            <w:pPr>
              <w:widowControl/>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38</w:t>
            </w:r>
          </w:p>
        </w:tc>
        <w:tc>
          <w:tcPr>
            <w:tcW w:w="388" w:type="pct"/>
            <w:shd w:val="clear" w:color="auto" w:fill="auto"/>
            <w:vAlign w:val="center"/>
          </w:tcPr>
          <w:p w14:paraId="48229280">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w:t>
            </w:r>
          </w:p>
        </w:tc>
        <w:tc>
          <w:tcPr>
            <w:tcW w:w="888" w:type="pct"/>
            <w:shd w:val="clear" w:color="auto" w:fill="auto"/>
          </w:tcPr>
          <w:p w14:paraId="483D1CE7">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.2.8</w:t>
            </w:r>
          </w:p>
        </w:tc>
      </w:tr>
      <w:tr w14:paraId="663AE0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restart"/>
            <w:shd w:val="clear" w:color="auto" w:fill="auto"/>
            <w:vAlign w:val="center"/>
          </w:tcPr>
          <w:p w14:paraId="344D4ED9">
            <w:pPr>
              <w:jc w:val="center"/>
              <w:rPr>
                <w:rFonts w:ascii="宋体" w:hAnsi="宋体" w:cs="Arial"/>
                <w:b w:val="0"/>
                <w:bCs/>
                <w:szCs w:val="21"/>
              </w:rPr>
            </w:pPr>
            <w:r>
              <w:rPr>
                <w:rFonts w:hint="eastAsia" w:ascii="宋体" w:hAnsi="宋体" w:cs="Arial"/>
                <w:b w:val="0"/>
                <w:bCs/>
                <w:szCs w:val="21"/>
              </w:rPr>
              <w:t>18</w:t>
            </w:r>
            <w:r>
              <w:rPr>
                <w:rFonts w:ascii="宋体" w:hAnsi="宋体" w:cs="Arial"/>
                <w:b w:val="0"/>
                <w:bCs/>
                <w:szCs w:val="21"/>
              </w:rPr>
              <w:t>#</w:t>
            </w:r>
            <w:r>
              <w:rPr>
                <w:rFonts w:hint="eastAsia" w:ascii="宋体" w:hAnsi="宋体" w:cs="Arial"/>
                <w:b w:val="0"/>
                <w:bCs/>
                <w:szCs w:val="21"/>
              </w:rPr>
              <w:t>半成品中转</w:t>
            </w:r>
          </w:p>
        </w:tc>
        <w:tc>
          <w:tcPr>
            <w:tcW w:w="353" w:type="pct"/>
            <w:vMerge w:val="restart"/>
            <w:shd w:val="clear" w:color="auto" w:fill="auto"/>
            <w:vAlign w:val="center"/>
          </w:tcPr>
          <w:p w14:paraId="2F1E3140">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w:t>
            </w:r>
            <w:r>
              <w:rPr>
                <w:rFonts w:hint="eastAsia" w:ascii="宋体" w:hAnsi="宋体" w:cs="Arial"/>
                <w:b w:val="0"/>
                <w:bCs/>
                <w:szCs w:val="21"/>
              </w:rPr>
              <w:t>3</w:t>
            </w:r>
          </w:p>
        </w:tc>
        <w:tc>
          <w:tcPr>
            <w:tcW w:w="518" w:type="pct"/>
            <w:vMerge w:val="restart"/>
            <w:shd w:val="clear" w:color="auto" w:fill="auto"/>
            <w:vAlign w:val="center"/>
          </w:tcPr>
          <w:p w14:paraId="5FABF9CF">
            <w:pPr>
              <w:jc w:val="center"/>
              <w:rPr>
                <w:rFonts w:ascii="宋体" w:hAnsi="宋体" w:cs="Arial"/>
                <w:b w:val="0"/>
                <w:bCs/>
                <w:szCs w:val="21"/>
              </w:rPr>
            </w:pPr>
            <w:r>
              <w:rPr>
                <w:rFonts w:hint="eastAsia" w:ascii="宋体" w:hAnsi="宋体" w:cs="Arial"/>
                <w:b w:val="0"/>
                <w:bCs/>
                <w:szCs w:val="21"/>
              </w:rPr>
              <w:t>500</w:t>
            </w:r>
          </w:p>
        </w:tc>
        <w:tc>
          <w:tcPr>
            <w:tcW w:w="1075" w:type="pct"/>
            <w:shd w:val="clear" w:color="auto" w:fill="auto"/>
            <w:vAlign w:val="center"/>
          </w:tcPr>
          <w:p w14:paraId="5BE67766">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w:t>
            </w:r>
            <w:r>
              <w:rPr>
                <w:rFonts w:ascii="宋体" w:hAnsi="宋体"/>
                <w:b w:val="0"/>
                <w:bCs/>
                <w:color w:val="000000" w:themeColor="text1"/>
                <w:spacing w:val="-4"/>
                <w:szCs w:val="21"/>
                <w14:textFill>
                  <w14:solidFill>
                    <w14:schemeClr w14:val="tx1"/>
                  </w14:solidFill>
                </w14:textFill>
              </w:rPr>
              <w:t>7#</w:t>
            </w:r>
            <w:r>
              <w:rPr>
                <w:rFonts w:hint="eastAsia" w:ascii="宋体" w:hAnsi="宋体"/>
                <w:b w:val="0"/>
                <w:bCs/>
                <w:color w:val="000000" w:themeColor="text1"/>
                <w:spacing w:val="-4"/>
                <w:szCs w:val="21"/>
                <w14:textFill>
                  <w14:solidFill>
                    <w14:schemeClr w14:val="tx1"/>
                  </w14:solidFill>
                </w14:textFill>
              </w:rPr>
              <w:t xml:space="preserve">半成品中转 </w:t>
            </w:r>
          </w:p>
          <w:p w14:paraId="1C5B5B85">
            <w:pPr>
              <w:jc w:val="center"/>
              <w:rPr>
                <w:rFonts w:ascii="宋体" w:hAnsi="宋体" w:cs="Arial"/>
                <w:b w:val="0"/>
                <w:bCs/>
                <w:color w:val="000000" w:themeColor="text1"/>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w:t>
            </w:r>
            <w:r>
              <w:rPr>
                <w:rFonts w:ascii="宋体" w:hAnsi="宋体"/>
                <w:b w:val="0"/>
                <w:bCs/>
                <w:color w:val="000000" w:themeColor="text1"/>
                <w:spacing w:val="-4"/>
                <w:szCs w:val="21"/>
                <w14:textFill>
                  <w14:solidFill>
                    <w14:schemeClr w14:val="tx1"/>
                  </w14:solidFill>
                </w14:textFill>
              </w:rPr>
              <w:t>.3</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00kg</w:t>
            </w:r>
            <w:r>
              <w:rPr>
                <w:rFonts w:hint="eastAsia" w:ascii="宋体" w:hAnsi="宋体"/>
                <w:b w:val="0"/>
                <w:bCs/>
                <w:color w:val="000000" w:themeColor="text1"/>
                <w:spacing w:val="-4"/>
                <w:szCs w:val="21"/>
                <w14:textFill>
                  <w14:solidFill>
                    <w14:schemeClr w14:val="tx1"/>
                  </w14:solidFill>
                </w14:textFill>
              </w:rPr>
              <w:t>）</w:t>
            </w:r>
          </w:p>
        </w:tc>
        <w:tc>
          <w:tcPr>
            <w:tcW w:w="409" w:type="pct"/>
            <w:shd w:val="clear" w:color="auto" w:fill="auto"/>
            <w:vAlign w:val="center"/>
          </w:tcPr>
          <w:p w14:paraId="1FC0CECF">
            <w:pPr>
              <w:widowControl/>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15.2</w:t>
            </w:r>
          </w:p>
        </w:tc>
        <w:tc>
          <w:tcPr>
            <w:tcW w:w="357" w:type="pct"/>
            <w:shd w:val="clear" w:color="auto" w:fill="auto"/>
            <w:vAlign w:val="center"/>
          </w:tcPr>
          <w:p w14:paraId="1B355405">
            <w:pPr>
              <w:widowControl/>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17</w:t>
            </w:r>
          </w:p>
        </w:tc>
        <w:tc>
          <w:tcPr>
            <w:tcW w:w="388" w:type="pct"/>
            <w:shd w:val="clear" w:color="auto" w:fill="auto"/>
            <w:vAlign w:val="center"/>
          </w:tcPr>
          <w:p w14:paraId="51D8280E">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双有</w:t>
            </w:r>
          </w:p>
        </w:tc>
        <w:tc>
          <w:tcPr>
            <w:tcW w:w="888" w:type="pct"/>
            <w:shd w:val="clear" w:color="auto" w:fill="auto"/>
            <w:vAlign w:val="center"/>
          </w:tcPr>
          <w:p w14:paraId="46A6C161">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w:t>
            </w:r>
            <w:r>
              <w:rPr>
                <w:rFonts w:hint="eastAsia" w:ascii="宋体" w:hAnsi="宋体" w:cs="宋体"/>
                <w:b w:val="0"/>
                <w:bCs/>
                <w:color w:val="000000" w:themeColor="text1"/>
                <w:szCs w:val="21"/>
                <w14:textFill>
                  <w14:solidFill>
                    <w14:schemeClr w14:val="tx1"/>
                  </w14:solidFill>
                </w14:textFill>
              </w:rPr>
              <w:t>8</w:t>
            </w:r>
          </w:p>
        </w:tc>
      </w:tr>
      <w:tr w14:paraId="2DC517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53C6CB9E">
            <w:pPr>
              <w:jc w:val="center"/>
              <w:rPr>
                <w:rFonts w:ascii="宋体" w:hAnsi="宋体" w:cs="Arial"/>
                <w:b w:val="0"/>
                <w:bCs/>
                <w:szCs w:val="21"/>
              </w:rPr>
            </w:pPr>
          </w:p>
        </w:tc>
        <w:tc>
          <w:tcPr>
            <w:tcW w:w="353" w:type="pct"/>
            <w:vMerge w:val="continue"/>
            <w:shd w:val="clear" w:color="auto" w:fill="auto"/>
            <w:vAlign w:val="center"/>
          </w:tcPr>
          <w:p w14:paraId="6605B948">
            <w:pPr>
              <w:jc w:val="center"/>
              <w:rPr>
                <w:rFonts w:ascii="宋体" w:hAnsi="宋体" w:cs="Arial"/>
                <w:b w:val="0"/>
                <w:bCs/>
                <w:szCs w:val="21"/>
              </w:rPr>
            </w:pPr>
          </w:p>
        </w:tc>
        <w:tc>
          <w:tcPr>
            <w:tcW w:w="518" w:type="pct"/>
            <w:vMerge w:val="continue"/>
            <w:shd w:val="clear" w:color="auto" w:fill="auto"/>
            <w:vAlign w:val="center"/>
          </w:tcPr>
          <w:p w14:paraId="5CF4702E">
            <w:pPr>
              <w:jc w:val="center"/>
              <w:rPr>
                <w:rFonts w:ascii="宋体" w:hAnsi="宋体" w:cs="Arial"/>
                <w:b w:val="0"/>
                <w:bCs/>
                <w:szCs w:val="21"/>
              </w:rPr>
            </w:pPr>
          </w:p>
        </w:tc>
        <w:tc>
          <w:tcPr>
            <w:tcW w:w="1075" w:type="pct"/>
            <w:shd w:val="clear" w:color="auto" w:fill="auto"/>
            <w:vAlign w:val="center"/>
          </w:tcPr>
          <w:p w14:paraId="62111BCA">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19</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半成品中转 </w:t>
            </w:r>
          </w:p>
          <w:p w14:paraId="33CC85CA">
            <w:pPr>
              <w:jc w:val="center"/>
              <w:rPr>
                <w:rFonts w:ascii="宋体" w:hAnsi="宋体" w:cs="Arial"/>
                <w:b w:val="0"/>
                <w:bCs/>
                <w:color w:val="000000" w:themeColor="text1"/>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w:t>
            </w:r>
            <w:r>
              <w:rPr>
                <w:rFonts w:ascii="宋体" w:hAnsi="宋体"/>
                <w:b w:val="0"/>
                <w:bCs/>
                <w:color w:val="000000" w:themeColor="text1"/>
                <w:spacing w:val="-4"/>
                <w:szCs w:val="21"/>
                <w14:textFill>
                  <w14:solidFill>
                    <w14:schemeClr w14:val="tx1"/>
                  </w14:solidFill>
                </w14:textFill>
              </w:rPr>
              <w:t>.3</w:t>
            </w:r>
            <w:r>
              <w:rPr>
                <w:rFonts w:hint="eastAsia" w:ascii="宋体" w:hAnsi="宋体"/>
                <w:b w:val="0"/>
                <w:bCs/>
                <w:color w:val="000000" w:themeColor="text1"/>
                <w:spacing w:val="-4"/>
                <w:szCs w:val="21"/>
                <w14:textFill>
                  <w14:solidFill>
                    <w14:schemeClr w14:val="tx1"/>
                  </w14:solidFill>
                </w14:textFill>
              </w:rPr>
              <w:t>级、10</w:t>
            </w:r>
            <w:r>
              <w:rPr>
                <w:rFonts w:ascii="宋体" w:hAnsi="宋体"/>
                <w:b w:val="0"/>
                <w:bCs/>
                <w:color w:val="000000" w:themeColor="text1"/>
                <w:spacing w:val="-4"/>
                <w:szCs w:val="21"/>
                <w14:textFill>
                  <w14:solidFill>
                    <w14:schemeClr w14:val="tx1"/>
                  </w14:solidFill>
                </w14:textFill>
              </w:rPr>
              <w:t>00kg</w:t>
            </w:r>
            <w:r>
              <w:rPr>
                <w:rFonts w:hint="eastAsia" w:ascii="宋体" w:hAnsi="宋体"/>
                <w:b w:val="0"/>
                <w:bCs/>
                <w:color w:val="000000" w:themeColor="text1"/>
                <w:spacing w:val="-4"/>
                <w:szCs w:val="21"/>
                <w14:textFill>
                  <w14:solidFill>
                    <w14:schemeClr w14:val="tx1"/>
                  </w14:solidFill>
                </w14:textFill>
              </w:rPr>
              <w:t>）</w:t>
            </w:r>
          </w:p>
        </w:tc>
        <w:tc>
          <w:tcPr>
            <w:tcW w:w="409" w:type="pct"/>
            <w:shd w:val="clear" w:color="auto" w:fill="auto"/>
            <w:vAlign w:val="center"/>
          </w:tcPr>
          <w:p w14:paraId="04FC5609">
            <w:pPr>
              <w:widowControl/>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20</w:t>
            </w:r>
          </w:p>
        </w:tc>
        <w:tc>
          <w:tcPr>
            <w:tcW w:w="357" w:type="pct"/>
            <w:shd w:val="clear" w:color="auto" w:fill="auto"/>
            <w:vAlign w:val="center"/>
          </w:tcPr>
          <w:p w14:paraId="183A50C8">
            <w:pPr>
              <w:widowControl/>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20</w:t>
            </w:r>
          </w:p>
        </w:tc>
        <w:tc>
          <w:tcPr>
            <w:tcW w:w="388" w:type="pct"/>
            <w:shd w:val="clear" w:color="auto" w:fill="auto"/>
            <w:vAlign w:val="center"/>
          </w:tcPr>
          <w:p w14:paraId="652A4D83">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双有</w:t>
            </w:r>
          </w:p>
        </w:tc>
        <w:tc>
          <w:tcPr>
            <w:tcW w:w="888" w:type="pct"/>
            <w:shd w:val="clear" w:color="auto" w:fill="auto"/>
            <w:vAlign w:val="center"/>
          </w:tcPr>
          <w:p w14:paraId="33883873">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w:t>
            </w:r>
            <w:r>
              <w:rPr>
                <w:rFonts w:hint="eastAsia" w:ascii="宋体" w:hAnsi="宋体" w:cs="宋体"/>
                <w:b w:val="0"/>
                <w:bCs/>
                <w:color w:val="000000" w:themeColor="text1"/>
                <w:szCs w:val="21"/>
                <w14:textFill>
                  <w14:solidFill>
                    <w14:schemeClr w14:val="tx1"/>
                  </w14:solidFill>
                </w14:textFill>
              </w:rPr>
              <w:t>8</w:t>
            </w:r>
          </w:p>
        </w:tc>
      </w:tr>
      <w:tr w14:paraId="6566AE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shd w:val="clear" w:color="auto" w:fill="auto"/>
            <w:vAlign w:val="center"/>
          </w:tcPr>
          <w:p w14:paraId="3491D3A5">
            <w:pPr>
              <w:jc w:val="center"/>
              <w:rPr>
                <w:rFonts w:ascii="宋体" w:hAnsi="宋体" w:cs="Arial"/>
                <w:b w:val="0"/>
                <w:bCs/>
                <w:szCs w:val="21"/>
              </w:rPr>
            </w:pPr>
            <w:r>
              <w:rPr>
                <w:rFonts w:hint="eastAsia" w:ascii="宋体" w:hAnsi="宋体" w:cs="Arial"/>
                <w:b w:val="0"/>
                <w:bCs/>
                <w:szCs w:val="21"/>
              </w:rPr>
              <w:t>19</w:t>
            </w:r>
            <w:r>
              <w:rPr>
                <w:rFonts w:ascii="宋体" w:hAnsi="宋体" w:cs="Arial"/>
                <w:b w:val="0"/>
                <w:bCs/>
                <w:szCs w:val="21"/>
              </w:rPr>
              <w:t>#</w:t>
            </w:r>
            <w:r>
              <w:rPr>
                <w:rFonts w:hint="eastAsia" w:ascii="宋体" w:hAnsi="宋体"/>
                <w:b w:val="0"/>
                <w:bCs/>
                <w:spacing w:val="-4"/>
                <w:szCs w:val="21"/>
              </w:rPr>
              <w:t>半成品中转</w:t>
            </w:r>
          </w:p>
        </w:tc>
        <w:tc>
          <w:tcPr>
            <w:tcW w:w="353" w:type="pct"/>
            <w:shd w:val="clear" w:color="auto" w:fill="auto"/>
            <w:vAlign w:val="center"/>
          </w:tcPr>
          <w:p w14:paraId="7CF36350">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w:t>
            </w:r>
            <w:r>
              <w:rPr>
                <w:rFonts w:hint="eastAsia" w:ascii="宋体" w:hAnsi="宋体" w:cs="Arial"/>
                <w:b w:val="0"/>
                <w:bCs/>
                <w:szCs w:val="21"/>
              </w:rPr>
              <w:t>3</w:t>
            </w:r>
          </w:p>
        </w:tc>
        <w:tc>
          <w:tcPr>
            <w:tcW w:w="518" w:type="pct"/>
            <w:shd w:val="clear" w:color="auto" w:fill="auto"/>
            <w:vAlign w:val="center"/>
          </w:tcPr>
          <w:p w14:paraId="144ACE4F">
            <w:pPr>
              <w:jc w:val="center"/>
              <w:rPr>
                <w:rFonts w:ascii="宋体" w:hAnsi="宋体" w:cs="Arial"/>
                <w:b w:val="0"/>
                <w:bCs/>
                <w:szCs w:val="21"/>
              </w:rPr>
            </w:pPr>
            <w:r>
              <w:rPr>
                <w:rFonts w:hint="eastAsia" w:ascii="宋体" w:hAnsi="宋体" w:cs="Arial"/>
                <w:b w:val="0"/>
                <w:bCs/>
                <w:szCs w:val="21"/>
              </w:rPr>
              <w:t>1000</w:t>
            </w:r>
          </w:p>
        </w:tc>
        <w:tc>
          <w:tcPr>
            <w:tcW w:w="1075" w:type="pct"/>
            <w:shd w:val="clear" w:color="auto" w:fill="auto"/>
            <w:vAlign w:val="center"/>
          </w:tcPr>
          <w:p w14:paraId="3B827D48">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20</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辅助材料库</w:t>
            </w:r>
          </w:p>
        </w:tc>
        <w:tc>
          <w:tcPr>
            <w:tcW w:w="409" w:type="pct"/>
            <w:shd w:val="clear" w:color="auto" w:fill="auto"/>
            <w:vAlign w:val="center"/>
          </w:tcPr>
          <w:p w14:paraId="1DC7948E">
            <w:pPr>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25</w:t>
            </w:r>
          </w:p>
        </w:tc>
        <w:tc>
          <w:tcPr>
            <w:tcW w:w="357" w:type="pct"/>
            <w:shd w:val="clear" w:color="auto" w:fill="auto"/>
            <w:vAlign w:val="center"/>
          </w:tcPr>
          <w:p w14:paraId="1EBFBA77">
            <w:pPr>
              <w:widowControl/>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25</w:t>
            </w:r>
          </w:p>
        </w:tc>
        <w:tc>
          <w:tcPr>
            <w:tcW w:w="388" w:type="pct"/>
            <w:shd w:val="clear" w:color="auto" w:fill="auto"/>
            <w:vAlign w:val="center"/>
          </w:tcPr>
          <w:p w14:paraId="7FC0359A">
            <w:pPr>
              <w:jc w:val="center"/>
              <w:rPr>
                <w:rFonts w:ascii="宋体" w:hAnsi="宋体" w:cs="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w:t>
            </w:r>
          </w:p>
        </w:tc>
        <w:tc>
          <w:tcPr>
            <w:tcW w:w="888" w:type="pct"/>
            <w:shd w:val="clear" w:color="auto" w:fill="auto"/>
            <w:vAlign w:val="center"/>
          </w:tcPr>
          <w:p w14:paraId="102EC56E">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w:t>
            </w:r>
            <w:r>
              <w:rPr>
                <w:rFonts w:hint="eastAsia" w:ascii="宋体" w:hAnsi="宋体" w:cs="宋体"/>
                <w:b w:val="0"/>
                <w:bCs/>
                <w:color w:val="000000" w:themeColor="text1"/>
                <w:szCs w:val="21"/>
                <w14:textFill>
                  <w14:solidFill>
                    <w14:schemeClr w14:val="tx1"/>
                  </w14:solidFill>
                </w14:textFill>
              </w:rPr>
              <w:t>8</w:t>
            </w:r>
          </w:p>
        </w:tc>
      </w:tr>
      <w:tr w14:paraId="6F004B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shd w:val="clear" w:color="auto" w:fill="auto"/>
            <w:vAlign w:val="center"/>
          </w:tcPr>
          <w:p w14:paraId="0063083C">
            <w:pPr>
              <w:jc w:val="center"/>
              <w:rPr>
                <w:rFonts w:ascii="宋体" w:hAnsi="宋体" w:cs="Arial"/>
                <w:b w:val="0"/>
                <w:bCs/>
                <w:szCs w:val="21"/>
              </w:rPr>
            </w:pPr>
            <w:r>
              <w:rPr>
                <w:rFonts w:hint="eastAsia" w:ascii="宋体" w:hAnsi="宋体" w:cs="Arial"/>
                <w:b w:val="0"/>
                <w:bCs/>
                <w:szCs w:val="21"/>
              </w:rPr>
              <w:t>23</w:t>
            </w:r>
            <w:r>
              <w:rPr>
                <w:rFonts w:ascii="宋体" w:hAnsi="宋体" w:cs="Arial"/>
                <w:b w:val="0"/>
                <w:bCs/>
                <w:szCs w:val="21"/>
              </w:rPr>
              <w:t>#</w:t>
            </w:r>
            <w:r>
              <w:rPr>
                <w:rFonts w:hint="eastAsia" w:ascii="宋体" w:hAnsi="宋体" w:cs="Arial"/>
                <w:b w:val="0"/>
                <w:bCs/>
                <w:szCs w:val="21"/>
              </w:rPr>
              <w:t>半成品中转</w:t>
            </w:r>
          </w:p>
        </w:tc>
        <w:tc>
          <w:tcPr>
            <w:tcW w:w="353" w:type="pct"/>
            <w:shd w:val="clear" w:color="auto" w:fill="auto"/>
            <w:vAlign w:val="center"/>
          </w:tcPr>
          <w:p w14:paraId="76B50A70">
            <w:pPr>
              <w:jc w:val="center"/>
              <w:rPr>
                <w:rFonts w:ascii="宋体" w:hAnsi="宋体" w:cs="Arial"/>
                <w:b w:val="0"/>
                <w:bCs/>
                <w:szCs w:val="21"/>
              </w:rPr>
            </w:pPr>
            <w:r>
              <w:rPr>
                <w:rFonts w:hint="eastAsia" w:ascii="宋体" w:hAnsi="宋体" w:cs="Arial"/>
                <w:b w:val="0"/>
                <w:bCs/>
                <w:szCs w:val="21"/>
              </w:rPr>
              <w:t>1.3</w:t>
            </w:r>
          </w:p>
        </w:tc>
        <w:tc>
          <w:tcPr>
            <w:tcW w:w="518" w:type="pct"/>
            <w:shd w:val="clear" w:color="auto" w:fill="auto"/>
            <w:vAlign w:val="center"/>
          </w:tcPr>
          <w:p w14:paraId="005E7647">
            <w:pPr>
              <w:jc w:val="center"/>
              <w:rPr>
                <w:rFonts w:ascii="宋体" w:hAnsi="宋体" w:cs="Arial"/>
                <w:b w:val="0"/>
                <w:bCs/>
                <w:szCs w:val="21"/>
              </w:rPr>
            </w:pPr>
            <w:r>
              <w:rPr>
                <w:rFonts w:hint="eastAsia" w:ascii="宋体" w:hAnsi="宋体" w:cs="Arial"/>
                <w:b w:val="0"/>
                <w:bCs/>
                <w:szCs w:val="21"/>
              </w:rPr>
              <w:t>100</w:t>
            </w:r>
          </w:p>
        </w:tc>
        <w:tc>
          <w:tcPr>
            <w:tcW w:w="1075" w:type="pct"/>
            <w:shd w:val="clear" w:color="auto" w:fill="auto"/>
            <w:vAlign w:val="center"/>
          </w:tcPr>
          <w:p w14:paraId="6190DCB3">
            <w:pPr>
              <w:jc w:val="center"/>
              <w:rPr>
                <w:rFonts w:ascii="宋体" w:hAnsi="宋体"/>
                <w:b w:val="0"/>
                <w:bCs/>
                <w:color w:val="000000" w:themeColor="text1"/>
                <w:spacing w:val="-4"/>
                <w:szCs w:val="21"/>
                <w14:textFill>
                  <w14:solidFill>
                    <w14:schemeClr w14:val="tx1"/>
                  </w14:solidFill>
                </w14:textFill>
              </w:rPr>
            </w:pPr>
            <w:r>
              <w:rPr>
                <w:rFonts w:ascii="宋体" w:hAnsi="宋体"/>
                <w:b w:val="0"/>
                <w:bCs/>
                <w:color w:val="000000" w:themeColor="text1"/>
                <w:spacing w:val="-4"/>
                <w:szCs w:val="21"/>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4</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工具间</w:t>
            </w:r>
          </w:p>
        </w:tc>
        <w:tc>
          <w:tcPr>
            <w:tcW w:w="409" w:type="pct"/>
            <w:shd w:val="clear" w:color="auto" w:fill="auto"/>
            <w:vAlign w:val="center"/>
          </w:tcPr>
          <w:p w14:paraId="23DDE48C">
            <w:pPr>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w:t>
            </w:r>
            <w:r>
              <w:rPr>
                <w:rFonts w:ascii="宋体" w:hAnsi="宋体"/>
                <w:b w:val="0"/>
                <w:bCs/>
                <w:color w:val="000000" w:themeColor="text1"/>
                <w:spacing w:val="-4"/>
                <w:kern w:val="0"/>
                <w:szCs w:val="21"/>
                <w14:textFill>
                  <w14:solidFill>
                    <w14:schemeClr w14:val="tx1"/>
                  </w14:solidFill>
                </w14:textFill>
              </w:rPr>
              <w:t>4</w:t>
            </w:r>
          </w:p>
        </w:tc>
        <w:tc>
          <w:tcPr>
            <w:tcW w:w="357" w:type="pct"/>
            <w:shd w:val="clear" w:color="auto" w:fill="auto"/>
            <w:vAlign w:val="center"/>
          </w:tcPr>
          <w:p w14:paraId="17B37C36">
            <w:pPr>
              <w:widowControl/>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14</w:t>
            </w:r>
          </w:p>
        </w:tc>
        <w:tc>
          <w:tcPr>
            <w:tcW w:w="388" w:type="pct"/>
            <w:shd w:val="clear" w:color="auto" w:fill="auto"/>
            <w:vAlign w:val="center"/>
          </w:tcPr>
          <w:p w14:paraId="44D292F4">
            <w:pPr>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w:t>
            </w:r>
          </w:p>
        </w:tc>
        <w:tc>
          <w:tcPr>
            <w:tcW w:w="888" w:type="pct"/>
            <w:shd w:val="clear" w:color="auto" w:fill="auto"/>
          </w:tcPr>
          <w:p w14:paraId="7D87BB07">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.2.8</w:t>
            </w:r>
          </w:p>
        </w:tc>
      </w:tr>
      <w:tr w14:paraId="03C246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9" w:hRule="atLeast"/>
          <w:jc w:val="center"/>
        </w:trPr>
        <w:tc>
          <w:tcPr>
            <w:tcW w:w="1008" w:type="pct"/>
            <w:vMerge w:val="restart"/>
            <w:shd w:val="clear" w:color="auto" w:fill="auto"/>
            <w:vAlign w:val="center"/>
          </w:tcPr>
          <w:p w14:paraId="11BD9A36">
            <w:pPr>
              <w:jc w:val="center"/>
              <w:rPr>
                <w:rFonts w:ascii="宋体" w:hAnsi="宋体" w:cs="Arial"/>
                <w:b w:val="0"/>
                <w:bCs/>
                <w:szCs w:val="21"/>
              </w:rPr>
            </w:pPr>
            <w:r>
              <w:rPr>
                <w:rFonts w:hint="eastAsia" w:ascii="宋体" w:hAnsi="宋体" w:cs="Arial"/>
                <w:b w:val="0"/>
                <w:bCs/>
                <w:szCs w:val="21"/>
              </w:rPr>
              <w:t>25</w:t>
            </w:r>
            <w:r>
              <w:rPr>
                <w:rFonts w:ascii="宋体" w:hAnsi="宋体" w:cs="Arial"/>
                <w:b w:val="0"/>
                <w:bCs/>
                <w:szCs w:val="21"/>
              </w:rPr>
              <w:t>#</w:t>
            </w:r>
            <w:r>
              <w:rPr>
                <w:rFonts w:hint="eastAsia" w:ascii="宋体" w:hAnsi="宋体" w:cs="Arial"/>
                <w:b w:val="0"/>
                <w:bCs/>
                <w:szCs w:val="21"/>
              </w:rPr>
              <w:t>装药/压药</w:t>
            </w:r>
          </w:p>
        </w:tc>
        <w:tc>
          <w:tcPr>
            <w:tcW w:w="353" w:type="pct"/>
            <w:vMerge w:val="restart"/>
            <w:shd w:val="clear" w:color="auto" w:fill="auto"/>
            <w:vAlign w:val="center"/>
          </w:tcPr>
          <w:p w14:paraId="5E3E8919">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w:t>
            </w:r>
            <w:r>
              <w:rPr>
                <w:rFonts w:hint="eastAsia" w:ascii="宋体" w:hAnsi="宋体" w:cs="Arial"/>
                <w:b w:val="0"/>
                <w:bCs/>
                <w:szCs w:val="21"/>
                <w:vertAlign w:val="superscript"/>
              </w:rPr>
              <w:t>2</w:t>
            </w:r>
          </w:p>
        </w:tc>
        <w:tc>
          <w:tcPr>
            <w:tcW w:w="518" w:type="pct"/>
            <w:vMerge w:val="restart"/>
            <w:shd w:val="clear" w:color="auto" w:fill="auto"/>
            <w:vAlign w:val="center"/>
          </w:tcPr>
          <w:p w14:paraId="62D7B1C8">
            <w:pPr>
              <w:jc w:val="center"/>
              <w:rPr>
                <w:rFonts w:ascii="宋体" w:hAnsi="宋体" w:cs="Arial"/>
                <w:b w:val="0"/>
                <w:bCs/>
                <w:szCs w:val="21"/>
              </w:rPr>
            </w:pPr>
            <w:r>
              <w:rPr>
                <w:rFonts w:hint="eastAsia" w:ascii="宋体" w:hAnsi="宋体" w:cs="Arial"/>
                <w:b w:val="0"/>
                <w:bCs/>
                <w:szCs w:val="21"/>
              </w:rPr>
              <w:t>5</w:t>
            </w:r>
          </w:p>
        </w:tc>
        <w:tc>
          <w:tcPr>
            <w:tcW w:w="1075" w:type="pct"/>
            <w:shd w:val="clear" w:color="auto" w:fill="auto"/>
            <w:vAlign w:val="center"/>
          </w:tcPr>
          <w:p w14:paraId="5BDC7B2B">
            <w:pPr>
              <w:jc w:val="center"/>
              <w:rPr>
                <w:rFonts w:ascii="宋体" w:hAnsi="宋体"/>
                <w:b w:val="0"/>
                <w:bCs/>
                <w:color w:val="000000" w:themeColor="text1"/>
                <w:spacing w:val="-4"/>
                <w:szCs w:val="21"/>
                <w14:textFill>
                  <w14:solidFill>
                    <w14:schemeClr w14:val="tx1"/>
                  </w14:solidFill>
                </w14:textFill>
              </w:rPr>
            </w:pPr>
            <w:r>
              <w:rPr>
                <w:rFonts w:ascii="宋体" w:hAnsi="宋体"/>
                <w:b w:val="0"/>
                <w:bCs/>
                <w:color w:val="000000" w:themeColor="text1"/>
                <w:spacing w:val="-4"/>
                <w:szCs w:val="21"/>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4</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工具间</w:t>
            </w:r>
          </w:p>
        </w:tc>
        <w:tc>
          <w:tcPr>
            <w:tcW w:w="409" w:type="pct"/>
            <w:shd w:val="clear" w:color="auto" w:fill="auto"/>
            <w:vAlign w:val="center"/>
          </w:tcPr>
          <w:p w14:paraId="54BEFB28">
            <w:pPr>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7</w:t>
            </w:r>
          </w:p>
        </w:tc>
        <w:tc>
          <w:tcPr>
            <w:tcW w:w="357" w:type="pct"/>
            <w:shd w:val="clear" w:color="auto" w:fill="auto"/>
            <w:vAlign w:val="center"/>
          </w:tcPr>
          <w:p w14:paraId="16B6862B">
            <w:pPr>
              <w:widowControl/>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7</w:t>
            </w:r>
          </w:p>
        </w:tc>
        <w:tc>
          <w:tcPr>
            <w:tcW w:w="388" w:type="pct"/>
            <w:shd w:val="clear" w:color="auto" w:fill="auto"/>
            <w:vAlign w:val="center"/>
          </w:tcPr>
          <w:p w14:paraId="3429F45C">
            <w:pPr>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w:t>
            </w:r>
          </w:p>
        </w:tc>
        <w:tc>
          <w:tcPr>
            <w:tcW w:w="888" w:type="pct"/>
            <w:shd w:val="clear" w:color="auto" w:fill="auto"/>
          </w:tcPr>
          <w:p w14:paraId="4F0B3062">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w:t>
            </w:r>
            <w:r>
              <w:rPr>
                <w:rFonts w:hint="eastAsia" w:ascii="宋体" w:hAnsi="宋体" w:cs="宋体"/>
                <w:b w:val="0"/>
                <w:bCs/>
                <w:color w:val="000000" w:themeColor="text1"/>
                <w:szCs w:val="21"/>
                <w14:textFill>
                  <w14:solidFill>
                    <w14:schemeClr w14:val="tx1"/>
                  </w14:solidFill>
                </w14:textFill>
              </w:rPr>
              <w:t>3</w:t>
            </w:r>
          </w:p>
        </w:tc>
      </w:tr>
      <w:tr w14:paraId="7D826A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0E01AE83">
            <w:pPr>
              <w:jc w:val="center"/>
              <w:rPr>
                <w:rFonts w:ascii="宋体" w:hAnsi="宋体" w:cs="Arial"/>
                <w:b w:val="0"/>
                <w:bCs/>
                <w:szCs w:val="21"/>
              </w:rPr>
            </w:pPr>
          </w:p>
        </w:tc>
        <w:tc>
          <w:tcPr>
            <w:tcW w:w="353" w:type="pct"/>
            <w:vMerge w:val="continue"/>
            <w:shd w:val="clear" w:color="auto" w:fill="auto"/>
            <w:vAlign w:val="center"/>
          </w:tcPr>
          <w:p w14:paraId="11E6B1BA">
            <w:pPr>
              <w:jc w:val="center"/>
              <w:rPr>
                <w:rFonts w:ascii="宋体" w:hAnsi="宋体" w:cs="Arial"/>
                <w:b w:val="0"/>
                <w:bCs/>
                <w:szCs w:val="21"/>
              </w:rPr>
            </w:pPr>
          </w:p>
        </w:tc>
        <w:tc>
          <w:tcPr>
            <w:tcW w:w="518" w:type="pct"/>
            <w:vMerge w:val="continue"/>
            <w:shd w:val="clear" w:color="auto" w:fill="auto"/>
            <w:vAlign w:val="center"/>
          </w:tcPr>
          <w:p w14:paraId="5EE874FD">
            <w:pPr>
              <w:jc w:val="center"/>
              <w:rPr>
                <w:rFonts w:ascii="宋体" w:hAnsi="宋体" w:cs="Arial"/>
                <w:b w:val="0"/>
                <w:bCs/>
                <w:szCs w:val="21"/>
              </w:rPr>
            </w:pPr>
          </w:p>
        </w:tc>
        <w:tc>
          <w:tcPr>
            <w:tcW w:w="1075" w:type="pct"/>
            <w:shd w:val="clear" w:color="auto" w:fill="auto"/>
            <w:vAlign w:val="center"/>
          </w:tcPr>
          <w:p w14:paraId="6A02A51A">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27</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药物中转 （</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w:t>
            </w:r>
            <w:r>
              <w:rPr>
                <w:rFonts w:hint="eastAsia" w:ascii="宋体" w:hAnsi="宋体" w:cs="Arial"/>
                <w:b w:val="0"/>
                <w:bCs/>
                <w:color w:val="000000" w:themeColor="text1"/>
                <w:szCs w:val="21"/>
                <w:vertAlign w:val="superscript"/>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级、1</w:t>
            </w:r>
            <w:r>
              <w:rPr>
                <w:rFonts w:ascii="宋体" w:hAnsi="宋体"/>
                <w:b w:val="0"/>
                <w:bCs/>
                <w:color w:val="000000" w:themeColor="text1"/>
                <w:spacing w:val="-4"/>
                <w:szCs w:val="21"/>
                <w14:textFill>
                  <w14:solidFill>
                    <w14:schemeClr w14:val="tx1"/>
                  </w14:solidFill>
                </w14:textFill>
              </w:rPr>
              <w:t>00kg</w:t>
            </w:r>
            <w:r>
              <w:rPr>
                <w:rFonts w:hint="eastAsia" w:ascii="宋体" w:hAnsi="宋体"/>
                <w:b w:val="0"/>
                <w:bCs/>
                <w:color w:val="000000" w:themeColor="text1"/>
                <w:spacing w:val="-4"/>
                <w:szCs w:val="21"/>
                <w14:textFill>
                  <w14:solidFill>
                    <w14:schemeClr w14:val="tx1"/>
                  </w14:solidFill>
                </w14:textFill>
              </w:rPr>
              <w:t>）</w:t>
            </w:r>
          </w:p>
        </w:tc>
        <w:tc>
          <w:tcPr>
            <w:tcW w:w="409" w:type="pct"/>
            <w:shd w:val="clear" w:color="auto" w:fill="auto"/>
            <w:vAlign w:val="center"/>
          </w:tcPr>
          <w:p w14:paraId="3CD19FB7">
            <w:pPr>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12</w:t>
            </w:r>
          </w:p>
        </w:tc>
        <w:tc>
          <w:tcPr>
            <w:tcW w:w="357" w:type="pct"/>
            <w:shd w:val="clear" w:color="auto" w:fill="auto"/>
            <w:vAlign w:val="center"/>
          </w:tcPr>
          <w:p w14:paraId="0411DA06">
            <w:pPr>
              <w:widowControl/>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12</w:t>
            </w:r>
          </w:p>
        </w:tc>
        <w:tc>
          <w:tcPr>
            <w:tcW w:w="388" w:type="pct"/>
            <w:shd w:val="clear" w:color="auto" w:fill="auto"/>
            <w:vAlign w:val="center"/>
          </w:tcPr>
          <w:p w14:paraId="4C3EF5BE">
            <w:pPr>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w:t>
            </w:r>
          </w:p>
        </w:tc>
        <w:tc>
          <w:tcPr>
            <w:tcW w:w="888" w:type="pct"/>
            <w:shd w:val="clear" w:color="auto" w:fill="auto"/>
          </w:tcPr>
          <w:p w14:paraId="1DE48275">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w:t>
            </w:r>
            <w:r>
              <w:rPr>
                <w:rFonts w:hint="eastAsia" w:ascii="宋体" w:hAnsi="宋体" w:cs="宋体"/>
                <w:b w:val="0"/>
                <w:bCs/>
                <w:color w:val="000000" w:themeColor="text1"/>
                <w:szCs w:val="21"/>
                <w14:textFill>
                  <w14:solidFill>
                    <w14:schemeClr w14:val="tx1"/>
                  </w14:solidFill>
                </w14:textFill>
              </w:rPr>
              <w:t>3</w:t>
            </w:r>
          </w:p>
        </w:tc>
      </w:tr>
      <w:tr w14:paraId="671A19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restart"/>
            <w:shd w:val="clear" w:color="auto" w:fill="auto"/>
            <w:vAlign w:val="center"/>
          </w:tcPr>
          <w:p w14:paraId="2C79D9F9">
            <w:pPr>
              <w:jc w:val="center"/>
              <w:rPr>
                <w:rFonts w:ascii="宋体" w:hAnsi="宋体" w:cs="Arial"/>
                <w:b w:val="0"/>
                <w:bCs/>
                <w:szCs w:val="21"/>
              </w:rPr>
            </w:pPr>
            <w:r>
              <w:rPr>
                <w:rFonts w:hint="eastAsia" w:ascii="宋体" w:hAnsi="宋体" w:cs="Arial"/>
                <w:b w:val="0"/>
                <w:bCs/>
                <w:szCs w:val="21"/>
              </w:rPr>
              <w:t>31</w:t>
            </w:r>
            <w:r>
              <w:rPr>
                <w:rFonts w:ascii="宋体" w:hAnsi="宋体" w:cs="Arial"/>
                <w:b w:val="0"/>
                <w:bCs/>
                <w:szCs w:val="21"/>
              </w:rPr>
              <w:t>#</w:t>
            </w:r>
            <w:r>
              <w:rPr>
                <w:rFonts w:hint="eastAsia" w:ascii="宋体" w:hAnsi="宋体" w:cs="Arial"/>
                <w:b w:val="0"/>
                <w:bCs/>
                <w:szCs w:val="21"/>
              </w:rPr>
              <w:t>半成品中转</w:t>
            </w:r>
          </w:p>
        </w:tc>
        <w:tc>
          <w:tcPr>
            <w:tcW w:w="353" w:type="pct"/>
            <w:vMerge w:val="restart"/>
            <w:shd w:val="clear" w:color="auto" w:fill="auto"/>
            <w:vAlign w:val="center"/>
          </w:tcPr>
          <w:p w14:paraId="19D2E1A6">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.3</w:t>
            </w:r>
          </w:p>
        </w:tc>
        <w:tc>
          <w:tcPr>
            <w:tcW w:w="518" w:type="pct"/>
            <w:vMerge w:val="restart"/>
            <w:shd w:val="clear" w:color="auto" w:fill="auto"/>
            <w:vAlign w:val="center"/>
          </w:tcPr>
          <w:p w14:paraId="11694265">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00</w:t>
            </w:r>
          </w:p>
        </w:tc>
        <w:tc>
          <w:tcPr>
            <w:tcW w:w="1075" w:type="pct"/>
            <w:shd w:val="clear" w:color="auto" w:fill="auto"/>
            <w:vAlign w:val="center"/>
          </w:tcPr>
          <w:p w14:paraId="648D84D9">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29</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装药/压药 （</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w:t>
            </w:r>
            <w:r>
              <w:rPr>
                <w:rFonts w:hint="eastAsia" w:ascii="宋体" w:hAnsi="宋体" w:cs="Arial"/>
                <w:b w:val="0"/>
                <w:bCs/>
                <w:color w:val="000000" w:themeColor="text1"/>
                <w:szCs w:val="21"/>
                <w:vertAlign w:val="superscript"/>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kg</w:t>
            </w:r>
            <w:r>
              <w:rPr>
                <w:rFonts w:hint="eastAsia" w:ascii="宋体" w:hAnsi="宋体"/>
                <w:b w:val="0"/>
                <w:bCs/>
                <w:color w:val="000000" w:themeColor="text1"/>
                <w:spacing w:val="-4"/>
                <w:szCs w:val="21"/>
                <w14:textFill>
                  <w14:solidFill>
                    <w14:schemeClr w14:val="tx1"/>
                  </w14:solidFill>
                </w14:textFill>
              </w:rPr>
              <w:t>）</w:t>
            </w:r>
          </w:p>
        </w:tc>
        <w:tc>
          <w:tcPr>
            <w:tcW w:w="409" w:type="pct"/>
            <w:shd w:val="clear" w:color="auto" w:fill="auto"/>
            <w:vAlign w:val="center"/>
          </w:tcPr>
          <w:p w14:paraId="2DD73035">
            <w:pPr>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14</w:t>
            </w:r>
          </w:p>
        </w:tc>
        <w:tc>
          <w:tcPr>
            <w:tcW w:w="357" w:type="pct"/>
            <w:shd w:val="clear" w:color="auto" w:fill="auto"/>
            <w:vAlign w:val="center"/>
          </w:tcPr>
          <w:p w14:paraId="753F5F0C">
            <w:pPr>
              <w:widowControl/>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15</w:t>
            </w:r>
          </w:p>
        </w:tc>
        <w:tc>
          <w:tcPr>
            <w:tcW w:w="388" w:type="pct"/>
            <w:shd w:val="clear" w:color="auto" w:fill="auto"/>
            <w:vAlign w:val="center"/>
          </w:tcPr>
          <w:p w14:paraId="7A663717">
            <w:pPr>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双有</w:t>
            </w:r>
          </w:p>
        </w:tc>
        <w:tc>
          <w:tcPr>
            <w:tcW w:w="888" w:type="pct"/>
            <w:shd w:val="clear" w:color="auto" w:fill="auto"/>
          </w:tcPr>
          <w:p w14:paraId="10CC5118">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.2.8</w:t>
            </w:r>
          </w:p>
        </w:tc>
      </w:tr>
      <w:tr w14:paraId="25FA5D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343BE0D7">
            <w:pPr>
              <w:jc w:val="center"/>
              <w:rPr>
                <w:rFonts w:ascii="宋体" w:hAnsi="宋体" w:cs="Arial"/>
                <w:b w:val="0"/>
                <w:bCs/>
                <w:szCs w:val="21"/>
              </w:rPr>
            </w:pPr>
          </w:p>
        </w:tc>
        <w:tc>
          <w:tcPr>
            <w:tcW w:w="353" w:type="pct"/>
            <w:vMerge w:val="continue"/>
            <w:shd w:val="clear" w:color="auto" w:fill="auto"/>
            <w:vAlign w:val="center"/>
          </w:tcPr>
          <w:p w14:paraId="08CBD966">
            <w:pPr>
              <w:jc w:val="center"/>
              <w:rPr>
                <w:rFonts w:ascii="宋体" w:hAnsi="宋体" w:cs="Arial"/>
                <w:b w:val="0"/>
                <w:bCs/>
                <w:szCs w:val="21"/>
              </w:rPr>
            </w:pPr>
          </w:p>
        </w:tc>
        <w:tc>
          <w:tcPr>
            <w:tcW w:w="518" w:type="pct"/>
            <w:vMerge w:val="continue"/>
            <w:shd w:val="clear" w:color="auto" w:fill="auto"/>
            <w:vAlign w:val="center"/>
          </w:tcPr>
          <w:p w14:paraId="5042855C">
            <w:pPr>
              <w:jc w:val="center"/>
              <w:rPr>
                <w:rFonts w:ascii="宋体" w:hAnsi="宋体" w:cs="Arial"/>
                <w:b w:val="0"/>
                <w:bCs/>
                <w:szCs w:val="21"/>
              </w:rPr>
            </w:pPr>
          </w:p>
        </w:tc>
        <w:tc>
          <w:tcPr>
            <w:tcW w:w="1075" w:type="pct"/>
            <w:shd w:val="clear" w:color="auto" w:fill="auto"/>
            <w:vAlign w:val="center"/>
          </w:tcPr>
          <w:p w14:paraId="05754F4D">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33</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装药/压药 </w:t>
            </w:r>
          </w:p>
          <w:p w14:paraId="30EFA365">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w:t>
            </w:r>
            <w:r>
              <w:rPr>
                <w:rFonts w:hint="eastAsia" w:ascii="宋体" w:hAnsi="宋体" w:cs="Arial"/>
                <w:b w:val="0"/>
                <w:bCs/>
                <w:color w:val="000000" w:themeColor="text1"/>
                <w:szCs w:val="21"/>
                <w:vertAlign w:val="superscript"/>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kg</w:t>
            </w:r>
            <w:r>
              <w:rPr>
                <w:rFonts w:hint="eastAsia" w:ascii="宋体" w:hAnsi="宋体"/>
                <w:b w:val="0"/>
                <w:bCs/>
                <w:color w:val="000000" w:themeColor="text1"/>
                <w:spacing w:val="-4"/>
                <w:szCs w:val="21"/>
                <w14:textFill>
                  <w14:solidFill>
                    <w14:schemeClr w14:val="tx1"/>
                  </w14:solidFill>
                </w14:textFill>
              </w:rPr>
              <w:t>）</w:t>
            </w:r>
          </w:p>
        </w:tc>
        <w:tc>
          <w:tcPr>
            <w:tcW w:w="409" w:type="pct"/>
            <w:shd w:val="clear" w:color="auto" w:fill="auto"/>
            <w:vAlign w:val="center"/>
          </w:tcPr>
          <w:p w14:paraId="51E35599">
            <w:pPr>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11.2</w:t>
            </w:r>
          </w:p>
        </w:tc>
        <w:tc>
          <w:tcPr>
            <w:tcW w:w="357" w:type="pct"/>
            <w:shd w:val="clear" w:color="auto" w:fill="auto"/>
            <w:vAlign w:val="center"/>
          </w:tcPr>
          <w:p w14:paraId="3344C431">
            <w:pPr>
              <w:widowControl/>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13</w:t>
            </w:r>
          </w:p>
        </w:tc>
        <w:tc>
          <w:tcPr>
            <w:tcW w:w="388" w:type="pct"/>
            <w:shd w:val="clear" w:color="auto" w:fill="auto"/>
            <w:vAlign w:val="center"/>
          </w:tcPr>
          <w:p w14:paraId="235EE96A">
            <w:pPr>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双有</w:t>
            </w:r>
          </w:p>
        </w:tc>
        <w:tc>
          <w:tcPr>
            <w:tcW w:w="888" w:type="pct"/>
            <w:shd w:val="clear" w:color="auto" w:fill="auto"/>
          </w:tcPr>
          <w:p w14:paraId="570E7346">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.2.8</w:t>
            </w:r>
          </w:p>
        </w:tc>
      </w:tr>
      <w:tr w14:paraId="26FA7C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restart"/>
            <w:shd w:val="clear" w:color="auto" w:fill="auto"/>
            <w:vAlign w:val="center"/>
          </w:tcPr>
          <w:p w14:paraId="49F7780E">
            <w:pPr>
              <w:jc w:val="center"/>
              <w:rPr>
                <w:rFonts w:ascii="宋体" w:hAnsi="宋体" w:cs="Arial"/>
                <w:b w:val="0"/>
                <w:bCs/>
                <w:szCs w:val="21"/>
              </w:rPr>
            </w:pPr>
            <w:r>
              <w:rPr>
                <w:rFonts w:hint="eastAsia" w:ascii="宋体" w:hAnsi="宋体" w:cs="Arial"/>
                <w:b w:val="0"/>
                <w:bCs/>
                <w:szCs w:val="21"/>
              </w:rPr>
              <w:t>34</w:t>
            </w:r>
            <w:r>
              <w:rPr>
                <w:rFonts w:ascii="宋体" w:hAnsi="宋体" w:cs="Arial"/>
                <w:b w:val="0"/>
                <w:bCs/>
                <w:szCs w:val="21"/>
              </w:rPr>
              <w:t>#</w:t>
            </w:r>
            <w:r>
              <w:rPr>
                <w:rFonts w:hint="eastAsia" w:ascii="宋体" w:hAnsi="宋体" w:cs="Arial"/>
                <w:b w:val="0"/>
                <w:bCs/>
                <w:szCs w:val="21"/>
              </w:rPr>
              <w:t>药物中转</w:t>
            </w:r>
          </w:p>
        </w:tc>
        <w:tc>
          <w:tcPr>
            <w:tcW w:w="353" w:type="pct"/>
            <w:vMerge w:val="restart"/>
            <w:shd w:val="clear" w:color="auto" w:fill="auto"/>
            <w:vAlign w:val="center"/>
          </w:tcPr>
          <w:p w14:paraId="42EF3B2E">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w:t>
            </w:r>
            <w:r>
              <w:rPr>
                <w:rFonts w:hint="eastAsia" w:ascii="宋体" w:hAnsi="宋体" w:cs="Arial"/>
                <w:b w:val="0"/>
                <w:bCs/>
                <w:szCs w:val="21"/>
                <w:vertAlign w:val="superscript"/>
              </w:rPr>
              <w:t>2</w:t>
            </w:r>
          </w:p>
        </w:tc>
        <w:tc>
          <w:tcPr>
            <w:tcW w:w="518" w:type="pct"/>
            <w:vMerge w:val="restart"/>
            <w:shd w:val="clear" w:color="auto" w:fill="auto"/>
            <w:vAlign w:val="center"/>
          </w:tcPr>
          <w:p w14:paraId="36CE5C20">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00</w:t>
            </w:r>
          </w:p>
        </w:tc>
        <w:tc>
          <w:tcPr>
            <w:tcW w:w="1075" w:type="pct"/>
            <w:shd w:val="clear" w:color="auto" w:fill="auto"/>
            <w:vAlign w:val="center"/>
          </w:tcPr>
          <w:p w14:paraId="434A857D">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33</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装药/压药 </w:t>
            </w:r>
          </w:p>
          <w:p w14:paraId="37A87743">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w:t>
            </w:r>
            <w:r>
              <w:rPr>
                <w:rFonts w:hint="eastAsia" w:ascii="宋体" w:hAnsi="宋体" w:cs="Arial"/>
                <w:b w:val="0"/>
                <w:bCs/>
                <w:color w:val="000000" w:themeColor="text1"/>
                <w:szCs w:val="21"/>
                <w:vertAlign w:val="superscript"/>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kg</w:t>
            </w:r>
            <w:r>
              <w:rPr>
                <w:rFonts w:hint="eastAsia" w:ascii="宋体" w:hAnsi="宋体"/>
                <w:b w:val="0"/>
                <w:bCs/>
                <w:color w:val="000000" w:themeColor="text1"/>
                <w:spacing w:val="-4"/>
                <w:szCs w:val="21"/>
                <w14:textFill>
                  <w14:solidFill>
                    <w14:schemeClr w14:val="tx1"/>
                  </w14:solidFill>
                </w14:textFill>
              </w:rPr>
              <w:t>）</w:t>
            </w:r>
          </w:p>
        </w:tc>
        <w:tc>
          <w:tcPr>
            <w:tcW w:w="409" w:type="pct"/>
            <w:shd w:val="clear" w:color="auto" w:fill="auto"/>
            <w:vAlign w:val="center"/>
          </w:tcPr>
          <w:p w14:paraId="5B4F131F">
            <w:pPr>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12</w:t>
            </w:r>
          </w:p>
        </w:tc>
        <w:tc>
          <w:tcPr>
            <w:tcW w:w="357" w:type="pct"/>
            <w:shd w:val="clear" w:color="auto" w:fill="auto"/>
            <w:vAlign w:val="center"/>
          </w:tcPr>
          <w:p w14:paraId="7D651483">
            <w:pPr>
              <w:widowControl/>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12</w:t>
            </w:r>
          </w:p>
        </w:tc>
        <w:tc>
          <w:tcPr>
            <w:tcW w:w="388" w:type="pct"/>
            <w:vAlign w:val="center"/>
          </w:tcPr>
          <w:p w14:paraId="04FB2E53">
            <w:pPr>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双有</w:t>
            </w:r>
          </w:p>
        </w:tc>
        <w:tc>
          <w:tcPr>
            <w:tcW w:w="888" w:type="pct"/>
          </w:tcPr>
          <w:p w14:paraId="4090A63B">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w:t>
            </w:r>
            <w:r>
              <w:rPr>
                <w:rFonts w:hint="eastAsia" w:ascii="宋体" w:hAnsi="宋体" w:cs="宋体"/>
                <w:b w:val="0"/>
                <w:bCs/>
                <w:color w:val="000000" w:themeColor="text1"/>
                <w:szCs w:val="21"/>
                <w14:textFill>
                  <w14:solidFill>
                    <w14:schemeClr w14:val="tx1"/>
                  </w14:solidFill>
                </w14:textFill>
              </w:rPr>
              <w:t>3</w:t>
            </w:r>
          </w:p>
        </w:tc>
      </w:tr>
      <w:tr w14:paraId="0A87F2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1EC00735">
            <w:pPr>
              <w:jc w:val="center"/>
              <w:rPr>
                <w:rFonts w:ascii="宋体" w:hAnsi="宋体" w:cs="Arial"/>
                <w:b w:val="0"/>
                <w:bCs/>
                <w:szCs w:val="21"/>
              </w:rPr>
            </w:pPr>
          </w:p>
        </w:tc>
        <w:tc>
          <w:tcPr>
            <w:tcW w:w="353" w:type="pct"/>
            <w:vMerge w:val="continue"/>
            <w:shd w:val="clear" w:color="auto" w:fill="auto"/>
            <w:vAlign w:val="center"/>
          </w:tcPr>
          <w:p w14:paraId="529AD96D">
            <w:pPr>
              <w:jc w:val="center"/>
              <w:rPr>
                <w:rFonts w:ascii="宋体" w:hAnsi="宋体" w:cs="Arial"/>
                <w:b w:val="0"/>
                <w:bCs/>
                <w:szCs w:val="21"/>
              </w:rPr>
            </w:pPr>
          </w:p>
        </w:tc>
        <w:tc>
          <w:tcPr>
            <w:tcW w:w="518" w:type="pct"/>
            <w:vMerge w:val="continue"/>
            <w:shd w:val="clear" w:color="auto" w:fill="auto"/>
            <w:vAlign w:val="center"/>
          </w:tcPr>
          <w:p w14:paraId="174403C0">
            <w:pPr>
              <w:jc w:val="center"/>
              <w:rPr>
                <w:rFonts w:ascii="宋体" w:hAnsi="宋体" w:cs="Arial"/>
                <w:b w:val="0"/>
                <w:bCs/>
                <w:szCs w:val="21"/>
              </w:rPr>
            </w:pPr>
          </w:p>
        </w:tc>
        <w:tc>
          <w:tcPr>
            <w:tcW w:w="1075" w:type="pct"/>
            <w:shd w:val="clear" w:color="auto" w:fill="auto"/>
            <w:vAlign w:val="center"/>
          </w:tcPr>
          <w:p w14:paraId="548C4F29">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35</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装药/压药 </w:t>
            </w:r>
          </w:p>
          <w:p w14:paraId="4BD2AA97">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w:t>
            </w:r>
            <w:r>
              <w:rPr>
                <w:rFonts w:hint="eastAsia" w:ascii="宋体" w:hAnsi="宋体" w:cs="Arial"/>
                <w:b w:val="0"/>
                <w:bCs/>
                <w:color w:val="000000" w:themeColor="text1"/>
                <w:szCs w:val="21"/>
                <w:vertAlign w:val="superscript"/>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kg</w:t>
            </w:r>
            <w:r>
              <w:rPr>
                <w:rFonts w:hint="eastAsia" w:ascii="宋体" w:hAnsi="宋体"/>
                <w:b w:val="0"/>
                <w:bCs/>
                <w:color w:val="000000" w:themeColor="text1"/>
                <w:spacing w:val="-4"/>
                <w:szCs w:val="21"/>
                <w14:textFill>
                  <w14:solidFill>
                    <w14:schemeClr w14:val="tx1"/>
                  </w14:solidFill>
                </w14:textFill>
              </w:rPr>
              <w:t>）</w:t>
            </w:r>
          </w:p>
        </w:tc>
        <w:tc>
          <w:tcPr>
            <w:tcW w:w="409" w:type="pct"/>
            <w:shd w:val="clear" w:color="auto" w:fill="auto"/>
            <w:vAlign w:val="center"/>
          </w:tcPr>
          <w:p w14:paraId="0F4F7880">
            <w:pPr>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12</w:t>
            </w:r>
          </w:p>
        </w:tc>
        <w:tc>
          <w:tcPr>
            <w:tcW w:w="357" w:type="pct"/>
            <w:shd w:val="clear" w:color="auto" w:fill="auto"/>
            <w:vAlign w:val="center"/>
          </w:tcPr>
          <w:p w14:paraId="0B7AF459">
            <w:pPr>
              <w:widowControl/>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12</w:t>
            </w:r>
          </w:p>
        </w:tc>
        <w:tc>
          <w:tcPr>
            <w:tcW w:w="388" w:type="pct"/>
            <w:vAlign w:val="center"/>
          </w:tcPr>
          <w:p w14:paraId="1FB6300A">
            <w:pPr>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双有</w:t>
            </w:r>
          </w:p>
        </w:tc>
        <w:tc>
          <w:tcPr>
            <w:tcW w:w="888" w:type="pct"/>
          </w:tcPr>
          <w:p w14:paraId="32AEE368">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w:t>
            </w:r>
            <w:r>
              <w:rPr>
                <w:rFonts w:hint="eastAsia" w:ascii="宋体" w:hAnsi="宋体" w:cs="宋体"/>
                <w:b w:val="0"/>
                <w:bCs/>
                <w:color w:val="000000" w:themeColor="text1"/>
                <w:szCs w:val="21"/>
                <w14:textFill>
                  <w14:solidFill>
                    <w14:schemeClr w14:val="tx1"/>
                  </w14:solidFill>
                </w14:textFill>
              </w:rPr>
              <w:t>3</w:t>
            </w:r>
          </w:p>
        </w:tc>
      </w:tr>
      <w:tr w14:paraId="470663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73" w:hRule="atLeast"/>
          <w:jc w:val="center"/>
        </w:trPr>
        <w:tc>
          <w:tcPr>
            <w:tcW w:w="1008" w:type="pct"/>
            <w:vMerge w:val="restart"/>
            <w:shd w:val="clear" w:color="auto" w:fill="auto"/>
            <w:vAlign w:val="center"/>
          </w:tcPr>
          <w:p w14:paraId="064B27FD">
            <w:pPr>
              <w:jc w:val="center"/>
              <w:rPr>
                <w:rFonts w:ascii="宋体" w:hAnsi="宋体" w:cs="Arial"/>
                <w:b w:val="0"/>
                <w:bCs/>
                <w:szCs w:val="21"/>
              </w:rPr>
            </w:pPr>
            <w:r>
              <w:rPr>
                <w:rFonts w:hint="eastAsia" w:ascii="宋体" w:hAnsi="宋体" w:cs="Arial"/>
                <w:b w:val="0"/>
                <w:bCs/>
                <w:szCs w:val="21"/>
              </w:rPr>
              <w:t>37</w:t>
            </w:r>
            <w:r>
              <w:rPr>
                <w:rFonts w:ascii="宋体" w:hAnsi="宋体" w:cs="Arial"/>
                <w:b w:val="0"/>
                <w:bCs/>
                <w:szCs w:val="21"/>
              </w:rPr>
              <w:t>#</w:t>
            </w:r>
            <w:r>
              <w:rPr>
                <w:rFonts w:hint="eastAsia" w:ascii="宋体" w:hAnsi="宋体" w:cs="Arial"/>
                <w:b w:val="0"/>
                <w:bCs/>
                <w:szCs w:val="21"/>
              </w:rPr>
              <w:t>半成品中转</w:t>
            </w:r>
          </w:p>
        </w:tc>
        <w:tc>
          <w:tcPr>
            <w:tcW w:w="353" w:type="pct"/>
            <w:vMerge w:val="restart"/>
            <w:shd w:val="clear" w:color="auto" w:fill="auto"/>
            <w:vAlign w:val="center"/>
          </w:tcPr>
          <w:p w14:paraId="374C57E6">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.3</w:t>
            </w:r>
          </w:p>
        </w:tc>
        <w:tc>
          <w:tcPr>
            <w:tcW w:w="518" w:type="pct"/>
            <w:vMerge w:val="restart"/>
            <w:shd w:val="clear" w:color="auto" w:fill="auto"/>
            <w:vAlign w:val="center"/>
          </w:tcPr>
          <w:p w14:paraId="4F64F139">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00</w:t>
            </w:r>
          </w:p>
        </w:tc>
        <w:tc>
          <w:tcPr>
            <w:tcW w:w="1075" w:type="pct"/>
            <w:shd w:val="clear" w:color="auto" w:fill="auto"/>
            <w:vAlign w:val="center"/>
          </w:tcPr>
          <w:p w14:paraId="19564A37">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35</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装药/压药 </w:t>
            </w:r>
          </w:p>
          <w:p w14:paraId="7D4FA903">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w:t>
            </w:r>
            <w:r>
              <w:rPr>
                <w:rFonts w:hint="eastAsia" w:ascii="宋体" w:hAnsi="宋体" w:cs="Arial"/>
                <w:b w:val="0"/>
                <w:bCs/>
                <w:color w:val="000000" w:themeColor="text1"/>
                <w:szCs w:val="21"/>
                <w:vertAlign w:val="superscript"/>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kg</w:t>
            </w:r>
            <w:r>
              <w:rPr>
                <w:rFonts w:hint="eastAsia" w:ascii="宋体" w:hAnsi="宋体"/>
                <w:b w:val="0"/>
                <w:bCs/>
                <w:color w:val="000000" w:themeColor="text1"/>
                <w:spacing w:val="-4"/>
                <w:szCs w:val="21"/>
                <w14:textFill>
                  <w14:solidFill>
                    <w14:schemeClr w14:val="tx1"/>
                  </w14:solidFill>
                </w14:textFill>
              </w:rPr>
              <w:t>）</w:t>
            </w:r>
          </w:p>
        </w:tc>
        <w:tc>
          <w:tcPr>
            <w:tcW w:w="409" w:type="pct"/>
            <w:shd w:val="clear" w:color="auto" w:fill="auto"/>
            <w:vAlign w:val="center"/>
          </w:tcPr>
          <w:p w14:paraId="166CA2D3">
            <w:pPr>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11.2</w:t>
            </w:r>
          </w:p>
        </w:tc>
        <w:tc>
          <w:tcPr>
            <w:tcW w:w="357" w:type="pct"/>
            <w:shd w:val="clear" w:color="auto" w:fill="auto"/>
            <w:vAlign w:val="center"/>
          </w:tcPr>
          <w:p w14:paraId="0744191D">
            <w:pPr>
              <w:widowControl/>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12</w:t>
            </w:r>
          </w:p>
        </w:tc>
        <w:tc>
          <w:tcPr>
            <w:tcW w:w="388" w:type="pct"/>
            <w:vAlign w:val="center"/>
          </w:tcPr>
          <w:p w14:paraId="67EDC6D1">
            <w:pPr>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双有</w:t>
            </w:r>
          </w:p>
        </w:tc>
        <w:tc>
          <w:tcPr>
            <w:tcW w:w="888" w:type="pct"/>
            <w:vAlign w:val="center"/>
          </w:tcPr>
          <w:p w14:paraId="2BAA4EAC">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GB50161-2022中第5</w:t>
            </w:r>
            <w:r>
              <w:rPr>
                <w:rFonts w:ascii="宋体" w:hAnsi="宋体" w:cs="宋体"/>
                <w:b w:val="0"/>
                <w:bCs/>
                <w:color w:val="000000" w:themeColor="text1"/>
                <w:szCs w:val="21"/>
                <w14:textFill>
                  <w14:solidFill>
                    <w14:schemeClr w14:val="tx1"/>
                  </w14:solidFill>
                </w14:textFill>
              </w:rPr>
              <w:t>.2.8</w:t>
            </w:r>
            <w:r>
              <w:rPr>
                <w:rFonts w:hint="eastAsia" w:ascii="宋体" w:hAnsi="宋体" w:cs="宋体"/>
                <w:b w:val="0"/>
                <w:bCs/>
                <w:color w:val="000000" w:themeColor="text1"/>
                <w:szCs w:val="21"/>
                <w14:textFill>
                  <w14:solidFill>
                    <w14:schemeClr w14:val="tx1"/>
                  </w14:solidFill>
                </w14:textFill>
              </w:rPr>
              <w:t>条</w:t>
            </w:r>
          </w:p>
        </w:tc>
      </w:tr>
      <w:tr w14:paraId="6EA3D3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48" w:hRule="atLeast"/>
          <w:jc w:val="center"/>
        </w:trPr>
        <w:tc>
          <w:tcPr>
            <w:tcW w:w="1008" w:type="pct"/>
            <w:vMerge w:val="continue"/>
            <w:shd w:val="clear" w:color="auto" w:fill="auto"/>
            <w:vAlign w:val="center"/>
          </w:tcPr>
          <w:p w14:paraId="2E6E9CBA">
            <w:pPr>
              <w:jc w:val="center"/>
              <w:rPr>
                <w:rFonts w:ascii="宋体" w:hAnsi="宋体" w:cs="Arial"/>
                <w:b w:val="0"/>
                <w:bCs/>
                <w:szCs w:val="21"/>
              </w:rPr>
            </w:pPr>
          </w:p>
        </w:tc>
        <w:tc>
          <w:tcPr>
            <w:tcW w:w="353" w:type="pct"/>
            <w:vMerge w:val="continue"/>
            <w:shd w:val="clear" w:color="auto" w:fill="auto"/>
            <w:vAlign w:val="center"/>
          </w:tcPr>
          <w:p w14:paraId="1F6378F5">
            <w:pPr>
              <w:jc w:val="center"/>
              <w:rPr>
                <w:rFonts w:ascii="宋体" w:hAnsi="宋体" w:cs="Arial"/>
                <w:b w:val="0"/>
                <w:bCs/>
                <w:szCs w:val="21"/>
              </w:rPr>
            </w:pPr>
          </w:p>
        </w:tc>
        <w:tc>
          <w:tcPr>
            <w:tcW w:w="518" w:type="pct"/>
            <w:vMerge w:val="continue"/>
            <w:shd w:val="clear" w:color="auto" w:fill="auto"/>
            <w:vAlign w:val="center"/>
          </w:tcPr>
          <w:p w14:paraId="09775A7B">
            <w:pPr>
              <w:jc w:val="center"/>
              <w:rPr>
                <w:rFonts w:ascii="宋体" w:hAnsi="宋体" w:cs="Arial"/>
                <w:b w:val="0"/>
                <w:bCs/>
                <w:szCs w:val="21"/>
              </w:rPr>
            </w:pPr>
          </w:p>
        </w:tc>
        <w:tc>
          <w:tcPr>
            <w:tcW w:w="1075" w:type="pct"/>
            <w:shd w:val="clear" w:color="auto" w:fill="auto"/>
            <w:vAlign w:val="center"/>
          </w:tcPr>
          <w:p w14:paraId="5B3408AE">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38</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筑药      </w:t>
            </w:r>
          </w:p>
          <w:p w14:paraId="25DC32E1">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w:t>
            </w:r>
            <w:r>
              <w:rPr>
                <w:rFonts w:hint="eastAsia" w:ascii="宋体" w:hAnsi="宋体" w:cs="Arial"/>
                <w:b w:val="0"/>
                <w:bCs/>
                <w:color w:val="000000" w:themeColor="text1"/>
                <w:szCs w:val="21"/>
                <w:vertAlign w:val="superscript"/>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kg</w:t>
            </w:r>
            <w:r>
              <w:rPr>
                <w:rFonts w:hint="eastAsia" w:ascii="宋体" w:hAnsi="宋体"/>
                <w:b w:val="0"/>
                <w:bCs/>
                <w:color w:val="000000" w:themeColor="text1"/>
                <w:spacing w:val="-4"/>
                <w:szCs w:val="21"/>
                <w14:textFill>
                  <w14:solidFill>
                    <w14:schemeClr w14:val="tx1"/>
                  </w14:solidFill>
                </w14:textFill>
              </w:rPr>
              <w:t>）</w:t>
            </w:r>
          </w:p>
        </w:tc>
        <w:tc>
          <w:tcPr>
            <w:tcW w:w="409" w:type="pct"/>
            <w:shd w:val="clear" w:color="auto" w:fill="auto"/>
            <w:vAlign w:val="center"/>
          </w:tcPr>
          <w:p w14:paraId="1A9EB749">
            <w:pPr>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11.2</w:t>
            </w:r>
          </w:p>
        </w:tc>
        <w:tc>
          <w:tcPr>
            <w:tcW w:w="357" w:type="pct"/>
            <w:shd w:val="clear" w:color="auto" w:fill="auto"/>
            <w:vAlign w:val="center"/>
          </w:tcPr>
          <w:p w14:paraId="32618871">
            <w:pPr>
              <w:widowControl/>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13</w:t>
            </w:r>
          </w:p>
        </w:tc>
        <w:tc>
          <w:tcPr>
            <w:tcW w:w="388" w:type="pct"/>
            <w:vAlign w:val="center"/>
          </w:tcPr>
          <w:p w14:paraId="5DD9F71C">
            <w:pPr>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双有</w:t>
            </w:r>
          </w:p>
        </w:tc>
        <w:tc>
          <w:tcPr>
            <w:tcW w:w="888" w:type="pct"/>
            <w:vAlign w:val="center"/>
          </w:tcPr>
          <w:p w14:paraId="56867F1C">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GB50161-2022中第5</w:t>
            </w:r>
            <w:r>
              <w:rPr>
                <w:rFonts w:ascii="宋体" w:hAnsi="宋体" w:cs="宋体"/>
                <w:b w:val="0"/>
                <w:bCs/>
                <w:color w:val="000000" w:themeColor="text1"/>
                <w:szCs w:val="21"/>
                <w14:textFill>
                  <w14:solidFill>
                    <w14:schemeClr w14:val="tx1"/>
                  </w14:solidFill>
                </w14:textFill>
              </w:rPr>
              <w:t>.2.8</w:t>
            </w:r>
            <w:r>
              <w:rPr>
                <w:rFonts w:hint="eastAsia" w:ascii="宋体" w:hAnsi="宋体" w:cs="宋体"/>
                <w:b w:val="0"/>
                <w:bCs/>
                <w:color w:val="000000" w:themeColor="text1"/>
                <w:szCs w:val="21"/>
                <w14:textFill>
                  <w14:solidFill>
                    <w14:schemeClr w14:val="tx1"/>
                  </w14:solidFill>
                </w14:textFill>
              </w:rPr>
              <w:t>条</w:t>
            </w:r>
          </w:p>
        </w:tc>
      </w:tr>
      <w:tr w14:paraId="29B029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9" w:hRule="atLeast"/>
          <w:jc w:val="center"/>
        </w:trPr>
        <w:tc>
          <w:tcPr>
            <w:tcW w:w="1008" w:type="pct"/>
            <w:vMerge w:val="restart"/>
            <w:shd w:val="clear" w:color="auto" w:fill="auto"/>
            <w:vAlign w:val="center"/>
          </w:tcPr>
          <w:p w14:paraId="72A8724F">
            <w:pPr>
              <w:jc w:val="center"/>
              <w:rPr>
                <w:rFonts w:ascii="宋体" w:hAnsi="宋体" w:cs="Arial"/>
                <w:b w:val="0"/>
                <w:bCs/>
                <w:szCs w:val="21"/>
              </w:rPr>
            </w:pPr>
            <w:r>
              <w:rPr>
                <w:rFonts w:hint="eastAsia" w:ascii="宋体" w:hAnsi="宋体" w:cs="Arial"/>
                <w:b w:val="0"/>
                <w:bCs/>
                <w:szCs w:val="21"/>
              </w:rPr>
              <w:t>40</w:t>
            </w:r>
            <w:r>
              <w:rPr>
                <w:rFonts w:ascii="宋体" w:hAnsi="宋体" w:cs="Arial"/>
                <w:b w:val="0"/>
                <w:bCs/>
                <w:szCs w:val="21"/>
              </w:rPr>
              <w:t>#</w:t>
            </w:r>
            <w:r>
              <w:rPr>
                <w:rFonts w:hint="eastAsia" w:ascii="宋体" w:hAnsi="宋体" w:cs="Arial"/>
                <w:b w:val="0"/>
                <w:bCs/>
                <w:szCs w:val="21"/>
              </w:rPr>
              <w:t>药物中转</w:t>
            </w:r>
          </w:p>
        </w:tc>
        <w:tc>
          <w:tcPr>
            <w:tcW w:w="353" w:type="pct"/>
            <w:vMerge w:val="restart"/>
            <w:shd w:val="clear" w:color="auto" w:fill="auto"/>
            <w:vAlign w:val="center"/>
          </w:tcPr>
          <w:p w14:paraId="6BA93445">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w:t>
            </w:r>
            <w:r>
              <w:rPr>
                <w:rFonts w:hint="eastAsia" w:ascii="宋体" w:hAnsi="宋体" w:cs="Arial"/>
                <w:b w:val="0"/>
                <w:bCs/>
                <w:szCs w:val="21"/>
                <w:vertAlign w:val="superscript"/>
              </w:rPr>
              <w:t>2</w:t>
            </w:r>
          </w:p>
        </w:tc>
        <w:tc>
          <w:tcPr>
            <w:tcW w:w="518" w:type="pct"/>
            <w:vMerge w:val="restart"/>
            <w:shd w:val="clear" w:color="auto" w:fill="auto"/>
            <w:vAlign w:val="center"/>
          </w:tcPr>
          <w:p w14:paraId="1BF36D34">
            <w:pPr>
              <w:jc w:val="center"/>
              <w:rPr>
                <w:rFonts w:ascii="宋体" w:hAnsi="宋体" w:cs="Arial"/>
                <w:b w:val="0"/>
                <w:bCs/>
                <w:szCs w:val="21"/>
              </w:rPr>
            </w:pPr>
            <w:r>
              <w:rPr>
                <w:rFonts w:hint="eastAsia" w:ascii="宋体" w:hAnsi="宋体" w:cs="Arial"/>
                <w:b w:val="0"/>
                <w:bCs/>
                <w:szCs w:val="21"/>
              </w:rPr>
              <w:t>50</w:t>
            </w:r>
          </w:p>
        </w:tc>
        <w:tc>
          <w:tcPr>
            <w:tcW w:w="1075" w:type="pct"/>
            <w:shd w:val="clear" w:color="auto" w:fill="auto"/>
            <w:vAlign w:val="center"/>
          </w:tcPr>
          <w:p w14:paraId="7C23B232">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38</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筑药      </w:t>
            </w:r>
          </w:p>
          <w:p w14:paraId="36E9ABAF">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w:t>
            </w:r>
            <w:r>
              <w:rPr>
                <w:rFonts w:hint="eastAsia" w:ascii="宋体" w:hAnsi="宋体" w:cs="Arial"/>
                <w:b w:val="0"/>
                <w:bCs/>
                <w:color w:val="000000" w:themeColor="text1"/>
                <w:szCs w:val="21"/>
                <w:vertAlign w:val="superscript"/>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kg</w:t>
            </w:r>
            <w:r>
              <w:rPr>
                <w:rFonts w:hint="eastAsia" w:ascii="宋体" w:hAnsi="宋体"/>
                <w:b w:val="0"/>
                <w:bCs/>
                <w:color w:val="000000" w:themeColor="text1"/>
                <w:spacing w:val="-4"/>
                <w:szCs w:val="21"/>
                <w14:textFill>
                  <w14:solidFill>
                    <w14:schemeClr w14:val="tx1"/>
                  </w14:solidFill>
                </w14:textFill>
              </w:rPr>
              <w:t>）</w:t>
            </w:r>
          </w:p>
        </w:tc>
        <w:tc>
          <w:tcPr>
            <w:tcW w:w="409" w:type="pct"/>
            <w:shd w:val="clear" w:color="auto" w:fill="auto"/>
            <w:vAlign w:val="center"/>
          </w:tcPr>
          <w:p w14:paraId="33B33067">
            <w:pPr>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12</w:t>
            </w:r>
          </w:p>
        </w:tc>
        <w:tc>
          <w:tcPr>
            <w:tcW w:w="357" w:type="pct"/>
            <w:shd w:val="clear" w:color="auto" w:fill="auto"/>
            <w:vAlign w:val="center"/>
          </w:tcPr>
          <w:p w14:paraId="0CA2F402">
            <w:pPr>
              <w:widowControl/>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14</w:t>
            </w:r>
          </w:p>
        </w:tc>
        <w:tc>
          <w:tcPr>
            <w:tcW w:w="388" w:type="pct"/>
            <w:vAlign w:val="center"/>
          </w:tcPr>
          <w:p w14:paraId="7543DA84">
            <w:pPr>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双有</w:t>
            </w:r>
          </w:p>
        </w:tc>
        <w:tc>
          <w:tcPr>
            <w:tcW w:w="888" w:type="pct"/>
            <w:vAlign w:val="center"/>
          </w:tcPr>
          <w:p w14:paraId="03522E4F">
            <w:pPr>
              <w:spacing w:line="28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GB50161-2022中第5</w:t>
            </w:r>
            <w:r>
              <w:rPr>
                <w:rFonts w:ascii="宋体" w:hAnsi="宋体" w:cs="宋体"/>
                <w:b w:val="0"/>
                <w:bCs/>
                <w:color w:val="000000" w:themeColor="text1"/>
                <w:szCs w:val="21"/>
                <w14:textFill>
                  <w14:solidFill>
                    <w14:schemeClr w14:val="tx1"/>
                  </w14:solidFill>
                </w14:textFill>
              </w:rPr>
              <w:t>.2.</w:t>
            </w:r>
            <w:r>
              <w:rPr>
                <w:rFonts w:hint="eastAsia" w:ascii="宋体" w:hAnsi="宋体" w:cs="宋体"/>
                <w:b w:val="0"/>
                <w:bCs/>
                <w:color w:val="000000" w:themeColor="text1"/>
                <w:szCs w:val="21"/>
                <w14:textFill>
                  <w14:solidFill>
                    <w14:schemeClr w14:val="tx1"/>
                  </w14:solidFill>
                </w14:textFill>
              </w:rPr>
              <w:t>3</w:t>
            </w:r>
          </w:p>
        </w:tc>
      </w:tr>
      <w:tr w14:paraId="197221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28573118">
            <w:pPr>
              <w:jc w:val="center"/>
              <w:rPr>
                <w:rFonts w:ascii="宋体" w:hAnsi="宋体" w:cs="Arial"/>
                <w:b w:val="0"/>
                <w:bCs/>
                <w:szCs w:val="21"/>
              </w:rPr>
            </w:pPr>
          </w:p>
        </w:tc>
        <w:tc>
          <w:tcPr>
            <w:tcW w:w="353" w:type="pct"/>
            <w:vMerge w:val="continue"/>
            <w:shd w:val="clear" w:color="auto" w:fill="auto"/>
            <w:vAlign w:val="center"/>
          </w:tcPr>
          <w:p w14:paraId="090AF016">
            <w:pPr>
              <w:jc w:val="center"/>
              <w:rPr>
                <w:rFonts w:ascii="宋体" w:hAnsi="宋体" w:cs="Arial"/>
                <w:b w:val="0"/>
                <w:bCs/>
                <w:szCs w:val="21"/>
              </w:rPr>
            </w:pPr>
          </w:p>
        </w:tc>
        <w:tc>
          <w:tcPr>
            <w:tcW w:w="518" w:type="pct"/>
            <w:vMerge w:val="continue"/>
            <w:shd w:val="clear" w:color="auto" w:fill="auto"/>
            <w:vAlign w:val="center"/>
          </w:tcPr>
          <w:p w14:paraId="235087BD">
            <w:pPr>
              <w:jc w:val="center"/>
              <w:rPr>
                <w:rFonts w:ascii="宋体" w:hAnsi="宋体" w:cs="Arial"/>
                <w:b w:val="0"/>
                <w:bCs/>
                <w:szCs w:val="21"/>
              </w:rPr>
            </w:pPr>
          </w:p>
        </w:tc>
        <w:tc>
          <w:tcPr>
            <w:tcW w:w="1075" w:type="pct"/>
            <w:shd w:val="clear" w:color="auto" w:fill="auto"/>
            <w:vAlign w:val="center"/>
          </w:tcPr>
          <w:p w14:paraId="4F21320A">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42</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筑药      </w:t>
            </w:r>
          </w:p>
          <w:p w14:paraId="0A6AE75F">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w:t>
            </w:r>
            <w:r>
              <w:rPr>
                <w:rFonts w:hint="eastAsia" w:ascii="宋体" w:hAnsi="宋体" w:cs="Arial"/>
                <w:b w:val="0"/>
                <w:bCs/>
                <w:color w:val="000000" w:themeColor="text1"/>
                <w:szCs w:val="21"/>
                <w:vertAlign w:val="superscript"/>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kg</w:t>
            </w:r>
            <w:r>
              <w:rPr>
                <w:rFonts w:hint="eastAsia" w:ascii="宋体" w:hAnsi="宋体"/>
                <w:b w:val="0"/>
                <w:bCs/>
                <w:color w:val="000000" w:themeColor="text1"/>
                <w:spacing w:val="-4"/>
                <w:szCs w:val="21"/>
                <w14:textFill>
                  <w14:solidFill>
                    <w14:schemeClr w14:val="tx1"/>
                  </w14:solidFill>
                </w14:textFill>
              </w:rPr>
              <w:t>）</w:t>
            </w:r>
          </w:p>
        </w:tc>
        <w:tc>
          <w:tcPr>
            <w:tcW w:w="409" w:type="pct"/>
            <w:shd w:val="clear" w:color="auto" w:fill="auto"/>
            <w:vAlign w:val="center"/>
          </w:tcPr>
          <w:p w14:paraId="47B602E7">
            <w:pPr>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12</w:t>
            </w:r>
          </w:p>
        </w:tc>
        <w:tc>
          <w:tcPr>
            <w:tcW w:w="357" w:type="pct"/>
            <w:shd w:val="clear" w:color="auto" w:fill="auto"/>
            <w:vAlign w:val="center"/>
          </w:tcPr>
          <w:p w14:paraId="25523E96">
            <w:pPr>
              <w:widowControl/>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14</w:t>
            </w:r>
          </w:p>
        </w:tc>
        <w:tc>
          <w:tcPr>
            <w:tcW w:w="388" w:type="pct"/>
            <w:vAlign w:val="center"/>
          </w:tcPr>
          <w:p w14:paraId="6CE8439A">
            <w:pPr>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双有</w:t>
            </w:r>
          </w:p>
        </w:tc>
        <w:tc>
          <w:tcPr>
            <w:tcW w:w="888" w:type="pct"/>
            <w:vAlign w:val="center"/>
          </w:tcPr>
          <w:p w14:paraId="5578EAF7">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GB50161-2022中第5</w:t>
            </w:r>
            <w:r>
              <w:rPr>
                <w:rFonts w:ascii="宋体" w:hAnsi="宋体" w:cs="宋体"/>
                <w:b w:val="0"/>
                <w:bCs/>
                <w:color w:val="000000" w:themeColor="text1"/>
                <w:szCs w:val="21"/>
                <w14:textFill>
                  <w14:solidFill>
                    <w14:schemeClr w14:val="tx1"/>
                  </w14:solidFill>
                </w14:textFill>
              </w:rPr>
              <w:t>.2.</w:t>
            </w:r>
            <w:r>
              <w:rPr>
                <w:rFonts w:hint="eastAsia" w:ascii="宋体" w:hAnsi="宋体" w:cs="宋体"/>
                <w:b w:val="0"/>
                <w:bCs/>
                <w:color w:val="000000" w:themeColor="text1"/>
                <w:szCs w:val="21"/>
                <w14:textFill>
                  <w14:solidFill>
                    <w14:schemeClr w14:val="tx1"/>
                  </w14:solidFill>
                </w14:textFill>
              </w:rPr>
              <w:t>3</w:t>
            </w:r>
          </w:p>
        </w:tc>
      </w:tr>
      <w:tr w14:paraId="279D27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restart"/>
            <w:shd w:val="clear" w:color="auto" w:fill="auto"/>
            <w:vAlign w:val="center"/>
          </w:tcPr>
          <w:p w14:paraId="7D32BD84">
            <w:pPr>
              <w:jc w:val="center"/>
              <w:rPr>
                <w:rFonts w:ascii="宋体" w:hAnsi="宋体" w:cs="Arial"/>
                <w:b w:val="0"/>
                <w:bCs/>
                <w:szCs w:val="21"/>
              </w:rPr>
            </w:pPr>
            <w:r>
              <w:rPr>
                <w:rFonts w:hint="eastAsia" w:ascii="宋体" w:hAnsi="宋体" w:cs="Arial"/>
                <w:b w:val="0"/>
                <w:bCs/>
                <w:szCs w:val="21"/>
              </w:rPr>
              <w:t>43</w:t>
            </w:r>
            <w:r>
              <w:rPr>
                <w:rFonts w:ascii="宋体" w:hAnsi="宋体" w:cs="Arial"/>
                <w:b w:val="0"/>
                <w:bCs/>
                <w:szCs w:val="21"/>
              </w:rPr>
              <w:t>#</w:t>
            </w:r>
            <w:r>
              <w:rPr>
                <w:rFonts w:hint="eastAsia" w:ascii="宋体" w:hAnsi="宋体" w:cs="Arial"/>
                <w:b w:val="0"/>
                <w:bCs/>
                <w:szCs w:val="21"/>
              </w:rPr>
              <w:t>半成品中转</w:t>
            </w:r>
          </w:p>
        </w:tc>
        <w:tc>
          <w:tcPr>
            <w:tcW w:w="353" w:type="pct"/>
            <w:vMerge w:val="restart"/>
            <w:shd w:val="clear" w:color="auto" w:fill="auto"/>
            <w:vAlign w:val="center"/>
          </w:tcPr>
          <w:p w14:paraId="01C07DEE">
            <w:pPr>
              <w:jc w:val="center"/>
              <w:rPr>
                <w:rFonts w:ascii="宋体" w:hAnsi="宋体" w:cs="Arial"/>
                <w:b w:val="0"/>
                <w:bCs/>
                <w:szCs w:val="21"/>
              </w:rPr>
            </w:pPr>
            <w:r>
              <w:rPr>
                <w:rFonts w:ascii="宋体" w:hAnsi="宋体" w:cs="Arial"/>
                <w:b w:val="0"/>
                <w:bCs/>
                <w:szCs w:val="21"/>
              </w:rPr>
              <w:t>1.3</w:t>
            </w:r>
          </w:p>
        </w:tc>
        <w:tc>
          <w:tcPr>
            <w:tcW w:w="518" w:type="pct"/>
            <w:vMerge w:val="restart"/>
            <w:shd w:val="clear" w:color="auto" w:fill="auto"/>
            <w:vAlign w:val="center"/>
          </w:tcPr>
          <w:p w14:paraId="5E898594">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00</w:t>
            </w:r>
          </w:p>
        </w:tc>
        <w:tc>
          <w:tcPr>
            <w:tcW w:w="1075" w:type="pct"/>
            <w:shd w:val="clear" w:color="auto" w:fill="auto"/>
            <w:vAlign w:val="center"/>
          </w:tcPr>
          <w:p w14:paraId="3F85A0E6">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42</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筑药      </w:t>
            </w:r>
          </w:p>
          <w:p w14:paraId="69690F96">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w:t>
            </w:r>
            <w:r>
              <w:rPr>
                <w:rFonts w:hint="eastAsia" w:ascii="宋体" w:hAnsi="宋体" w:cs="Arial"/>
                <w:b w:val="0"/>
                <w:bCs/>
                <w:color w:val="000000" w:themeColor="text1"/>
                <w:szCs w:val="21"/>
                <w:vertAlign w:val="superscript"/>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kg</w:t>
            </w:r>
            <w:r>
              <w:rPr>
                <w:rFonts w:hint="eastAsia" w:ascii="宋体" w:hAnsi="宋体"/>
                <w:b w:val="0"/>
                <w:bCs/>
                <w:color w:val="000000" w:themeColor="text1"/>
                <w:spacing w:val="-4"/>
                <w:szCs w:val="21"/>
                <w14:textFill>
                  <w14:solidFill>
                    <w14:schemeClr w14:val="tx1"/>
                  </w14:solidFill>
                </w14:textFill>
              </w:rPr>
              <w:t>）</w:t>
            </w:r>
          </w:p>
        </w:tc>
        <w:tc>
          <w:tcPr>
            <w:tcW w:w="409" w:type="pct"/>
            <w:shd w:val="clear" w:color="auto" w:fill="auto"/>
            <w:vAlign w:val="center"/>
          </w:tcPr>
          <w:p w14:paraId="79E26A74">
            <w:pPr>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11.2</w:t>
            </w:r>
          </w:p>
        </w:tc>
        <w:tc>
          <w:tcPr>
            <w:tcW w:w="357" w:type="pct"/>
            <w:shd w:val="clear" w:color="auto" w:fill="auto"/>
            <w:vAlign w:val="center"/>
          </w:tcPr>
          <w:p w14:paraId="43122927">
            <w:pPr>
              <w:widowControl/>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13</w:t>
            </w:r>
          </w:p>
        </w:tc>
        <w:tc>
          <w:tcPr>
            <w:tcW w:w="388" w:type="pct"/>
            <w:vAlign w:val="center"/>
          </w:tcPr>
          <w:p w14:paraId="16A0669F">
            <w:pPr>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双有</w:t>
            </w:r>
          </w:p>
        </w:tc>
        <w:tc>
          <w:tcPr>
            <w:tcW w:w="888" w:type="pct"/>
            <w:vAlign w:val="center"/>
          </w:tcPr>
          <w:p w14:paraId="079435F9">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GB50161-2022中第5</w:t>
            </w:r>
            <w:r>
              <w:rPr>
                <w:rFonts w:ascii="宋体" w:hAnsi="宋体" w:cs="宋体"/>
                <w:b w:val="0"/>
                <w:bCs/>
                <w:color w:val="000000" w:themeColor="text1"/>
                <w:szCs w:val="21"/>
                <w14:textFill>
                  <w14:solidFill>
                    <w14:schemeClr w14:val="tx1"/>
                  </w14:solidFill>
                </w14:textFill>
              </w:rPr>
              <w:t>.2.8</w:t>
            </w:r>
          </w:p>
        </w:tc>
      </w:tr>
      <w:tr w14:paraId="7740EB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71F303E1">
            <w:pPr>
              <w:jc w:val="center"/>
              <w:rPr>
                <w:rFonts w:ascii="宋体" w:hAnsi="宋体" w:cs="Arial"/>
                <w:b w:val="0"/>
                <w:bCs/>
                <w:szCs w:val="21"/>
              </w:rPr>
            </w:pPr>
          </w:p>
        </w:tc>
        <w:tc>
          <w:tcPr>
            <w:tcW w:w="353" w:type="pct"/>
            <w:vMerge w:val="continue"/>
            <w:shd w:val="clear" w:color="auto" w:fill="auto"/>
            <w:vAlign w:val="center"/>
          </w:tcPr>
          <w:p w14:paraId="2518B522">
            <w:pPr>
              <w:jc w:val="center"/>
              <w:rPr>
                <w:rFonts w:ascii="宋体" w:hAnsi="宋体" w:cs="Arial"/>
                <w:b w:val="0"/>
                <w:bCs/>
                <w:szCs w:val="21"/>
              </w:rPr>
            </w:pPr>
          </w:p>
        </w:tc>
        <w:tc>
          <w:tcPr>
            <w:tcW w:w="518" w:type="pct"/>
            <w:vMerge w:val="continue"/>
            <w:shd w:val="clear" w:color="auto" w:fill="auto"/>
            <w:vAlign w:val="center"/>
          </w:tcPr>
          <w:p w14:paraId="543AAD67">
            <w:pPr>
              <w:jc w:val="center"/>
              <w:rPr>
                <w:rFonts w:ascii="宋体" w:hAnsi="宋体" w:cs="Arial"/>
                <w:b w:val="0"/>
                <w:bCs/>
                <w:szCs w:val="21"/>
              </w:rPr>
            </w:pPr>
          </w:p>
        </w:tc>
        <w:tc>
          <w:tcPr>
            <w:tcW w:w="1075" w:type="pct"/>
            <w:shd w:val="clear" w:color="auto" w:fill="auto"/>
            <w:vAlign w:val="center"/>
          </w:tcPr>
          <w:p w14:paraId="7D401557">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44</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筑药      </w:t>
            </w:r>
          </w:p>
          <w:p w14:paraId="189C87FE">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w:t>
            </w:r>
            <w:r>
              <w:rPr>
                <w:rFonts w:hint="eastAsia" w:ascii="宋体" w:hAnsi="宋体" w:cs="Arial"/>
                <w:b w:val="0"/>
                <w:bCs/>
                <w:color w:val="000000" w:themeColor="text1"/>
                <w:szCs w:val="21"/>
                <w:vertAlign w:val="superscript"/>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kg</w:t>
            </w:r>
            <w:r>
              <w:rPr>
                <w:rFonts w:hint="eastAsia" w:ascii="宋体" w:hAnsi="宋体"/>
                <w:b w:val="0"/>
                <w:bCs/>
                <w:color w:val="000000" w:themeColor="text1"/>
                <w:spacing w:val="-4"/>
                <w:szCs w:val="21"/>
                <w14:textFill>
                  <w14:solidFill>
                    <w14:schemeClr w14:val="tx1"/>
                  </w14:solidFill>
                </w14:textFill>
              </w:rPr>
              <w:t>）</w:t>
            </w:r>
          </w:p>
        </w:tc>
        <w:tc>
          <w:tcPr>
            <w:tcW w:w="409" w:type="pct"/>
            <w:shd w:val="clear" w:color="auto" w:fill="auto"/>
            <w:vAlign w:val="center"/>
          </w:tcPr>
          <w:p w14:paraId="1B437818">
            <w:pPr>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14</w:t>
            </w:r>
          </w:p>
        </w:tc>
        <w:tc>
          <w:tcPr>
            <w:tcW w:w="357" w:type="pct"/>
            <w:shd w:val="clear" w:color="auto" w:fill="auto"/>
            <w:vAlign w:val="center"/>
          </w:tcPr>
          <w:p w14:paraId="3F546BE3">
            <w:pPr>
              <w:widowControl/>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15</w:t>
            </w:r>
          </w:p>
        </w:tc>
        <w:tc>
          <w:tcPr>
            <w:tcW w:w="388" w:type="pct"/>
            <w:vAlign w:val="center"/>
          </w:tcPr>
          <w:p w14:paraId="0DD937A7">
            <w:pPr>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双有</w:t>
            </w:r>
          </w:p>
        </w:tc>
        <w:tc>
          <w:tcPr>
            <w:tcW w:w="888" w:type="pct"/>
            <w:vAlign w:val="center"/>
          </w:tcPr>
          <w:p w14:paraId="69513F84">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GB50161-2022中第5</w:t>
            </w:r>
            <w:r>
              <w:rPr>
                <w:rFonts w:ascii="宋体" w:hAnsi="宋体" w:cs="宋体"/>
                <w:b w:val="0"/>
                <w:bCs/>
                <w:color w:val="000000" w:themeColor="text1"/>
                <w:szCs w:val="21"/>
                <w14:textFill>
                  <w14:solidFill>
                    <w14:schemeClr w14:val="tx1"/>
                  </w14:solidFill>
                </w14:textFill>
              </w:rPr>
              <w:t>.2.8</w:t>
            </w:r>
          </w:p>
        </w:tc>
      </w:tr>
      <w:tr w14:paraId="04CD03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restart"/>
            <w:shd w:val="clear" w:color="auto" w:fill="auto"/>
            <w:vAlign w:val="center"/>
          </w:tcPr>
          <w:p w14:paraId="3DE4C6AC">
            <w:pPr>
              <w:jc w:val="center"/>
              <w:rPr>
                <w:rFonts w:ascii="宋体" w:hAnsi="宋体" w:cs="Arial"/>
                <w:b w:val="0"/>
                <w:bCs/>
                <w:szCs w:val="21"/>
              </w:rPr>
            </w:pPr>
            <w:r>
              <w:rPr>
                <w:rFonts w:hint="eastAsia" w:ascii="宋体" w:hAnsi="宋体" w:cs="Arial"/>
                <w:b w:val="0"/>
                <w:bCs/>
                <w:szCs w:val="21"/>
              </w:rPr>
              <w:t>46</w:t>
            </w:r>
            <w:r>
              <w:rPr>
                <w:rFonts w:ascii="宋体" w:hAnsi="宋体" w:cs="Arial"/>
                <w:b w:val="0"/>
                <w:bCs/>
                <w:szCs w:val="21"/>
              </w:rPr>
              <w:t>#</w:t>
            </w:r>
            <w:r>
              <w:rPr>
                <w:rFonts w:hint="eastAsia" w:ascii="宋体" w:hAnsi="宋体" w:cs="Arial"/>
                <w:b w:val="0"/>
                <w:bCs/>
                <w:szCs w:val="21"/>
              </w:rPr>
              <w:t>药物中转</w:t>
            </w:r>
          </w:p>
        </w:tc>
        <w:tc>
          <w:tcPr>
            <w:tcW w:w="353" w:type="pct"/>
            <w:vMerge w:val="restart"/>
            <w:shd w:val="clear" w:color="auto" w:fill="auto"/>
            <w:vAlign w:val="center"/>
          </w:tcPr>
          <w:p w14:paraId="75806D0F">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w:t>
            </w:r>
            <w:r>
              <w:rPr>
                <w:rFonts w:hint="eastAsia" w:ascii="宋体" w:hAnsi="宋体" w:cs="Arial"/>
                <w:b w:val="0"/>
                <w:bCs/>
                <w:szCs w:val="21"/>
                <w:vertAlign w:val="superscript"/>
              </w:rPr>
              <w:t>2</w:t>
            </w:r>
          </w:p>
        </w:tc>
        <w:tc>
          <w:tcPr>
            <w:tcW w:w="518" w:type="pct"/>
            <w:vMerge w:val="restart"/>
            <w:shd w:val="clear" w:color="auto" w:fill="auto"/>
            <w:vAlign w:val="center"/>
          </w:tcPr>
          <w:p w14:paraId="3BCE8954">
            <w:pPr>
              <w:jc w:val="center"/>
              <w:rPr>
                <w:rFonts w:ascii="宋体" w:hAnsi="宋体" w:cs="Arial"/>
                <w:b w:val="0"/>
                <w:bCs/>
                <w:szCs w:val="21"/>
              </w:rPr>
            </w:pPr>
            <w:r>
              <w:rPr>
                <w:rFonts w:hint="eastAsia" w:ascii="宋体" w:hAnsi="宋体" w:cs="Arial"/>
                <w:b w:val="0"/>
                <w:bCs/>
                <w:szCs w:val="21"/>
              </w:rPr>
              <w:t>100</w:t>
            </w:r>
          </w:p>
        </w:tc>
        <w:tc>
          <w:tcPr>
            <w:tcW w:w="1075" w:type="pct"/>
            <w:shd w:val="clear" w:color="auto" w:fill="auto"/>
            <w:vAlign w:val="center"/>
          </w:tcPr>
          <w:p w14:paraId="407C46AC">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44</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筑药      </w:t>
            </w:r>
          </w:p>
          <w:p w14:paraId="0AD96AD1">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w:t>
            </w:r>
            <w:r>
              <w:rPr>
                <w:rFonts w:hint="eastAsia" w:ascii="宋体" w:hAnsi="宋体" w:cs="Arial"/>
                <w:b w:val="0"/>
                <w:bCs/>
                <w:color w:val="000000" w:themeColor="text1"/>
                <w:szCs w:val="21"/>
                <w:vertAlign w:val="superscript"/>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kg</w:t>
            </w:r>
            <w:r>
              <w:rPr>
                <w:rFonts w:hint="eastAsia" w:ascii="宋体" w:hAnsi="宋体"/>
                <w:b w:val="0"/>
                <w:bCs/>
                <w:color w:val="000000" w:themeColor="text1"/>
                <w:spacing w:val="-4"/>
                <w:szCs w:val="21"/>
                <w14:textFill>
                  <w14:solidFill>
                    <w14:schemeClr w14:val="tx1"/>
                  </w14:solidFill>
                </w14:textFill>
              </w:rPr>
              <w:t>）</w:t>
            </w:r>
          </w:p>
        </w:tc>
        <w:tc>
          <w:tcPr>
            <w:tcW w:w="409" w:type="pct"/>
            <w:shd w:val="clear" w:color="auto" w:fill="auto"/>
            <w:vAlign w:val="center"/>
          </w:tcPr>
          <w:p w14:paraId="11172888">
            <w:pPr>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12</w:t>
            </w:r>
          </w:p>
        </w:tc>
        <w:tc>
          <w:tcPr>
            <w:tcW w:w="357" w:type="pct"/>
            <w:shd w:val="clear" w:color="auto" w:fill="auto"/>
            <w:vAlign w:val="center"/>
          </w:tcPr>
          <w:p w14:paraId="745DE4B5">
            <w:pPr>
              <w:widowControl/>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19</w:t>
            </w:r>
          </w:p>
        </w:tc>
        <w:tc>
          <w:tcPr>
            <w:tcW w:w="388" w:type="pct"/>
            <w:vAlign w:val="center"/>
          </w:tcPr>
          <w:p w14:paraId="34667864">
            <w:pPr>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双有</w:t>
            </w:r>
          </w:p>
        </w:tc>
        <w:tc>
          <w:tcPr>
            <w:tcW w:w="888" w:type="pct"/>
            <w:vAlign w:val="center"/>
          </w:tcPr>
          <w:p w14:paraId="38727026">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w:t>
            </w:r>
            <w:r>
              <w:rPr>
                <w:rFonts w:hint="eastAsia" w:ascii="宋体" w:hAnsi="宋体" w:cs="宋体"/>
                <w:b w:val="0"/>
                <w:bCs/>
                <w:color w:val="000000" w:themeColor="text1"/>
                <w:szCs w:val="21"/>
                <w14:textFill>
                  <w14:solidFill>
                    <w14:schemeClr w14:val="tx1"/>
                  </w14:solidFill>
                </w14:textFill>
              </w:rPr>
              <w:t>3</w:t>
            </w:r>
          </w:p>
        </w:tc>
      </w:tr>
      <w:tr w14:paraId="6DA8F7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358185E3">
            <w:pPr>
              <w:jc w:val="center"/>
              <w:rPr>
                <w:rFonts w:ascii="宋体" w:hAnsi="宋体" w:cs="Arial"/>
                <w:b w:val="0"/>
                <w:bCs/>
                <w:szCs w:val="21"/>
              </w:rPr>
            </w:pPr>
          </w:p>
        </w:tc>
        <w:tc>
          <w:tcPr>
            <w:tcW w:w="353" w:type="pct"/>
            <w:vMerge w:val="continue"/>
            <w:shd w:val="clear" w:color="auto" w:fill="auto"/>
            <w:vAlign w:val="center"/>
          </w:tcPr>
          <w:p w14:paraId="6F6F4684">
            <w:pPr>
              <w:jc w:val="center"/>
              <w:rPr>
                <w:rFonts w:ascii="宋体" w:hAnsi="宋体" w:cs="Arial"/>
                <w:b w:val="0"/>
                <w:bCs/>
                <w:szCs w:val="21"/>
              </w:rPr>
            </w:pPr>
          </w:p>
        </w:tc>
        <w:tc>
          <w:tcPr>
            <w:tcW w:w="518" w:type="pct"/>
            <w:vMerge w:val="continue"/>
            <w:shd w:val="clear" w:color="auto" w:fill="auto"/>
            <w:vAlign w:val="center"/>
          </w:tcPr>
          <w:p w14:paraId="6F4FF5C8">
            <w:pPr>
              <w:jc w:val="center"/>
              <w:rPr>
                <w:rFonts w:ascii="宋体" w:hAnsi="宋体" w:cs="Arial"/>
                <w:b w:val="0"/>
                <w:bCs/>
                <w:szCs w:val="21"/>
              </w:rPr>
            </w:pPr>
          </w:p>
        </w:tc>
        <w:tc>
          <w:tcPr>
            <w:tcW w:w="1075" w:type="pct"/>
            <w:shd w:val="clear" w:color="auto" w:fill="auto"/>
            <w:vAlign w:val="center"/>
          </w:tcPr>
          <w:p w14:paraId="6213F888">
            <w:pPr>
              <w:jc w:val="center"/>
              <w:rPr>
                <w:rFonts w:ascii="宋体" w:hAnsi="宋体"/>
                <w:b w:val="0"/>
                <w:bCs/>
                <w:spacing w:val="-4"/>
                <w:szCs w:val="21"/>
              </w:rPr>
            </w:pPr>
            <w:r>
              <w:rPr>
                <w:rFonts w:hint="eastAsia" w:ascii="宋体" w:hAnsi="宋体"/>
                <w:b w:val="0"/>
                <w:bCs/>
                <w:spacing w:val="-4"/>
                <w:szCs w:val="21"/>
              </w:rPr>
              <w:t>47</w:t>
            </w:r>
            <w:r>
              <w:rPr>
                <w:rFonts w:ascii="宋体" w:hAnsi="宋体"/>
                <w:b w:val="0"/>
                <w:bCs/>
                <w:spacing w:val="-4"/>
                <w:szCs w:val="21"/>
              </w:rPr>
              <w:t>#</w:t>
            </w:r>
            <w:r>
              <w:rPr>
                <w:rFonts w:hint="eastAsia" w:ascii="宋体" w:hAnsi="宋体"/>
                <w:b w:val="0"/>
                <w:bCs/>
                <w:spacing w:val="-4"/>
                <w:szCs w:val="21"/>
              </w:rPr>
              <w:t>机械药混合     （</w:t>
            </w: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w:t>
            </w:r>
            <w:r>
              <w:rPr>
                <w:rFonts w:hint="eastAsia" w:ascii="宋体" w:hAnsi="宋体" w:cs="Arial"/>
                <w:b w:val="0"/>
                <w:bCs/>
                <w:szCs w:val="21"/>
                <w:vertAlign w:val="superscript"/>
              </w:rPr>
              <w:t>1</w:t>
            </w:r>
            <w:r>
              <w:rPr>
                <w:rFonts w:hint="eastAsia" w:ascii="宋体" w:hAnsi="宋体"/>
                <w:b w:val="0"/>
                <w:bCs/>
                <w:spacing w:val="-4"/>
                <w:szCs w:val="21"/>
              </w:rPr>
              <w:t>级、10</w:t>
            </w:r>
            <w:r>
              <w:rPr>
                <w:rFonts w:ascii="宋体" w:hAnsi="宋体"/>
                <w:b w:val="0"/>
                <w:bCs/>
                <w:spacing w:val="-4"/>
                <w:szCs w:val="21"/>
              </w:rPr>
              <w:t>kg</w:t>
            </w:r>
            <w:r>
              <w:rPr>
                <w:rFonts w:hint="eastAsia" w:ascii="宋体" w:hAnsi="宋体"/>
                <w:b w:val="0"/>
                <w:bCs/>
                <w:spacing w:val="-4"/>
                <w:szCs w:val="21"/>
              </w:rPr>
              <w:t>）</w:t>
            </w:r>
          </w:p>
        </w:tc>
        <w:tc>
          <w:tcPr>
            <w:tcW w:w="409" w:type="pct"/>
            <w:shd w:val="clear" w:color="auto" w:fill="auto"/>
            <w:vAlign w:val="center"/>
          </w:tcPr>
          <w:p w14:paraId="383522DC">
            <w:pPr>
              <w:jc w:val="center"/>
              <w:rPr>
                <w:rFonts w:ascii="宋体" w:hAnsi="宋体"/>
                <w:b w:val="0"/>
                <w:bCs/>
                <w:spacing w:val="-4"/>
                <w:kern w:val="0"/>
                <w:szCs w:val="21"/>
              </w:rPr>
            </w:pPr>
            <w:r>
              <w:rPr>
                <w:rFonts w:hint="eastAsia" w:ascii="宋体" w:hAnsi="宋体"/>
                <w:b w:val="0"/>
                <w:bCs/>
                <w:spacing w:val="-4"/>
                <w:kern w:val="0"/>
                <w:szCs w:val="21"/>
              </w:rPr>
              <w:t>12</w:t>
            </w:r>
          </w:p>
        </w:tc>
        <w:tc>
          <w:tcPr>
            <w:tcW w:w="357" w:type="pct"/>
            <w:shd w:val="clear" w:color="auto" w:fill="auto"/>
            <w:vAlign w:val="center"/>
          </w:tcPr>
          <w:p w14:paraId="7A2DEE44">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12</w:t>
            </w:r>
          </w:p>
        </w:tc>
        <w:tc>
          <w:tcPr>
            <w:tcW w:w="388" w:type="pct"/>
            <w:vAlign w:val="center"/>
          </w:tcPr>
          <w:p w14:paraId="54CE113C">
            <w:pPr>
              <w:jc w:val="center"/>
              <w:rPr>
                <w:rFonts w:ascii="宋体" w:hAnsi="宋体"/>
                <w:b w:val="0"/>
                <w:bCs/>
                <w:szCs w:val="21"/>
              </w:rPr>
            </w:pPr>
            <w:r>
              <w:rPr>
                <w:rFonts w:hint="eastAsia" w:ascii="宋体" w:hAnsi="宋体"/>
                <w:b w:val="0"/>
                <w:bCs/>
                <w:szCs w:val="21"/>
              </w:rPr>
              <w:t>双有</w:t>
            </w:r>
          </w:p>
        </w:tc>
        <w:tc>
          <w:tcPr>
            <w:tcW w:w="888" w:type="pct"/>
            <w:vAlign w:val="center"/>
          </w:tcPr>
          <w:p w14:paraId="035879AF">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.2.2</w:t>
            </w:r>
          </w:p>
        </w:tc>
      </w:tr>
      <w:tr w14:paraId="3426BD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71" w:hRule="atLeast"/>
          <w:jc w:val="center"/>
        </w:trPr>
        <w:tc>
          <w:tcPr>
            <w:tcW w:w="1008" w:type="pct"/>
            <w:vMerge w:val="restart"/>
            <w:shd w:val="clear" w:color="auto" w:fill="auto"/>
            <w:vAlign w:val="center"/>
          </w:tcPr>
          <w:p w14:paraId="03AF449D">
            <w:pPr>
              <w:jc w:val="center"/>
              <w:rPr>
                <w:rFonts w:ascii="宋体" w:hAnsi="宋体" w:cs="Arial"/>
                <w:b w:val="0"/>
                <w:bCs/>
                <w:szCs w:val="21"/>
              </w:rPr>
            </w:pPr>
            <w:r>
              <w:rPr>
                <w:rFonts w:hint="eastAsia" w:ascii="宋体" w:hAnsi="宋体"/>
                <w:b w:val="0"/>
                <w:bCs/>
                <w:spacing w:val="-4"/>
                <w:szCs w:val="21"/>
              </w:rPr>
              <w:t>49</w:t>
            </w:r>
            <w:r>
              <w:rPr>
                <w:rFonts w:ascii="宋体" w:hAnsi="宋体"/>
                <w:b w:val="0"/>
                <w:bCs/>
                <w:spacing w:val="-4"/>
                <w:szCs w:val="21"/>
              </w:rPr>
              <w:t>#</w:t>
            </w:r>
            <w:r>
              <w:rPr>
                <w:rFonts w:hint="eastAsia" w:ascii="宋体" w:hAnsi="宋体"/>
                <w:b w:val="0"/>
                <w:bCs/>
                <w:spacing w:val="-4"/>
                <w:szCs w:val="21"/>
              </w:rPr>
              <w:t>称料</w:t>
            </w:r>
          </w:p>
        </w:tc>
        <w:tc>
          <w:tcPr>
            <w:tcW w:w="353" w:type="pct"/>
            <w:vMerge w:val="restart"/>
            <w:shd w:val="clear" w:color="auto" w:fill="auto"/>
            <w:vAlign w:val="center"/>
          </w:tcPr>
          <w:p w14:paraId="18B68A4C">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-1</w:t>
            </w:r>
          </w:p>
        </w:tc>
        <w:tc>
          <w:tcPr>
            <w:tcW w:w="518" w:type="pct"/>
            <w:vMerge w:val="restart"/>
            <w:shd w:val="clear" w:color="auto" w:fill="auto"/>
            <w:vAlign w:val="center"/>
          </w:tcPr>
          <w:p w14:paraId="5E809875">
            <w:pPr>
              <w:jc w:val="center"/>
              <w:rPr>
                <w:rFonts w:ascii="宋体" w:hAnsi="宋体" w:cs="Arial"/>
                <w:b w:val="0"/>
                <w:bCs/>
                <w:szCs w:val="21"/>
              </w:rPr>
            </w:pPr>
            <w:r>
              <w:rPr>
                <w:rFonts w:hint="eastAsia" w:ascii="宋体" w:hAnsi="宋体" w:cs="Arial"/>
                <w:b w:val="0"/>
                <w:bCs/>
                <w:szCs w:val="21"/>
              </w:rPr>
              <w:t>30/200</w:t>
            </w:r>
          </w:p>
        </w:tc>
        <w:tc>
          <w:tcPr>
            <w:tcW w:w="1075" w:type="pct"/>
            <w:shd w:val="clear" w:color="auto" w:fill="auto"/>
            <w:vAlign w:val="center"/>
          </w:tcPr>
          <w:p w14:paraId="1F157347">
            <w:pPr>
              <w:jc w:val="center"/>
              <w:rPr>
                <w:rFonts w:ascii="宋体" w:hAnsi="宋体"/>
                <w:b w:val="0"/>
                <w:bCs/>
                <w:spacing w:val="-4"/>
                <w:szCs w:val="21"/>
              </w:rPr>
            </w:pPr>
            <w:r>
              <w:rPr>
                <w:rFonts w:hint="eastAsia" w:ascii="宋体" w:hAnsi="宋体"/>
                <w:b w:val="0"/>
                <w:bCs/>
                <w:spacing w:val="-4"/>
                <w:szCs w:val="21"/>
              </w:rPr>
              <w:t>47</w:t>
            </w:r>
            <w:r>
              <w:rPr>
                <w:rFonts w:ascii="宋体" w:hAnsi="宋体"/>
                <w:b w:val="0"/>
                <w:bCs/>
                <w:spacing w:val="-4"/>
                <w:szCs w:val="21"/>
              </w:rPr>
              <w:t>#</w:t>
            </w:r>
            <w:r>
              <w:rPr>
                <w:rFonts w:hint="eastAsia" w:ascii="宋体" w:hAnsi="宋体"/>
                <w:b w:val="0"/>
                <w:bCs/>
                <w:spacing w:val="-4"/>
                <w:szCs w:val="21"/>
              </w:rPr>
              <w:t>机械药混合</w:t>
            </w:r>
          </w:p>
          <w:p w14:paraId="67696300">
            <w:pPr>
              <w:jc w:val="center"/>
              <w:rPr>
                <w:rFonts w:ascii="宋体" w:hAnsi="宋体"/>
                <w:b w:val="0"/>
                <w:bCs/>
                <w:spacing w:val="-4"/>
                <w:szCs w:val="21"/>
              </w:rPr>
            </w:pPr>
            <w:r>
              <w:rPr>
                <w:rFonts w:hint="eastAsia" w:ascii="宋体" w:hAnsi="宋体"/>
                <w:b w:val="0"/>
                <w:bCs/>
                <w:spacing w:val="-4"/>
                <w:szCs w:val="21"/>
              </w:rPr>
              <w:t>（</w:t>
            </w:r>
            <w:r>
              <w:rPr>
                <w:rFonts w:hint="eastAsia" w:ascii="宋体" w:hAnsi="宋体"/>
                <w:b w:val="0"/>
                <w:bCs/>
                <w:spacing w:val="-11"/>
                <w:szCs w:val="21"/>
              </w:rPr>
              <w:t>1</w:t>
            </w:r>
            <w:r>
              <w:rPr>
                <w:rFonts w:ascii="宋体" w:hAnsi="宋体"/>
                <w:b w:val="0"/>
                <w:bCs/>
                <w:spacing w:val="-11"/>
                <w:szCs w:val="21"/>
              </w:rPr>
              <w:t>.1</w:t>
            </w:r>
            <w:r>
              <w:rPr>
                <w:rFonts w:ascii="宋体" w:hAnsi="宋体"/>
                <w:b w:val="0"/>
                <w:bCs/>
                <w:spacing w:val="-11"/>
                <w:szCs w:val="21"/>
                <w:vertAlign w:val="superscript"/>
              </w:rPr>
              <w:t>-1</w:t>
            </w:r>
            <w:r>
              <w:rPr>
                <w:rFonts w:hint="eastAsia" w:ascii="宋体" w:hAnsi="宋体"/>
                <w:b w:val="0"/>
                <w:bCs/>
                <w:spacing w:val="-11"/>
                <w:szCs w:val="21"/>
              </w:rPr>
              <w:t>级10</w:t>
            </w:r>
            <w:r>
              <w:rPr>
                <w:rFonts w:ascii="宋体" w:hAnsi="宋体"/>
                <w:b w:val="0"/>
                <w:bCs/>
                <w:spacing w:val="-11"/>
                <w:szCs w:val="21"/>
              </w:rPr>
              <w:t>kg</w:t>
            </w:r>
            <w:r>
              <w:rPr>
                <w:rFonts w:hint="eastAsia" w:ascii="宋体" w:hAnsi="宋体"/>
                <w:b w:val="0"/>
                <w:bCs/>
                <w:spacing w:val="-11"/>
                <w:szCs w:val="21"/>
              </w:rPr>
              <w:t>）</w:t>
            </w:r>
          </w:p>
        </w:tc>
        <w:tc>
          <w:tcPr>
            <w:tcW w:w="409" w:type="pct"/>
            <w:shd w:val="clear" w:color="auto" w:fill="auto"/>
            <w:vAlign w:val="center"/>
          </w:tcPr>
          <w:p w14:paraId="103123C0">
            <w:pPr>
              <w:jc w:val="center"/>
              <w:rPr>
                <w:rFonts w:ascii="宋体" w:hAnsi="宋体"/>
                <w:b w:val="0"/>
                <w:bCs/>
                <w:spacing w:val="-4"/>
                <w:kern w:val="0"/>
                <w:szCs w:val="21"/>
              </w:rPr>
            </w:pPr>
            <w:r>
              <w:rPr>
                <w:rFonts w:hint="eastAsia" w:ascii="宋体" w:hAnsi="宋体"/>
                <w:b w:val="0"/>
                <w:bCs/>
                <w:spacing w:val="-4"/>
                <w:kern w:val="0"/>
                <w:szCs w:val="21"/>
              </w:rPr>
              <w:t>14</w:t>
            </w:r>
          </w:p>
        </w:tc>
        <w:tc>
          <w:tcPr>
            <w:tcW w:w="357" w:type="pct"/>
            <w:shd w:val="clear" w:color="auto" w:fill="auto"/>
            <w:vAlign w:val="center"/>
          </w:tcPr>
          <w:p w14:paraId="6350F782">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16</w:t>
            </w:r>
          </w:p>
        </w:tc>
        <w:tc>
          <w:tcPr>
            <w:tcW w:w="388" w:type="pct"/>
            <w:vAlign w:val="center"/>
          </w:tcPr>
          <w:p w14:paraId="22A04DA3">
            <w:pPr>
              <w:jc w:val="center"/>
              <w:rPr>
                <w:rFonts w:ascii="宋体" w:hAnsi="宋体"/>
                <w:b w:val="0"/>
                <w:bCs/>
                <w:szCs w:val="21"/>
              </w:rPr>
            </w:pPr>
            <w:r>
              <w:rPr>
                <w:rFonts w:hint="eastAsia" w:ascii="宋体" w:hAnsi="宋体"/>
                <w:b w:val="0"/>
                <w:bCs/>
                <w:szCs w:val="21"/>
              </w:rPr>
              <w:t>双有</w:t>
            </w:r>
          </w:p>
        </w:tc>
        <w:tc>
          <w:tcPr>
            <w:tcW w:w="888" w:type="pct"/>
            <w:vAlign w:val="center"/>
          </w:tcPr>
          <w:p w14:paraId="2ECBBA25">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w:t>
            </w:r>
            <w:r>
              <w:rPr>
                <w:rFonts w:hint="eastAsia" w:ascii="宋体" w:hAnsi="宋体" w:cs="宋体"/>
                <w:b w:val="0"/>
                <w:bCs/>
                <w:szCs w:val="21"/>
              </w:rPr>
              <w:t>8</w:t>
            </w:r>
          </w:p>
        </w:tc>
      </w:tr>
      <w:tr w14:paraId="232528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71" w:hRule="atLeast"/>
          <w:jc w:val="center"/>
        </w:trPr>
        <w:tc>
          <w:tcPr>
            <w:tcW w:w="1008" w:type="pct"/>
            <w:vMerge w:val="continue"/>
            <w:shd w:val="clear" w:color="auto" w:fill="auto"/>
            <w:vAlign w:val="center"/>
          </w:tcPr>
          <w:p w14:paraId="73A797AB">
            <w:pPr>
              <w:jc w:val="center"/>
              <w:rPr>
                <w:rFonts w:ascii="宋体" w:hAnsi="宋体"/>
                <w:b w:val="0"/>
                <w:bCs/>
                <w:spacing w:val="-4"/>
                <w:szCs w:val="21"/>
              </w:rPr>
            </w:pPr>
          </w:p>
        </w:tc>
        <w:tc>
          <w:tcPr>
            <w:tcW w:w="353" w:type="pct"/>
            <w:vMerge w:val="continue"/>
            <w:shd w:val="clear" w:color="auto" w:fill="auto"/>
            <w:vAlign w:val="center"/>
          </w:tcPr>
          <w:p w14:paraId="0B7B08B8">
            <w:pPr>
              <w:jc w:val="center"/>
              <w:rPr>
                <w:rFonts w:ascii="宋体" w:hAnsi="宋体" w:cs="Arial"/>
                <w:b w:val="0"/>
                <w:bCs/>
                <w:szCs w:val="21"/>
              </w:rPr>
            </w:pPr>
          </w:p>
        </w:tc>
        <w:tc>
          <w:tcPr>
            <w:tcW w:w="518" w:type="pct"/>
            <w:vMerge w:val="continue"/>
            <w:shd w:val="clear" w:color="auto" w:fill="auto"/>
            <w:vAlign w:val="center"/>
          </w:tcPr>
          <w:p w14:paraId="409A6A5C">
            <w:pPr>
              <w:jc w:val="center"/>
              <w:rPr>
                <w:rFonts w:ascii="宋体" w:hAnsi="宋体" w:cs="Arial"/>
                <w:b w:val="0"/>
                <w:bCs/>
                <w:szCs w:val="21"/>
              </w:rPr>
            </w:pPr>
          </w:p>
        </w:tc>
        <w:tc>
          <w:tcPr>
            <w:tcW w:w="1075" w:type="pct"/>
            <w:shd w:val="clear" w:color="auto" w:fill="auto"/>
            <w:vAlign w:val="center"/>
          </w:tcPr>
          <w:p w14:paraId="1EED3116">
            <w:pPr>
              <w:jc w:val="center"/>
              <w:rPr>
                <w:rFonts w:ascii="宋体" w:hAnsi="宋体"/>
                <w:b w:val="0"/>
                <w:bCs/>
                <w:spacing w:val="-4"/>
                <w:szCs w:val="21"/>
              </w:rPr>
            </w:pPr>
            <w:r>
              <w:rPr>
                <w:rFonts w:hint="eastAsia" w:ascii="宋体" w:hAnsi="宋体"/>
                <w:b w:val="0"/>
                <w:bCs/>
                <w:spacing w:val="-4"/>
                <w:szCs w:val="21"/>
              </w:rPr>
              <w:t>50</w:t>
            </w:r>
            <w:r>
              <w:rPr>
                <w:rFonts w:ascii="宋体" w:hAnsi="宋体"/>
                <w:b w:val="0"/>
                <w:bCs/>
                <w:spacing w:val="-4"/>
                <w:szCs w:val="21"/>
              </w:rPr>
              <w:t>#</w:t>
            </w:r>
            <w:r>
              <w:rPr>
                <w:rFonts w:hint="eastAsia" w:ascii="宋体" w:hAnsi="宋体"/>
                <w:b w:val="0"/>
                <w:bCs/>
                <w:spacing w:val="-11"/>
                <w:szCs w:val="21"/>
              </w:rPr>
              <w:t>化工原材料中转</w:t>
            </w:r>
          </w:p>
          <w:p w14:paraId="41900A70">
            <w:pPr>
              <w:jc w:val="center"/>
              <w:rPr>
                <w:rFonts w:ascii="宋体" w:hAnsi="宋体"/>
                <w:b w:val="0"/>
                <w:bCs/>
                <w:spacing w:val="-4"/>
                <w:szCs w:val="21"/>
              </w:rPr>
            </w:pPr>
            <w:r>
              <w:rPr>
                <w:rFonts w:hint="eastAsia" w:ascii="宋体" w:hAnsi="宋体"/>
                <w:b w:val="0"/>
                <w:bCs/>
                <w:spacing w:val="-4"/>
                <w:szCs w:val="21"/>
              </w:rPr>
              <w:t>（甲类、</w:t>
            </w:r>
            <w:r>
              <w:rPr>
                <w:rFonts w:ascii="宋体" w:hAnsi="宋体"/>
                <w:b w:val="0"/>
                <w:bCs/>
                <w:spacing w:val="-4"/>
                <w:szCs w:val="21"/>
              </w:rPr>
              <w:t>2</w:t>
            </w:r>
            <w:r>
              <w:rPr>
                <w:rFonts w:hint="eastAsia" w:ascii="宋体" w:hAnsi="宋体"/>
                <w:b w:val="0"/>
                <w:bCs/>
                <w:spacing w:val="-4"/>
                <w:szCs w:val="21"/>
              </w:rPr>
              <w:t>0</w:t>
            </w:r>
            <w:r>
              <w:rPr>
                <w:rFonts w:ascii="宋体" w:hAnsi="宋体"/>
                <w:b w:val="0"/>
                <w:bCs/>
                <w:spacing w:val="-4"/>
                <w:szCs w:val="21"/>
              </w:rPr>
              <w:t>00kg</w:t>
            </w:r>
            <w:r>
              <w:rPr>
                <w:rFonts w:hint="eastAsia" w:ascii="宋体" w:hAnsi="宋体"/>
                <w:b w:val="0"/>
                <w:bCs/>
                <w:spacing w:val="-4"/>
                <w:szCs w:val="21"/>
              </w:rPr>
              <w:t>）</w:t>
            </w:r>
          </w:p>
        </w:tc>
        <w:tc>
          <w:tcPr>
            <w:tcW w:w="409" w:type="pct"/>
            <w:shd w:val="clear" w:color="auto" w:fill="auto"/>
            <w:vAlign w:val="center"/>
          </w:tcPr>
          <w:p w14:paraId="5BA3FE63">
            <w:pPr>
              <w:jc w:val="center"/>
              <w:rPr>
                <w:rFonts w:ascii="宋体" w:hAnsi="宋体"/>
                <w:b w:val="0"/>
                <w:bCs/>
                <w:spacing w:val="-4"/>
                <w:kern w:val="0"/>
                <w:szCs w:val="21"/>
              </w:rPr>
            </w:pPr>
            <w:r>
              <w:rPr>
                <w:rFonts w:hint="eastAsia" w:ascii="宋体" w:hAnsi="宋体"/>
                <w:b w:val="0"/>
                <w:bCs/>
                <w:spacing w:val="-4"/>
                <w:kern w:val="0"/>
                <w:szCs w:val="21"/>
              </w:rPr>
              <w:t>16</w:t>
            </w:r>
          </w:p>
        </w:tc>
        <w:tc>
          <w:tcPr>
            <w:tcW w:w="357" w:type="pct"/>
            <w:shd w:val="clear" w:color="auto" w:fill="auto"/>
            <w:vAlign w:val="center"/>
          </w:tcPr>
          <w:p w14:paraId="76B38E75">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16</w:t>
            </w:r>
          </w:p>
        </w:tc>
        <w:tc>
          <w:tcPr>
            <w:tcW w:w="388" w:type="pct"/>
            <w:vAlign w:val="center"/>
          </w:tcPr>
          <w:p w14:paraId="7239A7BC">
            <w:pPr>
              <w:jc w:val="center"/>
              <w:rPr>
                <w:rFonts w:ascii="宋体" w:hAnsi="宋体"/>
                <w:b w:val="0"/>
                <w:bCs/>
                <w:szCs w:val="21"/>
              </w:rPr>
            </w:pPr>
            <w:r>
              <w:rPr>
                <w:rFonts w:hint="eastAsia" w:ascii="宋体" w:hAnsi="宋体"/>
                <w:b w:val="0"/>
                <w:bCs/>
                <w:szCs w:val="21"/>
              </w:rPr>
              <w:t>双有</w:t>
            </w:r>
          </w:p>
        </w:tc>
        <w:tc>
          <w:tcPr>
            <w:tcW w:w="888" w:type="pct"/>
            <w:vAlign w:val="center"/>
          </w:tcPr>
          <w:p w14:paraId="44531465">
            <w:pPr>
              <w:jc w:val="center"/>
              <w:rPr>
                <w:rFonts w:ascii="宋体" w:hAnsi="宋体" w:cs="宋体"/>
                <w:b w:val="0"/>
                <w:bCs/>
                <w:szCs w:val="21"/>
              </w:rPr>
            </w:pPr>
            <w:r>
              <w:rPr>
                <w:rFonts w:hint="eastAsia" w:ascii="宋体" w:hAnsi="宋体" w:cs="宋体"/>
                <w:b w:val="0"/>
                <w:bCs/>
                <w:szCs w:val="21"/>
              </w:rPr>
              <w:t>GB50161-2022中第5</w:t>
            </w:r>
            <w:r>
              <w:rPr>
                <w:rFonts w:ascii="宋体" w:hAnsi="宋体" w:cs="宋体"/>
                <w:b w:val="0"/>
                <w:bCs/>
                <w:szCs w:val="21"/>
              </w:rPr>
              <w:t>.2.</w:t>
            </w:r>
            <w:r>
              <w:rPr>
                <w:rFonts w:hint="eastAsia" w:ascii="宋体" w:hAnsi="宋体" w:cs="宋体"/>
                <w:b w:val="0"/>
                <w:bCs/>
                <w:szCs w:val="21"/>
              </w:rPr>
              <w:t>8</w:t>
            </w:r>
          </w:p>
        </w:tc>
      </w:tr>
      <w:tr w14:paraId="40A99F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98" w:hRule="atLeast"/>
          <w:jc w:val="center"/>
        </w:trPr>
        <w:tc>
          <w:tcPr>
            <w:tcW w:w="1008" w:type="pct"/>
            <w:vMerge w:val="restart"/>
            <w:shd w:val="clear" w:color="auto" w:fill="auto"/>
            <w:vAlign w:val="center"/>
          </w:tcPr>
          <w:p w14:paraId="0B115250">
            <w:pPr>
              <w:jc w:val="center"/>
              <w:rPr>
                <w:rFonts w:ascii="宋体" w:hAnsi="宋体" w:cs="Arial"/>
                <w:b w:val="0"/>
                <w:bCs/>
                <w:szCs w:val="21"/>
              </w:rPr>
            </w:pPr>
            <w:r>
              <w:rPr>
                <w:rFonts w:hint="eastAsia" w:ascii="宋体" w:hAnsi="宋体" w:cs="Arial"/>
                <w:b w:val="0"/>
                <w:bCs/>
                <w:szCs w:val="21"/>
              </w:rPr>
              <w:t>51</w:t>
            </w:r>
            <w:r>
              <w:rPr>
                <w:rFonts w:ascii="宋体" w:hAnsi="宋体" w:cs="Arial"/>
                <w:b w:val="0"/>
                <w:bCs/>
                <w:szCs w:val="21"/>
              </w:rPr>
              <w:t>#</w:t>
            </w:r>
            <w:r>
              <w:rPr>
                <w:rFonts w:hint="eastAsia" w:ascii="宋体" w:hAnsi="宋体" w:cs="Arial"/>
                <w:b w:val="0"/>
                <w:bCs/>
                <w:szCs w:val="21"/>
              </w:rPr>
              <w:t>亮珠中转</w:t>
            </w:r>
          </w:p>
        </w:tc>
        <w:tc>
          <w:tcPr>
            <w:tcW w:w="353" w:type="pct"/>
            <w:vMerge w:val="restart"/>
            <w:shd w:val="clear" w:color="auto" w:fill="auto"/>
            <w:vAlign w:val="center"/>
          </w:tcPr>
          <w:p w14:paraId="4F87BB84">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-1</w:t>
            </w:r>
          </w:p>
        </w:tc>
        <w:tc>
          <w:tcPr>
            <w:tcW w:w="518" w:type="pct"/>
            <w:vMerge w:val="restart"/>
            <w:shd w:val="clear" w:color="auto" w:fill="auto"/>
            <w:vAlign w:val="center"/>
          </w:tcPr>
          <w:p w14:paraId="2F91283C">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00</w:t>
            </w:r>
          </w:p>
        </w:tc>
        <w:tc>
          <w:tcPr>
            <w:tcW w:w="1075" w:type="pct"/>
            <w:shd w:val="clear" w:color="auto" w:fill="auto"/>
            <w:vAlign w:val="center"/>
          </w:tcPr>
          <w:p w14:paraId="698FDCE6">
            <w:pPr>
              <w:jc w:val="center"/>
              <w:rPr>
                <w:rFonts w:ascii="宋体" w:hAnsi="宋体"/>
                <w:b w:val="0"/>
                <w:bCs/>
                <w:spacing w:val="-4"/>
                <w:szCs w:val="21"/>
              </w:rPr>
            </w:pPr>
            <w:r>
              <w:rPr>
                <w:rFonts w:hint="eastAsia" w:ascii="宋体" w:hAnsi="宋体"/>
                <w:b w:val="0"/>
                <w:bCs/>
                <w:spacing w:val="-4"/>
                <w:szCs w:val="21"/>
              </w:rPr>
              <w:t>50</w:t>
            </w:r>
            <w:r>
              <w:rPr>
                <w:rFonts w:ascii="宋体" w:hAnsi="宋体"/>
                <w:b w:val="0"/>
                <w:bCs/>
                <w:spacing w:val="-4"/>
                <w:szCs w:val="21"/>
              </w:rPr>
              <w:t>#</w:t>
            </w:r>
            <w:r>
              <w:rPr>
                <w:rFonts w:hint="eastAsia" w:ascii="宋体" w:hAnsi="宋体"/>
                <w:b w:val="0"/>
                <w:bCs/>
                <w:spacing w:val="-11"/>
                <w:szCs w:val="21"/>
              </w:rPr>
              <w:t>化工原材料中转</w:t>
            </w:r>
          </w:p>
          <w:p w14:paraId="6BD92819">
            <w:pPr>
              <w:jc w:val="center"/>
              <w:rPr>
                <w:rFonts w:ascii="宋体" w:hAnsi="宋体"/>
                <w:b w:val="0"/>
                <w:bCs/>
                <w:spacing w:val="-4"/>
                <w:szCs w:val="21"/>
              </w:rPr>
            </w:pPr>
            <w:r>
              <w:rPr>
                <w:rFonts w:hint="eastAsia" w:ascii="宋体" w:hAnsi="宋体"/>
                <w:b w:val="0"/>
                <w:bCs/>
                <w:spacing w:val="-4"/>
                <w:szCs w:val="21"/>
              </w:rPr>
              <w:t>（甲类、</w:t>
            </w:r>
            <w:r>
              <w:rPr>
                <w:rFonts w:ascii="宋体" w:hAnsi="宋体"/>
                <w:b w:val="0"/>
                <w:bCs/>
                <w:spacing w:val="-4"/>
                <w:szCs w:val="21"/>
              </w:rPr>
              <w:t>2</w:t>
            </w:r>
            <w:r>
              <w:rPr>
                <w:rFonts w:hint="eastAsia" w:ascii="宋体" w:hAnsi="宋体"/>
                <w:b w:val="0"/>
                <w:bCs/>
                <w:spacing w:val="-4"/>
                <w:szCs w:val="21"/>
              </w:rPr>
              <w:t>0</w:t>
            </w:r>
            <w:r>
              <w:rPr>
                <w:rFonts w:ascii="宋体" w:hAnsi="宋体"/>
                <w:b w:val="0"/>
                <w:bCs/>
                <w:spacing w:val="-4"/>
                <w:szCs w:val="21"/>
              </w:rPr>
              <w:t>00kg</w:t>
            </w:r>
            <w:r>
              <w:rPr>
                <w:rFonts w:hint="eastAsia" w:ascii="宋体" w:hAnsi="宋体"/>
                <w:b w:val="0"/>
                <w:bCs/>
                <w:spacing w:val="-4"/>
                <w:szCs w:val="21"/>
              </w:rPr>
              <w:t>）</w:t>
            </w:r>
          </w:p>
        </w:tc>
        <w:tc>
          <w:tcPr>
            <w:tcW w:w="409" w:type="pct"/>
            <w:shd w:val="clear" w:color="auto" w:fill="auto"/>
            <w:vAlign w:val="center"/>
          </w:tcPr>
          <w:p w14:paraId="4713158E">
            <w:pPr>
              <w:jc w:val="center"/>
              <w:rPr>
                <w:rFonts w:ascii="宋体" w:hAnsi="宋体"/>
                <w:b w:val="0"/>
                <w:bCs/>
                <w:spacing w:val="-4"/>
                <w:kern w:val="0"/>
                <w:szCs w:val="21"/>
              </w:rPr>
            </w:pPr>
            <w:r>
              <w:rPr>
                <w:rFonts w:hint="eastAsia" w:ascii="宋体" w:hAnsi="宋体"/>
                <w:b w:val="0"/>
                <w:bCs/>
                <w:spacing w:val="-4"/>
                <w:kern w:val="0"/>
                <w:szCs w:val="21"/>
              </w:rPr>
              <w:t>12</w:t>
            </w:r>
          </w:p>
        </w:tc>
        <w:tc>
          <w:tcPr>
            <w:tcW w:w="357" w:type="pct"/>
            <w:shd w:val="clear" w:color="auto" w:fill="auto"/>
            <w:vAlign w:val="center"/>
          </w:tcPr>
          <w:p w14:paraId="3F2DD61F">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19</w:t>
            </w:r>
          </w:p>
        </w:tc>
        <w:tc>
          <w:tcPr>
            <w:tcW w:w="388" w:type="pct"/>
            <w:vAlign w:val="center"/>
          </w:tcPr>
          <w:p w14:paraId="4846A824">
            <w:pPr>
              <w:jc w:val="center"/>
              <w:rPr>
                <w:rFonts w:ascii="宋体" w:hAnsi="宋体"/>
                <w:b w:val="0"/>
                <w:bCs/>
                <w:szCs w:val="21"/>
              </w:rPr>
            </w:pPr>
            <w:r>
              <w:rPr>
                <w:rFonts w:hint="eastAsia" w:ascii="宋体" w:hAnsi="宋体"/>
                <w:b w:val="0"/>
                <w:bCs/>
                <w:szCs w:val="21"/>
              </w:rPr>
              <w:t>双有</w:t>
            </w:r>
          </w:p>
        </w:tc>
        <w:tc>
          <w:tcPr>
            <w:tcW w:w="888" w:type="pct"/>
          </w:tcPr>
          <w:p w14:paraId="43B7B574">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w:t>
            </w:r>
            <w:r>
              <w:rPr>
                <w:rFonts w:hint="eastAsia" w:ascii="宋体" w:hAnsi="宋体" w:cs="宋体"/>
                <w:b w:val="0"/>
                <w:bCs/>
                <w:szCs w:val="21"/>
              </w:rPr>
              <w:t>2</w:t>
            </w:r>
          </w:p>
        </w:tc>
      </w:tr>
      <w:tr w14:paraId="239F68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54" w:hRule="atLeast"/>
          <w:jc w:val="center"/>
        </w:trPr>
        <w:tc>
          <w:tcPr>
            <w:tcW w:w="1008" w:type="pct"/>
            <w:vMerge w:val="continue"/>
            <w:shd w:val="clear" w:color="auto" w:fill="auto"/>
            <w:vAlign w:val="center"/>
          </w:tcPr>
          <w:p w14:paraId="6C03995F">
            <w:pPr>
              <w:jc w:val="center"/>
              <w:rPr>
                <w:rFonts w:ascii="宋体" w:hAnsi="宋体" w:cs="Arial"/>
                <w:b w:val="0"/>
                <w:bCs/>
                <w:szCs w:val="21"/>
              </w:rPr>
            </w:pPr>
          </w:p>
        </w:tc>
        <w:tc>
          <w:tcPr>
            <w:tcW w:w="353" w:type="pct"/>
            <w:vMerge w:val="continue"/>
            <w:shd w:val="clear" w:color="auto" w:fill="auto"/>
            <w:vAlign w:val="center"/>
          </w:tcPr>
          <w:p w14:paraId="1C892F04">
            <w:pPr>
              <w:jc w:val="center"/>
              <w:rPr>
                <w:rFonts w:ascii="宋体" w:hAnsi="宋体" w:cs="Arial"/>
                <w:b w:val="0"/>
                <w:bCs/>
                <w:szCs w:val="21"/>
              </w:rPr>
            </w:pPr>
          </w:p>
        </w:tc>
        <w:tc>
          <w:tcPr>
            <w:tcW w:w="518" w:type="pct"/>
            <w:vMerge w:val="continue"/>
            <w:shd w:val="clear" w:color="auto" w:fill="auto"/>
            <w:vAlign w:val="center"/>
          </w:tcPr>
          <w:p w14:paraId="1DE49EA2">
            <w:pPr>
              <w:jc w:val="center"/>
              <w:rPr>
                <w:rFonts w:ascii="宋体" w:hAnsi="宋体" w:cs="Arial"/>
                <w:b w:val="0"/>
                <w:bCs/>
                <w:szCs w:val="21"/>
              </w:rPr>
            </w:pPr>
          </w:p>
        </w:tc>
        <w:tc>
          <w:tcPr>
            <w:tcW w:w="1075" w:type="pct"/>
            <w:shd w:val="clear" w:color="auto" w:fill="auto"/>
            <w:vAlign w:val="center"/>
          </w:tcPr>
          <w:p w14:paraId="4E2BB0AD">
            <w:pPr>
              <w:jc w:val="center"/>
              <w:rPr>
                <w:rFonts w:ascii="宋体" w:hAnsi="宋体"/>
                <w:b w:val="0"/>
                <w:bCs/>
                <w:spacing w:val="-4"/>
                <w:szCs w:val="21"/>
              </w:rPr>
            </w:pPr>
            <w:r>
              <w:rPr>
                <w:rFonts w:hint="eastAsia" w:ascii="宋体" w:hAnsi="宋体"/>
                <w:b w:val="0"/>
                <w:bCs/>
                <w:spacing w:val="-4"/>
                <w:szCs w:val="21"/>
              </w:rPr>
              <w:t>52</w:t>
            </w:r>
            <w:r>
              <w:rPr>
                <w:rFonts w:ascii="宋体" w:hAnsi="宋体"/>
                <w:b w:val="0"/>
                <w:bCs/>
                <w:spacing w:val="-4"/>
                <w:szCs w:val="21"/>
              </w:rPr>
              <w:t>#</w:t>
            </w:r>
            <w:r>
              <w:rPr>
                <w:rFonts w:hint="eastAsia" w:ascii="宋体" w:hAnsi="宋体"/>
                <w:b w:val="0"/>
                <w:bCs/>
                <w:spacing w:val="-11"/>
                <w:szCs w:val="21"/>
              </w:rPr>
              <w:t>黑火药中转</w:t>
            </w:r>
          </w:p>
          <w:p w14:paraId="428EF642">
            <w:pPr>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w:t>
            </w:r>
            <w:r>
              <w:rPr>
                <w:rFonts w:hint="eastAsia" w:ascii="宋体" w:hAnsi="宋体"/>
                <w:b w:val="0"/>
                <w:bCs/>
                <w:spacing w:val="-4"/>
                <w:szCs w:val="21"/>
                <w:vertAlign w:val="superscript"/>
              </w:rPr>
              <w:t>2</w:t>
            </w:r>
            <w:r>
              <w:rPr>
                <w:rFonts w:hint="eastAsia" w:ascii="宋体" w:hAnsi="宋体"/>
                <w:b w:val="0"/>
                <w:bCs/>
                <w:spacing w:val="-4"/>
                <w:szCs w:val="21"/>
              </w:rPr>
              <w:t>级、1</w:t>
            </w:r>
            <w:r>
              <w:rPr>
                <w:rFonts w:ascii="宋体" w:hAnsi="宋体"/>
                <w:b w:val="0"/>
                <w:bCs/>
                <w:spacing w:val="-4"/>
                <w:szCs w:val="21"/>
              </w:rPr>
              <w:t>00kg</w:t>
            </w:r>
            <w:r>
              <w:rPr>
                <w:rFonts w:hint="eastAsia" w:ascii="宋体" w:hAnsi="宋体"/>
                <w:b w:val="0"/>
                <w:bCs/>
                <w:spacing w:val="-4"/>
                <w:szCs w:val="21"/>
              </w:rPr>
              <w:t>）</w:t>
            </w:r>
          </w:p>
        </w:tc>
        <w:tc>
          <w:tcPr>
            <w:tcW w:w="409" w:type="pct"/>
            <w:shd w:val="clear" w:color="auto" w:fill="auto"/>
            <w:vAlign w:val="center"/>
          </w:tcPr>
          <w:p w14:paraId="09CD2904">
            <w:pPr>
              <w:jc w:val="center"/>
              <w:rPr>
                <w:rFonts w:ascii="宋体" w:hAnsi="宋体"/>
                <w:b w:val="0"/>
                <w:bCs/>
                <w:spacing w:val="-4"/>
                <w:kern w:val="0"/>
                <w:szCs w:val="21"/>
              </w:rPr>
            </w:pPr>
            <w:r>
              <w:rPr>
                <w:rFonts w:hint="eastAsia" w:ascii="宋体" w:hAnsi="宋体"/>
                <w:b w:val="0"/>
                <w:bCs/>
                <w:spacing w:val="-4"/>
                <w:kern w:val="0"/>
                <w:szCs w:val="21"/>
              </w:rPr>
              <w:t>12</w:t>
            </w:r>
          </w:p>
        </w:tc>
        <w:tc>
          <w:tcPr>
            <w:tcW w:w="357" w:type="pct"/>
            <w:shd w:val="clear" w:color="auto" w:fill="auto"/>
            <w:vAlign w:val="center"/>
          </w:tcPr>
          <w:p w14:paraId="240A4557">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12</w:t>
            </w:r>
          </w:p>
        </w:tc>
        <w:tc>
          <w:tcPr>
            <w:tcW w:w="388" w:type="pct"/>
            <w:vAlign w:val="center"/>
          </w:tcPr>
          <w:p w14:paraId="3A96D70B">
            <w:pPr>
              <w:jc w:val="center"/>
              <w:rPr>
                <w:rFonts w:ascii="宋体" w:hAnsi="宋体"/>
                <w:b w:val="0"/>
                <w:bCs/>
                <w:szCs w:val="21"/>
              </w:rPr>
            </w:pPr>
            <w:r>
              <w:rPr>
                <w:rFonts w:hint="eastAsia" w:ascii="宋体" w:hAnsi="宋体"/>
                <w:b w:val="0"/>
                <w:bCs/>
                <w:szCs w:val="21"/>
              </w:rPr>
              <w:t>双有</w:t>
            </w:r>
          </w:p>
        </w:tc>
        <w:tc>
          <w:tcPr>
            <w:tcW w:w="888" w:type="pct"/>
          </w:tcPr>
          <w:p w14:paraId="2AFA56DD">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w:t>
            </w:r>
            <w:r>
              <w:rPr>
                <w:rFonts w:hint="eastAsia" w:ascii="宋体" w:hAnsi="宋体" w:cs="宋体"/>
                <w:b w:val="0"/>
                <w:bCs/>
                <w:szCs w:val="21"/>
              </w:rPr>
              <w:t>2</w:t>
            </w:r>
          </w:p>
        </w:tc>
      </w:tr>
      <w:tr w14:paraId="312915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54" w:hRule="atLeast"/>
          <w:jc w:val="center"/>
        </w:trPr>
        <w:tc>
          <w:tcPr>
            <w:tcW w:w="1008" w:type="pct"/>
            <w:shd w:val="clear" w:color="auto" w:fill="auto"/>
            <w:vAlign w:val="center"/>
          </w:tcPr>
          <w:p w14:paraId="6C69182A">
            <w:pPr>
              <w:jc w:val="center"/>
              <w:rPr>
                <w:rFonts w:ascii="宋体" w:hAnsi="宋体" w:cs="Arial"/>
                <w:b w:val="0"/>
                <w:bCs/>
                <w:szCs w:val="21"/>
              </w:rPr>
            </w:pPr>
            <w:r>
              <w:rPr>
                <w:rFonts w:hint="eastAsia" w:ascii="宋体" w:hAnsi="宋体" w:cs="Arial"/>
                <w:b w:val="0"/>
                <w:bCs/>
                <w:szCs w:val="21"/>
              </w:rPr>
              <w:t>52</w:t>
            </w:r>
            <w:r>
              <w:rPr>
                <w:rFonts w:ascii="宋体" w:hAnsi="宋体" w:cs="Arial"/>
                <w:b w:val="0"/>
                <w:bCs/>
                <w:szCs w:val="21"/>
              </w:rPr>
              <w:t>#</w:t>
            </w:r>
            <w:r>
              <w:rPr>
                <w:rFonts w:hint="eastAsia" w:ascii="宋体" w:hAnsi="宋体" w:cs="Arial"/>
                <w:b w:val="0"/>
                <w:bCs/>
                <w:szCs w:val="21"/>
              </w:rPr>
              <w:t>黑火药中转</w:t>
            </w:r>
          </w:p>
        </w:tc>
        <w:tc>
          <w:tcPr>
            <w:tcW w:w="353" w:type="pct"/>
            <w:shd w:val="clear" w:color="auto" w:fill="auto"/>
            <w:vAlign w:val="center"/>
          </w:tcPr>
          <w:p w14:paraId="1A1F90B1">
            <w:pPr>
              <w:jc w:val="center"/>
              <w:rPr>
                <w:rFonts w:ascii="宋体" w:hAnsi="宋体" w:cs="Arial"/>
                <w:b w:val="0"/>
                <w:bCs/>
                <w:szCs w:val="21"/>
              </w:rPr>
            </w:pPr>
            <w:r>
              <w:rPr>
                <w:rFonts w:hint="eastAsia" w:ascii="宋体" w:hAnsi="宋体"/>
                <w:b w:val="0"/>
                <w:bCs/>
                <w:szCs w:val="21"/>
              </w:rPr>
              <w:t>1</w:t>
            </w:r>
            <w:r>
              <w:rPr>
                <w:rFonts w:ascii="宋体" w:hAnsi="宋体"/>
                <w:b w:val="0"/>
                <w:bCs/>
                <w:szCs w:val="21"/>
              </w:rPr>
              <w:t>.1</w:t>
            </w:r>
            <w:r>
              <w:rPr>
                <w:rFonts w:ascii="宋体" w:hAnsi="宋体"/>
                <w:b w:val="0"/>
                <w:bCs/>
                <w:szCs w:val="21"/>
                <w:vertAlign w:val="superscript"/>
              </w:rPr>
              <w:t>-</w:t>
            </w:r>
            <w:r>
              <w:rPr>
                <w:rFonts w:hint="eastAsia" w:ascii="宋体" w:hAnsi="宋体"/>
                <w:b w:val="0"/>
                <w:bCs/>
                <w:szCs w:val="21"/>
                <w:vertAlign w:val="superscript"/>
              </w:rPr>
              <w:t>2</w:t>
            </w:r>
          </w:p>
        </w:tc>
        <w:tc>
          <w:tcPr>
            <w:tcW w:w="518" w:type="pct"/>
            <w:shd w:val="clear" w:color="auto" w:fill="auto"/>
            <w:vAlign w:val="center"/>
          </w:tcPr>
          <w:p w14:paraId="4A28E9CF">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00</w:t>
            </w:r>
          </w:p>
        </w:tc>
        <w:tc>
          <w:tcPr>
            <w:tcW w:w="1075" w:type="pct"/>
            <w:shd w:val="clear" w:color="auto" w:fill="auto"/>
            <w:vAlign w:val="center"/>
          </w:tcPr>
          <w:p w14:paraId="31F980D1">
            <w:pPr>
              <w:jc w:val="center"/>
              <w:rPr>
                <w:rFonts w:ascii="宋体" w:hAnsi="宋体"/>
                <w:b w:val="0"/>
                <w:bCs/>
                <w:spacing w:val="-4"/>
                <w:szCs w:val="21"/>
              </w:rPr>
            </w:pPr>
            <w:r>
              <w:rPr>
                <w:rFonts w:hint="eastAsia" w:ascii="宋体" w:hAnsi="宋体"/>
                <w:b w:val="0"/>
                <w:bCs/>
                <w:spacing w:val="-4"/>
                <w:szCs w:val="21"/>
              </w:rPr>
              <w:t>53</w:t>
            </w:r>
            <w:r>
              <w:rPr>
                <w:rFonts w:ascii="宋体" w:hAnsi="宋体"/>
                <w:b w:val="0"/>
                <w:bCs/>
                <w:spacing w:val="-4"/>
                <w:szCs w:val="21"/>
              </w:rPr>
              <w:t>#</w:t>
            </w:r>
            <w:r>
              <w:rPr>
                <w:rFonts w:hint="eastAsia" w:ascii="宋体" w:hAnsi="宋体"/>
                <w:b w:val="0"/>
                <w:bCs/>
                <w:spacing w:val="-4"/>
                <w:szCs w:val="21"/>
              </w:rPr>
              <w:t>单基火药中转（1</w:t>
            </w:r>
            <w:r>
              <w:rPr>
                <w:rFonts w:ascii="宋体" w:hAnsi="宋体"/>
                <w:b w:val="0"/>
                <w:bCs/>
                <w:spacing w:val="-4"/>
                <w:szCs w:val="21"/>
              </w:rPr>
              <w:t>.1</w:t>
            </w:r>
            <w:r>
              <w:rPr>
                <w:rFonts w:ascii="宋体" w:hAnsi="宋体"/>
                <w:b w:val="0"/>
                <w:bCs/>
                <w:spacing w:val="-4"/>
                <w:szCs w:val="21"/>
                <w:vertAlign w:val="superscript"/>
              </w:rPr>
              <w:t>-</w:t>
            </w:r>
            <w:r>
              <w:rPr>
                <w:rFonts w:hint="eastAsia" w:ascii="宋体" w:hAnsi="宋体"/>
                <w:b w:val="0"/>
                <w:bCs/>
                <w:spacing w:val="-4"/>
                <w:szCs w:val="21"/>
                <w:vertAlign w:val="superscript"/>
              </w:rPr>
              <w:t>2</w:t>
            </w:r>
            <w:r>
              <w:rPr>
                <w:rFonts w:hint="eastAsia" w:ascii="宋体" w:hAnsi="宋体"/>
                <w:b w:val="0"/>
                <w:bCs/>
                <w:spacing w:val="-4"/>
                <w:szCs w:val="21"/>
              </w:rPr>
              <w:t>级、100</w:t>
            </w:r>
            <w:r>
              <w:rPr>
                <w:rFonts w:ascii="宋体" w:hAnsi="宋体"/>
                <w:b w:val="0"/>
                <w:bCs/>
                <w:spacing w:val="-4"/>
                <w:szCs w:val="21"/>
              </w:rPr>
              <w:t>kg</w:t>
            </w:r>
            <w:r>
              <w:rPr>
                <w:rFonts w:hint="eastAsia" w:ascii="宋体" w:hAnsi="宋体"/>
                <w:b w:val="0"/>
                <w:bCs/>
                <w:spacing w:val="-4"/>
                <w:szCs w:val="21"/>
              </w:rPr>
              <w:t>）</w:t>
            </w:r>
          </w:p>
        </w:tc>
        <w:tc>
          <w:tcPr>
            <w:tcW w:w="409" w:type="pct"/>
            <w:shd w:val="clear" w:color="auto" w:fill="auto"/>
            <w:vAlign w:val="center"/>
          </w:tcPr>
          <w:p w14:paraId="5B1B4F2A">
            <w:pPr>
              <w:jc w:val="center"/>
              <w:rPr>
                <w:rFonts w:ascii="宋体" w:hAnsi="宋体"/>
                <w:b w:val="0"/>
                <w:bCs/>
                <w:spacing w:val="-4"/>
                <w:kern w:val="0"/>
                <w:szCs w:val="21"/>
              </w:rPr>
            </w:pPr>
            <w:r>
              <w:rPr>
                <w:rFonts w:ascii="宋体" w:hAnsi="宋体"/>
                <w:b w:val="0"/>
                <w:bCs/>
                <w:spacing w:val="-4"/>
                <w:kern w:val="0"/>
                <w:szCs w:val="21"/>
              </w:rPr>
              <w:t>12</w:t>
            </w:r>
          </w:p>
        </w:tc>
        <w:tc>
          <w:tcPr>
            <w:tcW w:w="357" w:type="pct"/>
            <w:shd w:val="clear" w:color="auto" w:fill="auto"/>
            <w:vAlign w:val="center"/>
          </w:tcPr>
          <w:p w14:paraId="12352830">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34</w:t>
            </w:r>
          </w:p>
        </w:tc>
        <w:tc>
          <w:tcPr>
            <w:tcW w:w="388" w:type="pct"/>
            <w:vAlign w:val="center"/>
          </w:tcPr>
          <w:p w14:paraId="3954DB0E">
            <w:pPr>
              <w:jc w:val="center"/>
              <w:rPr>
                <w:rFonts w:ascii="宋体" w:hAnsi="宋体"/>
                <w:b w:val="0"/>
                <w:bCs/>
                <w:szCs w:val="21"/>
              </w:rPr>
            </w:pPr>
            <w:r>
              <w:rPr>
                <w:rFonts w:hint="eastAsia" w:ascii="宋体" w:hAnsi="宋体"/>
                <w:b w:val="0"/>
                <w:bCs/>
                <w:szCs w:val="21"/>
              </w:rPr>
              <w:t>双有</w:t>
            </w:r>
          </w:p>
        </w:tc>
        <w:tc>
          <w:tcPr>
            <w:tcW w:w="888" w:type="pct"/>
            <w:vAlign w:val="center"/>
          </w:tcPr>
          <w:p w14:paraId="06DCCADC">
            <w:pPr>
              <w:jc w:val="center"/>
              <w:rPr>
                <w:rFonts w:ascii="宋体" w:hAnsi="宋体" w:cs="宋体"/>
                <w:b w:val="0"/>
                <w:bCs/>
                <w:szCs w:val="21"/>
              </w:rPr>
            </w:pPr>
            <w:r>
              <w:rPr>
                <w:rFonts w:hint="eastAsia" w:ascii="宋体" w:hAnsi="宋体" w:cs="宋体"/>
                <w:b w:val="0"/>
                <w:bCs/>
                <w:szCs w:val="21"/>
              </w:rPr>
              <w:t>GB50161-2022中第5</w:t>
            </w:r>
            <w:r>
              <w:rPr>
                <w:rFonts w:ascii="宋体" w:hAnsi="宋体" w:cs="宋体"/>
                <w:b w:val="0"/>
                <w:bCs/>
                <w:szCs w:val="21"/>
              </w:rPr>
              <w:t>.2.</w:t>
            </w:r>
            <w:r>
              <w:rPr>
                <w:rFonts w:hint="eastAsia" w:ascii="宋体" w:hAnsi="宋体" w:cs="宋体"/>
                <w:b w:val="0"/>
                <w:bCs/>
                <w:szCs w:val="21"/>
              </w:rPr>
              <w:t>3</w:t>
            </w:r>
          </w:p>
        </w:tc>
      </w:tr>
      <w:tr w14:paraId="09AB9D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restart"/>
            <w:shd w:val="clear" w:color="auto" w:fill="auto"/>
            <w:vAlign w:val="center"/>
          </w:tcPr>
          <w:p w14:paraId="306A8316">
            <w:pPr>
              <w:jc w:val="center"/>
              <w:rPr>
                <w:rFonts w:ascii="宋体" w:hAnsi="宋体" w:cs="Arial"/>
                <w:b w:val="0"/>
                <w:bCs/>
                <w:szCs w:val="21"/>
              </w:rPr>
            </w:pPr>
            <w:r>
              <w:rPr>
                <w:rFonts w:hint="eastAsia" w:ascii="宋体" w:hAnsi="宋体" w:cs="Arial"/>
                <w:b w:val="0"/>
                <w:bCs/>
                <w:szCs w:val="21"/>
              </w:rPr>
              <w:t>55</w:t>
            </w:r>
            <w:r>
              <w:rPr>
                <w:rFonts w:ascii="宋体" w:hAnsi="宋体" w:cs="Arial"/>
                <w:b w:val="0"/>
                <w:bCs/>
                <w:szCs w:val="21"/>
              </w:rPr>
              <w:t>#</w:t>
            </w:r>
            <w:r>
              <w:rPr>
                <w:rFonts w:hint="eastAsia" w:ascii="宋体" w:hAnsi="宋体" w:cs="Arial"/>
                <w:b w:val="0"/>
                <w:bCs/>
                <w:szCs w:val="21"/>
              </w:rPr>
              <w:t>亮珠库</w:t>
            </w:r>
          </w:p>
        </w:tc>
        <w:tc>
          <w:tcPr>
            <w:tcW w:w="353" w:type="pct"/>
            <w:vMerge w:val="restart"/>
            <w:shd w:val="clear" w:color="auto" w:fill="auto"/>
            <w:vAlign w:val="center"/>
          </w:tcPr>
          <w:p w14:paraId="317C1153">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-1</w:t>
            </w:r>
          </w:p>
        </w:tc>
        <w:tc>
          <w:tcPr>
            <w:tcW w:w="518" w:type="pct"/>
            <w:vMerge w:val="restart"/>
            <w:shd w:val="clear" w:color="auto" w:fill="auto"/>
            <w:vAlign w:val="center"/>
          </w:tcPr>
          <w:p w14:paraId="1D08ED94">
            <w:pPr>
              <w:jc w:val="center"/>
              <w:rPr>
                <w:rFonts w:ascii="宋体" w:hAnsi="宋体" w:cs="Arial"/>
                <w:b w:val="0"/>
                <w:bCs/>
                <w:szCs w:val="21"/>
              </w:rPr>
            </w:pPr>
            <w:r>
              <w:rPr>
                <w:rFonts w:hint="eastAsia" w:ascii="宋体" w:hAnsi="宋体" w:cs="Arial"/>
                <w:b w:val="0"/>
                <w:bCs/>
                <w:szCs w:val="21"/>
              </w:rPr>
              <w:t>500</w:t>
            </w:r>
          </w:p>
        </w:tc>
        <w:tc>
          <w:tcPr>
            <w:tcW w:w="1075" w:type="pct"/>
            <w:shd w:val="clear" w:color="auto" w:fill="auto"/>
            <w:vAlign w:val="center"/>
          </w:tcPr>
          <w:p w14:paraId="3D0E5899">
            <w:pPr>
              <w:jc w:val="center"/>
              <w:rPr>
                <w:rFonts w:ascii="宋体" w:hAnsi="宋体"/>
                <w:b w:val="0"/>
                <w:bCs/>
                <w:spacing w:val="-4"/>
                <w:szCs w:val="21"/>
              </w:rPr>
            </w:pPr>
            <w:r>
              <w:rPr>
                <w:rFonts w:hint="eastAsia" w:ascii="宋体" w:hAnsi="宋体"/>
                <w:b w:val="0"/>
                <w:bCs/>
                <w:spacing w:val="-4"/>
                <w:szCs w:val="21"/>
              </w:rPr>
              <w:t>54</w:t>
            </w:r>
            <w:r>
              <w:rPr>
                <w:rFonts w:ascii="宋体" w:hAnsi="宋体"/>
                <w:b w:val="0"/>
                <w:bCs/>
                <w:spacing w:val="-4"/>
                <w:szCs w:val="21"/>
              </w:rPr>
              <w:t>#</w:t>
            </w:r>
            <w:r>
              <w:rPr>
                <w:rFonts w:hint="eastAsia" w:ascii="宋体" w:hAnsi="宋体"/>
                <w:b w:val="0"/>
                <w:bCs/>
                <w:spacing w:val="-4"/>
                <w:szCs w:val="21"/>
              </w:rPr>
              <w:t xml:space="preserve">亮珠库    </w:t>
            </w:r>
          </w:p>
          <w:p w14:paraId="32347280">
            <w:pPr>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w:t>
            </w:r>
            <w:r>
              <w:rPr>
                <w:rFonts w:hint="eastAsia" w:ascii="宋体" w:hAnsi="宋体"/>
                <w:b w:val="0"/>
                <w:bCs/>
                <w:spacing w:val="-4"/>
                <w:szCs w:val="21"/>
                <w:vertAlign w:val="superscript"/>
              </w:rPr>
              <w:t>1</w:t>
            </w:r>
            <w:r>
              <w:rPr>
                <w:rFonts w:hint="eastAsia" w:ascii="宋体" w:hAnsi="宋体"/>
                <w:b w:val="0"/>
                <w:bCs/>
                <w:spacing w:val="-4"/>
                <w:szCs w:val="21"/>
              </w:rPr>
              <w:t>级、10</w:t>
            </w:r>
            <w:r>
              <w:rPr>
                <w:rFonts w:ascii="宋体" w:hAnsi="宋体"/>
                <w:b w:val="0"/>
                <w:bCs/>
                <w:spacing w:val="-4"/>
                <w:szCs w:val="21"/>
              </w:rPr>
              <w:t>00kg</w:t>
            </w:r>
            <w:r>
              <w:rPr>
                <w:rFonts w:hint="eastAsia" w:ascii="宋体" w:hAnsi="宋体"/>
                <w:b w:val="0"/>
                <w:bCs/>
                <w:spacing w:val="-4"/>
                <w:szCs w:val="21"/>
              </w:rPr>
              <w:t>）</w:t>
            </w:r>
          </w:p>
        </w:tc>
        <w:tc>
          <w:tcPr>
            <w:tcW w:w="409" w:type="pct"/>
            <w:shd w:val="clear" w:color="auto" w:fill="auto"/>
            <w:vAlign w:val="center"/>
          </w:tcPr>
          <w:p w14:paraId="1899CB8E">
            <w:pPr>
              <w:jc w:val="center"/>
              <w:rPr>
                <w:rFonts w:ascii="宋体" w:hAnsi="宋体"/>
                <w:b w:val="0"/>
                <w:bCs/>
                <w:spacing w:val="-4"/>
                <w:kern w:val="0"/>
                <w:szCs w:val="21"/>
              </w:rPr>
            </w:pPr>
            <w:r>
              <w:rPr>
                <w:rFonts w:hint="eastAsia" w:ascii="宋体" w:hAnsi="宋体"/>
                <w:b w:val="0"/>
                <w:bCs/>
                <w:spacing w:val="-4"/>
                <w:kern w:val="0"/>
                <w:szCs w:val="21"/>
              </w:rPr>
              <w:t>20</w:t>
            </w:r>
          </w:p>
        </w:tc>
        <w:tc>
          <w:tcPr>
            <w:tcW w:w="357" w:type="pct"/>
            <w:shd w:val="clear" w:color="auto" w:fill="auto"/>
            <w:vAlign w:val="center"/>
          </w:tcPr>
          <w:p w14:paraId="0041C1DF">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20</w:t>
            </w:r>
          </w:p>
        </w:tc>
        <w:tc>
          <w:tcPr>
            <w:tcW w:w="388" w:type="pct"/>
            <w:vAlign w:val="center"/>
          </w:tcPr>
          <w:p w14:paraId="2C8B67D3">
            <w:pPr>
              <w:jc w:val="center"/>
              <w:rPr>
                <w:rFonts w:ascii="宋体" w:hAnsi="宋体"/>
                <w:b w:val="0"/>
                <w:bCs/>
                <w:szCs w:val="21"/>
              </w:rPr>
            </w:pPr>
            <w:r>
              <w:rPr>
                <w:rFonts w:hint="eastAsia" w:ascii="宋体" w:hAnsi="宋体"/>
                <w:b w:val="0"/>
                <w:bCs/>
                <w:szCs w:val="21"/>
              </w:rPr>
              <w:t>双有</w:t>
            </w:r>
          </w:p>
        </w:tc>
        <w:tc>
          <w:tcPr>
            <w:tcW w:w="888" w:type="pct"/>
          </w:tcPr>
          <w:p w14:paraId="306EE7DC">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2</w:t>
            </w:r>
          </w:p>
        </w:tc>
      </w:tr>
      <w:tr w14:paraId="1BC4D9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6B7CE88A">
            <w:pPr>
              <w:jc w:val="center"/>
              <w:rPr>
                <w:rFonts w:ascii="宋体" w:hAnsi="宋体" w:cs="Arial"/>
                <w:b w:val="0"/>
                <w:bCs/>
                <w:szCs w:val="21"/>
              </w:rPr>
            </w:pPr>
          </w:p>
        </w:tc>
        <w:tc>
          <w:tcPr>
            <w:tcW w:w="353" w:type="pct"/>
            <w:vMerge w:val="continue"/>
            <w:shd w:val="clear" w:color="auto" w:fill="auto"/>
            <w:vAlign w:val="center"/>
          </w:tcPr>
          <w:p w14:paraId="32030567">
            <w:pPr>
              <w:jc w:val="center"/>
              <w:rPr>
                <w:rFonts w:ascii="宋体" w:hAnsi="宋体" w:cs="Arial"/>
                <w:b w:val="0"/>
                <w:bCs/>
                <w:szCs w:val="21"/>
              </w:rPr>
            </w:pPr>
          </w:p>
        </w:tc>
        <w:tc>
          <w:tcPr>
            <w:tcW w:w="518" w:type="pct"/>
            <w:vMerge w:val="continue"/>
            <w:shd w:val="clear" w:color="auto" w:fill="auto"/>
            <w:vAlign w:val="center"/>
          </w:tcPr>
          <w:p w14:paraId="08B9A6E2">
            <w:pPr>
              <w:jc w:val="center"/>
              <w:rPr>
                <w:rFonts w:ascii="宋体" w:hAnsi="宋体" w:cs="Arial"/>
                <w:b w:val="0"/>
                <w:bCs/>
                <w:szCs w:val="21"/>
              </w:rPr>
            </w:pPr>
          </w:p>
        </w:tc>
        <w:tc>
          <w:tcPr>
            <w:tcW w:w="1075" w:type="pct"/>
            <w:shd w:val="clear" w:color="auto" w:fill="auto"/>
            <w:vAlign w:val="center"/>
          </w:tcPr>
          <w:p w14:paraId="17104859">
            <w:pPr>
              <w:jc w:val="center"/>
              <w:rPr>
                <w:rFonts w:ascii="宋体" w:hAnsi="宋体"/>
                <w:b w:val="0"/>
                <w:bCs/>
                <w:spacing w:val="-4"/>
                <w:szCs w:val="21"/>
              </w:rPr>
            </w:pPr>
            <w:r>
              <w:rPr>
                <w:rFonts w:hint="eastAsia" w:ascii="宋体" w:hAnsi="宋体"/>
                <w:b w:val="0"/>
                <w:bCs/>
                <w:spacing w:val="-4"/>
                <w:szCs w:val="21"/>
              </w:rPr>
              <w:t>56</w:t>
            </w:r>
            <w:r>
              <w:rPr>
                <w:rFonts w:ascii="宋体" w:hAnsi="宋体"/>
                <w:b w:val="0"/>
                <w:bCs/>
                <w:spacing w:val="-4"/>
                <w:szCs w:val="21"/>
              </w:rPr>
              <w:t>#</w:t>
            </w:r>
            <w:r>
              <w:rPr>
                <w:rFonts w:hint="eastAsia" w:ascii="宋体" w:hAnsi="宋体"/>
                <w:b w:val="0"/>
                <w:bCs/>
                <w:spacing w:val="-4"/>
                <w:szCs w:val="21"/>
              </w:rPr>
              <w:t xml:space="preserve">亮珠库    </w:t>
            </w:r>
          </w:p>
          <w:p w14:paraId="0D5A694B">
            <w:pPr>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w:t>
            </w:r>
            <w:r>
              <w:rPr>
                <w:rFonts w:hint="eastAsia" w:ascii="宋体" w:hAnsi="宋体"/>
                <w:b w:val="0"/>
                <w:bCs/>
                <w:spacing w:val="-4"/>
                <w:szCs w:val="21"/>
                <w:vertAlign w:val="superscript"/>
              </w:rPr>
              <w:t>1</w:t>
            </w:r>
            <w:r>
              <w:rPr>
                <w:rFonts w:hint="eastAsia" w:ascii="宋体" w:hAnsi="宋体"/>
                <w:b w:val="0"/>
                <w:bCs/>
                <w:spacing w:val="-4"/>
                <w:szCs w:val="21"/>
              </w:rPr>
              <w:t>级、10</w:t>
            </w:r>
            <w:r>
              <w:rPr>
                <w:rFonts w:ascii="宋体" w:hAnsi="宋体"/>
                <w:b w:val="0"/>
                <w:bCs/>
                <w:spacing w:val="-4"/>
                <w:szCs w:val="21"/>
              </w:rPr>
              <w:t>00kg</w:t>
            </w:r>
            <w:r>
              <w:rPr>
                <w:rFonts w:hint="eastAsia" w:ascii="宋体" w:hAnsi="宋体"/>
                <w:b w:val="0"/>
                <w:bCs/>
                <w:spacing w:val="-4"/>
                <w:szCs w:val="21"/>
              </w:rPr>
              <w:t>）</w:t>
            </w:r>
          </w:p>
        </w:tc>
        <w:tc>
          <w:tcPr>
            <w:tcW w:w="409" w:type="pct"/>
            <w:shd w:val="clear" w:color="auto" w:fill="auto"/>
            <w:vAlign w:val="center"/>
          </w:tcPr>
          <w:p w14:paraId="32107982">
            <w:pPr>
              <w:jc w:val="center"/>
              <w:rPr>
                <w:rFonts w:ascii="宋体" w:hAnsi="宋体"/>
                <w:b w:val="0"/>
                <w:bCs/>
                <w:spacing w:val="-4"/>
                <w:kern w:val="0"/>
                <w:szCs w:val="21"/>
              </w:rPr>
            </w:pPr>
            <w:r>
              <w:rPr>
                <w:rFonts w:hint="eastAsia" w:ascii="宋体" w:hAnsi="宋体"/>
                <w:b w:val="0"/>
                <w:bCs/>
                <w:spacing w:val="-4"/>
                <w:kern w:val="0"/>
                <w:szCs w:val="21"/>
              </w:rPr>
              <w:t>2</w:t>
            </w:r>
            <w:r>
              <w:rPr>
                <w:rFonts w:ascii="宋体" w:hAnsi="宋体"/>
                <w:b w:val="0"/>
                <w:bCs/>
                <w:spacing w:val="-4"/>
                <w:kern w:val="0"/>
                <w:szCs w:val="21"/>
              </w:rPr>
              <w:t>0</w:t>
            </w:r>
          </w:p>
        </w:tc>
        <w:tc>
          <w:tcPr>
            <w:tcW w:w="357" w:type="pct"/>
            <w:shd w:val="clear" w:color="auto" w:fill="auto"/>
            <w:vAlign w:val="center"/>
          </w:tcPr>
          <w:p w14:paraId="3A305882">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20</w:t>
            </w:r>
          </w:p>
        </w:tc>
        <w:tc>
          <w:tcPr>
            <w:tcW w:w="388" w:type="pct"/>
            <w:vAlign w:val="center"/>
          </w:tcPr>
          <w:p w14:paraId="2E6DCAFC">
            <w:pPr>
              <w:jc w:val="center"/>
              <w:rPr>
                <w:rFonts w:ascii="宋体" w:hAnsi="宋体"/>
                <w:b w:val="0"/>
                <w:bCs/>
                <w:szCs w:val="21"/>
              </w:rPr>
            </w:pPr>
            <w:r>
              <w:rPr>
                <w:rFonts w:hint="eastAsia" w:ascii="宋体" w:hAnsi="宋体"/>
                <w:b w:val="0"/>
                <w:bCs/>
                <w:szCs w:val="21"/>
              </w:rPr>
              <w:t>双有</w:t>
            </w:r>
          </w:p>
        </w:tc>
        <w:tc>
          <w:tcPr>
            <w:tcW w:w="888" w:type="pct"/>
          </w:tcPr>
          <w:p w14:paraId="5479371D">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2</w:t>
            </w:r>
          </w:p>
        </w:tc>
      </w:tr>
      <w:tr w14:paraId="5460E2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restart"/>
            <w:shd w:val="clear" w:color="auto" w:fill="auto"/>
            <w:vAlign w:val="center"/>
          </w:tcPr>
          <w:p w14:paraId="4325892D">
            <w:pPr>
              <w:jc w:val="center"/>
              <w:rPr>
                <w:rFonts w:ascii="宋体" w:hAnsi="宋体" w:cs="Arial"/>
                <w:b w:val="0"/>
                <w:bCs/>
                <w:szCs w:val="21"/>
              </w:rPr>
            </w:pPr>
            <w:r>
              <w:rPr>
                <w:rFonts w:hint="eastAsia" w:ascii="宋体" w:hAnsi="宋体" w:cs="Arial"/>
                <w:b w:val="0"/>
                <w:bCs/>
                <w:szCs w:val="21"/>
              </w:rPr>
              <w:t>57</w:t>
            </w:r>
            <w:r>
              <w:rPr>
                <w:rFonts w:ascii="宋体" w:hAnsi="宋体" w:cs="Arial"/>
                <w:b w:val="0"/>
                <w:bCs/>
                <w:szCs w:val="21"/>
              </w:rPr>
              <w:t>#</w:t>
            </w:r>
            <w:r>
              <w:rPr>
                <w:rFonts w:hint="eastAsia" w:ascii="宋体" w:hAnsi="宋体" w:cs="Arial"/>
                <w:b w:val="0"/>
                <w:bCs/>
                <w:szCs w:val="21"/>
              </w:rPr>
              <w:t>亮珠库</w:t>
            </w:r>
          </w:p>
        </w:tc>
        <w:tc>
          <w:tcPr>
            <w:tcW w:w="353" w:type="pct"/>
            <w:vMerge w:val="restart"/>
            <w:shd w:val="clear" w:color="auto" w:fill="auto"/>
            <w:vAlign w:val="center"/>
          </w:tcPr>
          <w:p w14:paraId="49432448">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-1</w:t>
            </w:r>
          </w:p>
        </w:tc>
        <w:tc>
          <w:tcPr>
            <w:tcW w:w="518" w:type="pct"/>
            <w:vMerge w:val="restart"/>
            <w:shd w:val="clear" w:color="auto" w:fill="auto"/>
            <w:vAlign w:val="center"/>
          </w:tcPr>
          <w:p w14:paraId="3C4FC8E8">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00</w:t>
            </w:r>
            <w:r>
              <w:rPr>
                <w:rFonts w:hint="eastAsia" w:ascii="宋体" w:hAnsi="宋体" w:cs="Arial"/>
                <w:b w:val="0"/>
                <w:bCs/>
                <w:szCs w:val="21"/>
              </w:rPr>
              <w:t>0</w:t>
            </w:r>
          </w:p>
        </w:tc>
        <w:tc>
          <w:tcPr>
            <w:tcW w:w="1075" w:type="pct"/>
            <w:shd w:val="clear" w:color="auto" w:fill="auto"/>
            <w:vAlign w:val="center"/>
          </w:tcPr>
          <w:p w14:paraId="147EDEB7">
            <w:pPr>
              <w:jc w:val="center"/>
              <w:rPr>
                <w:rFonts w:ascii="宋体" w:hAnsi="宋体"/>
                <w:b w:val="0"/>
                <w:bCs/>
                <w:spacing w:val="-4"/>
                <w:szCs w:val="21"/>
              </w:rPr>
            </w:pPr>
            <w:r>
              <w:rPr>
                <w:rFonts w:hint="eastAsia" w:ascii="宋体" w:hAnsi="宋体"/>
                <w:b w:val="0"/>
                <w:bCs/>
                <w:spacing w:val="-4"/>
                <w:szCs w:val="21"/>
              </w:rPr>
              <w:t>56</w:t>
            </w:r>
            <w:r>
              <w:rPr>
                <w:rFonts w:ascii="宋体" w:hAnsi="宋体"/>
                <w:b w:val="0"/>
                <w:bCs/>
                <w:spacing w:val="-4"/>
                <w:szCs w:val="21"/>
              </w:rPr>
              <w:t>#</w:t>
            </w:r>
            <w:r>
              <w:rPr>
                <w:rFonts w:hint="eastAsia" w:ascii="宋体" w:hAnsi="宋体"/>
                <w:b w:val="0"/>
                <w:bCs/>
                <w:spacing w:val="-4"/>
                <w:szCs w:val="21"/>
              </w:rPr>
              <w:t xml:space="preserve">亮珠库    </w:t>
            </w:r>
          </w:p>
          <w:p w14:paraId="415649FB">
            <w:pPr>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w:t>
            </w:r>
            <w:r>
              <w:rPr>
                <w:rFonts w:hint="eastAsia" w:ascii="宋体" w:hAnsi="宋体"/>
                <w:b w:val="0"/>
                <w:bCs/>
                <w:spacing w:val="-4"/>
                <w:szCs w:val="21"/>
                <w:vertAlign w:val="superscript"/>
              </w:rPr>
              <w:t>1</w:t>
            </w:r>
            <w:r>
              <w:rPr>
                <w:rFonts w:hint="eastAsia" w:ascii="宋体" w:hAnsi="宋体"/>
                <w:b w:val="0"/>
                <w:bCs/>
                <w:spacing w:val="-4"/>
                <w:szCs w:val="21"/>
              </w:rPr>
              <w:t>级、10</w:t>
            </w:r>
            <w:r>
              <w:rPr>
                <w:rFonts w:ascii="宋体" w:hAnsi="宋体"/>
                <w:b w:val="0"/>
                <w:bCs/>
                <w:spacing w:val="-4"/>
                <w:szCs w:val="21"/>
              </w:rPr>
              <w:t>00kg</w:t>
            </w:r>
            <w:r>
              <w:rPr>
                <w:rFonts w:hint="eastAsia" w:ascii="宋体" w:hAnsi="宋体"/>
                <w:b w:val="0"/>
                <w:bCs/>
                <w:spacing w:val="-4"/>
                <w:szCs w:val="21"/>
              </w:rPr>
              <w:t>）</w:t>
            </w:r>
          </w:p>
        </w:tc>
        <w:tc>
          <w:tcPr>
            <w:tcW w:w="409" w:type="pct"/>
            <w:shd w:val="clear" w:color="auto" w:fill="auto"/>
            <w:vAlign w:val="center"/>
          </w:tcPr>
          <w:p w14:paraId="25D3266A">
            <w:pPr>
              <w:jc w:val="center"/>
              <w:rPr>
                <w:rFonts w:ascii="宋体" w:hAnsi="宋体"/>
                <w:b w:val="0"/>
                <w:bCs/>
                <w:spacing w:val="-4"/>
                <w:kern w:val="0"/>
                <w:szCs w:val="21"/>
              </w:rPr>
            </w:pPr>
            <w:r>
              <w:rPr>
                <w:rFonts w:hint="eastAsia" w:ascii="宋体" w:hAnsi="宋体"/>
                <w:b w:val="0"/>
                <w:bCs/>
                <w:spacing w:val="-4"/>
                <w:kern w:val="0"/>
                <w:szCs w:val="21"/>
              </w:rPr>
              <w:t>20</w:t>
            </w:r>
          </w:p>
        </w:tc>
        <w:tc>
          <w:tcPr>
            <w:tcW w:w="357" w:type="pct"/>
            <w:shd w:val="clear" w:color="auto" w:fill="auto"/>
            <w:vAlign w:val="center"/>
          </w:tcPr>
          <w:p w14:paraId="0743B471">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20</w:t>
            </w:r>
          </w:p>
        </w:tc>
        <w:tc>
          <w:tcPr>
            <w:tcW w:w="388" w:type="pct"/>
            <w:vAlign w:val="center"/>
          </w:tcPr>
          <w:p w14:paraId="07839A45">
            <w:pPr>
              <w:jc w:val="center"/>
              <w:rPr>
                <w:rFonts w:ascii="宋体" w:hAnsi="宋体"/>
                <w:b w:val="0"/>
                <w:bCs/>
                <w:szCs w:val="21"/>
              </w:rPr>
            </w:pPr>
            <w:r>
              <w:rPr>
                <w:rFonts w:hint="eastAsia" w:ascii="宋体" w:hAnsi="宋体"/>
                <w:b w:val="0"/>
                <w:bCs/>
                <w:szCs w:val="21"/>
              </w:rPr>
              <w:t>双有</w:t>
            </w:r>
          </w:p>
        </w:tc>
        <w:tc>
          <w:tcPr>
            <w:tcW w:w="888" w:type="pct"/>
          </w:tcPr>
          <w:p w14:paraId="40DBFFB2">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2</w:t>
            </w:r>
          </w:p>
        </w:tc>
      </w:tr>
      <w:tr w14:paraId="1720FF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38F06D2C">
            <w:pPr>
              <w:jc w:val="center"/>
              <w:rPr>
                <w:rFonts w:ascii="宋体" w:hAnsi="宋体" w:cs="Arial"/>
                <w:b w:val="0"/>
                <w:bCs/>
                <w:szCs w:val="21"/>
              </w:rPr>
            </w:pPr>
          </w:p>
        </w:tc>
        <w:tc>
          <w:tcPr>
            <w:tcW w:w="353" w:type="pct"/>
            <w:vMerge w:val="continue"/>
            <w:shd w:val="clear" w:color="auto" w:fill="auto"/>
            <w:vAlign w:val="center"/>
          </w:tcPr>
          <w:p w14:paraId="65EC5B3F">
            <w:pPr>
              <w:jc w:val="center"/>
              <w:rPr>
                <w:rFonts w:ascii="宋体" w:hAnsi="宋体" w:cs="Arial"/>
                <w:b w:val="0"/>
                <w:bCs/>
                <w:szCs w:val="21"/>
              </w:rPr>
            </w:pPr>
          </w:p>
        </w:tc>
        <w:tc>
          <w:tcPr>
            <w:tcW w:w="518" w:type="pct"/>
            <w:vMerge w:val="continue"/>
            <w:shd w:val="clear" w:color="auto" w:fill="auto"/>
            <w:vAlign w:val="center"/>
          </w:tcPr>
          <w:p w14:paraId="1FA5386E">
            <w:pPr>
              <w:jc w:val="center"/>
              <w:rPr>
                <w:rFonts w:ascii="宋体" w:hAnsi="宋体" w:cs="Arial"/>
                <w:b w:val="0"/>
                <w:bCs/>
                <w:szCs w:val="21"/>
              </w:rPr>
            </w:pPr>
          </w:p>
        </w:tc>
        <w:tc>
          <w:tcPr>
            <w:tcW w:w="1075" w:type="pct"/>
            <w:shd w:val="clear" w:color="auto" w:fill="auto"/>
            <w:vAlign w:val="center"/>
          </w:tcPr>
          <w:p w14:paraId="0D7E18C9">
            <w:pPr>
              <w:jc w:val="center"/>
              <w:rPr>
                <w:rFonts w:ascii="宋体" w:hAnsi="宋体"/>
                <w:b w:val="0"/>
                <w:bCs/>
                <w:spacing w:val="-4"/>
                <w:szCs w:val="21"/>
              </w:rPr>
            </w:pPr>
            <w:r>
              <w:rPr>
                <w:rFonts w:hint="eastAsia" w:ascii="宋体" w:hAnsi="宋体"/>
                <w:b w:val="0"/>
                <w:bCs/>
                <w:spacing w:val="-4"/>
                <w:szCs w:val="21"/>
              </w:rPr>
              <w:t>58</w:t>
            </w:r>
            <w:r>
              <w:rPr>
                <w:rFonts w:ascii="宋体" w:hAnsi="宋体"/>
                <w:b w:val="0"/>
                <w:bCs/>
                <w:spacing w:val="-4"/>
                <w:szCs w:val="21"/>
              </w:rPr>
              <w:t>#</w:t>
            </w:r>
            <w:r>
              <w:rPr>
                <w:rFonts w:hint="eastAsia" w:ascii="宋体" w:hAnsi="宋体"/>
                <w:b w:val="0"/>
                <w:bCs/>
                <w:spacing w:val="-4"/>
                <w:szCs w:val="21"/>
              </w:rPr>
              <w:t xml:space="preserve">黑火药库   </w:t>
            </w:r>
          </w:p>
          <w:p w14:paraId="279476E0">
            <w:pPr>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w:t>
            </w:r>
            <w:r>
              <w:rPr>
                <w:rFonts w:hint="eastAsia" w:ascii="宋体" w:hAnsi="宋体"/>
                <w:b w:val="0"/>
                <w:bCs/>
                <w:spacing w:val="-4"/>
                <w:szCs w:val="21"/>
                <w:vertAlign w:val="superscript"/>
              </w:rPr>
              <w:t>2</w:t>
            </w:r>
            <w:r>
              <w:rPr>
                <w:rFonts w:hint="eastAsia" w:ascii="宋体" w:hAnsi="宋体"/>
                <w:b w:val="0"/>
                <w:bCs/>
                <w:spacing w:val="-4"/>
                <w:szCs w:val="21"/>
              </w:rPr>
              <w:t>级、10</w:t>
            </w:r>
            <w:r>
              <w:rPr>
                <w:rFonts w:ascii="宋体" w:hAnsi="宋体"/>
                <w:b w:val="0"/>
                <w:bCs/>
                <w:spacing w:val="-4"/>
                <w:szCs w:val="21"/>
              </w:rPr>
              <w:t>00kg</w:t>
            </w:r>
            <w:r>
              <w:rPr>
                <w:rFonts w:hint="eastAsia" w:ascii="宋体" w:hAnsi="宋体"/>
                <w:b w:val="0"/>
                <w:bCs/>
                <w:spacing w:val="-4"/>
                <w:szCs w:val="21"/>
              </w:rPr>
              <w:t>）</w:t>
            </w:r>
          </w:p>
        </w:tc>
        <w:tc>
          <w:tcPr>
            <w:tcW w:w="409" w:type="pct"/>
            <w:shd w:val="clear" w:color="auto" w:fill="auto"/>
            <w:vAlign w:val="center"/>
          </w:tcPr>
          <w:p w14:paraId="4C652391">
            <w:pPr>
              <w:jc w:val="center"/>
              <w:rPr>
                <w:rFonts w:ascii="宋体" w:hAnsi="宋体"/>
                <w:b w:val="0"/>
                <w:bCs/>
                <w:spacing w:val="-4"/>
                <w:kern w:val="0"/>
                <w:szCs w:val="21"/>
              </w:rPr>
            </w:pPr>
            <w:r>
              <w:rPr>
                <w:rFonts w:hint="eastAsia" w:ascii="宋体" w:hAnsi="宋体"/>
                <w:b w:val="0"/>
                <w:bCs/>
                <w:spacing w:val="-4"/>
                <w:kern w:val="0"/>
                <w:szCs w:val="21"/>
              </w:rPr>
              <w:t>20</w:t>
            </w:r>
          </w:p>
        </w:tc>
        <w:tc>
          <w:tcPr>
            <w:tcW w:w="357" w:type="pct"/>
            <w:shd w:val="clear" w:color="auto" w:fill="auto"/>
            <w:vAlign w:val="center"/>
          </w:tcPr>
          <w:p w14:paraId="31796FC9">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20</w:t>
            </w:r>
          </w:p>
        </w:tc>
        <w:tc>
          <w:tcPr>
            <w:tcW w:w="388" w:type="pct"/>
            <w:vAlign w:val="center"/>
          </w:tcPr>
          <w:p w14:paraId="32D8CD62">
            <w:pPr>
              <w:jc w:val="center"/>
              <w:rPr>
                <w:rFonts w:ascii="宋体" w:hAnsi="宋体"/>
                <w:b w:val="0"/>
                <w:bCs/>
                <w:szCs w:val="21"/>
              </w:rPr>
            </w:pPr>
            <w:r>
              <w:rPr>
                <w:rFonts w:hint="eastAsia" w:ascii="宋体" w:hAnsi="宋体"/>
                <w:b w:val="0"/>
                <w:bCs/>
                <w:szCs w:val="21"/>
              </w:rPr>
              <w:t>双有</w:t>
            </w:r>
          </w:p>
        </w:tc>
        <w:tc>
          <w:tcPr>
            <w:tcW w:w="888" w:type="pct"/>
          </w:tcPr>
          <w:p w14:paraId="22B134B1">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2</w:t>
            </w:r>
          </w:p>
        </w:tc>
      </w:tr>
      <w:tr w14:paraId="18112B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restart"/>
            <w:shd w:val="clear" w:color="auto" w:fill="auto"/>
            <w:vAlign w:val="center"/>
          </w:tcPr>
          <w:p w14:paraId="43207DEF">
            <w:pPr>
              <w:jc w:val="center"/>
              <w:rPr>
                <w:rFonts w:ascii="宋体" w:hAnsi="宋体" w:cs="Arial"/>
                <w:b w:val="0"/>
                <w:bCs/>
                <w:szCs w:val="21"/>
              </w:rPr>
            </w:pPr>
            <w:r>
              <w:rPr>
                <w:rFonts w:hint="eastAsia" w:ascii="宋体" w:hAnsi="宋体"/>
                <w:b w:val="0"/>
                <w:bCs/>
                <w:spacing w:val="-4"/>
                <w:szCs w:val="21"/>
              </w:rPr>
              <w:t>59</w:t>
            </w:r>
            <w:r>
              <w:rPr>
                <w:rFonts w:ascii="宋体" w:hAnsi="宋体"/>
                <w:b w:val="0"/>
                <w:bCs/>
                <w:spacing w:val="-4"/>
                <w:szCs w:val="21"/>
              </w:rPr>
              <w:t>#</w:t>
            </w:r>
            <w:r>
              <w:rPr>
                <w:rFonts w:hint="eastAsia" w:ascii="宋体" w:hAnsi="宋体"/>
                <w:b w:val="0"/>
                <w:bCs/>
                <w:spacing w:val="-4"/>
                <w:szCs w:val="21"/>
              </w:rPr>
              <w:t>黑火药库</w:t>
            </w:r>
          </w:p>
        </w:tc>
        <w:tc>
          <w:tcPr>
            <w:tcW w:w="353" w:type="pct"/>
            <w:vMerge w:val="restart"/>
            <w:shd w:val="clear" w:color="auto" w:fill="auto"/>
            <w:vAlign w:val="center"/>
          </w:tcPr>
          <w:p w14:paraId="57E68CF9">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w:t>
            </w:r>
            <w:r>
              <w:rPr>
                <w:rFonts w:hint="eastAsia" w:ascii="宋体" w:hAnsi="宋体" w:cs="Arial"/>
                <w:b w:val="0"/>
                <w:bCs/>
                <w:szCs w:val="21"/>
                <w:vertAlign w:val="superscript"/>
              </w:rPr>
              <w:t>2</w:t>
            </w:r>
          </w:p>
        </w:tc>
        <w:tc>
          <w:tcPr>
            <w:tcW w:w="518" w:type="pct"/>
            <w:vMerge w:val="restart"/>
            <w:shd w:val="clear" w:color="auto" w:fill="auto"/>
            <w:vAlign w:val="center"/>
          </w:tcPr>
          <w:p w14:paraId="349CFCFE">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00</w:t>
            </w:r>
            <w:r>
              <w:rPr>
                <w:rFonts w:hint="eastAsia" w:ascii="宋体" w:hAnsi="宋体" w:cs="Arial"/>
                <w:b w:val="0"/>
                <w:bCs/>
                <w:szCs w:val="21"/>
              </w:rPr>
              <w:t>0</w:t>
            </w:r>
          </w:p>
        </w:tc>
        <w:tc>
          <w:tcPr>
            <w:tcW w:w="1075" w:type="pct"/>
            <w:shd w:val="clear" w:color="auto" w:fill="auto"/>
            <w:vAlign w:val="center"/>
          </w:tcPr>
          <w:p w14:paraId="2D1DA479">
            <w:pPr>
              <w:jc w:val="center"/>
              <w:rPr>
                <w:rFonts w:ascii="宋体" w:hAnsi="宋体"/>
                <w:b w:val="0"/>
                <w:bCs/>
                <w:spacing w:val="-4"/>
                <w:szCs w:val="21"/>
              </w:rPr>
            </w:pPr>
            <w:r>
              <w:rPr>
                <w:rFonts w:hint="eastAsia" w:ascii="宋体" w:hAnsi="宋体"/>
                <w:b w:val="0"/>
                <w:bCs/>
                <w:spacing w:val="-4"/>
                <w:szCs w:val="21"/>
              </w:rPr>
              <w:t>58</w:t>
            </w:r>
            <w:r>
              <w:rPr>
                <w:rFonts w:ascii="宋体" w:hAnsi="宋体"/>
                <w:b w:val="0"/>
                <w:bCs/>
                <w:spacing w:val="-4"/>
                <w:szCs w:val="21"/>
              </w:rPr>
              <w:t>#</w:t>
            </w:r>
            <w:r>
              <w:rPr>
                <w:rFonts w:hint="eastAsia" w:ascii="宋体" w:hAnsi="宋体"/>
                <w:b w:val="0"/>
                <w:bCs/>
                <w:spacing w:val="-4"/>
                <w:szCs w:val="21"/>
              </w:rPr>
              <w:t xml:space="preserve">黑火药库  </w:t>
            </w:r>
          </w:p>
          <w:p w14:paraId="74CC0359">
            <w:pPr>
              <w:jc w:val="center"/>
              <w:rPr>
                <w:rFonts w:ascii="宋体" w:hAnsi="宋体"/>
                <w:b w:val="0"/>
                <w:bCs/>
                <w:spacing w:val="-4"/>
                <w:szCs w:val="21"/>
              </w:rPr>
            </w:pPr>
            <w:r>
              <w:rPr>
                <w:rFonts w:hint="eastAsia" w:ascii="宋体" w:hAnsi="宋体"/>
                <w:b w:val="0"/>
                <w:bCs/>
                <w:spacing w:val="-4"/>
                <w:szCs w:val="21"/>
              </w:rPr>
              <w:t xml:space="preserve"> （1</w:t>
            </w:r>
            <w:r>
              <w:rPr>
                <w:rFonts w:ascii="宋体" w:hAnsi="宋体"/>
                <w:b w:val="0"/>
                <w:bCs/>
                <w:spacing w:val="-4"/>
                <w:szCs w:val="21"/>
              </w:rPr>
              <w:t>.1</w:t>
            </w:r>
            <w:r>
              <w:rPr>
                <w:rFonts w:ascii="宋体" w:hAnsi="宋体"/>
                <w:b w:val="0"/>
                <w:bCs/>
                <w:spacing w:val="-4"/>
                <w:szCs w:val="21"/>
                <w:vertAlign w:val="superscript"/>
              </w:rPr>
              <w:t>-</w:t>
            </w:r>
            <w:r>
              <w:rPr>
                <w:rFonts w:hint="eastAsia" w:ascii="宋体" w:hAnsi="宋体"/>
                <w:b w:val="0"/>
                <w:bCs/>
                <w:spacing w:val="-4"/>
                <w:szCs w:val="21"/>
                <w:vertAlign w:val="superscript"/>
              </w:rPr>
              <w:t>2</w:t>
            </w:r>
            <w:r>
              <w:rPr>
                <w:rFonts w:hint="eastAsia" w:ascii="宋体" w:hAnsi="宋体"/>
                <w:b w:val="0"/>
                <w:bCs/>
                <w:spacing w:val="-4"/>
                <w:szCs w:val="21"/>
              </w:rPr>
              <w:t>级、10</w:t>
            </w:r>
            <w:r>
              <w:rPr>
                <w:rFonts w:ascii="宋体" w:hAnsi="宋体"/>
                <w:b w:val="0"/>
                <w:bCs/>
                <w:spacing w:val="-4"/>
                <w:szCs w:val="21"/>
              </w:rPr>
              <w:t>00kg</w:t>
            </w:r>
            <w:r>
              <w:rPr>
                <w:rFonts w:hint="eastAsia" w:ascii="宋体" w:hAnsi="宋体"/>
                <w:b w:val="0"/>
                <w:bCs/>
                <w:spacing w:val="-4"/>
                <w:szCs w:val="21"/>
              </w:rPr>
              <w:t>）</w:t>
            </w:r>
          </w:p>
        </w:tc>
        <w:tc>
          <w:tcPr>
            <w:tcW w:w="409" w:type="pct"/>
            <w:shd w:val="clear" w:color="auto" w:fill="auto"/>
            <w:vAlign w:val="center"/>
          </w:tcPr>
          <w:p w14:paraId="2692D36A">
            <w:pPr>
              <w:jc w:val="center"/>
              <w:rPr>
                <w:rFonts w:ascii="宋体" w:hAnsi="宋体"/>
                <w:b w:val="0"/>
                <w:bCs/>
                <w:spacing w:val="-4"/>
                <w:kern w:val="0"/>
                <w:szCs w:val="21"/>
              </w:rPr>
            </w:pPr>
            <w:r>
              <w:rPr>
                <w:rFonts w:hint="eastAsia" w:ascii="宋体" w:hAnsi="宋体"/>
                <w:b w:val="0"/>
                <w:bCs/>
                <w:spacing w:val="-4"/>
                <w:kern w:val="0"/>
                <w:szCs w:val="21"/>
              </w:rPr>
              <w:t>16</w:t>
            </w:r>
          </w:p>
        </w:tc>
        <w:tc>
          <w:tcPr>
            <w:tcW w:w="357" w:type="pct"/>
            <w:shd w:val="clear" w:color="auto" w:fill="auto"/>
            <w:vAlign w:val="center"/>
          </w:tcPr>
          <w:p w14:paraId="7E301BA6">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17</w:t>
            </w:r>
          </w:p>
        </w:tc>
        <w:tc>
          <w:tcPr>
            <w:tcW w:w="388" w:type="pct"/>
            <w:vAlign w:val="center"/>
          </w:tcPr>
          <w:p w14:paraId="51B9A283">
            <w:pPr>
              <w:jc w:val="center"/>
              <w:rPr>
                <w:rFonts w:ascii="宋体" w:hAnsi="宋体"/>
                <w:b w:val="0"/>
                <w:bCs/>
                <w:szCs w:val="21"/>
              </w:rPr>
            </w:pPr>
            <w:r>
              <w:rPr>
                <w:rFonts w:hint="eastAsia" w:ascii="宋体" w:hAnsi="宋体"/>
                <w:b w:val="0"/>
                <w:bCs/>
                <w:szCs w:val="21"/>
              </w:rPr>
              <w:t>双有</w:t>
            </w:r>
          </w:p>
        </w:tc>
        <w:tc>
          <w:tcPr>
            <w:tcW w:w="888" w:type="pct"/>
          </w:tcPr>
          <w:p w14:paraId="44487AAA">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3</w:t>
            </w:r>
          </w:p>
        </w:tc>
      </w:tr>
      <w:tr w14:paraId="0E7EC7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2F0A1A1C">
            <w:pPr>
              <w:jc w:val="center"/>
              <w:rPr>
                <w:rFonts w:ascii="宋体" w:hAnsi="宋体"/>
                <w:b w:val="0"/>
                <w:bCs/>
                <w:spacing w:val="-4"/>
                <w:szCs w:val="21"/>
              </w:rPr>
            </w:pPr>
          </w:p>
        </w:tc>
        <w:tc>
          <w:tcPr>
            <w:tcW w:w="353" w:type="pct"/>
            <w:vMerge w:val="continue"/>
            <w:shd w:val="clear" w:color="auto" w:fill="auto"/>
            <w:vAlign w:val="center"/>
          </w:tcPr>
          <w:p w14:paraId="1D8229E9">
            <w:pPr>
              <w:jc w:val="center"/>
              <w:rPr>
                <w:rFonts w:ascii="宋体" w:hAnsi="宋体" w:cs="Arial"/>
                <w:b w:val="0"/>
                <w:bCs/>
                <w:szCs w:val="21"/>
              </w:rPr>
            </w:pPr>
          </w:p>
        </w:tc>
        <w:tc>
          <w:tcPr>
            <w:tcW w:w="518" w:type="pct"/>
            <w:vMerge w:val="continue"/>
            <w:shd w:val="clear" w:color="auto" w:fill="auto"/>
            <w:vAlign w:val="center"/>
          </w:tcPr>
          <w:p w14:paraId="4F54954D">
            <w:pPr>
              <w:jc w:val="center"/>
              <w:rPr>
                <w:rFonts w:ascii="宋体" w:hAnsi="宋体" w:cs="Arial"/>
                <w:b w:val="0"/>
                <w:bCs/>
                <w:szCs w:val="21"/>
              </w:rPr>
            </w:pPr>
          </w:p>
        </w:tc>
        <w:tc>
          <w:tcPr>
            <w:tcW w:w="1075" w:type="pct"/>
            <w:shd w:val="clear" w:color="auto" w:fill="auto"/>
            <w:vAlign w:val="center"/>
          </w:tcPr>
          <w:p w14:paraId="0062EA92">
            <w:pPr>
              <w:jc w:val="center"/>
              <w:rPr>
                <w:rFonts w:ascii="宋体" w:hAnsi="宋体"/>
                <w:b w:val="0"/>
                <w:bCs/>
                <w:spacing w:val="-4"/>
                <w:szCs w:val="21"/>
              </w:rPr>
            </w:pPr>
            <w:r>
              <w:rPr>
                <w:rFonts w:hint="eastAsia" w:ascii="宋体" w:hAnsi="宋体"/>
                <w:b w:val="0"/>
                <w:bCs/>
                <w:spacing w:val="-4"/>
                <w:szCs w:val="21"/>
              </w:rPr>
              <w:t>60</w:t>
            </w:r>
            <w:r>
              <w:rPr>
                <w:rFonts w:ascii="宋体" w:hAnsi="宋体"/>
                <w:b w:val="0"/>
                <w:bCs/>
                <w:spacing w:val="-4"/>
                <w:szCs w:val="21"/>
              </w:rPr>
              <w:t>#</w:t>
            </w:r>
            <w:r>
              <w:rPr>
                <w:rFonts w:hint="eastAsia" w:ascii="宋体" w:hAnsi="宋体"/>
                <w:b w:val="0"/>
                <w:bCs/>
                <w:spacing w:val="-4"/>
                <w:szCs w:val="21"/>
              </w:rPr>
              <w:t xml:space="preserve">黑火药库  </w:t>
            </w:r>
          </w:p>
          <w:p w14:paraId="75E5CB5A">
            <w:pPr>
              <w:jc w:val="center"/>
              <w:rPr>
                <w:rFonts w:ascii="宋体" w:hAnsi="宋体"/>
                <w:b w:val="0"/>
                <w:bCs/>
                <w:spacing w:val="-4"/>
                <w:szCs w:val="21"/>
              </w:rPr>
            </w:pPr>
            <w:r>
              <w:rPr>
                <w:rFonts w:hint="eastAsia" w:ascii="宋体" w:hAnsi="宋体"/>
                <w:b w:val="0"/>
                <w:bCs/>
                <w:spacing w:val="-4"/>
                <w:szCs w:val="21"/>
              </w:rPr>
              <w:t xml:space="preserve"> （1</w:t>
            </w:r>
            <w:r>
              <w:rPr>
                <w:rFonts w:ascii="宋体" w:hAnsi="宋体"/>
                <w:b w:val="0"/>
                <w:bCs/>
                <w:spacing w:val="-4"/>
                <w:szCs w:val="21"/>
              </w:rPr>
              <w:t>.1</w:t>
            </w:r>
            <w:r>
              <w:rPr>
                <w:rFonts w:ascii="宋体" w:hAnsi="宋体"/>
                <w:b w:val="0"/>
                <w:bCs/>
                <w:spacing w:val="-4"/>
                <w:szCs w:val="21"/>
                <w:vertAlign w:val="superscript"/>
              </w:rPr>
              <w:t>-</w:t>
            </w:r>
            <w:r>
              <w:rPr>
                <w:rFonts w:hint="eastAsia" w:ascii="宋体" w:hAnsi="宋体"/>
                <w:b w:val="0"/>
                <w:bCs/>
                <w:spacing w:val="-4"/>
                <w:szCs w:val="21"/>
                <w:vertAlign w:val="superscript"/>
              </w:rPr>
              <w:t>2</w:t>
            </w:r>
            <w:r>
              <w:rPr>
                <w:rFonts w:hint="eastAsia" w:ascii="宋体" w:hAnsi="宋体"/>
                <w:b w:val="0"/>
                <w:bCs/>
                <w:spacing w:val="-4"/>
                <w:szCs w:val="21"/>
              </w:rPr>
              <w:t>级、10</w:t>
            </w:r>
            <w:r>
              <w:rPr>
                <w:rFonts w:ascii="宋体" w:hAnsi="宋体"/>
                <w:b w:val="0"/>
                <w:bCs/>
                <w:spacing w:val="-4"/>
                <w:szCs w:val="21"/>
              </w:rPr>
              <w:t>00kg</w:t>
            </w:r>
            <w:r>
              <w:rPr>
                <w:rFonts w:hint="eastAsia" w:ascii="宋体" w:hAnsi="宋体"/>
                <w:b w:val="0"/>
                <w:bCs/>
                <w:spacing w:val="-4"/>
                <w:szCs w:val="21"/>
              </w:rPr>
              <w:t>）</w:t>
            </w:r>
          </w:p>
        </w:tc>
        <w:tc>
          <w:tcPr>
            <w:tcW w:w="409" w:type="pct"/>
            <w:shd w:val="clear" w:color="auto" w:fill="auto"/>
            <w:vAlign w:val="center"/>
          </w:tcPr>
          <w:p w14:paraId="34014713">
            <w:pPr>
              <w:jc w:val="center"/>
              <w:rPr>
                <w:rFonts w:ascii="宋体" w:hAnsi="宋体"/>
                <w:b w:val="0"/>
                <w:bCs/>
                <w:spacing w:val="-4"/>
                <w:kern w:val="0"/>
                <w:szCs w:val="21"/>
              </w:rPr>
            </w:pPr>
            <w:r>
              <w:rPr>
                <w:rFonts w:hint="eastAsia" w:ascii="宋体" w:hAnsi="宋体"/>
                <w:b w:val="0"/>
                <w:bCs/>
                <w:spacing w:val="-4"/>
                <w:kern w:val="0"/>
                <w:szCs w:val="21"/>
              </w:rPr>
              <w:t>16</w:t>
            </w:r>
          </w:p>
        </w:tc>
        <w:tc>
          <w:tcPr>
            <w:tcW w:w="357" w:type="pct"/>
            <w:shd w:val="clear" w:color="auto" w:fill="auto"/>
            <w:vAlign w:val="center"/>
          </w:tcPr>
          <w:p w14:paraId="2A4DB2AC">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19</w:t>
            </w:r>
          </w:p>
        </w:tc>
        <w:tc>
          <w:tcPr>
            <w:tcW w:w="388" w:type="pct"/>
            <w:vAlign w:val="center"/>
          </w:tcPr>
          <w:p w14:paraId="120D61F2">
            <w:pPr>
              <w:jc w:val="center"/>
              <w:rPr>
                <w:rFonts w:ascii="宋体" w:hAnsi="宋体"/>
                <w:b w:val="0"/>
                <w:bCs/>
                <w:szCs w:val="21"/>
              </w:rPr>
            </w:pPr>
            <w:r>
              <w:rPr>
                <w:rFonts w:hint="eastAsia" w:ascii="宋体" w:hAnsi="宋体"/>
                <w:b w:val="0"/>
                <w:bCs/>
                <w:szCs w:val="21"/>
              </w:rPr>
              <w:t>双有</w:t>
            </w:r>
          </w:p>
        </w:tc>
        <w:tc>
          <w:tcPr>
            <w:tcW w:w="888" w:type="pct"/>
          </w:tcPr>
          <w:p w14:paraId="0B7403B8">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3</w:t>
            </w:r>
          </w:p>
        </w:tc>
      </w:tr>
      <w:tr w14:paraId="4F7B4D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restart"/>
            <w:shd w:val="clear" w:color="auto" w:fill="auto"/>
            <w:vAlign w:val="center"/>
          </w:tcPr>
          <w:p w14:paraId="15D16855">
            <w:pPr>
              <w:jc w:val="center"/>
              <w:rPr>
                <w:rFonts w:ascii="宋体" w:hAnsi="宋体" w:cs="Arial"/>
                <w:b w:val="0"/>
                <w:bCs/>
                <w:szCs w:val="21"/>
              </w:rPr>
            </w:pPr>
            <w:r>
              <w:rPr>
                <w:rFonts w:hint="eastAsia" w:ascii="宋体" w:hAnsi="宋体" w:cs="Arial"/>
                <w:b w:val="0"/>
                <w:bCs/>
                <w:szCs w:val="21"/>
              </w:rPr>
              <w:t>61</w:t>
            </w:r>
            <w:r>
              <w:rPr>
                <w:rFonts w:ascii="宋体" w:hAnsi="宋体" w:cs="Arial"/>
                <w:b w:val="0"/>
                <w:bCs/>
                <w:szCs w:val="21"/>
              </w:rPr>
              <w:t>#</w:t>
            </w:r>
            <w:r>
              <w:rPr>
                <w:rFonts w:hint="eastAsia" w:ascii="宋体" w:hAnsi="宋体" w:cs="Arial"/>
                <w:b w:val="0"/>
                <w:bCs/>
                <w:szCs w:val="21"/>
              </w:rPr>
              <w:t>单基火药库(湿)</w:t>
            </w:r>
          </w:p>
        </w:tc>
        <w:tc>
          <w:tcPr>
            <w:tcW w:w="353" w:type="pct"/>
            <w:vMerge w:val="restart"/>
            <w:shd w:val="clear" w:color="auto" w:fill="auto"/>
            <w:vAlign w:val="center"/>
          </w:tcPr>
          <w:p w14:paraId="2CAEB0A6">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w:t>
            </w:r>
            <w:r>
              <w:rPr>
                <w:rFonts w:hint="eastAsia" w:ascii="宋体" w:hAnsi="宋体" w:cs="Arial"/>
                <w:b w:val="0"/>
                <w:bCs/>
                <w:szCs w:val="21"/>
                <w:vertAlign w:val="superscript"/>
              </w:rPr>
              <w:t>2</w:t>
            </w:r>
          </w:p>
        </w:tc>
        <w:tc>
          <w:tcPr>
            <w:tcW w:w="518" w:type="pct"/>
            <w:vMerge w:val="restart"/>
            <w:shd w:val="clear" w:color="auto" w:fill="auto"/>
            <w:vAlign w:val="center"/>
          </w:tcPr>
          <w:p w14:paraId="74E36307">
            <w:pPr>
              <w:jc w:val="center"/>
              <w:rPr>
                <w:rFonts w:ascii="宋体" w:hAnsi="宋体" w:cs="Arial"/>
                <w:b w:val="0"/>
                <w:bCs/>
                <w:szCs w:val="21"/>
              </w:rPr>
            </w:pPr>
            <w:r>
              <w:rPr>
                <w:rFonts w:hint="eastAsia" w:ascii="宋体" w:hAnsi="宋体" w:cs="Arial"/>
                <w:b w:val="0"/>
                <w:bCs/>
                <w:szCs w:val="21"/>
              </w:rPr>
              <w:t>5</w:t>
            </w:r>
            <w:r>
              <w:rPr>
                <w:rFonts w:ascii="宋体" w:hAnsi="宋体" w:cs="Arial"/>
                <w:b w:val="0"/>
                <w:bCs/>
                <w:szCs w:val="21"/>
              </w:rPr>
              <w:t>00</w:t>
            </w:r>
          </w:p>
        </w:tc>
        <w:tc>
          <w:tcPr>
            <w:tcW w:w="1075" w:type="pct"/>
            <w:shd w:val="clear" w:color="auto" w:fill="auto"/>
            <w:vAlign w:val="center"/>
          </w:tcPr>
          <w:p w14:paraId="3773886B">
            <w:pPr>
              <w:jc w:val="center"/>
              <w:rPr>
                <w:rFonts w:ascii="宋体" w:hAnsi="宋体"/>
                <w:b w:val="0"/>
                <w:bCs/>
                <w:spacing w:val="-4"/>
                <w:szCs w:val="21"/>
              </w:rPr>
            </w:pPr>
            <w:r>
              <w:rPr>
                <w:rFonts w:hint="eastAsia" w:ascii="宋体" w:hAnsi="宋体"/>
                <w:b w:val="0"/>
                <w:bCs/>
                <w:spacing w:val="-4"/>
                <w:szCs w:val="21"/>
              </w:rPr>
              <w:t>60</w:t>
            </w:r>
            <w:r>
              <w:rPr>
                <w:rFonts w:ascii="宋体" w:hAnsi="宋体"/>
                <w:b w:val="0"/>
                <w:bCs/>
                <w:spacing w:val="-4"/>
                <w:szCs w:val="21"/>
              </w:rPr>
              <w:t>#</w:t>
            </w:r>
            <w:r>
              <w:rPr>
                <w:rFonts w:hint="eastAsia" w:ascii="宋体" w:hAnsi="宋体"/>
                <w:b w:val="0"/>
                <w:bCs/>
                <w:spacing w:val="-4"/>
                <w:szCs w:val="21"/>
              </w:rPr>
              <w:t xml:space="preserve">黑火药库  </w:t>
            </w:r>
          </w:p>
          <w:p w14:paraId="7F97F957">
            <w:pPr>
              <w:jc w:val="center"/>
              <w:rPr>
                <w:rFonts w:ascii="宋体" w:hAnsi="宋体"/>
                <w:b w:val="0"/>
                <w:bCs/>
                <w:spacing w:val="-4"/>
                <w:szCs w:val="21"/>
              </w:rPr>
            </w:pPr>
            <w:r>
              <w:rPr>
                <w:rFonts w:hint="eastAsia" w:ascii="宋体" w:hAnsi="宋体"/>
                <w:b w:val="0"/>
                <w:bCs/>
                <w:spacing w:val="-4"/>
                <w:szCs w:val="21"/>
              </w:rPr>
              <w:t xml:space="preserve"> （1</w:t>
            </w:r>
            <w:r>
              <w:rPr>
                <w:rFonts w:ascii="宋体" w:hAnsi="宋体"/>
                <w:b w:val="0"/>
                <w:bCs/>
                <w:spacing w:val="-4"/>
                <w:szCs w:val="21"/>
              </w:rPr>
              <w:t>.1</w:t>
            </w:r>
            <w:r>
              <w:rPr>
                <w:rFonts w:ascii="宋体" w:hAnsi="宋体"/>
                <w:b w:val="0"/>
                <w:bCs/>
                <w:spacing w:val="-4"/>
                <w:szCs w:val="21"/>
                <w:vertAlign w:val="superscript"/>
              </w:rPr>
              <w:t>-</w:t>
            </w:r>
            <w:r>
              <w:rPr>
                <w:rFonts w:hint="eastAsia" w:ascii="宋体" w:hAnsi="宋体"/>
                <w:b w:val="0"/>
                <w:bCs/>
                <w:spacing w:val="-4"/>
                <w:szCs w:val="21"/>
                <w:vertAlign w:val="superscript"/>
              </w:rPr>
              <w:t>2</w:t>
            </w:r>
            <w:r>
              <w:rPr>
                <w:rFonts w:hint="eastAsia" w:ascii="宋体" w:hAnsi="宋体"/>
                <w:b w:val="0"/>
                <w:bCs/>
                <w:spacing w:val="-4"/>
                <w:szCs w:val="21"/>
              </w:rPr>
              <w:t>级、10</w:t>
            </w:r>
            <w:r>
              <w:rPr>
                <w:rFonts w:ascii="宋体" w:hAnsi="宋体"/>
                <w:b w:val="0"/>
                <w:bCs/>
                <w:spacing w:val="-4"/>
                <w:szCs w:val="21"/>
              </w:rPr>
              <w:t>00kg</w:t>
            </w:r>
            <w:r>
              <w:rPr>
                <w:rFonts w:hint="eastAsia" w:ascii="宋体" w:hAnsi="宋体"/>
                <w:b w:val="0"/>
                <w:bCs/>
                <w:spacing w:val="-4"/>
                <w:szCs w:val="21"/>
              </w:rPr>
              <w:t>）</w:t>
            </w:r>
          </w:p>
        </w:tc>
        <w:tc>
          <w:tcPr>
            <w:tcW w:w="409" w:type="pct"/>
            <w:shd w:val="clear" w:color="auto" w:fill="auto"/>
            <w:vAlign w:val="center"/>
          </w:tcPr>
          <w:p w14:paraId="6B84E58A">
            <w:pPr>
              <w:jc w:val="center"/>
              <w:rPr>
                <w:rFonts w:ascii="宋体" w:hAnsi="宋体"/>
                <w:b w:val="0"/>
                <w:bCs/>
                <w:spacing w:val="-4"/>
                <w:kern w:val="0"/>
                <w:szCs w:val="21"/>
              </w:rPr>
            </w:pPr>
            <w:r>
              <w:rPr>
                <w:rFonts w:hint="eastAsia" w:ascii="宋体" w:hAnsi="宋体"/>
                <w:b w:val="0"/>
                <w:bCs/>
                <w:spacing w:val="-4"/>
                <w:kern w:val="0"/>
                <w:szCs w:val="21"/>
              </w:rPr>
              <w:t>16</w:t>
            </w:r>
          </w:p>
        </w:tc>
        <w:tc>
          <w:tcPr>
            <w:tcW w:w="357" w:type="pct"/>
            <w:shd w:val="clear" w:color="auto" w:fill="auto"/>
            <w:vAlign w:val="center"/>
          </w:tcPr>
          <w:p w14:paraId="028268AE">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16</w:t>
            </w:r>
          </w:p>
        </w:tc>
        <w:tc>
          <w:tcPr>
            <w:tcW w:w="388" w:type="pct"/>
            <w:vAlign w:val="center"/>
          </w:tcPr>
          <w:p w14:paraId="1EA8A0E6">
            <w:pPr>
              <w:jc w:val="center"/>
              <w:rPr>
                <w:rFonts w:ascii="宋体" w:hAnsi="宋体"/>
                <w:b w:val="0"/>
                <w:bCs/>
                <w:szCs w:val="21"/>
              </w:rPr>
            </w:pPr>
            <w:r>
              <w:rPr>
                <w:rFonts w:hint="eastAsia" w:ascii="宋体" w:hAnsi="宋体"/>
                <w:b w:val="0"/>
                <w:bCs/>
                <w:szCs w:val="21"/>
              </w:rPr>
              <w:t>双有</w:t>
            </w:r>
          </w:p>
        </w:tc>
        <w:tc>
          <w:tcPr>
            <w:tcW w:w="888" w:type="pct"/>
          </w:tcPr>
          <w:p w14:paraId="6F76731F">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3</w:t>
            </w:r>
          </w:p>
        </w:tc>
      </w:tr>
      <w:tr w14:paraId="61CDA5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69" w:hRule="atLeast"/>
          <w:jc w:val="center"/>
        </w:trPr>
        <w:tc>
          <w:tcPr>
            <w:tcW w:w="1008" w:type="pct"/>
            <w:vMerge w:val="continue"/>
            <w:shd w:val="clear" w:color="auto" w:fill="auto"/>
            <w:vAlign w:val="center"/>
          </w:tcPr>
          <w:p w14:paraId="3A671964">
            <w:pPr>
              <w:jc w:val="center"/>
              <w:rPr>
                <w:rFonts w:ascii="宋体" w:hAnsi="宋体" w:cs="Arial"/>
                <w:b w:val="0"/>
                <w:bCs/>
                <w:szCs w:val="21"/>
              </w:rPr>
            </w:pPr>
          </w:p>
        </w:tc>
        <w:tc>
          <w:tcPr>
            <w:tcW w:w="353" w:type="pct"/>
            <w:vMerge w:val="continue"/>
            <w:shd w:val="clear" w:color="auto" w:fill="auto"/>
            <w:vAlign w:val="center"/>
          </w:tcPr>
          <w:p w14:paraId="3416CADE">
            <w:pPr>
              <w:jc w:val="center"/>
              <w:rPr>
                <w:rFonts w:ascii="宋体" w:hAnsi="宋体" w:cs="Arial"/>
                <w:b w:val="0"/>
                <w:bCs/>
                <w:szCs w:val="21"/>
              </w:rPr>
            </w:pPr>
          </w:p>
        </w:tc>
        <w:tc>
          <w:tcPr>
            <w:tcW w:w="518" w:type="pct"/>
            <w:vMerge w:val="continue"/>
            <w:shd w:val="clear" w:color="auto" w:fill="auto"/>
            <w:vAlign w:val="center"/>
          </w:tcPr>
          <w:p w14:paraId="72E412CC">
            <w:pPr>
              <w:jc w:val="center"/>
              <w:rPr>
                <w:rFonts w:ascii="宋体" w:hAnsi="宋体" w:cs="Arial"/>
                <w:b w:val="0"/>
                <w:bCs/>
                <w:szCs w:val="21"/>
              </w:rPr>
            </w:pPr>
          </w:p>
        </w:tc>
        <w:tc>
          <w:tcPr>
            <w:tcW w:w="1075" w:type="pct"/>
            <w:shd w:val="clear" w:color="auto" w:fill="auto"/>
            <w:vAlign w:val="center"/>
          </w:tcPr>
          <w:p w14:paraId="016C906E">
            <w:pPr>
              <w:jc w:val="center"/>
              <w:rPr>
                <w:rFonts w:ascii="宋体" w:hAnsi="宋体"/>
                <w:b w:val="0"/>
                <w:bCs/>
                <w:spacing w:val="-11"/>
                <w:szCs w:val="21"/>
              </w:rPr>
            </w:pPr>
            <w:r>
              <w:rPr>
                <w:rFonts w:hint="eastAsia" w:ascii="宋体" w:hAnsi="宋体"/>
                <w:b w:val="0"/>
                <w:bCs/>
                <w:spacing w:val="-11"/>
                <w:szCs w:val="21"/>
              </w:rPr>
              <w:t>62#单基火药库(湿)</w:t>
            </w:r>
          </w:p>
          <w:p w14:paraId="50E56958">
            <w:pPr>
              <w:jc w:val="center"/>
              <w:rPr>
                <w:rFonts w:ascii="宋体" w:hAnsi="宋体"/>
                <w:b w:val="0"/>
                <w:bCs/>
                <w:spacing w:val="-11"/>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w:t>
            </w:r>
            <w:r>
              <w:rPr>
                <w:rFonts w:hint="eastAsia" w:ascii="宋体" w:hAnsi="宋体"/>
                <w:b w:val="0"/>
                <w:bCs/>
                <w:spacing w:val="-4"/>
                <w:szCs w:val="21"/>
                <w:vertAlign w:val="superscript"/>
              </w:rPr>
              <w:t>2</w:t>
            </w:r>
            <w:r>
              <w:rPr>
                <w:rFonts w:hint="eastAsia" w:ascii="宋体" w:hAnsi="宋体"/>
                <w:b w:val="0"/>
                <w:bCs/>
                <w:spacing w:val="-4"/>
                <w:szCs w:val="21"/>
              </w:rPr>
              <w:t>级、5</w:t>
            </w:r>
            <w:r>
              <w:rPr>
                <w:rFonts w:ascii="宋体" w:hAnsi="宋体"/>
                <w:b w:val="0"/>
                <w:bCs/>
                <w:spacing w:val="-4"/>
                <w:szCs w:val="21"/>
              </w:rPr>
              <w:t>00kg</w:t>
            </w:r>
            <w:r>
              <w:rPr>
                <w:rFonts w:hint="eastAsia" w:ascii="宋体" w:hAnsi="宋体"/>
                <w:b w:val="0"/>
                <w:bCs/>
                <w:spacing w:val="-4"/>
                <w:szCs w:val="21"/>
              </w:rPr>
              <w:t>）</w:t>
            </w:r>
          </w:p>
        </w:tc>
        <w:tc>
          <w:tcPr>
            <w:tcW w:w="409" w:type="pct"/>
            <w:shd w:val="clear" w:color="auto" w:fill="auto"/>
            <w:vAlign w:val="center"/>
          </w:tcPr>
          <w:p w14:paraId="6223BC10">
            <w:pPr>
              <w:jc w:val="center"/>
              <w:rPr>
                <w:rFonts w:ascii="宋体" w:hAnsi="宋体"/>
                <w:b w:val="0"/>
                <w:bCs/>
                <w:spacing w:val="-4"/>
                <w:kern w:val="0"/>
                <w:szCs w:val="21"/>
              </w:rPr>
            </w:pPr>
            <w:r>
              <w:rPr>
                <w:rFonts w:hint="eastAsia" w:ascii="宋体" w:hAnsi="宋体"/>
                <w:b w:val="0"/>
                <w:bCs/>
                <w:spacing w:val="-4"/>
                <w:kern w:val="0"/>
                <w:szCs w:val="21"/>
              </w:rPr>
              <w:t>12</w:t>
            </w:r>
          </w:p>
        </w:tc>
        <w:tc>
          <w:tcPr>
            <w:tcW w:w="357" w:type="pct"/>
            <w:shd w:val="clear" w:color="auto" w:fill="auto"/>
            <w:vAlign w:val="center"/>
          </w:tcPr>
          <w:p w14:paraId="7E670846">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16</w:t>
            </w:r>
          </w:p>
        </w:tc>
        <w:tc>
          <w:tcPr>
            <w:tcW w:w="388" w:type="pct"/>
            <w:vAlign w:val="center"/>
          </w:tcPr>
          <w:p w14:paraId="4C30638C">
            <w:pPr>
              <w:jc w:val="center"/>
              <w:rPr>
                <w:rFonts w:ascii="宋体" w:hAnsi="宋体"/>
                <w:b w:val="0"/>
                <w:bCs/>
                <w:szCs w:val="21"/>
              </w:rPr>
            </w:pPr>
            <w:r>
              <w:rPr>
                <w:rFonts w:hint="eastAsia" w:ascii="宋体" w:hAnsi="宋体"/>
                <w:b w:val="0"/>
                <w:bCs/>
                <w:szCs w:val="21"/>
              </w:rPr>
              <w:t>双有</w:t>
            </w:r>
          </w:p>
        </w:tc>
        <w:tc>
          <w:tcPr>
            <w:tcW w:w="888" w:type="pct"/>
            <w:vAlign w:val="center"/>
          </w:tcPr>
          <w:p w14:paraId="1D682976">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3</w:t>
            </w:r>
          </w:p>
        </w:tc>
      </w:tr>
      <w:tr w14:paraId="4357BD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restart"/>
            <w:shd w:val="clear" w:color="auto" w:fill="auto"/>
            <w:vAlign w:val="center"/>
          </w:tcPr>
          <w:p w14:paraId="36DDBB01">
            <w:pPr>
              <w:jc w:val="center"/>
              <w:rPr>
                <w:rFonts w:ascii="宋体" w:hAnsi="宋体" w:cs="Arial"/>
                <w:b w:val="0"/>
                <w:bCs/>
                <w:szCs w:val="21"/>
              </w:rPr>
            </w:pPr>
            <w:r>
              <w:rPr>
                <w:rFonts w:hint="eastAsia" w:ascii="宋体" w:hAnsi="宋体" w:cs="Arial"/>
                <w:b w:val="0"/>
                <w:bCs/>
                <w:szCs w:val="21"/>
              </w:rPr>
              <w:t>63</w:t>
            </w:r>
            <w:r>
              <w:rPr>
                <w:rFonts w:ascii="宋体" w:hAnsi="宋体" w:cs="Arial"/>
                <w:b w:val="0"/>
                <w:bCs/>
                <w:szCs w:val="21"/>
              </w:rPr>
              <w:t>#</w:t>
            </w:r>
            <w:r>
              <w:rPr>
                <w:rFonts w:hint="eastAsia" w:ascii="宋体" w:hAnsi="宋体" w:cs="Arial"/>
                <w:b w:val="0"/>
                <w:bCs/>
                <w:szCs w:val="21"/>
              </w:rPr>
              <w:t>引线库</w:t>
            </w:r>
          </w:p>
        </w:tc>
        <w:tc>
          <w:tcPr>
            <w:tcW w:w="353" w:type="pct"/>
            <w:vMerge w:val="restart"/>
            <w:shd w:val="clear" w:color="auto" w:fill="auto"/>
            <w:vAlign w:val="center"/>
          </w:tcPr>
          <w:p w14:paraId="3D97066C">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w:t>
            </w:r>
            <w:r>
              <w:rPr>
                <w:rFonts w:hint="eastAsia" w:ascii="宋体" w:hAnsi="宋体" w:cs="Arial"/>
                <w:b w:val="0"/>
                <w:bCs/>
                <w:szCs w:val="21"/>
                <w:vertAlign w:val="superscript"/>
              </w:rPr>
              <w:t>2</w:t>
            </w:r>
          </w:p>
        </w:tc>
        <w:tc>
          <w:tcPr>
            <w:tcW w:w="518" w:type="pct"/>
            <w:vMerge w:val="restart"/>
            <w:shd w:val="clear" w:color="auto" w:fill="auto"/>
            <w:vAlign w:val="center"/>
          </w:tcPr>
          <w:p w14:paraId="7B2024AC">
            <w:pPr>
              <w:jc w:val="center"/>
              <w:rPr>
                <w:rFonts w:ascii="宋体" w:hAnsi="宋体" w:cs="Arial"/>
                <w:b w:val="0"/>
                <w:bCs/>
                <w:szCs w:val="21"/>
              </w:rPr>
            </w:pPr>
            <w:r>
              <w:rPr>
                <w:rFonts w:hint="eastAsia" w:ascii="宋体" w:hAnsi="宋体" w:cs="Arial"/>
                <w:b w:val="0"/>
                <w:bCs/>
                <w:szCs w:val="21"/>
              </w:rPr>
              <w:t>500</w:t>
            </w:r>
          </w:p>
        </w:tc>
        <w:tc>
          <w:tcPr>
            <w:tcW w:w="1075" w:type="pct"/>
            <w:shd w:val="clear" w:color="auto" w:fill="auto"/>
            <w:vAlign w:val="center"/>
          </w:tcPr>
          <w:p w14:paraId="2DCB31AD">
            <w:pPr>
              <w:jc w:val="center"/>
              <w:rPr>
                <w:rFonts w:ascii="宋体" w:hAnsi="宋体"/>
                <w:b w:val="0"/>
                <w:bCs/>
                <w:spacing w:val="-4"/>
                <w:szCs w:val="21"/>
              </w:rPr>
            </w:pPr>
            <w:r>
              <w:rPr>
                <w:rFonts w:hint="eastAsia" w:ascii="宋体" w:hAnsi="宋体"/>
                <w:b w:val="0"/>
                <w:bCs/>
                <w:spacing w:val="-4"/>
                <w:szCs w:val="21"/>
              </w:rPr>
              <w:t>60</w:t>
            </w:r>
            <w:r>
              <w:rPr>
                <w:rFonts w:ascii="宋体" w:hAnsi="宋体"/>
                <w:b w:val="0"/>
                <w:bCs/>
                <w:spacing w:val="-4"/>
                <w:szCs w:val="21"/>
              </w:rPr>
              <w:t>#</w:t>
            </w:r>
            <w:r>
              <w:rPr>
                <w:rFonts w:hint="eastAsia" w:ascii="宋体" w:hAnsi="宋体"/>
                <w:b w:val="0"/>
                <w:bCs/>
                <w:spacing w:val="-4"/>
                <w:szCs w:val="21"/>
              </w:rPr>
              <w:t>黑火药库</w:t>
            </w:r>
          </w:p>
          <w:p w14:paraId="3397EB3E">
            <w:pPr>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w:t>
            </w:r>
            <w:r>
              <w:rPr>
                <w:rFonts w:hint="eastAsia" w:ascii="宋体" w:hAnsi="宋体"/>
                <w:b w:val="0"/>
                <w:bCs/>
                <w:spacing w:val="-4"/>
                <w:szCs w:val="21"/>
                <w:vertAlign w:val="superscript"/>
              </w:rPr>
              <w:t>2</w:t>
            </w:r>
            <w:r>
              <w:rPr>
                <w:rFonts w:hint="eastAsia" w:ascii="宋体" w:hAnsi="宋体"/>
                <w:b w:val="0"/>
                <w:bCs/>
                <w:spacing w:val="-4"/>
                <w:szCs w:val="21"/>
              </w:rPr>
              <w:t>级、10</w:t>
            </w:r>
            <w:r>
              <w:rPr>
                <w:rFonts w:ascii="宋体" w:hAnsi="宋体"/>
                <w:b w:val="0"/>
                <w:bCs/>
                <w:spacing w:val="-4"/>
                <w:szCs w:val="21"/>
              </w:rPr>
              <w:t>00kg</w:t>
            </w:r>
            <w:r>
              <w:rPr>
                <w:rFonts w:hint="eastAsia" w:ascii="宋体" w:hAnsi="宋体"/>
                <w:b w:val="0"/>
                <w:bCs/>
                <w:spacing w:val="-4"/>
                <w:szCs w:val="21"/>
              </w:rPr>
              <w:t>）</w:t>
            </w:r>
          </w:p>
        </w:tc>
        <w:tc>
          <w:tcPr>
            <w:tcW w:w="409" w:type="pct"/>
            <w:shd w:val="clear" w:color="auto" w:fill="auto"/>
            <w:vAlign w:val="center"/>
          </w:tcPr>
          <w:p w14:paraId="0241C55D">
            <w:pPr>
              <w:jc w:val="center"/>
              <w:rPr>
                <w:rFonts w:ascii="宋体" w:hAnsi="宋体"/>
                <w:b w:val="0"/>
                <w:bCs/>
                <w:spacing w:val="-4"/>
                <w:kern w:val="0"/>
                <w:szCs w:val="21"/>
              </w:rPr>
            </w:pPr>
            <w:r>
              <w:rPr>
                <w:rFonts w:hint="eastAsia" w:ascii="宋体" w:hAnsi="宋体"/>
                <w:b w:val="0"/>
                <w:bCs/>
                <w:spacing w:val="-4"/>
                <w:kern w:val="0"/>
                <w:szCs w:val="21"/>
              </w:rPr>
              <w:t>16</w:t>
            </w:r>
          </w:p>
        </w:tc>
        <w:tc>
          <w:tcPr>
            <w:tcW w:w="357" w:type="pct"/>
            <w:shd w:val="clear" w:color="auto" w:fill="auto"/>
            <w:vAlign w:val="center"/>
          </w:tcPr>
          <w:p w14:paraId="18972D52">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33</w:t>
            </w:r>
          </w:p>
        </w:tc>
        <w:tc>
          <w:tcPr>
            <w:tcW w:w="388" w:type="pct"/>
            <w:vAlign w:val="center"/>
          </w:tcPr>
          <w:p w14:paraId="03F66489">
            <w:pPr>
              <w:jc w:val="center"/>
              <w:rPr>
                <w:rFonts w:ascii="宋体" w:hAnsi="宋体"/>
                <w:b w:val="0"/>
                <w:bCs/>
                <w:szCs w:val="21"/>
              </w:rPr>
            </w:pPr>
            <w:r>
              <w:rPr>
                <w:rFonts w:hint="eastAsia" w:ascii="宋体" w:hAnsi="宋体"/>
                <w:b w:val="0"/>
                <w:bCs/>
                <w:szCs w:val="21"/>
              </w:rPr>
              <w:t>双有</w:t>
            </w:r>
          </w:p>
        </w:tc>
        <w:tc>
          <w:tcPr>
            <w:tcW w:w="888" w:type="pct"/>
            <w:vAlign w:val="center"/>
          </w:tcPr>
          <w:p w14:paraId="75D64728">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3</w:t>
            </w:r>
          </w:p>
        </w:tc>
      </w:tr>
      <w:tr w14:paraId="5640C4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5BF16E58">
            <w:pPr>
              <w:jc w:val="center"/>
              <w:rPr>
                <w:rFonts w:ascii="宋体" w:hAnsi="宋体" w:cs="Arial"/>
                <w:b w:val="0"/>
                <w:bCs/>
                <w:szCs w:val="21"/>
              </w:rPr>
            </w:pPr>
          </w:p>
        </w:tc>
        <w:tc>
          <w:tcPr>
            <w:tcW w:w="353" w:type="pct"/>
            <w:vMerge w:val="continue"/>
            <w:shd w:val="clear" w:color="auto" w:fill="auto"/>
            <w:vAlign w:val="center"/>
          </w:tcPr>
          <w:p w14:paraId="5D9F9BAA">
            <w:pPr>
              <w:jc w:val="center"/>
              <w:rPr>
                <w:rFonts w:ascii="宋体" w:hAnsi="宋体" w:cs="Arial"/>
                <w:b w:val="0"/>
                <w:bCs/>
                <w:szCs w:val="21"/>
              </w:rPr>
            </w:pPr>
          </w:p>
        </w:tc>
        <w:tc>
          <w:tcPr>
            <w:tcW w:w="518" w:type="pct"/>
            <w:vMerge w:val="continue"/>
            <w:shd w:val="clear" w:color="auto" w:fill="auto"/>
            <w:vAlign w:val="center"/>
          </w:tcPr>
          <w:p w14:paraId="3940D50B">
            <w:pPr>
              <w:jc w:val="center"/>
              <w:rPr>
                <w:rFonts w:ascii="宋体" w:hAnsi="宋体" w:cs="Arial"/>
                <w:b w:val="0"/>
                <w:bCs/>
                <w:szCs w:val="21"/>
              </w:rPr>
            </w:pPr>
          </w:p>
        </w:tc>
        <w:tc>
          <w:tcPr>
            <w:tcW w:w="1075" w:type="pct"/>
            <w:shd w:val="clear" w:color="auto" w:fill="auto"/>
            <w:vAlign w:val="center"/>
          </w:tcPr>
          <w:p w14:paraId="727CB3C6">
            <w:pPr>
              <w:jc w:val="center"/>
              <w:rPr>
                <w:rFonts w:ascii="宋体" w:hAnsi="宋体"/>
                <w:b w:val="0"/>
                <w:bCs/>
                <w:spacing w:val="-4"/>
                <w:szCs w:val="21"/>
              </w:rPr>
            </w:pPr>
            <w:r>
              <w:rPr>
                <w:rFonts w:hint="eastAsia" w:ascii="宋体" w:hAnsi="宋体"/>
                <w:b w:val="0"/>
                <w:bCs/>
                <w:spacing w:val="-4"/>
                <w:szCs w:val="21"/>
              </w:rPr>
              <w:t>90</w:t>
            </w:r>
            <w:r>
              <w:rPr>
                <w:rFonts w:ascii="宋体" w:hAnsi="宋体"/>
                <w:b w:val="0"/>
                <w:bCs/>
                <w:spacing w:val="-4"/>
                <w:szCs w:val="21"/>
              </w:rPr>
              <w:t>#</w:t>
            </w:r>
            <w:r>
              <w:rPr>
                <w:rFonts w:hint="eastAsia" w:ascii="宋体" w:hAnsi="宋体"/>
                <w:b w:val="0"/>
                <w:bCs/>
                <w:spacing w:val="-4"/>
                <w:szCs w:val="21"/>
              </w:rPr>
              <w:t>成品库</w:t>
            </w:r>
          </w:p>
          <w:p w14:paraId="3B0F6E5F">
            <w:pPr>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w:t>
            </w:r>
            <w:r>
              <w:rPr>
                <w:rFonts w:hint="eastAsia" w:ascii="宋体" w:hAnsi="宋体"/>
                <w:b w:val="0"/>
                <w:bCs/>
                <w:spacing w:val="-4"/>
                <w:szCs w:val="21"/>
              </w:rPr>
              <w:t>3级、100</w:t>
            </w:r>
            <w:r>
              <w:rPr>
                <w:rFonts w:ascii="宋体" w:hAnsi="宋体"/>
                <w:b w:val="0"/>
                <w:bCs/>
                <w:spacing w:val="-4"/>
                <w:szCs w:val="21"/>
              </w:rPr>
              <w:t>00kg</w:t>
            </w:r>
            <w:r>
              <w:rPr>
                <w:rFonts w:hint="eastAsia" w:ascii="宋体" w:hAnsi="宋体"/>
                <w:b w:val="0"/>
                <w:bCs/>
                <w:spacing w:val="-4"/>
                <w:szCs w:val="21"/>
              </w:rPr>
              <w:t>）</w:t>
            </w:r>
          </w:p>
        </w:tc>
        <w:tc>
          <w:tcPr>
            <w:tcW w:w="409" w:type="pct"/>
            <w:shd w:val="clear" w:color="auto" w:fill="auto"/>
            <w:vAlign w:val="center"/>
          </w:tcPr>
          <w:p w14:paraId="2598DFF7">
            <w:pPr>
              <w:jc w:val="center"/>
              <w:rPr>
                <w:rFonts w:ascii="宋体" w:hAnsi="宋体"/>
                <w:b w:val="0"/>
                <w:bCs/>
                <w:spacing w:val="-4"/>
                <w:kern w:val="0"/>
                <w:szCs w:val="21"/>
              </w:rPr>
            </w:pPr>
            <w:r>
              <w:rPr>
                <w:rFonts w:hint="eastAsia" w:ascii="宋体" w:hAnsi="宋体"/>
                <w:b w:val="0"/>
                <w:bCs/>
                <w:spacing w:val="-4"/>
                <w:kern w:val="0"/>
                <w:szCs w:val="21"/>
              </w:rPr>
              <w:t>30</w:t>
            </w:r>
          </w:p>
        </w:tc>
        <w:tc>
          <w:tcPr>
            <w:tcW w:w="357" w:type="pct"/>
            <w:shd w:val="clear" w:color="auto" w:fill="auto"/>
            <w:vAlign w:val="center"/>
          </w:tcPr>
          <w:p w14:paraId="7162934A">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51</w:t>
            </w:r>
          </w:p>
        </w:tc>
        <w:tc>
          <w:tcPr>
            <w:tcW w:w="388" w:type="pct"/>
            <w:vAlign w:val="center"/>
          </w:tcPr>
          <w:p w14:paraId="16820F2F">
            <w:pPr>
              <w:jc w:val="center"/>
              <w:rPr>
                <w:rFonts w:ascii="宋体" w:hAnsi="宋体"/>
                <w:b w:val="0"/>
                <w:bCs/>
                <w:szCs w:val="21"/>
              </w:rPr>
            </w:pPr>
            <w:r>
              <w:rPr>
                <w:rFonts w:hint="eastAsia" w:ascii="宋体" w:hAnsi="宋体"/>
                <w:b w:val="0"/>
                <w:bCs/>
                <w:szCs w:val="21"/>
              </w:rPr>
              <w:t>单有</w:t>
            </w:r>
          </w:p>
        </w:tc>
        <w:tc>
          <w:tcPr>
            <w:tcW w:w="888" w:type="pct"/>
            <w:vAlign w:val="center"/>
          </w:tcPr>
          <w:p w14:paraId="37D18BCA">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4</w:t>
            </w:r>
          </w:p>
        </w:tc>
      </w:tr>
      <w:tr w14:paraId="37CB5D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restart"/>
            <w:shd w:val="clear" w:color="auto" w:fill="auto"/>
            <w:vAlign w:val="center"/>
          </w:tcPr>
          <w:p w14:paraId="7F192C3A">
            <w:pPr>
              <w:jc w:val="center"/>
              <w:rPr>
                <w:rFonts w:ascii="宋体" w:hAnsi="宋体" w:cs="Arial"/>
                <w:b w:val="0"/>
                <w:bCs/>
                <w:szCs w:val="21"/>
              </w:rPr>
            </w:pPr>
            <w:r>
              <w:rPr>
                <w:rFonts w:hint="eastAsia" w:ascii="宋体" w:hAnsi="宋体" w:cs="Arial"/>
                <w:b w:val="0"/>
                <w:bCs/>
                <w:szCs w:val="21"/>
              </w:rPr>
              <w:t>66</w:t>
            </w:r>
            <w:r>
              <w:rPr>
                <w:rFonts w:ascii="宋体" w:hAnsi="宋体" w:cs="Arial"/>
                <w:b w:val="0"/>
                <w:bCs/>
                <w:szCs w:val="21"/>
              </w:rPr>
              <w:t>#</w:t>
            </w:r>
            <w:r>
              <w:rPr>
                <w:rFonts w:hint="eastAsia" w:ascii="宋体" w:hAnsi="宋体" w:cs="Arial"/>
                <w:b w:val="0"/>
                <w:bCs/>
                <w:szCs w:val="21"/>
              </w:rPr>
              <w:t>包装</w:t>
            </w:r>
          </w:p>
        </w:tc>
        <w:tc>
          <w:tcPr>
            <w:tcW w:w="353" w:type="pct"/>
            <w:vMerge w:val="restart"/>
            <w:shd w:val="clear" w:color="auto" w:fill="auto"/>
            <w:vAlign w:val="center"/>
          </w:tcPr>
          <w:p w14:paraId="007FE56D">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-1</w:t>
            </w:r>
          </w:p>
        </w:tc>
        <w:tc>
          <w:tcPr>
            <w:tcW w:w="518" w:type="pct"/>
            <w:vMerge w:val="restart"/>
            <w:shd w:val="clear" w:color="auto" w:fill="auto"/>
            <w:vAlign w:val="center"/>
          </w:tcPr>
          <w:p w14:paraId="7621EC36">
            <w:pPr>
              <w:jc w:val="center"/>
              <w:rPr>
                <w:rFonts w:ascii="宋体" w:hAnsi="宋体" w:cs="Arial"/>
                <w:b w:val="0"/>
                <w:bCs/>
                <w:szCs w:val="21"/>
              </w:rPr>
            </w:pPr>
            <w:r>
              <w:rPr>
                <w:rFonts w:hint="eastAsia" w:ascii="宋体" w:hAnsi="宋体" w:cs="Arial"/>
                <w:b w:val="0"/>
                <w:bCs/>
                <w:szCs w:val="21"/>
              </w:rPr>
              <w:t>3</w:t>
            </w:r>
            <w:r>
              <w:rPr>
                <w:rFonts w:ascii="宋体" w:hAnsi="宋体" w:cs="Arial"/>
                <w:b w:val="0"/>
                <w:bCs/>
                <w:szCs w:val="21"/>
              </w:rPr>
              <w:t>0</w:t>
            </w:r>
          </w:p>
        </w:tc>
        <w:tc>
          <w:tcPr>
            <w:tcW w:w="1075" w:type="pct"/>
            <w:shd w:val="clear" w:color="auto" w:fill="auto"/>
            <w:vAlign w:val="center"/>
          </w:tcPr>
          <w:p w14:paraId="1F9F508F">
            <w:pPr>
              <w:jc w:val="center"/>
              <w:rPr>
                <w:rFonts w:ascii="宋体" w:hAnsi="宋体"/>
                <w:b w:val="0"/>
                <w:bCs/>
                <w:spacing w:val="-4"/>
                <w:szCs w:val="21"/>
              </w:rPr>
            </w:pPr>
            <w:r>
              <w:rPr>
                <w:rFonts w:hint="eastAsia" w:ascii="宋体" w:hAnsi="宋体"/>
                <w:b w:val="0"/>
                <w:bCs/>
                <w:spacing w:val="-4"/>
                <w:szCs w:val="21"/>
              </w:rPr>
              <w:t>65</w:t>
            </w:r>
            <w:r>
              <w:rPr>
                <w:rFonts w:ascii="宋体" w:hAnsi="宋体"/>
                <w:b w:val="0"/>
                <w:bCs/>
                <w:spacing w:val="-4"/>
                <w:szCs w:val="21"/>
              </w:rPr>
              <w:t>#</w:t>
            </w:r>
            <w:r>
              <w:rPr>
                <w:rFonts w:hint="eastAsia" w:ascii="宋体" w:hAnsi="宋体"/>
                <w:b w:val="0"/>
                <w:bCs/>
                <w:spacing w:val="-4"/>
                <w:szCs w:val="21"/>
              </w:rPr>
              <w:t xml:space="preserve">包装中转  </w:t>
            </w:r>
          </w:p>
          <w:p w14:paraId="2B1E1285">
            <w:pPr>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-1</w:t>
            </w:r>
            <w:r>
              <w:rPr>
                <w:rFonts w:hint="eastAsia" w:ascii="宋体" w:hAnsi="宋体"/>
                <w:b w:val="0"/>
                <w:bCs/>
                <w:spacing w:val="-4"/>
                <w:szCs w:val="21"/>
              </w:rPr>
              <w:t>级、200</w:t>
            </w:r>
            <w:r>
              <w:rPr>
                <w:rFonts w:ascii="宋体" w:hAnsi="宋体"/>
                <w:b w:val="0"/>
                <w:bCs/>
                <w:spacing w:val="-4"/>
                <w:szCs w:val="21"/>
              </w:rPr>
              <w:t>kg</w:t>
            </w:r>
            <w:r>
              <w:rPr>
                <w:rFonts w:hint="eastAsia" w:ascii="宋体" w:hAnsi="宋体"/>
                <w:b w:val="0"/>
                <w:bCs/>
                <w:spacing w:val="-4"/>
                <w:szCs w:val="21"/>
              </w:rPr>
              <w:t>）</w:t>
            </w:r>
          </w:p>
        </w:tc>
        <w:tc>
          <w:tcPr>
            <w:tcW w:w="409" w:type="pct"/>
            <w:shd w:val="clear" w:color="auto" w:fill="auto"/>
            <w:vAlign w:val="center"/>
          </w:tcPr>
          <w:p w14:paraId="292F5F0E">
            <w:pPr>
              <w:jc w:val="center"/>
              <w:rPr>
                <w:rFonts w:ascii="宋体" w:hAnsi="宋体"/>
                <w:b w:val="0"/>
                <w:bCs/>
                <w:spacing w:val="-4"/>
                <w:kern w:val="0"/>
                <w:szCs w:val="21"/>
              </w:rPr>
            </w:pPr>
            <w:r>
              <w:rPr>
                <w:rFonts w:hint="eastAsia" w:ascii="宋体" w:hAnsi="宋体"/>
                <w:b w:val="0"/>
                <w:bCs/>
                <w:spacing w:val="-4"/>
                <w:kern w:val="0"/>
                <w:szCs w:val="21"/>
              </w:rPr>
              <w:t>14</w:t>
            </w:r>
          </w:p>
        </w:tc>
        <w:tc>
          <w:tcPr>
            <w:tcW w:w="357" w:type="pct"/>
            <w:shd w:val="clear" w:color="auto" w:fill="auto"/>
            <w:vAlign w:val="center"/>
          </w:tcPr>
          <w:p w14:paraId="43278587">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15</w:t>
            </w:r>
          </w:p>
        </w:tc>
        <w:tc>
          <w:tcPr>
            <w:tcW w:w="388" w:type="pct"/>
            <w:vAlign w:val="center"/>
          </w:tcPr>
          <w:p w14:paraId="57BF207B">
            <w:pPr>
              <w:jc w:val="center"/>
              <w:rPr>
                <w:rFonts w:ascii="宋体" w:hAnsi="宋体"/>
                <w:b w:val="0"/>
                <w:bCs/>
                <w:szCs w:val="21"/>
              </w:rPr>
            </w:pPr>
            <w:r>
              <w:rPr>
                <w:rFonts w:hint="eastAsia" w:ascii="宋体" w:hAnsi="宋体"/>
                <w:b w:val="0"/>
                <w:bCs/>
                <w:szCs w:val="21"/>
              </w:rPr>
              <w:t>双有</w:t>
            </w:r>
          </w:p>
        </w:tc>
        <w:tc>
          <w:tcPr>
            <w:tcW w:w="888" w:type="pct"/>
            <w:vAlign w:val="center"/>
          </w:tcPr>
          <w:p w14:paraId="16D08510">
            <w:pPr>
              <w:jc w:val="center"/>
              <w:rPr>
                <w:rFonts w:ascii="宋体" w:hAnsi="宋体" w:cs="宋体"/>
                <w:b w:val="0"/>
                <w:bCs/>
                <w:szCs w:val="21"/>
              </w:rPr>
            </w:pPr>
            <w:r>
              <w:rPr>
                <w:rFonts w:hint="eastAsia" w:ascii="宋体" w:hAnsi="宋体" w:cs="宋体"/>
                <w:b w:val="0"/>
                <w:bCs/>
                <w:szCs w:val="21"/>
              </w:rPr>
              <w:t>GB50161-2022中第5</w:t>
            </w:r>
            <w:r>
              <w:rPr>
                <w:rFonts w:ascii="宋体" w:hAnsi="宋体" w:cs="宋体"/>
                <w:b w:val="0"/>
                <w:bCs/>
                <w:szCs w:val="21"/>
              </w:rPr>
              <w:t>.2.2</w:t>
            </w:r>
          </w:p>
        </w:tc>
      </w:tr>
      <w:tr w14:paraId="63DFD0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2F6FEEF6">
            <w:pPr>
              <w:jc w:val="center"/>
              <w:rPr>
                <w:rFonts w:ascii="宋体" w:hAnsi="宋体" w:cs="Arial"/>
                <w:b w:val="0"/>
                <w:bCs/>
                <w:szCs w:val="21"/>
              </w:rPr>
            </w:pPr>
          </w:p>
        </w:tc>
        <w:tc>
          <w:tcPr>
            <w:tcW w:w="353" w:type="pct"/>
            <w:vMerge w:val="continue"/>
            <w:shd w:val="clear" w:color="auto" w:fill="auto"/>
            <w:vAlign w:val="center"/>
          </w:tcPr>
          <w:p w14:paraId="6666F4F8">
            <w:pPr>
              <w:jc w:val="center"/>
              <w:rPr>
                <w:rFonts w:ascii="宋体" w:hAnsi="宋体" w:cs="Arial"/>
                <w:b w:val="0"/>
                <w:bCs/>
                <w:szCs w:val="21"/>
              </w:rPr>
            </w:pPr>
          </w:p>
        </w:tc>
        <w:tc>
          <w:tcPr>
            <w:tcW w:w="518" w:type="pct"/>
            <w:vMerge w:val="continue"/>
            <w:shd w:val="clear" w:color="auto" w:fill="auto"/>
            <w:vAlign w:val="center"/>
          </w:tcPr>
          <w:p w14:paraId="291BACAB">
            <w:pPr>
              <w:jc w:val="center"/>
              <w:rPr>
                <w:rFonts w:ascii="宋体" w:hAnsi="宋体" w:cs="Arial"/>
                <w:b w:val="0"/>
                <w:bCs/>
                <w:szCs w:val="21"/>
              </w:rPr>
            </w:pPr>
          </w:p>
        </w:tc>
        <w:tc>
          <w:tcPr>
            <w:tcW w:w="1075" w:type="pct"/>
            <w:shd w:val="clear" w:color="auto" w:fill="auto"/>
            <w:vAlign w:val="center"/>
          </w:tcPr>
          <w:p w14:paraId="4F5787FD">
            <w:pPr>
              <w:jc w:val="center"/>
              <w:rPr>
                <w:rFonts w:ascii="宋体" w:hAnsi="宋体"/>
                <w:b w:val="0"/>
                <w:bCs/>
                <w:spacing w:val="-4"/>
                <w:szCs w:val="21"/>
              </w:rPr>
            </w:pPr>
            <w:r>
              <w:rPr>
                <w:rFonts w:hint="eastAsia" w:ascii="宋体" w:hAnsi="宋体"/>
                <w:b w:val="0"/>
                <w:bCs/>
                <w:spacing w:val="-4"/>
                <w:szCs w:val="21"/>
              </w:rPr>
              <w:t>67</w:t>
            </w:r>
            <w:r>
              <w:rPr>
                <w:rFonts w:ascii="宋体" w:hAnsi="宋体"/>
                <w:b w:val="0"/>
                <w:bCs/>
                <w:spacing w:val="-4"/>
                <w:szCs w:val="21"/>
              </w:rPr>
              <w:t>#</w:t>
            </w:r>
            <w:r>
              <w:rPr>
                <w:rFonts w:hint="eastAsia" w:ascii="宋体" w:hAnsi="宋体"/>
                <w:b w:val="0"/>
                <w:bCs/>
                <w:spacing w:val="-4"/>
                <w:szCs w:val="21"/>
              </w:rPr>
              <w:t>电烘房/散热</w:t>
            </w:r>
          </w:p>
          <w:p w14:paraId="3059876E">
            <w:pPr>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-1</w:t>
            </w:r>
            <w:r>
              <w:rPr>
                <w:rFonts w:hint="eastAsia" w:ascii="宋体" w:hAnsi="宋体"/>
                <w:b w:val="0"/>
                <w:bCs/>
                <w:spacing w:val="-4"/>
                <w:szCs w:val="21"/>
              </w:rPr>
              <w:t>级、500</w:t>
            </w:r>
            <w:r>
              <w:rPr>
                <w:rFonts w:ascii="宋体" w:hAnsi="宋体"/>
                <w:b w:val="0"/>
                <w:bCs/>
                <w:spacing w:val="-4"/>
                <w:szCs w:val="21"/>
              </w:rPr>
              <w:t>kg</w:t>
            </w:r>
            <w:r>
              <w:rPr>
                <w:rFonts w:hint="eastAsia" w:ascii="宋体" w:hAnsi="宋体"/>
                <w:b w:val="0"/>
                <w:bCs/>
                <w:spacing w:val="-4"/>
                <w:szCs w:val="21"/>
              </w:rPr>
              <w:t>）</w:t>
            </w:r>
          </w:p>
        </w:tc>
        <w:tc>
          <w:tcPr>
            <w:tcW w:w="409" w:type="pct"/>
            <w:shd w:val="clear" w:color="auto" w:fill="auto"/>
            <w:vAlign w:val="center"/>
          </w:tcPr>
          <w:p w14:paraId="50B8866E">
            <w:pPr>
              <w:jc w:val="center"/>
              <w:rPr>
                <w:rFonts w:ascii="宋体" w:hAnsi="宋体"/>
                <w:b w:val="0"/>
                <w:bCs/>
                <w:spacing w:val="-4"/>
                <w:kern w:val="0"/>
                <w:szCs w:val="21"/>
              </w:rPr>
            </w:pPr>
            <w:r>
              <w:rPr>
                <w:rFonts w:hint="eastAsia" w:ascii="宋体" w:hAnsi="宋体"/>
                <w:b w:val="0"/>
                <w:bCs/>
                <w:spacing w:val="-4"/>
                <w:kern w:val="0"/>
                <w:szCs w:val="21"/>
              </w:rPr>
              <w:t>20</w:t>
            </w:r>
          </w:p>
        </w:tc>
        <w:tc>
          <w:tcPr>
            <w:tcW w:w="357" w:type="pct"/>
            <w:shd w:val="clear" w:color="auto" w:fill="auto"/>
            <w:vAlign w:val="center"/>
          </w:tcPr>
          <w:p w14:paraId="661CDC3E">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20</w:t>
            </w:r>
          </w:p>
        </w:tc>
        <w:tc>
          <w:tcPr>
            <w:tcW w:w="388" w:type="pct"/>
            <w:vAlign w:val="center"/>
          </w:tcPr>
          <w:p w14:paraId="47CD16BE">
            <w:pPr>
              <w:jc w:val="center"/>
              <w:rPr>
                <w:rFonts w:ascii="宋体" w:hAnsi="宋体"/>
                <w:b w:val="0"/>
                <w:bCs/>
                <w:szCs w:val="21"/>
              </w:rPr>
            </w:pPr>
            <w:r>
              <w:rPr>
                <w:rFonts w:hint="eastAsia" w:ascii="宋体" w:hAnsi="宋体"/>
                <w:b w:val="0"/>
                <w:bCs/>
                <w:szCs w:val="21"/>
              </w:rPr>
              <w:t>双有</w:t>
            </w:r>
          </w:p>
        </w:tc>
        <w:tc>
          <w:tcPr>
            <w:tcW w:w="888" w:type="pct"/>
            <w:vAlign w:val="center"/>
          </w:tcPr>
          <w:p w14:paraId="6F9D90D0">
            <w:pPr>
              <w:jc w:val="center"/>
              <w:rPr>
                <w:rFonts w:ascii="宋体" w:hAnsi="宋体" w:cs="宋体"/>
                <w:b w:val="0"/>
                <w:bCs/>
                <w:szCs w:val="21"/>
              </w:rPr>
            </w:pPr>
            <w:r>
              <w:rPr>
                <w:rFonts w:hint="eastAsia" w:ascii="宋体" w:hAnsi="宋体" w:cs="宋体"/>
                <w:b w:val="0"/>
                <w:bCs/>
                <w:szCs w:val="21"/>
              </w:rPr>
              <w:t>GB50161-2022中第5</w:t>
            </w:r>
            <w:r>
              <w:rPr>
                <w:rFonts w:ascii="宋体" w:hAnsi="宋体" w:cs="宋体"/>
                <w:b w:val="0"/>
                <w:bCs/>
                <w:szCs w:val="21"/>
              </w:rPr>
              <w:t>.2.2</w:t>
            </w:r>
          </w:p>
        </w:tc>
      </w:tr>
      <w:tr w14:paraId="3E3496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restart"/>
            <w:shd w:val="clear" w:color="auto" w:fill="auto"/>
            <w:vAlign w:val="center"/>
          </w:tcPr>
          <w:p w14:paraId="644CA4B8">
            <w:pPr>
              <w:jc w:val="center"/>
              <w:rPr>
                <w:rFonts w:ascii="宋体" w:hAnsi="宋体" w:cs="Arial"/>
                <w:b w:val="0"/>
                <w:bCs/>
                <w:szCs w:val="21"/>
              </w:rPr>
            </w:pPr>
            <w:r>
              <w:rPr>
                <w:rFonts w:hint="eastAsia" w:ascii="宋体" w:hAnsi="宋体" w:cs="Arial"/>
                <w:b w:val="0"/>
                <w:bCs/>
                <w:szCs w:val="21"/>
              </w:rPr>
              <w:t>6</w:t>
            </w:r>
            <w:r>
              <w:rPr>
                <w:rFonts w:ascii="宋体" w:hAnsi="宋体" w:cs="Arial"/>
                <w:b w:val="0"/>
                <w:bCs/>
                <w:szCs w:val="21"/>
              </w:rPr>
              <w:t>9#</w:t>
            </w:r>
            <w:r>
              <w:rPr>
                <w:rFonts w:hint="eastAsia" w:ascii="宋体" w:hAnsi="宋体" w:cs="Arial"/>
                <w:b w:val="0"/>
                <w:bCs/>
                <w:szCs w:val="21"/>
              </w:rPr>
              <w:t>摊晾</w:t>
            </w:r>
          </w:p>
        </w:tc>
        <w:tc>
          <w:tcPr>
            <w:tcW w:w="353" w:type="pct"/>
            <w:vMerge w:val="restart"/>
            <w:shd w:val="clear" w:color="auto" w:fill="auto"/>
            <w:vAlign w:val="center"/>
          </w:tcPr>
          <w:p w14:paraId="1C4C3431">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-1</w:t>
            </w:r>
          </w:p>
        </w:tc>
        <w:tc>
          <w:tcPr>
            <w:tcW w:w="518" w:type="pct"/>
            <w:vMerge w:val="restart"/>
            <w:shd w:val="clear" w:color="auto" w:fill="auto"/>
            <w:vAlign w:val="center"/>
          </w:tcPr>
          <w:p w14:paraId="70C5CFC7">
            <w:pPr>
              <w:jc w:val="center"/>
              <w:rPr>
                <w:rFonts w:ascii="宋体" w:hAnsi="宋体" w:cs="Arial"/>
                <w:b w:val="0"/>
                <w:bCs/>
                <w:szCs w:val="21"/>
              </w:rPr>
            </w:pPr>
            <w:r>
              <w:rPr>
                <w:rFonts w:hint="eastAsia" w:ascii="宋体" w:hAnsi="宋体" w:cs="Arial"/>
                <w:b w:val="0"/>
                <w:bCs/>
                <w:szCs w:val="21"/>
              </w:rPr>
              <w:t>30</w:t>
            </w:r>
          </w:p>
        </w:tc>
        <w:tc>
          <w:tcPr>
            <w:tcW w:w="1075" w:type="pct"/>
            <w:shd w:val="clear" w:color="auto" w:fill="auto"/>
            <w:vAlign w:val="center"/>
          </w:tcPr>
          <w:p w14:paraId="05DA1C59">
            <w:pPr>
              <w:jc w:val="center"/>
              <w:rPr>
                <w:rFonts w:ascii="宋体" w:hAnsi="宋体"/>
                <w:b w:val="0"/>
                <w:bCs/>
                <w:spacing w:val="-4"/>
                <w:szCs w:val="21"/>
              </w:rPr>
            </w:pPr>
            <w:r>
              <w:rPr>
                <w:rFonts w:hint="eastAsia" w:ascii="宋体" w:hAnsi="宋体"/>
                <w:b w:val="0"/>
                <w:bCs/>
                <w:spacing w:val="-4"/>
                <w:szCs w:val="21"/>
              </w:rPr>
              <w:t>67</w:t>
            </w:r>
            <w:r>
              <w:rPr>
                <w:rFonts w:ascii="宋体" w:hAnsi="宋体"/>
                <w:b w:val="0"/>
                <w:bCs/>
                <w:spacing w:val="-4"/>
                <w:szCs w:val="21"/>
              </w:rPr>
              <w:t>#</w:t>
            </w:r>
            <w:r>
              <w:rPr>
                <w:rFonts w:hint="eastAsia" w:ascii="宋体" w:hAnsi="宋体"/>
                <w:b w:val="0"/>
                <w:bCs/>
                <w:spacing w:val="-4"/>
                <w:szCs w:val="21"/>
              </w:rPr>
              <w:t>电烘房/散热</w:t>
            </w:r>
          </w:p>
          <w:p w14:paraId="26125CD5">
            <w:pPr>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-1</w:t>
            </w:r>
            <w:r>
              <w:rPr>
                <w:rFonts w:hint="eastAsia" w:ascii="宋体" w:hAnsi="宋体"/>
                <w:b w:val="0"/>
                <w:bCs/>
                <w:spacing w:val="-4"/>
                <w:szCs w:val="21"/>
              </w:rPr>
              <w:t>级、500</w:t>
            </w:r>
            <w:r>
              <w:rPr>
                <w:rFonts w:ascii="宋体" w:hAnsi="宋体"/>
                <w:b w:val="0"/>
                <w:bCs/>
                <w:spacing w:val="-4"/>
                <w:szCs w:val="21"/>
              </w:rPr>
              <w:t>kg</w:t>
            </w:r>
            <w:r>
              <w:rPr>
                <w:rFonts w:hint="eastAsia" w:ascii="宋体" w:hAnsi="宋体"/>
                <w:b w:val="0"/>
                <w:bCs/>
                <w:spacing w:val="-4"/>
                <w:szCs w:val="21"/>
              </w:rPr>
              <w:t>）</w:t>
            </w:r>
          </w:p>
        </w:tc>
        <w:tc>
          <w:tcPr>
            <w:tcW w:w="409" w:type="pct"/>
            <w:shd w:val="clear" w:color="auto" w:fill="auto"/>
            <w:vAlign w:val="center"/>
          </w:tcPr>
          <w:p w14:paraId="7CA1CA6A">
            <w:pPr>
              <w:jc w:val="center"/>
              <w:rPr>
                <w:rFonts w:ascii="宋体" w:hAnsi="宋体"/>
                <w:b w:val="0"/>
                <w:bCs/>
                <w:spacing w:val="-4"/>
                <w:kern w:val="0"/>
                <w:szCs w:val="21"/>
              </w:rPr>
            </w:pPr>
            <w:r>
              <w:rPr>
                <w:rFonts w:hint="eastAsia" w:ascii="宋体" w:hAnsi="宋体"/>
                <w:b w:val="0"/>
                <w:bCs/>
                <w:spacing w:val="-4"/>
                <w:kern w:val="0"/>
                <w:szCs w:val="21"/>
              </w:rPr>
              <w:t>21</w:t>
            </w:r>
          </w:p>
        </w:tc>
        <w:tc>
          <w:tcPr>
            <w:tcW w:w="357" w:type="pct"/>
            <w:shd w:val="clear" w:color="auto" w:fill="auto"/>
            <w:vAlign w:val="center"/>
          </w:tcPr>
          <w:p w14:paraId="4874AE0A">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20</w:t>
            </w:r>
          </w:p>
        </w:tc>
        <w:tc>
          <w:tcPr>
            <w:tcW w:w="388" w:type="pct"/>
            <w:vAlign w:val="center"/>
          </w:tcPr>
          <w:p w14:paraId="16DD1728">
            <w:pPr>
              <w:jc w:val="center"/>
              <w:rPr>
                <w:rFonts w:ascii="宋体" w:hAnsi="宋体"/>
                <w:b w:val="0"/>
                <w:bCs/>
                <w:szCs w:val="21"/>
              </w:rPr>
            </w:pPr>
            <w:r>
              <w:rPr>
                <w:rFonts w:hint="eastAsia" w:ascii="宋体" w:hAnsi="宋体"/>
                <w:b w:val="0"/>
                <w:bCs/>
                <w:szCs w:val="21"/>
              </w:rPr>
              <w:t>双有</w:t>
            </w:r>
          </w:p>
        </w:tc>
        <w:tc>
          <w:tcPr>
            <w:tcW w:w="888" w:type="pct"/>
            <w:vAlign w:val="center"/>
          </w:tcPr>
          <w:p w14:paraId="6FFCE554">
            <w:pPr>
              <w:jc w:val="center"/>
              <w:rPr>
                <w:rFonts w:ascii="宋体" w:hAnsi="宋体" w:cs="宋体"/>
                <w:b w:val="0"/>
                <w:bCs/>
                <w:szCs w:val="21"/>
              </w:rPr>
            </w:pPr>
            <w:r>
              <w:rPr>
                <w:rFonts w:hint="eastAsia" w:ascii="宋体" w:hAnsi="宋体" w:cs="宋体"/>
                <w:b w:val="0"/>
                <w:bCs/>
                <w:szCs w:val="21"/>
              </w:rPr>
              <w:t>GB50161-2022中第5</w:t>
            </w:r>
            <w:r>
              <w:rPr>
                <w:rFonts w:ascii="宋体" w:hAnsi="宋体" w:cs="宋体"/>
                <w:b w:val="0"/>
                <w:bCs/>
                <w:szCs w:val="21"/>
              </w:rPr>
              <w:t>.2.2</w:t>
            </w:r>
          </w:p>
        </w:tc>
      </w:tr>
      <w:tr w14:paraId="696C18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23F95002">
            <w:pPr>
              <w:jc w:val="center"/>
              <w:rPr>
                <w:rFonts w:ascii="宋体" w:hAnsi="宋体" w:cs="Arial"/>
                <w:b w:val="0"/>
                <w:bCs/>
                <w:szCs w:val="21"/>
              </w:rPr>
            </w:pPr>
          </w:p>
        </w:tc>
        <w:tc>
          <w:tcPr>
            <w:tcW w:w="353" w:type="pct"/>
            <w:vMerge w:val="continue"/>
            <w:shd w:val="clear" w:color="auto" w:fill="auto"/>
            <w:vAlign w:val="center"/>
          </w:tcPr>
          <w:p w14:paraId="0DD276C4">
            <w:pPr>
              <w:jc w:val="center"/>
              <w:rPr>
                <w:rFonts w:ascii="宋体" w:hAnsi="宋体" w:cs="Arial"/>
                <w:b w:val="0"/>
                <w:bCs/>
                <w:szCs w:val="21"/>
              </w:rPr>
            </w:pPr>
          </w:p>
        </w:tc>
        <w:tc>
          <w:tcPr>
            <w:tcW w:w="518" w:type="pct"/>
            <w:vMerge w:val="continue"/>
            <w:shd w:val="clear" w:color="auto" w:fill="auto"/>
            <w:vAlign w:val="center"/>
          </w:tcPr>
          <w:p w14:paraId="24283533">
            <w:pPr>
              <w:jc w:val="center"/>
              <w:rPr>
                <w:rFonts w:ascii="宋体" w:hAnsi="宋体" w:cs="Arial"/>
                <w:b w:val="0"/>
                <w:bCs/>
                <w:szCs w:val="21"/>
              </w:rPr>
            </w:pPr>
          </w:p>
        </w:tc>
        <w:tc>
          <w:tcPr>
            <w:tcW w:w="1075" w:type="pct"/>
            <w:shd w:val="clear" w:color="auto" w:fill="auto"/>
            <w:vAlign w:val="center"/>
          </w:tcPr>
          <w:p w14:paraId="38021663">
            <w:pPr>
              <w:jc w:val="center"/>
              <w:rPr>
                <w:rFonts w:ascii="宋体" w:hAnsi="宋体"/>
                <w:b w:val="0"/>
                <w:bCs/>
                <w:spacing w:val="-4"/>
                <w:szCs w:val="21"/>
              </w:rPr>
            </w:pPr>
            <w:r>
              <w:rPr>
                <w:rFonts w:hint="eastAsia" w:ascii="宋体" w:hAnsi="宋体"/>
                <w:b w:val="0"/>
                <w:bCs/>
                <w:spacing w:val="-4"/>
                <w:szCs w:val="21"/>
              </w:rPr>
              <w:t>70</w:t>
            </w:r>
            <w:r>
              <w:rPr>
                <w:rFonts w:ascii="宋体" w:hAnsi="宋体"/>
                <w:b w:val="0"/>
                <w:bCs/>
                <w:spacing w:val="-4"/>
                <w:szCs w:val="21"/>
              </w:rPr>
              <w:t>#</w:t>
            </w:r>
            <w:r>
              <w:rPr>
                <w:rFonts w:hint="eastAsia" w:ascii="宋体" w:hAnsi="宋体"/>
                <w:b w:val="0"/>
                <w:bCs/>
                <w:spacing w:val="-4"/>
                <w:szCs w:val="21"/>
              </w:rPr>
              <w:t xml:space="preserve">筛选中转  </w:t>
            </w:r>
          </w:p>
          <w:p w14:paraId="7B26FD16">
            <w:pPr>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-1</w:t>
            </w:r>
            <w:r>
              <w:rPr>
                <w:rFonts w:hint="eastAsia" w:ascii="宋体" w:hAnsi="宋体"/>
                <w:b w:val="0"/>
                <w:bCs/>
                <w:spacing w:val="-4"/>
                <w:szCs w:val="21"/>
              </w:rPr>
              <w:t>级、100</w:t>
            </w:r>
            <w:r>
              <w:rPr>
                <w:rFonts w:ascii="宋体" w:hAnsi="宋体"/>
                <w:b w:val="0"/>
                <w:bCs/>
                <w:spacing w:val="-4"/>
                <w:szCs w:val="21"/>
              </w:rPr>
              <w:t>kg</w:t>
            </w:r>
            <w:r>
              <w:rPr>
                <w:rFonts w:hint="eastAsia" w:ascii="宋体" w:hAnsi="宋体"/>
                <w:b w:val="0"/>
                <w:bCs/>
                <w:spacing w:val="-4"/>
                <w:szCs w:val="21"/>
              </w:rPr>
              <w:t>）</w:t>
            </w:r>
          </w:p>
        </w:tc>
        <w:tc>
          <w:tcPr>
            <w:tcW w:w="409" w:type="pct"/>
            <w:shd w:val="clear" w:color="auto" w:fill="auto"/>
            <w:vAlign w:val="center"/>
          </w:tcPr>
          <w:p w14:paraId="2F2CE735">
            <w:pPr>
              <w:jc w:val="center"/>
              <w:rPr>
                <w:rFonts w:ascii="宋体" w:hAnsi="宋体"/>
                <w:b w:val="0"/>
                <w:bCs/>
                <w:spacing w:val="-4"/>
                <w:kern w:val="0"/>
                <w:szCs w:val="21"/>
              </w:rPr>
            </w:pPr>
            <w:r>
              <w:rPr>
                <w:rFonts w:hint="eastAsia" w:ascii="宋体" w:hAnsi="宋体"/>
                <w:b w:val="0"/>
                <w:bCs/>
                <w:spacing w:val="-4"/>
                <w:kern w:val="0"/>
                <w:szCs w:val="21"/>
              </w:rPr>
              <w:t>12</w:t>
            </w:r>
          </w:p>
        </w:tc>
        <w:tc>
          <w:tcPr>
            <w:tcW w:w="357" w:type="pct"/>
            <w:shd w:val="clear" w:color="auto" w:fill="auto"/>
            <w:vAlign w:val="center"/>
          </w:tcPr>
          <w:p w14:paraId="6692C511">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12</w:t>
            </w:r>
          </w:p>
        </w:tc>
        <w:tc>
          <w:tcPr>
            <w:tcW w:w="388" w:type="pct"/>
            <w:vAlign w:val="center"/>
          </w:tcPr>
          <w:p w14:paraId="1B6325C1">
            <w:pPr>
              <w:jc w:val="center"/>
              <w:rPr>
                <w:rFonts w:ascii="宋体" w:hAnsi="宋体"/>
                <w:b w:val="0"/>
                <w:bCs/>
                <w:szCs w:val="21"/>
              </w:rPr>
            </w:pPr>
            <w:r>
              <w:rPr>
                <w:rFonts w:hint="eastAsia" w:ascii="宋体" w:hAnsi="宋体"/>
                <w:b w:val="0"/>
                <w:bCs/>
                <w:szCs w:val="21"/>
              </w:rPr>
              <w:t>双有</w:t>
            </w:r>
          </w:p>
        </w:tc>
        <w:tc>
          <w:tcPr>
            <w:tcW w:w="888" w:type="pct"/>
            <w:vAlign w:val="center"/>
          </w:tcPr>
          <w:p w14:paraId="4367040B">
            <w:pPr>
              <w:jc w:val="center"/>
              <w:rPr>
                <w:rFonts w:ascii="宋体" w:hAnsi="宋体" w:cs="宋体"/>
                <w:b w:val="0"/>
                <w:bCs/>
                <w:szCs w:val="21"/>
              </w:rPr>
            </w:pPr>
            <w:r>
              <w:rPr>
                <w:rFonts w:hint="eastAsia" w:ascii="宋体" w:hAnsi="宋体" w:cs="宋体"/>
                <w:b w:val="0"/>
                <w:bCs/>
                <w:szCs w:val="21"/>
              </w:rPr>
              <w:t>GB50161-2022中第5</w:t>
            </w:r>
            <w:r>
              <w:rPr>
                <w:rFonts w:ascii="宋体" w:hAnsi="宋体" w:cs="宋体"/>
                <w:b w:val="0"/>
                <w:bCs/>
                <w:szCs w:val="21"/>
              </w:rPr>
              <w:t>.2.2</w:t>
            </w:r>
          </w:p>
        </w:tc>
      </w:tr>
      <w:tr w14:paraId="44BC49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restart"/>
            <w:shd w:val="clear" w:color="auto" w:fill="auto"/>
            <w:vAlign w:val="center"/>
          </w:tcPr>
          <w:p w14:paraId="1B802637">
            <w:pPr>
              <w:jc w:val="center"/>
              <w:rPr>
                <w:rFonts w:ascii="宋体" w:hAnsi="宋体" w:cs="Arial"/>
                <w:b w:val="0"/>
                <w:bCs/>
                <w:szCs w:val="21"/>
              </w:rPr>
            </w:pPr>
            <w:r>
              <w:rPr>
                <w:rFonts w:hint="eastAsia" w:ascii="宋体" w:hAnsi="宋体" w:cs="Arial"/>
                <w:b w:val="0"/>
                <w:bCs/>
                <w:szCs w:val="21"/>
              </w:rPr>
              <w:t>71</w:t>
            </w:r>
            <w:r>
              <w:rPr>
                <w:rFonts w:ascii="宋体" w:hAnsi="宋体" w:cs="Arial"/>
                <w:b w:val="0"/>
                <w:bCs/>
                <w:szCs w:val="21"/>
              </w:rPr>
              <w:t>#</w:t>
            </w:r>
            <w:r>
              <w:rPr>
                <w:rFonts w:hint="eastAsia" w:ascii="宋体" w:hAnsi="宋体" w:cs="Arial"/>
                <w:b w:val="0"/>
                <w:bCs/>
                <w:szCs w:val="21"/>
              </w:rPr>
              <w:t>机械筛选</w:t>
            </w:r>
          </w:p>
        </w:tc>
        <w:tc>
          <w:tcPr>
            <w:tcW w:w="353" w:type="pct"/>
            <w:vMerge w:val="restart"/>
            <w:shd w:val="clear" w:color="auto" w:fill="auto"/>
            <w:vAlign w:val="center"/>
          </w:tcPr>
          <w:p w14:paraId="3DE9C115">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-1</w:t>
            </w:r>
          </w:p>
        </w:tc>
        <w:tc>
          <w:tcPr>
            <w:tcW w:w="518" w:type="pct"/>
            <w:vMerge w:val="restart"/>
            <w:shd w:val="clear" w:color="auto" w:fill="auto"/>
            <w:vAlign w:val="center"/>
          </w:tcPr>
          <w:p w14:paraId="5D68DCD5">
            <w:pPr>
              <w:jc w:val="center"/>
              <w:rPr>
                <w:rFonts w:ascii="宋体" w:hAnsi="宋体" w:cs="Arial"/>
                <w:b w:val="0"/>
                <w:bCs/>
                <w:szCs w:val="21"/>
              </w:rPr>
            </w:pPr>
            <w:r>
              <w:rPr>
                <w:rFonts w:hint="eastAsia" w:ascii="宋体" w:hAnsi="宋体" w:cs="Arial"/>
                <w:b w:val="0"/>
                <w:bCs/>
                <w:szCs w:val="21"/>
              </w:rPr>
              <w:t>2</w:t>
            </w:r>
            <w:r>
              <w:rPr>
                <w:rFonts w:ascii="宋体" w:hAnsi="宋体" w:cs="Arial"/>
                <w:b w:val="0"/>
                <w:bCs/>
                <w:szCs w:val="21"/>
              </w:rPr>
              <w:t>0</w:t>
            </w:r>
          </w:p>
        </w:tc>
        <w:tc>
          <w:tcPr>
            <w:tcW w:w="1075" w:type="pct"/>
            <w:shd w:val="clear" w:color="auto" w:fill="auto"/>
            <w:vAlign w:val="center"/>
          </w:tcPr>
          <w:p w14:paraId="7B8D15BA">
            <w:pPr>
              <w:jc w:val="center"/>
              <w:rPr>
                <w:rFonts w:ascii="宋体" w:hAnsi="宋体"/>
                <w:b w:val="0"/>
                <w:bCs/>
                <w:spacing w:val="-4"/>
                <w:szCs w:val="21"/>
              </w:rPr>
            </w:pPr>
            <w:r>
              <w:rPr>
                <w:rFonts w:hint="eastAsia" w:ascii="宋体" w:hAnsi="宋体"/>
                <w:b w:val="0"/>
                <w:bCs/>
                <w:spacing w:val="-4"/>
                <w:szCs w:val="21"/>
              </w:rPr>
              <w:t>70</w:t>
            </w:r>
            <w:r>
              <w:rPr>
                <w:rFonts w:ascii="宋体" w:hAnsi="宋体"/>
                <w:b w:val="0"/>
                <w:bCs/>
                <w:spacing w:val="-4"/>
                <w:szCs w:val="21"/>
              </w:rPr>
              <w:t>#</w:t>
            </w:r>
            <w:r>
              <w:rPr>
                <w:rFonts w:hint="eastAsia" w:ascii="宋体" w:hAnsi="宋体"/>
                <w:b w:val="0"/>
                <w:bCs/>
                <w:spacing w:val="-4"/>
                <w:szCs w:val="21"/>
              </w:rPr>
              <w:t xml:space="preserve">筛选中转  </w:t>
            </w:r>
          </w:p>
          <w:p w14:paraId="0445BACF">
            <w:pPr>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-1</w:t>
            </w:r>
            <w:r>
              <w:rPr>
                <w:rFonts w:hint="eastAsia" w:ascii="宋体" w:hAnsi="宋体"/>
                <w:b w:val="0"/>
                <w:bCs/>
                <w:spacing w:val="-4"/>
                <w:szCs w:val="21"/>
              </w:rPr>
              <w:t>级、100</w:t>
            </w:r>
            <w:r>
              <w:rPr>
                <w:rFonts w:ascii="宋体" w:hAnsi="宋体"/>
                <w:b w:val="0"/>
                <w:bCs/>
                <w:spacing w:val="-4"/>
                <w:szCs w:val="21"/>
              </w:rPr>
              <w:t>kg</w:t>
            </w:r>
            <w:r>
              <w:rPr>
                <w:rFonts w:hint="eastAsia" w:ascii="宋体" w:hAnsi="宋体"/>
                <w:b w:val="0"/>
                <w:bCs/>
                <w:spacing w:val="-4"/>
                <w:szCs w:val="21"/>
              </w:rPr>
              <w:t>）</w:t>
            </w:r>
          </w:p>
        </w:tc>
        <w:tc>
          <w:tcPr>
            <w:tcW w:w="409" w:type="pct"/>
            <w:shd w:val="clear" w:color="auto" w:fill="auto"/>
            <w:vAlign w:val="center"/>
          </w:tcPr>
          <w:p w14:paraId="144905BD">
            <w:pPr>
              <w:jc w:val="center"/>
              <w:rPr>
                <w:rFonts w:ascii="宋体" w:hAnsi="宋体"/>
                <w:b w:val="0"/>
                <w:bCs/>
                <w:spacing w:val="-4"/>
                <w:kern w:val="0"/>
                <w:szCs w:val="21"/>
              </w:rPr>
            </w:pPr>
            <w:r>
              <w:rPr>
                <w:rFonts w:hint="eastAsia" w:ascii="宋体" w:hAnsi="宋体"/>
                <w:b w:val="0"/>
                <w:bCs/>
                <w:spacing w:val="-4"/>
                <w:kern w:val="0"/>
                <w:szCs w:val="21"/>
              </w:rPr>
              <w:t>12</w:t>
            </w:r>
          </w:p>
        </w:tc>
        <w:tc>
          <w:tcPr>
            <w:tcW w:w="357" w:type="pct"/>
            <w:shd w:val="clear" w:color="auto" w:fill="auto"/>
            <w:vAlign w:val="center"/>
          </w:tcPr>
          <w:p w14:paraId="68D21C2E">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12</w:t>
            </w:r>
          </w:p>
        </w:tc>
        <w:tc>
          <w:tcPr>
            <w:tcW w:w="388" w:type="pct"/>
            <w:vAlign w:val="center"/>
          </w:tcPr>
          <w:p w14:paraId="0C310E93">
            <w:pPr>
              <w:jc w:val="center"/>
              <w:rPr>
                <w:rFonts w:ascii="宋体" w:hAnsi="宋体"/>
                <w:b w:val="0"/>
                <w:bCs/>
                <w:szCs w:val="21"/>
              </w:rPr>
            </w:pPr>
            <w:r>
              <w:rPr>
                <w:rFonts w:hint="eastAsia" w:ascii="宋体" w:hAnsi="宋体"/>
                <w:b w:val="0"/>
                <w:bCs/>
                <w:szCs w:val="21"/>
              </w:rPr>
              <w:t>双有</w:t>
            </w:r>
          </w:p>
        </w:tc>
        <w:tc>
          <w:tcPr>
            <w:tcW w:w="888" w:type="pct"/>
            <w:vAlign w:val="center"/>
          </w:tcPr>
          <w:p w14:paraId="6BC1AF57">
            <w:pPr>
              <w:jc w:val="center"/>
              <w:rPr>
                <w:rFonts w:ascii="宋体" w:hAnsi="宋体" w:cs="宋体"/>
                <w:b w:val="0"/>
                <w:bCs/>
                <w:szCs w:val="21"/>
              </w:rPr>
            </w:pPr>
            <w:r>
              <w:rPr>
                <w:rFonts w:hint="eastAsia" w:ascii="宋体" w:hAnsi="宋体" w:cs="宋体"/>
                <w:b w:val="0"/>
                <w:bCs/>
                <w:szCs w:val="21"/>
              </w:rPr>
              <w:t>GB50161-2022中第5</w:t>
            </w:r>
            <w:r>
              <w:rPr>
                <w:rFonts w:ascii="宋体" w:hAnsi="宋体" w:cs="宋体"/>
                <w:b w:val="0"/>
                <w:bCs/>
                <w:szCs w:val="21"/>
              </w:rPr>
              <w:t>.2.2</w:t>
            </w:r>
          </w:p>
        </w:tc>
      </w:tr>
      <w:tr w14:paraId="53D280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0D3E9420">
            <w:pPr>
              <w:jc w:val="center"/>
              <w:rPr>
                <w:rFonts w:ascii="宋体" w:hAnsi="宋体" w:cs="Arial"/>
                <w:b w:val="0"/>
                <w:bCs/>
                <w:szCs w:val="21"/>
              </w:rPr>
            </w:pPr>
          </w:p>
        </w:tc>
        <w:tc>
          <w:tcPr>
            <w:tcW w:w="353" w:type="pct"/>
            <w:vMerge w:val="continue"/>
            <w:shd w:val="clear" w:color="auto" w:fill="auto"/>
            <w:vAlign w:val="center"/>
          </w:tcPr>
          <w:p w14:paraId="747E2F07">
            <w:pPr>
              <w:jc w:val="center"/>
              <w:rPr>
                <w:rFonts w:ascii="宋体" w:hAnsi="宋体" w:cs="Arial"/>
                <w:b w:val="0"/>
                <w:bCs/>
                <w:szCs w:val="21"/>
              </w:rPr>
            </w:pPr>
          </w:p>
        </w:tc>
        <w:tc>
          <w:tcPr>
            <w:tcW w:w="518" w:type="pct"/>
            <w:vMerge w:val="continue"/>
            <w:shd w:val="clear" w:color="auto" w:fill="auto"/>
            <w:vAlign w:val="center"/>
          </w:tcPr>
          <w:p w14:paraId="14DC97D2">
            <w:pPr>
              <w:jc w:val="center"/>
              <w:rPr>
                <w:rFonts w:ascii="宋体" w:hAnsi="宋体" w:cs="Arial"/>
                <w:b w:val="0"/>
                <w:bCs/>
                <w:szCs w:val="21"/>
              </w:rPr>
            </w:pPr>
          </w:p>
        </w:tc>
        <w:tc>
          <w:tcPr>
            <w:tcW w:w="1075" w:type="pct"/>
            <w:shd w:val="clear" w:color="auto" w:fill="auto"/>
            <w:vAlign w:val="center"/>
          </w:tcPr>
          <w:p w14:paraId="1FC9D1D1">
            <w:pPr>
              <w:jc w:val="center"/>
              <w:rPr>
                <w:rFonts w:ascii="宋体" w:hAnsi="宋体"/>
                <w:b w:val="0"/>
                <w:bCs/>
                <w:spacing w:val="-4"/>
                <w:szCs w:val="21"/>
              </w:rPr>
            </w:pPr>
            <w:r>
              <w:rPr>
                <w:rFonts w:hint="eastAsia" w:ascii="宋体" w:hAnsi="宋体"/>
                <w:b w:val="0"/>
                <w:bCs/>
                <w:spacing w:val="-4"/>
                <w:szCs w:val="21"/>
              </w:rPr>
              <w:t>72</w:t>
            </w:r>
            <w:r>
              <w:rPr>
                <w:rFonts w:ascii="宋体" w:hAnsi="宋体"/>
                <w:b w:val="0"/>
                <w:bCs/>
                <w:spacing w:val="-4"/>
                <w:szCs w:val="21"/>
              </w:rPr>
              <w:t>#</w:t>
            </w:r>
            <w:r>
              <w:rPr>
                <w:rFonts w:hint="eastAsia" w:ascii="宋体" w:hAnsi="宋体"/>
                <w:b w:val="0"/>
                <w:bCs/>
                <w:spacing w:val="-4"/>
                <w:szCs w:val="21"/>
              </w:rPr>
              <w:t xml:space="preserve">亮珠中转  </w:t>
            </w:r>
          </w:p>
          <w:p w14:paraId="767D28B0">
            <w:pPr>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-1</w:t>
            </w:r>
            <w:r>
              <w:rPr>
                <w:rFonts w:hint="eastAsia" w:ascii="宋体" w:hAnsi="宋体"/>
                <w:b w:val="0"/>
                <w:bCs/>
                <w:spacing w:val="-4"/>
                <w:szCs w:val="21"/>
              </w:rPr>
              <w:t>级、100</w:t>
            </w:r>
            <w:r>
              <w:rPr>
                <w:rFonts w:ascii="宋体" w:hAnsi="宋体"/>
                <w:b w:val="0"/>
                <w:bCs/>
                <w:spacing w:val="-4"/>
                <w:szCs w:val="21"/>
              </w:rPr>
              <w:t>kg</w:t>
            </w:r>
            <w:r>
              <w:rPr>
                <w:rFonts w:hint="eastAsia" w:ascii="宋体" w:hAnsi="宋体"/>
                <w:b w:val="0"/>
                <w:bCs/>
                <w:spacing w:val="-4"/>
                <w:szCs w:val="21"/>
              </w:rPr>
              <w:t>）</w:t>
            </w:r>
          </w:p>
        </w:tc>
        <w:tc>
          <w:tcPr>
            <w:tcW w:w="409" w:type="pct"/>
            <w:shd w:val="clear" w:color="auto" w:fill="auto"/>
            <w:vAlign w:val="center"/>
          </w:tcPr>
          <w:p w14:paraId="2A193A78">
            <w:pPr>
              <w:jc w:val="center"/>
              <w:rPr>
                <w:rFonts w:ascii="宋体" w:hAnsi="宋体"/>
                <w:b w:val="0"/>
                <w:bCs/>
                <w:spacing w:val="-4"/>
                <w:kern w:val="0"/>
                <w:szCs w:val="21"/>
              </w:rPr>
            </w:pPr>
            <w:r>
              <w:rPr>
                <w:rFonts w:hint="eastAsia" w:ascii="宋体" w:hAnsi="宋体"/>
                <w:b w:val="0"/>
                <w:bCs/>
                <w:spacing w:val="-4"/>
                <w:kern w:val="0"/>
                <w:szCs w:val="21"/>
              </w:rPr>
              <w:t>12</w:t>
            </w:r>
          </w:p>
        </w:tc>
        <w:tc>
          <w:tcPr>
            <w:tcW w:w="357" w:type="pct"/>
            <w:shd w:val="clear" w:color="auto" w:fill="auto"/>
            <w:vAlign w:val="center"/>
          </w:tcPr>
          <w:p w14:paraId="707C2C2B">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12</w:t>
            </w:r>
          </w:p>
        </w:tc>
        <w:tc>
          <w:tcPr>
            <w:tcW w:w="388" w:type="pct"/>
            <w:vAlign w:val="center"/>
          </w:tcPr>
          <w:p w14:paraId="5096F096">
            <w:pPr>
              <w:jc w:val="center"/>
              <w:rPr>
                <w:rFonts w:ascii="宋体" w:hAnsi="宋体"/>
                <w:b w:val="0"/>
                <w:bCs/>
                <w:szCs w:val="21"/>
              </w:rPr>
            </w:pPr>
            <w:r>
              <w:rPr>
                <w:rFonts w:hint="eastAsia" w:ascii="宋体" w:hAnsi="宋体"/>
                <w:b w:val="0"/>
                <w:bCs/>
                <w:szCs w:val="21"/>
              </w:rPr>
              <w:t>双有</w:t>
            </w:r>
          </w:p>
        </w:tc>
        <w:tc>
          <w:tcPr>
            <w:tcW w:w="888" w:type="pct"/>
            <w:vAlign w:val="center"/>
          </w:tcPr>
          <w:p w14:paraId="7380ADC3">
            <w:pPr>
              <w:jc w:val="center"/>
              <w:rPr>
                <w:rFonts w:ascii="宋体" w:hAnsi="宋体" w:cs="宋体"/>
                <w:b w:val="0"/>
                <w:bCs/>
                <w:szCs w:val="21"/>
              </w:rPr>
            </w:pPr>
            <w:r>
              <w:rPr>
                <w:rFonts w:hint="eastAsia" w:ascii="宋体" w:hAnsi="宋体" w:cs="宋体"/>
                <w:b w:val="0"/>
                <w:bCs/>
                <w:szCs w:val="21"/>
              </w:rPr>
              <w:t>GB50161-2022中第5</w:t>
            </w:r>
            <w:r>
              <w:rPr>
                <w:rFonts w:ascii="宋体" w:hAnsi="宋体" w:cs="宋体"/>
                <w:b w:val="0"/>
                <w:bCs/>
                <w:szCs w:val="21"/>
              </w:rPr>
              <w:t>.2.2</w:t>
            </w:r>
          </w:p>
        </w:tc>
      </w:tr>
      <w:tr w14:paraId="032FCF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restart"/>
            <w:shd w:val="clear" w:color="auto" w:fill="auto"/>
            <w:vAlign w:val="center"/>
          </w:tcPr>
          <w:p w14:paraId="399BA5AC">
            <w:pPr>
              <w:jc w:val="center"/>
              <w:rPr>
                <w:rFonts w:ascii="宋体" w:hAnsi="宋体" w:cs="Arial"/>
                <w:b w:val="0"/>
                <w:bCs/>
                <w:szCs w:val="21"/>
              </w:rPr>
            </w:pPr>
            <w:r>
              <w:rPr>
                <w:rFonts w:hint="eastAsia" w:ascii="宋体" w:hAnsi="宋体" w:cs="Arial"/>
                <w:b w:val="0"/>
                <w:bCs/>
                <w:szCs w:val="21"/>
              </w:rPr>
              <w:t>73</w:t>
            </w:r>
            <w:r>
              <w:rPr>
                <w:rFonts w:ascii="宋体" w:hAnsi="宋体" w:cs="Arial"/>
                <w:b w:val="0"/>
                <w:bCs/>
                <w:szCs w:val="21"/>
              </w:rPr>
              <w:t>#</w:t>
            </w:r>
            <w:r>
              <w:rPr>
                <w:rFonts w:hint="eastAsia" w:ascii="宋体" w:hAnsi="宋体" w:cs="Arial"/>
                <w:b w:val="0"/>
                <w:bCs/>
                <w:szCs w:val="21"/>
              </w:rPr>
              <w:t>造粒</w:t>
            </w:r>
          </w:p>
        </w:tc>
        <w:tc>
          <w:tcPr>
            <w:tcW w:w="353" w:type="pct"/>
            <w:vMerge w:val="restart"/>
            <w:shd w:val="clear" w:color="auto" w:fill="auto"/>
            <w:vAlign w:val="center"/>
          </w:tcPr>
          <w:p w14:paraId="7D880BB3">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-1</w:t>
            </w:r>
          </w:p>
        </w:tc>
        <w:tc>
          <w:tcPr>
            <w:tcW w:w="518" w:type="pct"/>
            <w:vMerge w:val="restart"/>
            <w:shd w:val="clear" w:color="auto" w:fill="auto"/>
            <w:vAlign w:val="center"/>
          </w:tcPr>
          <w:p w14:paraId="213E9F9B">
            <w:pPr>
              <w:jc w:val="center"/>
              <w:rPr>
                <w:rFonts w:ascii="宋体" w:hAnsi="宋体" w:cs="Arial"/>
                <w:b w:val="0"/>
                <w:bCs/>
                <w:szCs w:val="21"/>
              </w:rPr>
            </w:pPr>
            <w:r>
              <w:rPr>
                <w:rFonts w:hint="eastAsia" w:ascii="宋体" w:hAnsi="宋体" w:cs="Arial"/>
                <w:b w:val="0"/>
                <w:bCs/>
                <w:szCs w:val="21"/>
              </w:rPr>
              <w:t>2</w:t>
            </w:r>
            <w:r>
              <w:rPr>
                <w:rFonts w:ascii="宋体" w:hAnsi="宋体" w:cs="Arial"/>
                <w:b w:val="0"/>
                <w:bCs/>
                <w:szCs w:val="21"/>
              </w:rPr>
              <w:t>0</w:t>
            </w:r>
          </w:p>
        </w:tc>
        <w:tc>
          <w:tcPr>
            <w:tcW w:w="1075" w:type="pct"/>
            <w:shd w:val="clear" w:color="auto" w:fill="auto"/>
            <w:vAlign w:val="center"/>
          </w:tcPr>
          <w:p w14:paraId="631824A8">
            <w:pPr>
              <w:jc w:val="center"/>
              <w:rPr>
                <w:rFonts w:ascii="宋体" w:hAnsi="宋体"/>
                <w:b w:val="0"/>
                <w:bCs/>
                <w:spacing w:val="-4"/>
                <w:szCs w:val="21"/>
              </w:rPr>
            </w:pPr>
            <w:r>
              <w:rPr>
                <w:rFonts w:hint="eastAsia" w:ascii="宋体" w:hAnsi="宋体"/>
                <w:b w:val="0"/>
                <w:bCs/>
                <w:spacing w:val="-4"/>
                <w:szCs w:val="21"/>
              </w:rPr>
              <w:t>72</w:t>
            </w:r>
            <w:r>
              <w:rPr>
                <w:rFonts w:ascii="宋体" w:hAnsi="宋体"/>
                <w:b w:val="0"/>
                <w:bCs/>
                <w:spacing w:val="-4"/>
                <w:szCs w:val="21"/>
              </w:rPr>
              <w:t>#</w:t>
            </w:r>
            <w:r>
              <w:rPr>
                <w:rFonts w:hint="eastAsia" w:ascii="宋体" w:hAnsi="宋体"/>
                <w:b w:val="0"/>
                <w:bCs/>
                <w:spacing w:val="-4"/>
                <w:szCs w:val="21"/>
              </w:rPr>
              <w:t xml:space="preserve">亮珠中转  </w:t>
            </w:r>
          </w:p>
          <w:p w14:paraId="42F011BC">
            <w:pPr>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-1</w:t>
            </w:r>
            <w:r>
              <w:rPr>
                <w:rFonts w:hint="eastAsia" w:ascii="宋体" w:hAnsi="宋体"/>
                <w:b w:val="0"/>
                <w:bCs/>
                <w:spacing w:val="-4"/>
                <w:szCs w:val="21"/>
              </w:rPr>
              <w:t>级、100</w:t>
            </w:r>
            <w:r>
              <w:rPr>
                <w:rFonts w:ascii="宋体" w:hAnsi="宋体"/>
                <w:b w:val="0"/>
                <w:bCs/>
                <w:spacing w:val="-4"/>
                <w:szCs w:val="21"/>
              </w:rPr>
              <w:t>kg</w:t>
            </w:r>
            <w:r>
              <w:rPr>
                <w:rFonts w:hint="eastAsia" w:ascii="宋体" w:hAnsi="宋体"/>
                <w:b w:val="0"/>
                <w:bCs/>
                <w:spacing w:val="-4"/>
                <w:szCs w:val="21"/>
              </w:rPr>
              <w:t>）</w:t>
            </w:r>
          </w:p>
        </w:tc>
        <w:tc>
          <w:tcPr>
            <w:tcW w:w="409" w:type="pct"/>
            <w:shd w:val="clear" w:color="auto" w:fill="auto"/>
            <w:vAlign w:val="center"/>
          </w:tcPr>
          <w:p w14:paraId="0C48C654">
            <w:pPr>
              <w:jc w:val="center"/>
              <w:rPr>
                <w:rFonts w:ascii="宋体" w:hAnsi="宋体"/>
                <w:b w:val="0"/>
                <w:bCs/>
                <w:spacing w:val="-4"/>
                <w:kern w:val="0"/>
                <w:szCs w:val="21"/>
              </w:rPr>
            </w:pPr>
            <w:r>
              <w:rPr>
                <w:rFonts w:hint="eastAsia" w:ascii="宋体" w:hAnsi="宋体"/>
                <w:b w:val="0"/>
                <w:bCs/>
                <w:spacing w:val="-4"/>
                <w:kern w:val="0"/>
                <w:szCs w:val="21"/>
              </w:rPr>
              <w:t>12</w:t>
            </w:r>
          </w:p>
        </w:tc>
        <w:tc>
          <w:tcPr>
            <w:tcW w:w="357" w:type="pct"/>
            <w:shd w:val="clear" w:color="auto" w:fill="auto"/>
            <w:vAlign w:val="center"/>
          </w:tcPr>
          <w:p w14:paraId="4DF5AFE2">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12</w:t>
            </w:r>
          </w:p>
        </w:tc>
        <w:tc>
          <w:tcPr>
            <w:tcW w:w="388" w:type="pct"/>
            <w:vAlign w:val="center"/>
          </w:tcPr>
          <w:p w14:paraId="5C845239">
            <w:pPr>
              <w:jc w:val="center"/>
              <w:rPr>
                <w:rFonts w:ascii="宋体" w:hAnsi="宋体"/>
                <w:b w:val="0"/>
                <w:bCs/>
                <w:szCs w:val="21"/>
              </w:rPr>
            </w:pPr>
            <w:r>
              <w:rPr>
                <w:rFonts w:hint="eastAsia" w:ascii="宋体" w:hAnsi="宋体"/>
                <w:b w:val="0"/>
                <w:bCs/>
                <w:szCs w:val="21"/>
              </w:rPr>
              <w:t>双有</w:t>
            </w:r>
          </w:p>
        </w:tc>
        <w:tc>
          <w:tcPr>
            <w:tcW w:w="888" w:type="pct"/>
            <w:vAlign w:val="center"/>
          </w:tcPr>
          <w:p w14:paraId="3B044180">
            <w:pPr>
              <w:jc w:val="center"/>
              <w:rPr>
                <w:rFonts w:ascii="宋体" w:hAnsi="宋体" w:cs="宋体"/>
                <w:b w:val="0"/>
                <w:bCs/>
                <w:szCs w:val="21"/>
              </w:rPr>
            </w:pPr>
            <w:r>
              <w:rPr>
                <w:rFonts w:hint="eastAsia" w:ascii="宋体" w:hAnsi="宋体" w:cs="宋体"/>
                <w:b w:val="0"/>
                <w:bCs/>
                <w:szCs w:val="21"/>
              </w:rPr>
              <w:t>GB50161-2022中第5</w:t>
            </w:r>
            <w:r>
              <w:rPr>
                <w:rFonts w:ascii="宋体" w:hAnsi="宋体" w:cs="宋体"/>
                <w:b w:val="0"/>
                <w:bCs/>
                <w:szCs w:val="21"/>
              </w:rPr>
              <w:t>.2.2</w:t>
            </w:r>
          </w:p>
        </w:tc>
      </w:tr>
      <w:tr w14:paraId="171762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2B388EC2">
            <w:pPr>
              <w:jc w:val="center"/>
              <w:rPr>
                <w:rFonts w:ascii="宋体" w:hAnsi="宋体" w:cs="Arial"/>
                <w:b w:val="0"/>
                <w:bCs/>
                <w:szCs w:val="21"/>
              </w:rPr>
            </w:pPr>
          </w:p>
        </w:tc>
        <w:tc>
          <w:tcPr>
            <w:tcW w:w="353" w:type="pct"/>
            <w:vMerge w:val="continue"/>
            <w:shd w:val="clear" w:color="auto" w:fill="auto"/>
            <w:vAlign w:val="center"/>
          </w:tcPr>
          <w:p w14:paraId="2AF695C2">
            <w:pPr>
              <w:jc w:val="center"/>
              <w:rPr>
                <w:rFonts w:ascii="宋体" w:hAnsi="宋体" w:cs="Arial"/>
                <w:b w:val="0"/>
                <w:bCs/>
                <w:szCs w:val="21"/>
              </w:rPr>
            </w:pPr>
          </w:p>
        </w:tc>
        <w:tc>
          <w:tcPr>
            <w:tcW w:w="518" w:type="pct"/>
            <w:vMerge w:val="continue"/>
            <w:shd w:val="clear" w:color="auto" w:fill="auto"/>
            <w:vAlign w:val="center"/>
          </w:tcPr>
          <w:p w14:paraId="07920D35">
            <w:pPr>
              <w:jc w:val="center"/>
              <w:rPr>
                <w:rFonts w:ascii="宋体" w:hAnsi="宋体" w:cs="Arial"/>
                <w:b w:val="0"/>
                <w:bCs/>
                <w:szCs w:val="21"/>
              </w:rPr>
            </w:pPr>
          </w:p>
        </w:tc>
        <w:tc>
          <w:tcPr>
            <w:tcW w:w="1075" w:type="pct"/>
            <w:shd w:val="clear" w:color="auto" w:fill="auto"/>
            <w:vAlign w:val="center"/>
          </w:tcPr>
          <w:p w14:paraId="07939DF5">
            <w:pPr>
              <w:jc w:val="center"/>
              <w:rPr>
                <w:rFonts w:ascii="宋体" w:hAnsi="宋体"/>
                <w:b w:val="0"/>
                <w:bCs/>
                <w:spacing w:val="-4"/>
                <w:szCs w:val="21"/>
              </w:rPr>
            </w:pPr>
            <w:r>
              <w:rPr>
                <w:rFonts w:hint="eastAsia" w:ascii="宋体" w:hAnsi="宋体"/>
                <w:b w:val="0"/>
                <w:bCs/>
                <w:spacing w:val="-4"/>
                <w:szCs w:val="21"/>
              </w:rPr>
              <w:t>74</w:t>
            </w:r>
            <w:r>
              <w:rPr>
                <w:rFonts w:ascii="宋体" w:hAnsi="宋体"/>
                <w:b w:val="0"/>
                <w:bCs/>
                <w:spacing w:val="-4"/>
                <w:szCs w:val="21"/>
              </w:rPr>
              <w:t>#</w:t>
            </w:r>
            <w:r>
              <w:rPr>
                <w:rFonts w:hint="eastAsia" w:ascii="宋体" w:hAnsi="宋体"/>
                <w:b w:val="0"/>
                <w:bCs/>
                <w:spacing w:val="-4"/>
                <w:szCs w:val="21"/>
              </w:rPr>
              <w:t xml:space="preserve">药物中转  </w:t>
            </w:r>
          </w:p>
          <w:p w14:paraId="035F794A">
            <w:pPr>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-1</w:t>
            </w:r>
            <w:r>
              <w:rPr>
                <w:rFonts w:hint="eastAsia" w:ascii="宋体" w:hAnsi="宋体"/>
                <w:b w:val="0"/>
                <w:bCs/>
                <w:spacing w:val="-4"/>
                <w:szCs w:val="21"/>
              </w:rPr>
              <w:t>级、100</w:t>
            </w:r>
            <w:r>
              <w:rPr>
                <w:rFonts w:ascii="宋体" w:hAnsi="宋体"/>
                <w:b w:val="0"/>
                <w:bCs/>
                <w:spacing w:val="-4"/>
                <w:szCs w:val="21"/>
              </w:rPr>
              <w:t>kg</w:t>
            </w:r>
            <w:r>
              <w:rPr>
                <w:rFonts w:hint="eastAsia" w:ascii="宋体" w:hAnsi="宋体"/>
                <w:b w:val="0"/>
                <w:bCs/>
                <w:spacing w:val="-4"/>
                <w:szCs w:val="21"/>
              </w:rPr>
              <w:t>）</w:t>
            </w:r>
          </w:p>
        </w:tc>
        <w:tc>
          <w:tcPr>
            <w:tcW w:w="409" w:type="pct"/>
            <w:shd w:val="clear" w:color="auto" w:fill="auto"/>
            <w:vAlign w:val="center"/>
          </w:tcPr>
          <w:p w14:paraId="4C85D09D">
            <w:pPr>
              <w:jc w:val="center"/>
              <w:rPr>
                <w:rFonts w:ascii="宋体" w:hAnsi="宋体"/>
                <w:b w:val="0"/>
                <w:bCs/>
                <w:spacing w:val="-4"/>
                <w:kern w:val="0"/>
                <w:szCs w:val="21"/>
              </w:rPr>
            </w:pPr>
            <w:r>
              <w:rPr>
                <w:rFonts w:hint="eastAsia" w:ascii="宋体" w:hAnsi="宋体"/>
                <w:b w:val="0"/>
                <w:bCs/>
                <w:spacing w:val="-4"/>
                <w:kern w:val="0"/>
                <w:szCs w:val="21"/>
              </w:rPr>
              <w:t>12</w:t>
            </w:r>
          </w:p>
        </w:tc>
        <w:tc>
          <w:tcPr>
            <w:tcW w:w="357" w:type="pct"/>
            <w:shd w:val="clear" w:color="auto" w:fill="auto"/>
            <w:vAlign w:val="center"/>
          </w:tcPr>
          <w:p w14:paraId="40F34428">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13</w:t>
            </w:r>
          </w:p>
        </w:tc>
        <w:tc>
          <w:tcPr>
            <w:tcW w:w="388" w:type="pct"/>
            <w:vAlign w:val="center"/>
          </w:tcPr>
          <w:p w14:paraId="16A2DD7C">
            <w:pPr>
              <w:jc w:val="center"/>
              <w:rPr>
                <w:rFonts w:ascii="宋体" w:hAnsi="宋体"/>
                <w:b w:val="0"/>
                <w:bCs/>
                <w:szCs w:val="21"/>
              </w:rPr>
            </w:pPr>
            <w:r>
              <w:rPr>
                <w:rFonts w:hint="eastAsia" w:ascii="宋体" w:hAnsi="宋体"/>
                <w:b w:val="0"/>
                <w:bCs/>
                <w:szCs w:val="21"/>
              </w:rPr>
              <w:t>双有</w:t>
            </w:r>
          </w:p>
        </w:tc>
        <w:tc>
          <w:tcPr>
            <w:tcW w:w="888" w:type="pct"/>
            <w:vAlign w:val="center"/>
          </w:tcPr>
          <w:p w14:paraId="3789A913">
            <w:pPr>
              <w:jc w:val="center"/>
              <w:rPr>
                <w:rFonts w:ascii="宋体" w:hAnsi="宋体" w:cs="宋体"/>
                <w:b w:val="0"/>
                <w:bCs/>
                <w:szCs w:val="21"/>
              </w:rPr>
            </w:pPr>
            <w:r>
              <w:rPr>
                <w:rFonts w:hint="eastAsia" w:ascii="宋体" w:hAnsi="宋体" w:cs="宋体"/>
                <w:b w:val="0"/>
                <w:bCs/>
                <w:szCs w:val="21"/>
              </w:rPr>
              <w:t>GB50161-2022中第5</w:t>
            </w:r>
            <w:r>
              <w:rPr>
                <w:rFonts w:ascii="宋体" w:hAnsi="宋体" w:cs="宋体"/>
                <w:b w:val="0"/>
                <w:bCs/>
                <w:szCs w:val="21"/>
              </w:rPr>
              <w:t>.2.2</w:t>
            </w:r>
          </w:p>
        </w:tc>
      </w:tr>
      <w:tr w14:paraId="3F5F48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restart"/>
            <w:shd w:val="clear" w:color="auto" w:fill="auto"/>
            <w:vAlign w:val="center"/>
          </w:tcPr>
          <w:p w14:paraId="1440FF45">
            <w:pPr>
              <w:jc w:val="center"/>
              <w:rPr>
                <w:rFonts w:ascii="宋体" w:hAnsi="宋体" w:cs="Arial"/>
                <w:b w:val="0"/>
                <w:bCs/>
                <w:szCs w:val="21"/>
              </w:rPr>
            </w:pPr>
            <w:r>
              <w:rPr>
                <w:rFonts w:hint="eastAsia" w:ascii="宋体" w:hAnsi="宋体" w:cs="Arial"/>
                <w:b w:val="0"/>
                <w:bCs/>
                <w:szCs w:val="21"/>
              </w:rPr>
              <w:t>76</w:t>
            </w:r>
            <w:r>
              <w:rPr>
                <w:rFonts w:ascii="宋体" w:hAnsi="宋体" w:cs="Arial"/>
                <w:b w:val="0"/>
                <w:bCs/>
                <w:szCs w:val="21"/>
              </w:rPr>
              <w:t>#</w:t>
            </w:r>
            <w:r>
              <w:rPr>
                <w:rFonts w:hint="eastAsia" w:ascii="宋体" w:hAnsi="宋体" w:cs="Arial"/>
                <w:b w:val="0"/>
                <w:bCs/>
                <w:szCs w:val="21"/>
              </w:rPr>
              <w:t>机械药混合</w:t>
            </w:r>
          </w:p>
        </w:tc>
        <w:tc>
          <w:tcPr>
            <w:tcW w:w="353" w:type="pct"/>
            <w:vMerge w:val="restart"/>
            <w:shd w:val="clear" w:color="auto" w:fill="auto"/>
            <w:vAlign w:val="center"/>
          </w:tcPr>
          <w:p w14:paraId="69307A2F">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w:t>
            </w:r>
            <w:r>
              <w:rPr>
                <w:rFonts w:hint="eastAsia" w:ascii="宋体" w:hAnsi="宋体" w:cs="Arial"/>
                <w:b w:val="0"/>
                <w:bCs/>
                <w:szCs w:val="21"/>
                <w:vertAlign w:val="superscript"/>
              </w:rPr>
              <w:t>1</w:t>
            </w:r>
          </w:p>
        </w:tc>
        <w:tc>
          <w:tcPr>
            <w:tcW w:w="518" w:type="pct"/>
            <w:vMerge w:val="restart"/>
            <w:shd w:val="clear" w:color="auto" w:fill="auto"/>
            <w:vAlign w:val="center"/>
          </w:tcPr>
          <w:p w14:paraId="40975161">
            <w:pPr>
              <w:jc w:val="center"/>
              <w:rPr>
                <w:rFonts w:ascii="宋体" w:hAnsi="宋体" w:cs="Arial"/>
                <w:b w:val="0"/>
                <w:bCs/>
                <w:szCs w:val="21"/>
              </w:rPr>
            </w:pPr>
            <w:r>
              <w:rPr>
                <w:rFonts w:hint="eastAsia" w:ascii="宋体" w:hAnsi="宋体" w:cs="Arial"/>
                <w:b w:val="0"/>
                <w:bCs/>
                <w:szCs w:val="21"/>
              </w:rPr>
              <w:t>10</w:t>
            </w:r>
          </w:p>
        </w:tc>
        <w:tc>
          <w:tcPr>
            <w:tcW w:w="1075" w:type="pct"/>
            <w:shd w:val="clear" w:color="auto" w:fill="auto"/>
            <w:vAlign w:val="center"/>
          </w:tcPr>
          <w:p w14:paraId="50BB1370">
            <w:pPr>
              <w:jc w:val="center"/>
              <w:rPr>
                <w:rFonts w:ascii="宋体" w:hAnsi="宋体"/>
                <w:b w:val="0"/>
                <w:bCs/>
                <w:spacing w:val="-4"/>
                <w:szCs w:val="21"/>
              </w:rPr>
            </w:pPr>
            <w:r>
              <w:rPr>
                <w:rFonts w:hint="eastAsia" w:ascii="宋体" w:hAnsi="宋体"/>
                <w:b w:val="0"/>
                <w:bCs/>
                <w:spacing w:val="-4"/>
                <w:szCs w:val="21"/>
              </w:rPr>
              <w:t>74</w:t>
            </w:r>
            <w:r>
              <w:rPr>
                <w:rFonts w:ascii="宋体" w:hAnsi="宋体"/>
                <w:b w:val="0"/>
                <w:bCs/>
                <w:spacing w:val="-4"/>
                <w:szCs w:val="21"/>
              </w:rPr>
              <w:t>#</w:t>
            </w:r>
            <w:r>
              <w:rPr>
                <w:rFonts w:hint="eastAsia" w:ascii="宋体" w:hAnsi="宋体"/>
                <w:b w:val="0"/>
                <w:bCs/>
                <w:spacing w:val="-4"/>
                <w:szCs w:val="21"/>
              </w:rPr>
              <w:t xml:space="preserve">药物中转  </w:t>
            </w:r>
          </w:p>
          <w:p w14:paraId="7A778CF9">
            <w:pPr>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-1</w:t>
            </w:r>
            <w:r>
              <w:rPr>
                <w:rFonts w:hint="eastAsia" w:ascii="宋体" w:hAnsi="宋体"/>
                <w:b w:val="0"/>
                <w:bCs/>
                <w:spacing w:val="-4"/>
                <w:szCs w:val="21"/>
              </w:rPr>
              <w:t>级、100</w:t>
            </w:r>
            <w:r>
              <w:rPr>
                <w:rFonts w:ascii="宋体" w:hAnsi="宋体"/>
                <w:b w:val="0"/>
                <w:bCs/>
                <w:spacing w:val="-4"/>
                <w:szCs w:val="21"/>
              </w:rPr>
              <w:t>kg</w:t>
            </w:r>
            <w:r>
              <w:rPr>
                <w:rFonts w:hint="eastAsia" w:ascii="宋体" w:hAnsi="宋体"/>
                <w:b w:val="0"/>
                <w:bCs/>
                <w:spacing w:val="-4"/>
                <w:szCs w:val="21"/>
              </w:rPr>
              <w:t>）</w:t>
            </w:r>
          </w:p>
        </w:tc>
        <w:tc>
          <w:tcPr>
            <w:tcW w:w="409" w:type="pct"/>
            <w:shd w:val="clear" w:color="auto" w:fill="auto"/>
            <w:vAlign w:val="center"/>
          </w:tcPr>
          <w:p w14:paraId="1B4B2D77">
            <w:pPr>
              <w:jc w:val="center"/>
              <w:rPr>
                <w:rFonts w:ascii="宋体" w:hAnsi="宋体"/>
                <w:b w:val="0"/>
                <w:bCs/>
                <w:spacing w:val="-4"/>
                <w:kern w:val="0"/>
                <w:szCs w:val="21"/>
              </w:rPr>
            </w:pPr>
            <w:r>
              <w:rPr>
                <w:rFonts w:hint="eastAsia" w:ascii="宋体" w:hAnsi="宋体"/>
                <w:b w:val="0"/>
                <w:bCs/>
                <w:spacing w:val="-4"/>
                <w:kern w:val="0"/>
                <w:szCs w:val="21"/>
              </w:rPr>
              <w:t>12</w:t>
            </w:r>
          </w:p>
        </w:tc>
        <w:tc>
          <w:tcPr>
            <w:tcW w:w="357" w:type="pct"/>
            <w:shd w:val="clear" w:color="auto" w:fill="auto"/>
            <w:vAlign w:val="center"/>
          </w:tcPr>
          <w:p w14:paraId="0DA652EE">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12</w:t>
            </w:r>
          </w:p>
        </w:tc>
        <w:tc>
          <w:tcPr>
            <w:tcW w:w="388" w:type="pct"/>
            <w:vAlign w:val="center"/>
          </w:tcPr>
          <w:p w14:paraId="2A89ED07">
            <w:pPr>
              <w:jc w:val="center"/>
              <w:rPr>
                <w:rFonts w:ascii="宋体" w:hAnsi="宋体"/>
                <w:b w:val="0"/>
                <w:bCs/>
                <w:szCs w:val="21"/>
              </w:rPr>
            </w:pPr>
            <w:r>
              <w:rPr>
                <w:rFonts w:hint="eastAsia" w:ascii="宋体" w:hAnsi="宋体"/>
                <w:b w:val="0"/>
                <w:bCs/>
                <w:szCs w:val="21"/>
              </w:rPr>
              <w:t>双有</w:t>
            </w:r>
          </w:p>
        </w:tc>
        <w:tc>
          <w:tcPr>
            <w:tcW w:w="888" w:type="pct"/>
            <w:vAlign w:val="center"/>
          </w:tcPr>
          <w:p w14:paraId="39906417">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w:t>
            </w:r>
            <w:r>
              <w:rPr>
                <w:rFonts w:hint="eastAsia" w:ascii="宋体" w:hAnsi="宋体" w:cs="宋体"/>
                <w:b w:val="0"/>
                <w:bCs/>
                <w:szCs w:val="21"/>
              </w:rPr>
              <w:t>2</w:t>
            </w:r>
          </w:p>
        </w:tc>
      </w:tr>
      <w:tr w14:paraId="39D336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20BD5F43">
            <w:pPr>
              <w:jc w:val="center"/>
              <w:rPr>
                <w:rFonts w:ascii="宋体" w:hAnsi="宋体" w:cs="Arial"/>
                <w:b w:val="0"/>
                <w:bCs/>
                <w:szCs w:val="21"/>
              </w:rPr>
            </w:pPr>
          </w:p>
        </w:tc>
        <w:tc>
          <w:tcPr>
            <w:tcW w:w="353" w:type="pct"/>
            <w:vMerge w:val="continue"/>
            <w:shd w:val="clear" w:color="auto" w:fill="auto"/>
            <w:vAlign w:val="center"/>
          </w:tcPr>
          <w:p w14:paraId="70E56885">
            <w:pPr>
              <w:jc w:val="center"/>
              <w:rPr>
                <w:rFonts w:ascii="宋体" w:hAnsi="宋体" w:cs="Arial"/>
                <w:b w:val="0"/>
                <w:bCs/>
                <w:szCs w:val="21"/>
              </w:rPr>
            </w:pPr>
          </w:p>
        </w:tc>
        <w:tc>
          <w:tcPr>
            <w:tcW w:w="518" w:type="pct"/>
            <w:vMerge w:val="continue"/>
            <w:shd w:val="clear" w:color="auto" w:fill="auto"/>
            <w:vAlign w:val="center"/>
          </w:tcPr>
          <w:p w14:paraId="4D05E5FC">
            <w:pPr>
              <w:jc w:val="center"/>
              <w:rPr>
                <w:rFonts w:ascii="宋体" w:hAnsi="宋体" w:cs="Arial"/>
                <w:b w:val="0"/>
                <w:bCs/>
                <w:szCs w:val="21"/>
              </w:rPr>
            </w:pPr>
          </w:p>
        </w:tc>
        <w:tc>
          <w:tcPr>
            <w:tcW w:w="1075" w:type="pct"/>
            <w:shd w:val="clear" w:color="auto" w:fill="auto"/>
            <w:vAlign w:val="center"/>
          </w:tcPr>
          <w:p w14:paraId="5B222FA9">
            <w:pPr>
              <w:jc w:val="center"/>
              <w:rPr>
                <w:rFonts w:ascii="宋体" w:hAnsi="宋体"/>
                <w:b w:val="0"/>
                <w:bCs/>
                <w:spacing w:val="-4"/>
                <w:szCs w:val="21"/>
              </w:rPr>
            </w:pPr>
            <w:r>
              <w:rPr>
                <w:rFonts w:hint="eastAsia" w:ascii="宋体" w:hAnsi="宋体"/>
                <w:b w:val="0"/>
                <w:bCs/>
                <w:spacing w:val="-4"/>
                <w:szCs w:val="21"/>
              </w:rPr>
              <w:t>77</w:t>
            </w:r>
            <w:r>
              <w:rPr>
                <w:rFonts w:ascii="宋体" w:hAnsi="宋体"/>
                <w:b w:val="0"/>
                <w:bCs/>
                <w:spacing w:val="-4"/>
                <w:szCs w:val="21"/>
              </w:rPr>
              <w:t>#</w:t>
            </w:r>
            <w:r>
              <w:rPr>
                <w:rFonts w:hint="eastAsia" w:ascii="宋体" w:hAnsi="宋体"/>
                <w:b w:val="0"/>
                <w:bCs/>
                <w:spacing w:val="-4"/>
                <w:szCs w:val="21"/>
              </w:rPr>
              <w:t xml:space="preserve">称料      </w:t>
            </w:r>
          </w:p>
          <w:p w14:paraId="3384B556">
            <w:pPr>
              <w:jc w:val="center"/>
              <w:rPr>
                <w:rFonts w:ascii="宋体" w:hAnsi="宋体"/>
                <w:b w:val="0"/>
                <w:bCs/>
                <w:spacing w:val="-4"/>
                <w:szCs w:val="21"/>
              </w:rPr>
            </w:pPr>
            <w:r>
              <w:rPr>
                <w:rFonts w:hint="eastAsia" w:ascii="宋体" w:hAnsi="宋体"/>
                <w:b w:val="0"/>
                <w:bCs/>
                <w:spacing w:val="-11"/>
                <w:szCs w:val="21"/>
              </w:rPr>
              <w:t>（1</w:t>
            </w:r>
            <w:r>
              <w:rPr>
                <w:rFonts w:ascii="宋体" w:hAnsi="宋体"/>
                <w:b w:val="0"/>
                <w:bCs/>
                <w:spacing w:val="-11"/>
                <w:szCs w:val="21"/>
              </w:rPr>
              <w:t>.1</w:t>
            </w:r>
            <w:r>
              <w:rPr>
                <w:rFonts w:ascii="宋体" w:hAnsi="宋体"/>
                <w:b w:val="0"/>
                <w:bCs/>
                <w:spacing w:val="-11"/>
                <w:szCs w:val="21"/>
                <w:vertAlign w:val="superscript"/>
              </w:rPr>
              <w:t>-2</w:t>
            </w:r>
            <w:r>
              <w:rPr>
                <w:rFonts w:hint="eastAsia" w:ascii="宋体" w:hAnsi="宋体"/>
                <w:b w:val="0"/>
                <w:bCs/>
                <w:spacing w:val="-11"/>
                <w:szCs w:val="21"/>
              </w:rPr>
              <w:t>级、3</w:t>
            </w:r>
            <w:r>
              <w:rPr>
                <w:rFonts w:ascii="宋体" w:hAnsi="宋体"/>
                <w:b w:val="0"/>
                <w:bCs/>
                <w:spacing w:val="-11"/>
                <w:szCs w:val="21"/>
              </w:rPr>
              <w:t>0</w:t>
            </w:r>
            <w:r>
              <w:rPr>
                <w:rFonts w:hint="eastAsia" w:ascii="宋体" w:hAnsi="宋体"/>
                <w:b w:val="0"/>
                <w:bCs/>
                <w:spacing w:val="-11"/>
                <w:szCs w:val="21"/>
              </w:rPr>
              <w:t>/200</w:t>
            </w:r>
            <w:r>
              <w:rPr>
                <w:rFonts w:ascii="宋体" w:hAnsi="宋体"/>
                <w:b w:val="0"/>
                <w:bCs/>
                <w:spacing w:val="-11"/>
                <w:szCs w:val="21"/>
              </w:rPr>
              <w:t>kg</w:t>
            </w:r>
            <w:r>
              <w:rPr>
                <w:rFonts w:hint="eastAsia" w:ascii="宋体" w:hAnsi="宋体"/>
                <w:b w:val="0"/>
                <w:bCs/>
                <w:spacing w:val="-11"/>
                <w:szCs w:val="21"/>
              </w:rPr>
              <w:t>）</w:t>
            </w:r>
          </w:p>
        </w:tc>
        <w:tc>
          <w:tcPr>
            <w:tcW w:w="409" w:type="pct"/>
            <w:shd w:val="clear" w:color="auto" w:fill="auto"/>
            <w:vAlign w:val="center"/>
          </w:tcPr>
          <w:p w14:paraId="7BBB750C">
            <w:pPr>
              <w:jc w:val="center"/>
              <w:rPr>
                <w:rFonts w:ascii="宋体" w:hAnsi="宋体"/>
                <w:b w:val="0"/>
                <w:bCs/>
                <w:spacing w:val="-4"/>
                <w:kern w:val="0"/>
                <w:szCs w:val="21"/>
              </w:rPr>
            </w:pPr>
            <w:r>
              <w:rPr>
                <w:rFonts w:hint="eastAsia" w:ascii="宋体" w:hAnsi="宋体"/>
                <w:b w:val="0"/>
                <w:bCs/>
                <w:spacing w:val="-4"/>
                <w:kern w:val="0"/>
                <w:szCs w:val="21"/>
              </w:rPr>
              <w:t>16</w:t>
            </w:r>
          </w:p>
        </w:tc>
        <w:tc>
          <w:tcPr>
            <w:tcW w:w="357" w:type="pct"/>
            <w:shd w:val="clear" w:color="auto" w:fill="auto"/>
            <w:vAlign w:val="center"/>
          </w:tcPr>
          <w:p w14:paraId="066A4452">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1</w:t>
            </w:r>
            <w:r>
              <w:rPr>
                <w:rFonts w:ascii="宋体" w:hAnsi="宋体"/>
                <w:b w:val="0"/>
                <w:bCs/>
                <w:spacing w:val="-4"/>
                <w:kern w:val="0"/>
                <w:szCs w:val="21"/>
              </w:rPr>
              <w:t>6</w:t>
            </w:r>
          </w:p>
        </w:tc>
        <w:tc>
          <w:tcPr>
            <w:tcW w:w="388" w:type="pct"/>
            <w:vAlign w:val="center"/>
          </w:tcPr>
          <w:p w14:paraId="09B6ED83">
            <w:pPr>
              <w:jc w:val="center"/>
              <w:rPr>
                <w:rFonts w:ascii="宋体" w:hAnsi="宋体"/>
                <w:b w:val="0"/>
                <w:bCs/>
                <w:szCs w:val="21"/>
              </w:rPr>
            </w:pPr>
            <w:r>
              <w:rPr>
                <w:rFonts w:hint="eastAsia" w:ascii="宋体" w:hAnsi="宋体"/>
                <w:b w:val="0"/>
                <w:bCs/>
                <w:szCs w:val="21"/>
              </w:rPr>
              <w:t>双有</w:t>
            </w:r>
          </w:p>
        </w:tc>
        <w:tc>
          <w:tcPr>
            <w:tcW w:w="888" w:type="pct"/>
            <w:vAlign w:val="center"/>
          </w:tcPr>
          <w:p w14:paraId="0C60078D">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w:t>
            </w:r>
            <w:r>
              <w:rPr>
                <w:rFonts w:hint="eastAsia" w:ascii="宋体" w:hAnsi="宋体" w:cs="宋体"/>
                <w:b w:val="0"/>
                <w:bCs/>
                <w:szCs w:val="21"/>
              </w:rPr>
              <w:t>8</w:t>
            </w:r>
          </w:p>
        </w:tc>
      </w:tr>
      <w:tr w14:paraId="7CEB6E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227A3A15">
            <w:pPr>
              <w:jc w:val="center"/>
              <w:rPr>
                <w:rFonts w:ascii="宋体" w:hAnsi="宋体" w:cs="Arial"/>
                <w:b w:val="0"/>
                <w:bCs/>
                <w:szCs w:val="21"/>
              </w:rPr>
            </w:pPr>
          </w:p>
        </w:tc>
        <w:tc>
          <w:tcPr>
            <w:tcW w:w="353" w:type="pct"/>
            <w:vMerge w:val="continue"/>
            <w:shd w:val="clear" w:color="auto" w:fill="auto"/>
            <w:vAlign w:val="center"/>
          </w:tcPr>
          <w:p w14:paraId="7D6C917E">
            <w:pPr>
              <w:jc w:val="center"/>
              <w:rPr>
                <w:rFonts w:ascii="宋体" w:hAnsi="宋体" w:cs="Arial"/>
                <w:b w:val="0"/>
                <w:bCs/>
                <w:szCs w:val="21"/>
              </w:rPr>
            </w:pPr>
          </w:p>
        </w:tc>
        <w:tc>
          <w:tcPr>
            <w:tcW w:w="518" w:type="pct"/>
            <w:vMerge w:val="continue"/>
            <w:shd w:val="clear" w:color="auto" w:fill="auto"/>
            <w:vAlign w:val="center"/>
          </w:tcPr>
          <w:p w14:paraId="1C43470A">
            <w:pPr>
              <w:jc w:val="center"/>
              <w:rPr>
                <w:rFonts w:ascii="宋体" w:hAnsi="宋体" w:cs="Arial"/>
                <w:b w:val="0"/>
                <w:bCs/>
                <w:szCs w:val="21"/>
              </w:rPr>
            </w:pPr>
          </w:p>
        </w:tc>
        <w:tc>
          <w:tcPr>
            <w:tcW w:w="1075" w:type="pct"/>
            <w:shd w:val="clear" w:color="auto" w:fill="auto"/>
            <w:vAlign w:val="center"/>
          </w:tcPr>
          <w:p w14:paraId="3D74FE03">
            <w:pPr>
              <w:jc w:val="center"/>
              <w:rPr>
                <w:rFonts w:ascii="宋体" w:hAnsi="宋体"/>
                <w:b w:val="0"/>
                <w:bCs/>
                <w:spacing w:val="-4"/>
                <w:szCs w:val="21"/>
              </w:rPr>
            </w:pPr>
            <w:r>
              <w:rPr>
                <w:rFonts w:hint="eastAsia" w:ascii="宋体" w:hAnsi="宋体"/>
                <w:b w:val="0"/>
                <w:bCs/>
                <w:spacing w:val="-4"/>
                <w:szCs w:val="21"/>
              </w:rPr>
              <w:t>79</w:t>
            </w:r>
            <w:r>
              <w:rPr>
                <w:rFonts w:ascii="宋体" w:hAnsi="宋体"/>
                <w:b w:val="0"/>
                <w:bCs/>
                <w:spacing w:val="-4"/>
                <w:szCs w:val="21"/>
              </w:rPr>
              <w:t>#</w:t>
            </w:r>
            <w:r>
              <w:rPr>
                <w:rFonts w:hint="eastAsia" w:ascii="宋体" w:hAnsi="宋体"/>
                <w:b w:val="0"/>
                <w:bCs/>
                <w:spacing w:val="-4"/>
                <w:szCs w:val="21"/>
              </w:rPr>
              <w:t xml:space="preserve">还原剂粉碎      </w:t>
            </w:r>
            <w:r>
              <w:rPr>
                <w:rFonts w:hint="eastAsia" w:ascii="宋体" w:hAnsi="宋体"/>
                <w:b w:val="0"/>
                <w:bCs/>
                <w:spacing w:val="-11"/>
                <w:szCs w:val="21"/>
              </w:rPr>
              <w:t>（1</w:t>
            </w:r>
            <w:r>
              <w:rPr>
                <w:rFonts w:ascii="宋体" w:hAnsi="宋体"/>
                <w:b w:val="0"/>
                <w:bCs/>
                <w:spacing w:val="-11"/>
                <w:szCs w:val="21"/>
              </w:rPr>
              <w:t>.</w:t>
            </w:r>
            <w:r>
              <w:rPr>
                <w:rFonts w:hint="eastAsia" w:ascii="宋体" w:hAnsi="宋体"/>
                <w:b w:val="0"/>
                <w:bCs/>
                <w:spacing w:val="-11"/>
                <w:szCs w:val="21"/>
              </w:rPr>
              <w:t>3级、100</w:t>
            </w:r>
            <w:r>
              <w:rPr>
                <w:rFonts w:ascii="宋体" w:hAnsi="宋体"/>
                <w:b w:val="0"/>
                <w:bCs/>
                <w:spacing w:val="-11"/>
                <w:szCs w:val="21"/>
              </w:rPr>
              <w:t>kg</w:t>
            </w:r>
            <w:r>
              <w:rPr>
                <w:rFonts w:hint="eastAsia" w:ascii="宋体" w:hAnsi="宋体"/>
                <w:b w:val="0"/>
                <w:bCs/>
                <w:spacing w:val="-11"/>
                <w:szCs w:val="21"/>
              </w:rPr>
              <w:t>）</w:t>
            </w:r>
          </w:p>
        </w:tc>
        <w:tc>
          <w:tcPr>
            <w:tcW w:w="409" w:type="pct"/>
            <w:shd w:val="clear" w:color="auto" w:fill="auto"/>
            <w:vAlign w:val="center"/>
          </w:tcPr>
          <w:p w14:paraId="043E83F4">
            <w:pPr>
              <w:jc w:val="center"/>
              <w:rPr>
                <w:rFonts w:ascii="宋体" w:hAnsi="宋体"/>
                <w:b w:val="0"/>
                <w:bCs/>
                <w:spacing w:val="-4"/>
                <w:kern w:val="0"/>
                <w:szCs w:val="21"/>
              </w:rPr>
            </w:pPr>
            <w:r>
              <w:rPr>
                <w:rFonts w:hint="eastAsia" w:ascii="宋体" w:hAnsi="宋体"/>
                <w:b w:val="0"/>
                <w:bCs/>
                <w:spacing w:val="-4"/>
                <w:kern w:val="0"/>
                <w:szCs w:val="21"/>
              </w:rPr>
              <w:t>14</w:t>
            </w:r>
          </w:p>
        </w:tc>
        <w:tc>
          <w:tcPr>
            <w:tcW w:w="357" w:type="pct"/>
            <w:shd w:val="clear" w:color="auto" w:fill="auto"/>
            <w:vAlign w:val="center"/>
          </w:tcPr>
          <w:p w14:paraId="14F3D55C">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22</w:t>
            </w:r>
          </w:p>
        </w:tc>
        <w:tc>
          <w:tcPr>
            <w:tcW w:w="388" w:type="pct"/>
            <w:vAlign w:val="center"/>
          </w:tcPr>
          <w:p w14:paraId="489A2BA5">
            <w:pPr>
              <w:jc w:val="center"/>
              <w:rPr>
                <w:rFonts w:ascii="宋体" w:hAnsi="宋体"/>
                <w:b w:val="0"/>
                <w:bCs/>
                <w:szCs w:val="21"/>
              </w:rPr>
            </w:pPr>
            <w:r>
              <w:rPr>
                <w:rFonts w:hint="eastAsia" w:ascii="宋体" w:hAnsi="宋体"/>
                <w:b w:val="0"/>
                <w:bCs/>
                <w:szCs w:val="21"/>
              </w:rPr>
              <w:t>单有</w:t>
            </w:r>
          </w:p>
        </w:tc>
        <w:tc>
          <w:tcPr>
            <w:tcW w:w="888" w:type="pct"/>
            <w:vAlign w:val="center"/>
          </w:tcPr>
          <w:p w14:paraId="5BE32687">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w:t>
            </w:r>
            <w:r>
              <w:rPr>
                <w:rFonts w:hint="eastAsia" w:ascii="宋体" w:hAnsi="宋体" w:cs="宋体"/>
                <w:b w:val="0"/>
                <w:bCs/>
                <w:szCs w:val="21"/>
              </w:rPr>
              <w:t>8</w:t>
            </w:r>
          </w:p>
        </w:tc>
      </w:tr>
      <w:tr w14:paraId="7AFE6B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restart"/>
            <w:shd w:val="clear" w:color="auto" w:fill="auto"/>
            <w:vAlign w:val="center"/>
          </w:tcPr>
          <w:p w14:paraId="7F852D3A">
            <w:pPr>
              <w:jc w:val="center"/>
              <w:rPr>
                <w:rFonts w:ascii="宋体" w:hAnsi="宋体" w:cs="Arial"/>
                <w:b w:val="0"/>
                <w:bCs/>
                <w:szCs w:val="21"/>
              </w:rPr>
            </w:pPr>
            <w:r>
              <w:rPr>
                <w:rFonts w:hint="eastAsia" w:ascii="宋体" w:hAnsi="宋体" w:cs="Arial"/>
                <w:b w:val="0"/>
                <w:bCs/>
                <w:szCs w:val="21"/>
              </w:rPr>
              <w:t>78</w:t>
            </w:r>
            <w:r>
              <w:rPr>
                <w:rFonts w:ascii="宋体" w:hAnsi="宋体" w:cs="Arial"/>
                <w:b w:val="0"/>
                <w:bCs/>
                <w:szCs w:val="21"/>
              </w:rPr>
              <w:t>#</w:t>
            </w:r>
            <w:r>
              <w:rPr>
                <w:rFonts w:hint="eastAsia" w:ascii="宋体" w:hAnsi="宋体" w:cs="Arial"/>
                <w:b w:val="0"/>
                <w:bCs/>
                <w:szCs w:val="21"/>
              </w:rPr>
              <w:t>黑火药中转</w:t>
            </w:r>
          </w:p>
        </w:tc>
        <w:tc>
          <w:tcPr>
            <w:tcW w:w="353" w:type="pct"/>
            <w:vMerge w:val="restart"/>
            <w:shd w:val="clear" w:color="auto" w:fill="auto"/>
            <w:vAlign w:val="center"/>
          </w:tcPr>
          <w:p w14:paraId="5A3BC7DE">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-2</w:t>
            </w:r>
          </w:p>
        </w:tc>
        <w:tc>
          <w:tcPr>
            <w:tcW w:w="518" w:type="pct"/>
            <w:vMerge w:val="restart"/>
            <w:shd w:val="clear" w:color="auto" w:fill="auto"/>
            <w:vAlign w:val="center"/>
          </w:tcPr>
          <w:p w14:paraId="28E0CC06">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0</w:t>
            </w:r>
            <w:r>
              <w:rPr>
                <w:rFonts w:hint="eastAsia" w:ascii="宋体" w:hAnsi="宋体" w:cs="Arial"/>
                <w:b w:val="0"/>
                <w:bCs/>
                <w:szCs w:val="21"/>
              </w:rPr>
              <w:t>0</w:t>
            </w:r>
          </w:p>
        </w:tc>
        <w:tc>
          <w:tcPr>
            <w:tcW w:w="1075" w:type="pct"/>
            <w:shd w:val="clear" w:color="auto" w:fill="auto"/>
            <w:vAlign w:val="center"/>
          </w:tcPr>
          <w:p w14:paraId="0545F682">
            <w:pPr>
              <w:jc w:val="center"/>
              <w:rPr>
                <w:rFonts w:ascii="宋体" w:hAnsi="宋体"/>
                <w:b w:val="0"/>
                <w:bCs/>
                <w:spacing w:val="-4"/>
                <w:szCs w:val="21"/>
              </w:rPr>
            </w:pPr>
            <w:r>
              <w:rPr>
                <w:rFonts w:hint="eastAsia" w:ascii="宋体" w:hAnsi="宋体"/>
                <w:b w:val="0"/>
                <w:bCs/>
                <w:spacing w:val="-4"/>
                <w:szCs w:val="21"/>
              </w:rPr>
              <w:t>77</w:t>
            </w:r>
            <w:r>
              <w:rPr>
                <w:rFonts w:ascii="宋体" w:hAnsi="宋体"/>
                <w:b w:val="0"/>
                <w:bCs/>
                <w:spacing w:val="-4"/>
                <w:szCs w:val="21"/>
              </w:rPr>
              <w:t>#</w:t>
            </w:r>
            <w:r>
              <w:rPr>
                <w:rFonts w:hint="eastAsia" w:ascii="宋体" w:hAnsi="宋体"/>
                <w:b w:val="0"/>
                <w:bCs/>
                <w:spacing w:val="-4"/>
                <w:szCs w:val="21"/>
              </w:rPr>
              <w:t xml:space="preserve">称料 </w:t>
            </w:r>
          </w:p>
          <w:p w14:paraId="475F7EE6">
            <w:pPr>
              <w:jc w:val="center"/>
              <w:rPr>
                <w:rFonts w:ascii="宋体" w:hAnsi="宋体"/>
                <w:b w:val="0"/>
                <w:bCs/>
                <w:spacing w:val="-4"/>
                <w:szCs w:val="21"/>
              </w:rPr>
            </w:pPr>
            <w:r>
              <w:rPr>
                <w:rFonts w:hint="eastAsia" w:ascii="宋体" w:hAnsi="宋体"/>
                <w:b w:val="0"/>
                <w:bCs/>
                <w:spacing w:val="-11"/>
                <w:szCs w:val="21"/>
              </w:rPr>
              <w:t>（1</w:t>
            </w:r>
            <w:r>
              <w:rPr>
                <w:rFonts w:ascii="宋体" w:hAnsi="宋体"/>
                <w:b w:val="0"/>
                <w:bCs/>
                <w:spacing w:val="-11"/>
                <w:szCs w:val="21"/>
              </w:rPr>
              <w:t>.1</w:t>
            </w:r>
            <w:r>
              <w:rPr>
                <w:rFonts w:ascii="宋体" w:hAnsi="宋体"/>
                <w:b w:val="0"/>
                <w:bCs/>
                <w:spacing w:val="-11"/>
                <w:szCs w:val="21"/>
                <w:vertAlign w:val="superscript"/>
              </w:rPr>
              <w:t>-2</w:t>
            </w:r>
            <w:r>
              <w:rPr>
                <w:rFonts w:hint="eastAsia" w:ascii="宋体" w:hAnsi="宋体"/>
                <w:b w:val="0"/>
                <w:bCs/>
                <w:spacing w:val="-11"/>
                <w:szCs w:val="21"/>
              </w:rPr>
              <w:t>级、3</w:t>
            </w:r>
            <w:r>
              <w:rPr>
                <w:rFonts w:ascii="宋体" w:hAnsi="宋体"/>
                <w:b w:val="0"/>
                <w:bCs/>
                <w:spacing w:val="-11"/>
                <w:szCs w:val="21"/>
              </w:rPr>
              <w:t>0</w:t>
            </w:r>
            <w:r>
              <w:rPr>
                <w:rFonts w:hint="eastAsia" w:ascii="宋体" w:hAnsi="宋体"/>
                <w:b w:val="0"/>
                <w:bCs/>
                <w:spacing w:val="-11"/>
                <w:szCs w:val="21"/>
              </w:rPr>
              <w:t>/200</w:t>
            </w:r>
            <w:r>
              <w:rPr>
                <w:rFonts w:ascii="宋体" w:hAnsi="宋体"/>
                <w:b w:val="0"/>
                <w:bCs/>
                <w:spacing w:val="-11"/>
                <w:szCs w:val="21"/>
              </w:rPr>
              <w:t>kg</w:t>
            </w:r>
            <w:r>
              <w:rPr>
                <w:rFonts w:hint="eastAsia" w:ascii="宋体" w:hAnsi="宋体"/>
                <w:b w:val="0"/>
                <w:bCs/>
                <w:spacing w:val="-11"/>
                <w:szCs w:val="21"/>
              </w:rPr>
              <w:t>）</w:t>
            </w:r>
          </w:p>
        </w:tc>
        <w:tc>
          <w:tcPr>
            <w:tcW w:w="409" w:type="pct"/>
            <w:shd w:val="clear" w:color="auto" w:fill="auto"/>
            <w:vAlign w:val="center"/>
          </w:tcPr>
          <w:p w14:paraId="1F724687">
            <w:pPr>
              <w:jc w:val="center"/>
              <w:rPr>
                <w:rFonts w:ascii="宋体" w:hAnsi="宋体"/>
                <w:b w:val="0"/>
                <w:bCs/>
                <w:spacing w:val="-4"/>
                <w:kern w:val="0"/>
                <w:szCs w:val="21"/>
              </w:rPr>
            </w:pPr>
            <w:r>
              <w:rPr>
                <w:rFonts w:hint="eastAsia" w:ascii="宋体" w:hAnsi="宋体"/>
                <w:b w:val="0"/>
                <w:bCs/>
                <w:spacing w:val="-4"/>
                <w:kern w:val="0"/>
                <w:szCs w:val="21"/>
              </w:rPr>
              <w:t>16</w:t>
            </w:r>
          </w:p>
        </w:tc>
        <w:tc>
          <w:tcPr>
            <w:tcW w:w="357" w:type="pct"/>
            <w:shd w:val="clear" w:color="auto" w:fill="auto"/>
            <w:vAlign w:val="center"/>
          </w:tcPr>
          <w:p w14:paraId="07135EE5">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1</w:t>
            </w:r>
            <w:r>
              <w:rPr>
                <w:rFonts w:ascii="宋体" w:hAnsi="宋体"/>
                <w:b w:val="0"/>
                <w:bCs/>
                <w:spacing w:val="-4"/>
                <w:kern w:val="0"/>
                <w:szCs w:val="21"/>
              </w:rPr>
              <w:t>6</w:t>
            </w:r>
          </w:p>
        </w:tc>
        <w:tc>
          <w:tcPr>
            <w:tcW w:w="388" w:type="pct"/>
            <w:vAlign w:val="center"/>
          </w:tcPr>
          <w:p w14:paraId="360A385C">
            <w:pPr>
              <w:jc w:val="center"/>
              <w:rPr>
                <w:rFonts w:ascii="宋体" w:hAnsi="宋体"/>
                <w:b w:val="0"/>
                <w:bCs/>
                <w:szCs w:val="21"/>
              </w:rPr>
            </w:pPr>
            <w:r>
              <w:rPr>
                <w:rFonts w:hint="eastAsia" w:ascii="宋体" w:hAnsi="宋体"/>
                <w:b w:val="0"/>
                <w:bCs/>
                <w:szCs w:val="21"/>
              </w:rPr>
              <w:t>双有</w:t>
            </w:r>
          </w:p>
        </w:tc>
        <w:tc>
          <w:tcPr>
            <w:tcW w:w="888" w:type="pct"/>
            <w:vAlign w:val="center"/>
          </w:tcPr>
          <w:p w14:paraId="2219D663">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w:t>
            </w:r>
            <w:r>
              <w:rPr>
                <w:rFonts w:hint="eastAsia" w:ascii="宋体" w:hAnsi="宋体" w:cs="宋体"/>
                <w:b w:val="0"/>
                <w:bCs/>
                <w:szCs w:val="21"/>
              </w:rPr>
              <w:t>8</w:t>
            </w:r>
          </w:p>
        </w:tc>
      </w:tr>
      <w:tr w14:paraId="5C8DDA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1C207966">
            <w:pPr>
              <w:jc w:val="center"/>
              <w:rPr>
                <w:rFonts w:ascii="宋体" w:hAnsi="宋体" w:cs="Arial"/>
                <w:b w:val="0"/>
                <w:bCs/>
                <w:szCs w:val="21"/>
              </w:rPr>
            </w:pPr>
          </w:p>
        </w:tc>
        <w:tc>
          <w:tcPr>
            <w:tcW w:w="353" w:type="pct"/>
            <w:vMerge w:val="continue"/>
            <w:shd w:val="clear" w:color="auto" w:fill="auto"/>
            <w:vAlign w:val="center"/>
          </w:tcPr>
          <w:p w14:paraId="741892F4">
            <w:pPr>
              <w:jc w:val="center"/>
              <w:rPr>
                <w:rFonts w:ascii="宋体" w:hAnsi="宋体" w:cs="Arial"/>
                <w:b w:val="0"/>
                <w:bCs/>
                <w:szCs w:val="21"/>
              </w:rPr>
            </w:pPr>
          </w:p>
        </w:tc>
        <w:tc>
          <w:tcPr>
            <w:tcW w:w="518" w:type="pct"/>
            <w:vMerge w:val="continue"/>
            <w:shd w:val="clear" w:color="auto" w:fill="auto"/>
            <w:vAlign w:val="center"/>
          </w:tcPr>
          <w:p w14:paraId="07CDF7FA">
            <w:pPr>
              <w:jc w:val="center"/>
              <w:rPr>
                <w:rFonts w:ascii="宋体" w:hAnsi="宋体" w:cs="Arial"/>
                <w:b w:val="0"/>
                <w:bCs/>
                <w:szCs w:val="21"/>
              </w:rPr>
            </w:pPr>
          </w:p>
        </w:tc>
        <w:tc>
          <w:tcPr>
            <w:tcW w:w="1075" w:type="pct"/>
            <w:shd w:val="clear" w:color="auto" w:fill="auto"/>
            <w:vAlign w:val="center"/>
          </w:tcPr>
          <w:p w14:paraId="44F5479B">
            <w:pPr>
              <w:jc w:val="center"/>
              <w:rPr>
                <w:rFonts w:ascii="宋体" w:hAnsi="宋体"/>
                <w:b w:val="0"/>
                <w:bCs/>
                <w:spacing w:val="-4"/>
                <w:szCs w:val="21"/>
              </w:rPr>
            </w:pPr>
            <w:r>
              <w:rPr>
                <w:rFonts w:hint="eastAsia" w:ascii="宋体" w:hAnsi="宋体"/>
                <w:b w:val="0"/>
                <w:bCs/>
                <w:spacing w:val="-4"/>
                <w:szCs w:val="21"/>
              </w:rPr>
              <w:t>83</w:t>
            </w:r>
            <w:r>
              <w:rPr>
                <w:rFonts w:ascii="宋体" w:hAnsi="宋体"/>
                <w:b w:val="0"/>
                <w:bCs/>
                <w:spacing w:val="-4"/>
                <w:szCs w:val="21"/>
              </w:rPr>
              <w:t>#</w:t>
            </w:r>
            <w:r>
              <w:rPr>
                <w:rFonts w:hint="eastAsia" w:ascii="宋体" w:hAnsi="宋体"/>
                <w:b w:val="0"/>
                <w:bCs/>
                <w:spacing w:val="-4"/>
                <w:szCs w:val="21"/>
              </w:rPr>
              <w:t>危废暂存间</w:t>
            </w:r>
          </w:p>
          <w:p w14:paraId="18DDEC07">
            <w:pPr>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w:t>
            </w:r>
            <w:r>
              <w:rPr>
                <w:rFonts w:hint="eastAsia" w:ascii="宋体" w:hAnsi="宋体"/>
                <w:b w:val="0"/>
                <w:bCs/>
                <w:spacing w:val="-4"/>
                <w:szCs w:val="21"/>
                <w:vertAlign w:val="superscript"/>
              </w:rPr>
              <w:t>1</w:t>
            </w:r>
            <w:r>
              <w:rPr>
                <w:rFonts w:hint="eastAsia" w:ascii="宋体" w:hAnsi="宋体"/>
                <w:b w:val="0"/>
                <w:bCs/>
                <w:spacing w:val="-4"/>
                <w:szCs w:val="21"/>
              </w:rPr>
              <w:t>级、20</w:t>
            </w:r>
            <w:r>
              <w:rPr>
                <w:rFonts w:ascii="宋体" w:hAnsi="宋体"/>
                <w:b w:val="0"/>
                <w:bCs/>
                <w:spacing w:val="-4"/>
                <w:szCs w:val="21"/>
              </w:rPr>
              <w:t>kg</w:t>
            </w:r>
            <w:r>
              <w:rPr>
                <w:rFonts w:hint="eastAsia" w:ascii="宋体" w:hAnsi="宋体"/>
                <w:b w:val="0"/>
                <w:bCs/>
                <w:spacing w:val="-4"/>
                <w:szCs w:val="21"/>
              </w:rPr>
              <w:t>）</w:t>
            </w:r>
          </w:p>
        </w:tc>
        <w:tc>
          <w:tcPr>
            <w:tcW w:w="409" w:type="pct"/>
            <w:shd w:val="clear" w:color="auto" w:fill="auto"/>
            <w:vAlign w:val="center"/>
          </w:tcPr>
          <w:p w14:paraId="3FA957B1">
            <w:pPr>
              <w:jc w:val="center"/>
              <w:rPr>
                <w:rFonts w:ascii="宋体" w:hAnsi="宋体"/>
                <w:b w:val="0"/>
                <w:bCs/>
                <w:spacing w:val="-4"/>
                <w:kern w:val="0"/>
                <w:szCs w:val="21"/>
              </w:rPr>
            </w:pPr>
            <w:r>
              <w:rPr>
                <w:rFonts w:hint="eastAsia" w:ascii="宋体" w:hAnsi="宋体"/>
                <w:b w:val="0"/>
                <w:bCs/>
                <w:spacing w:val="-4"/>
                <w:kern w:val="0"/>
                <w:szCs w:val="21"/>
              </w:rPr>
              <w:t>12</w:t>
            </w:r>
          </w:p>
        </w:tc>
        <w:tc>
          <w:tcPr>
            <w:tcW w:w="357" w:type="pct"/>
            <w:shd w:val="clear" w:color="auto" w:fill="auto"/>
            <w:vAlign w:val="center"/>
          </w:tcPr>
          <w:p w14:paraId="5D0CE72C">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31</w:t>
            </w:r>
          </w:p>
        </w:tc>
        <w:tc>
          <w:tcPr>
            <w:tcW w:w="388" w:type="pct"/>
            <w:vAlign w:val="center"/>
          </w:tcPr>
          <w:p w14:paraId="54DF956D">
            <w:pPr>
              <w:jc w:val="center"/>
              <w:rPr>
                <w:rFonts w:ascii="宋体" w:hAnsi="宋体"/>
                <w:b w:val="0"/>
                <w:bCs/>
                <w:szCs w:val="21"/>
              </w:rPr>
            </w:pPr>
            <w:r>
              <w:rPr>
                <w:rFonts w:hint="eastAsia" w:ascii="宋体" w:hAnsi="宋体"/>
                <w:b w:val="0"/>
                <w:bCs/>
                <w:szCs w:val="21"/>
              </w:rPr>
              <w:t>双有</w:t>
            </w:r>
          </w:p>
        </w:tc>
        <w:tc>
          <w:tcPr>
            <w:tcW w:w="888" w:type="pct"/>
            <w:vAlign w:val="center"/>
          </w:tcPr>
          <w:p w14:paraId="68CAFD14">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w:t>
            </w:r>
            <w:r>
              <w:rPr>
                <w:rFonts w:hint="eastAsia" w:ascii="宋体" w:hAnsi="宋体" w:cs="宋体"/>
                <w:b w:val="0"/>
                <w:bCs/>
                <w:szCs w:val="21"/>
              </w:rPr>
              <w:t>3</w:t>
            </w:r>
          </w:p>
        </w:tc>
      </w:tr>
      <w:tr w14:paraId="33F3A4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shd w:val="clear" w:color="auto" w:fill="auto"/>
            <w:vAlign w:val="center"/>
          </w:tcPr>
          <w:p w14:paraId="5D48760F">
            <w:pPr>
              <w:jc w:val="center"/>
              <w:rPr>
                <w:rFonts w:ascii="宋体" w:hAnsi="宋体" w:cs="Arial"/>
                <w:b w:val="0"/>
                <w:bCs/>
                <w:szCs w:val="21"/>
              </w:rPr>
            </w:pPr>
            <w:r>
              <w:rPr>
                <w:rFonts w:hint="eastAsia" w:ascii="宋体" w:hAnsi="宋体" w:cs="Arial"/>
                <w:b w:val="0"/>
                <w:bCs/>
                <w:szCs w:val="21"/>
              </w:rPr>
              <w:t>79</w:t>
            </w:r>
            <w:r>
              <w:rPr>
                <w:rFonts w:ascii="宋体" w:hAnsi="宋体" w:cs="Arial"/>
                <w:b w:val="0"/>
                <w:bCs/>
                <w:szCs w:val="21"/>
              </w:rPr>
              <w:t>#</w:t>
            </w:r>
            <w:r>
              <w:rPr>
                <w:rFonts w:hint="eastAsia" w:ascii="宋体" w:hAnsi="宋体" w:cs="Arial"/>
                <w:b w:val="0"/>
                <w:bCs/>
                <w:szCs w:val="21"/>
              </w:rPr>
              <w:t>还原剂粉碎</w:t>
            </w:r>
          </w:p>
        </w:tc>
        <w:tc>
          <w:tcPr>
            <w:tcW w:w="353" w:type="pct"/>
            <w:shd w:val="clear" w:color="auto" w:fill="auto"/>
            <w:vAlign w:val="center"/>
          </w:tcPr>
          <w:p w14:paraId="717EBFCB">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w:t>
            </w:r>
            <w:r>
              <w:rPr>
                <w:rFonts w:hint="eastAsia" w:ascii="宋体" w:hAnsi="宋体" w:cs="Arial"/>
                <w:b w:val="0"/>
                <w:bCs/>
                <w:szCs w:val="21"/>
              </w:rPr>
              <w:t>3</w:t>
            </w:r>
          </w:p>
        </w:tc>
        <w:tc>
          <w:tcPr>
            <w:tcW w:w="518" w:type="pct"/>
            <w:shd w:val="clear" w:color="auto" w:fill="auto"/>
            <w:vAlign w:val="center"/>
          </w:tcPr>
          <w:p w14:paraId="5DBB1DBB">
            <w:pPr>
              <w:jc w:val="center"/>
              <w:rPr>
                <w:rFonts w:ascii="宋体" w:hAnsi="宋体" w:cs="Arial"/>
                <w:b w:val="0"/>
                <w:bCs/>
                <w:szCs w:val="21"/>
              </w:rPr>
            </w:pPr>
            <w:r>
              <w:rPr>
                <w:rFonts w:hint="eastAsia" w:ascii="宋体" w:hAnsi="宋体" w:cs="Arial"/>
                <w:b w:val="0"/>
                <w:bCs/>
                <w:szCs w:val="21"/>
              </w:rPr>
              <w:t>100</w:t>
            </w:r>
          </w:p>
        </w:tc>
        <w:tc>
          <w:tcPr>
            <w:tcW w:w="1075" w:type="pct"/>
            <w:shd w:val="clear" w:color="auto" w:fill="auto"/>
            <w:vAlign w:val="center"/>
          </w:tcPr>
          <w:p w14:paraId="0CEB9167">
            <w:pPr>
              <w:jc w:val="center"/>
              <w:rPr>
                <w:rFonts w:ascii="宋体" w:hAnsi="宋体"/>
                <w:b w:val="0"/>
                <w:bCs/>
                <w:spacing w:val="-4"/>
                <w:szCs w:val="21"/>
              </w:rPr>
            </w:pPr>
            <w:r>
              <w:rPr>
                <w:rFonts w:hint="eastAsia" w:ascii="宋体" w:hAnsi="宋体"/>
                <w:b w:val="0"/>
                <w:bCs/>
                <w:spacing w:val="-4"/>
                <w:szCs w:val="21"/>
              </w:rPr>
              <w:t>80</w:t>
            </w:r>
            <w:r>
              <w:rPr>
                <w:rFonts w:ascii="宋体" w:hAnsi="宋体"/>
                <w:b w:val="0"/>
                <w:bCs/>
                <w:spacing w:val="-4"/>
                <w:szCs w:val="21"/>
              </w:rPr>
              <w:t>#</w:t>
            </w:r>
            <w:r>
              <w:rPr>
                <w:rFonts w:hint="eastAsia" w:ascii="宋体" w:hAnsi="宋体"/>
                <w:b w:val="0"/>
                <w:bCs/>
                <w:spacing w:val="-4"/>
                <w:szCs w:val="21"/>
              </w:rPr>
              <w:t>氧化剂粉碎</w:t>
            </w:r>
          </w:p>
          <w:p w14:paraId="471CBE65">
            <w:pP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w:t>
            </w:r>
            <w:r>
              <w:rPr>
                <w:rFonts w:hint="eastAsia" w:ascii="宋体" w:hAnsi="宋体"/>
                <w:b w:val="0"/>
                <w:bCs/>
                <w:spacing w:val="-4"/>
                <w:szCs w:val="21"/>
              </w:rPr>
              <w:t>3级、1</w:t>
            </w:r>
            <w:r>
              <w:rPr>
                <w:rFonts w:ascii="宋体" w:hAnsi="宋体"/>
                <w:b w:val="0"/>
                <w:bCs/>
                <w:spacing w:val="-4"/>
                <w:szCs w:val="21"/>
              </w:rPr>
              <w:t>00kg</w:t>
            </w:r>
            <w:r>
              <w:rPr>
                <w:rFonts w:hint="eastAsia" w:ascii="宋体" w:hAnsi="宋体"/>
                <w:b w:val="0"/>
                <w:bCs/>
                <w:spacing w:val="-4"/>
                <w:szCs w:val="21"/>
              </w:rPr>
              <w:t>）</w:t>
            </w:r>
          </w:p>
        </w:tc>
        <w:tc>
          <w:tcPr>
            <w:tcW w:w="409" w:type="pct"/>
            <w:shd w:val="clear" w:color="auto" w:fill="auto"/>
            <w:vAlign w:val="center"/>
          </w:tcPr>
          <w:p w14:paraId="32749C9C">
            <w:pPr>
              <w:jc w:val="center"/>
              <w:rPr>
                <w:rFonts w:ascii="宋体" w:hAnsi="宋体"/>
                <w:b w:val="0"/>
                <w:bCs/>
                <w:spacing w:val="-4"/>
                <w:kern w:val="0"/>
                <w:szCs w:val="21"/>
              </w:rPr>
            </w:pPr>
            <w:r>
              <w:rPr>
                <w:rFonts w:hint="eastAsia" w:ascii="宋体" w:hAnsi="宋体"/>
                <w:b w:val="0"/>
                <w:bCs/>
                <w:spacing w:val="-4"/>
                <w:kern w:val="0"/>
                <w:szCs w:val="21"/>
              </w:rPr>
              <w:t>11.2</w:t>
            </w:r>
          </w:p>
        </w:tc>
        <w:tc>
          <w:tcPr>
            <w:tcW w:w="357" w:type="pct"/>
            <w:shd w:val="clear" w:color="auto" w:fill="auto"/>
            <w:vAlign w:val="center"/>
          </w:tcPr>
          <w:p w14:paraId="0D42A384">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1</w:t>
            </w:r>
            <w:r>
              <w:rPr>
                <w:rFonts w:ascii="宋体" w:hAnsi="宋体"/>
                <w:b w:val="0"/>
                <w:bCs/>
                <w:spacing w:val="-4"/>
                <w:kern w:val="0"/>
                <w:szCs w:val="21"/>
              </w:rPr>
              <w:t>2</w:t>
            </w:r>
          </w:p>
        </w:tc>
        <w:tc>
          <w:tcPr>
            <w:tcW w:w="388" w:type="pct"/>
            <w:vAlign w:val="center"/>
          </w:tcPr>
          <w:p w14:paraId="698F2E21">
            <w:pPr>
              <w:jc w:val="center"/>
              <w:rPr>
                <w:rFonts w:ascii="宋体" w:hAnsi="宋体"/>
                <w:b w:val="0"/>
                <w:bCs/>
                <w:szCs w:val="21"/>
              </w:rPr>
            </w:pPr>
            <w:r>
              <w:rPr>
                <w:rFonts w:hint="eastAsia" w:ascii="宋体" w:hAnsi="宋体"/>
                <w:b w:val="0"/>
                <w:bCs/>
                <w:spacing w:val="-11"/>
                <w:sz w:val="18"/>
                <w:szCs w:val="18"/>
              </w:rPr>
              <w:t>双有防火墙</w:t>
            </w:r>
          </w:p>
        </w:tc>
        <w:tc>
          <w:tcPr>
            <w:tcW w:w="888" w:type="pct"/>
            <w:vAlign w:val="center"/>
          </w:tcPr>
          <w:p w14:paraId="25677ECA">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w:t>
            </w:r>
            <w:r>
              <w:rPr>
                <w:rFonts w:hint="eastAsia" w:ascii="宋体" w:hAnsi="宋体" w:cs="宋体"/>
                <w:b w:val="0"/>
                <w:bCs/>
                <w:szCs w:val="21"/>
              </w:rPr>
              <w:t>8</w:t>
            </w:r>
          </w:p>
        </w:tc>
      </w:tr>
      <w:tr w14:paraId="18B90A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restart"/>
            <w:shd w:val="clear" w:color="auto" w:fill="auto"/>
            <w:vAlign w:val="center"/>
          </w:tcPr>
          <w:p w14:paraId="167ACFDA">
            <w:pPr>
              <w:jc w:val="center"/>
              <w:rPr>
                <w:rFonts w:ascii="宋体" w:hAnsi="宋体" w:cs="Arial"/>
                <w:b w:val="0"/>
                <w:bCs/>
                <w:szCs w:val="21"/>
              </w:rPr>
            </w:pPr>
            <w:r>
              <w:rPr>
                <w:rFonts w:hint="eastAsia" w:ascii="宋体" w:hAnsi="宋体" w:cs="Arial"/>
                <w:b w:val="0"/>
                <w:bCs/>
                <w:szCs w:val="21"/>
              </w:rPr>
              <w:t>80</w:t>
            </w:r>
            <w:r>
              <w:rPr>
                <w:rFonts w:ascii="宋体" w:hAnsi="宋体" w:cs="Arial"/>
                <w:b w:val="0"/>
                <w:bCs/>
                <w:szCs w:val="21"/>
              </w:rPr>
              <w:t>#</w:t>
            </w:r>
            <w:r>
              <w:rPr>
                <w:rFonts w:hint="eastAsia" w:ascii="宋体" w:hAnsi="宋体" w:cs="Arial"/>
                <w:b w:val="0"/>
                <w:bCs/>
                <w:szCs w:val="21"/>
              </w:rPr>
              <w:t>氧化剂粉碎</w:t>
            </w:r>
          </w:p>
        </w:tc>
        <w:tc>
          <w:tcPr>
            <w:tcW w:w="353" w:type="pct"/>
            <w:vMerge w:val="restart"/>
            <w:shd w:val="clear" w:color="auto" w:fill="auto"/>
            <w:vAlign w:val="center"/>
          </w:tcPr>
          <w:p w14:paraId="3CBB196D">
            <w:pPr>
              <w:jc w:val="center"/>
              <w:rPr>
                <w:rFonts w:ascii="宋体" w:hAnsi="宋体" w:cs="Arial"/>
                <w:b w:val="0"/>
                <w:bCs/>
                <w:szCs w:val="21"/>
              </w:rPr>
            </w:pPr>
            <w:r>
              <w:rPr>
                <w:rFonts w:hint="eastAsia" w:ascii="宋体" w:hAnsi="宋体" w:cs="Arial"/>
                <w:b w:val="0"/>
                <w:bCs/>
                <w:szCs w:val="21"/>
              </w:rPr>
              <w:t>1.3</w:t>
            </w:r>
          </w:p>
        </w:tc>
        <w:tc>
          <w:tcPr>
            <w:tcW w:w="518" w:type="pct"/>
            <w:vMerge w:val="restart"/>
            <w:shd w:val="clear" w:color="auto" w:fill="auto"/>
            <w:vAlign w:val="center"/>
          </w:tcPr>
          <w:p w14:paraId="1FA3CAD4">
            <w:pPr>
              <w:jc w:val="center"/>
              <w:rPr>
                <w:rFonts w:ascii="宋体" w:hAnsi="宋体" w:cs="Arial"/>
                <w:b w:val="0"/>
                <w:bCs/>
                <w:szCs w:val="21"/>
              </w:rPr>
            </w:pPr>
            <w:r>
              <w:rPr>
                <w:rFonts w:hint="eastAsia" w:ascii="宋体" w:hAnsi="宋体" w:cs="Arial"/>
                <w:b w:val="0"/>
                <w:bCs/>
                <w:szCs w:val="21"/>
              </w:rPr>
              <w:t>100</w:t>
            </w:r>
          </w:p>
        </w:tc>
        <w:tc>
          <w:tcPr>
            <w:tcW w:w="1075" w:type="pct"/>
            <w:shd w:val="clear" w:color="auto" w:fill="auto"/>
            <w:vAlign w:val="center"/>
          </w:tcPr>
          <w:p w14:paraId="4D366C25">
            <w:pPr>
              <w:jc w:val="center"/>
              <w:rPr>
                <w:rFonts w:ascii="宋体" w:hAnsi="宋体"/>
                <w:b w:val="0"/>
                <w:bCs/>
                <w:spacing w:val="-4"/>
                <w:szCs w:val="21"/>
              </w:rPr>
            </w:pPr>
            <w:r>
              <w:rPr>
                <w:rFonts w:hint="eastAsia" w:ascii="宋体" w:hAnsi="宋体"/>
                <w:b w:val="0"/>
                <w:bCs/>
                <w:spacing w:val="-4"/>
                <w:szCs w:val="21"/>
              </w:rPr>
              <w:t>77</w:t>
            </w:r>
            <w:r>
              <w:rPr>
                <w:rFonts w:ascii="宋体" w:hAnsi="宋体"/>
                <w:b w:val="0"/>
                <w:bCs/>
                <w:spacing w:val="-4"/>
                <w:szCs w:val="21"/>
              </w:rPr>
              <w:t>#</w:t>
            </w:r>
            <w:r>
              <w:rPr>
                <w:rFonts w:hint="eastAsia" w:ascii="宋体" w:hAnsi="宋体"/>
                <w:b w:val="0"/>
                <w:bCs/>
                <w:spacing w:val="-4"/>
                <w:szCs w:val="21"/>
              </w:rPr>
              <w:t>称料</w:t>
            </w:r>
          </w:p>
          <w:p w14:paraId="6B658463">
            <w:pPr>
              <w:jc w:val="center"/>
              <w:rPr>
                <w:rFonts w:ascii="宋体" w:hAnsi="宋体"/>
                <w:b w:val="0"/>
                <w:bCs/>
                <w:spacing w:val="-4"/>
                <w:szCs w:val="21"/>
              </w:rPr>
            </w:pPr>
            <w:r>
              <w:rPr>
                <w:rFonts w:hint="eastAsia" w:ascii="宋体" w:hAnsi="宋体"/>
                <w:b w:val="0"/>
                <w:bCs/>
                <w:spacing w:val="-11"/>
                <w:szCs w:val="21"/>
              </w:rPr>
              <w:t>（1</w:t>
            </w:r>
            <w:r>
              <w:rPr>
                <w:rFonts w:ascii="宋体" w:hAnsi="宋体"/>
                <w:b w:val="0"/>
                <w:bCs/>
                <w:spacing w:val="-11"/>
                <w:szCs w:val="21"/>
              </w:rPr>
              <w:t>.1</w:t>
            </w:r>
            <w:r>
              <w:rPr>
                <w:rFonts w:ascii="宋体" w:hAnsi="宋体"/>
                <w:b w:val="0"/>
                <w:bCs/>
                <w:spacing w:val="-11"/>
                <w:szCs w:val="21"/>
                <w:vertAlign w:val="superscript"/>
              </w:rPr>
              <w:t>-2</w:t>
            </w:r>
            <w:r>
              <w:rPr>
                <w:rFonts w:hint="eastAsia" w:ascii="宋体" w:hAnsi="宋体"/>
                <w:b w:val="0"/>
                <w:bCs/>
                <w:spacing w:val="-11"/>
                <w:szCs w:val="21"/>
              </w:rPr>
              <w:t>级、3</w:t>
            </w:r>
            <w:r>
              <w:rPr>
                <w:rFonts w:ascii="宋体" w:hAnsi="宋体"/>
                <w:b w:val="0"/>
                <w:bCs/>
                <w:spacing w:val="-11"/>
                <w:szCs w:val="21"/>
              </w:rPr>
              <w:t>0</w:t>
            </w:r>
            <w:r>
              <w:rPr>
                <w:rFonts w:hint="eastAsia" w:ascii="宋体" w:hAnsi="宋体"/>
                <w:b w:val="0"/>
                <w:bCs/>
                <w:spacing w:val="-11"/>
                <w:szCs w:val="21"/>
              </w:rPr>
              <w:t>/200</w:t>
            </w:r>
            <w:r>
              <w:rPr>
                <w:rFonts w:ascii="宋体" w:hAnsi="宋体"/>
                <w:b w:val="0"/>
                <w:bCs/>
                <w:spacing w:val="-11"/>
                <w:szCs w:val="21"/>
              </w:rPr>
              <w:t>kg</w:t>
            </w:r>
            <w:r>
              <w:rPr>
                <w:rFonts w:hint="eastAsia" w:ascii="宋体" w:hAnsi="宋体"/>
                <w:b w:val="0"/>
                <w:bCs/>
                <w:spacing w:val="-11"/>
                <w:szCs w:val="21"/>
              </w:rPr>
              <w:t>）</w:t>
            </w:r>
          </w:p>
        </w:tc>
        <w:tc>
          <w:tcPr>
            <w:tcW w:w="409" w:type="pct"/>
            <w:shd w:val="clear" w:color="auto" w:fill="auto"/>
            <w:vAlign w:val="center"/>
          </w:tcPr>
          <w:p w14:paraId="17EE9469">
            <w:pPr>
              <w:jc w:val="center"/>
              <w:rPr>
                <w:rFonts w:ascii="宋体" w:hAnsi="宋体"/>
                <w:b w:val="0"/>
                <w:bCs/>
                <w:spacing w:val="-4"/>
                <w:kern w:val="0"/>
                <w:szCs w:val="21"/>
              </w:rPr>
            </w:pPr>
            <w:r>
              <w:rPr>
                <w:rFonts w:hint="eastAsia" w:ascii="宋体" w:hAnsi="宋体"/>
                <w:b w:val="0"/>
                <w:bCs/>
                <w:spacing w:val="-4"/>
                <w:kern w:val="0"/>
                <w:szCs w:val="21"/>
              </w:rPr>
              <w:t>16</w:t>
            </w:r>
          </w:p>
        </w:tc>
        <w:tc>
          <w:tcPr>
            <w:tcW w:w="357" w:type="pct"/>
            <w:shd w:val="clear" w:color="auto" w:fill="auto"/>
            <w:vAlign w:val="center"/>
          </w:tcPr>
          <w:p w14:paraId="50E2D87E">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18</w:t>
            </w:r>
          </w:p>
        </w:tc>
        <w:tc>
          <w:tcPr>
            <w:tcW w:w="388" w:type="pct"/>
            <w:vAlign w:val="center"/>
          </w:tcPr>
          <w:p w14:paraId="72609721">
            <w:pPr>
              <w:jc w:val="center"/>
              <w:rPr>
                <w:rFonts w:ascii="宋体" w:hAnsi="宋体"/>
                <w:b w:val="0"/>
                <w:bCs/>
                <w:spacing w:val="-11"/>
                <w:sz w:val="18"/>
                <w:szCs w:val="18"/>
              </w:rPr>
            </w:pPr>
            <w:r>
              <w:rPr>
                <w:rFonts w:hint="eastAsia" w:ascii="宋体" w:hAnsi="宋体"/>
                <w:b w:val="0"/>
                <w:bCs/>
                <w:spacing w:val="-11"/>
                <w:sz w:val="18"/>
                <w:szCs w:val="18"/>
              </w:rPr>
              <w:t>单有</w:t>
            </w:r>
          </w:p>
        </w:tc>
        <w:tc>
          <w:tcPr>
            <w:tcW w:w="888" w:type="pct"/>
            <w:vAlign w:val="center"/>
          </w:tcPr>
          <w:p w14:paraId="2892234D">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w:t>
            </w:r>
            <w:r>
              <w:rPr>
                <w:rFonts w:hint="eastAsia" w:ascii="宋体" w:hAnsi="宋体" w:cs="宋体"/>
                <w:b w:val="0"/>
                <w:bCs/>
                <w:szCs w:val="21"/>
              </w:rPr>
              <w:t>8</w:t>
            </w:r>
          </w:p>
        </w:tc>
      </w:tr>
      <w:tr w14:paraId="778733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1B0190E2">
            <w:pPr>
              <w:jc w:val="center"/>
              <w:rPr>
                <w:rFonts w:ascii="宋体" w:hAnsi="宋体" w:cs="Arial"/>
                <w:b w:val="0"/>
                <w:bCs/>
                <w:color w:val="FF0000"/>
                <w:szCs w:val="21"/>
              </w:rPr>
            </w:pPr>
          </w:p>
        </w:tc>
        <w:tc>
          <w:tcPr>
            <w:tcW w:w="353" w:type="pct"/>
            <w:vMerge w:val="continue"/>
            <w:shd w:val="clear" w:color="auto" w:fill="auto"/>
            <w:vAlign w:val="center"/>
          </w:tcPr>
          <w:p w14:paraId="06EF76FA">
            <w:pPr>
              <w:jc w:val="center"/>
              <w:rPr>
                <w:rFonts w:ascii="宋体" w:hAnsi="宋体" w:cs="Arial"/>
                <w:b w:val="0"/>
                <w:bCs/>
                <w:color w:val="FF0000"/>
                <w:szCs w:val="21"/>
              </w:rPr>
            </w:pPr>
          </w:p>
        </w:tc>
        <w:tc>
          <w:tcPr>
            <w:tcW w:w="518" w:type="pct"/>
            <w:vMerge w:val="continue"/>
            <w:shd w:val="clear" w:color="auto" w:fill="auto"/>
            <w:vAlign w:val="center"/>
          </w:tcPr>
          <w:p w14:paraId="6A61E112">
            <w:pPr>
              <w:jc w:val="center"/>
              <w:rPr>
                <w:rFonts w:ascii="宋体" w:hAnsi="宋体" w:cs="Arial"/>
                <w:b w:val="0"/>
                <w:bCs/>
                <w:color w:val="FF0000"/>
                <w:szCs w:val="21"/>
              </w:rPr>
            </w:pPr>
          </w:p>
        </w:tc>
        <w:tc>
          <w:tcPr>
            <w:tcW w:w="1075" w:type="pct"/>
            <w:shd w:val="clear" w:color="auto" w:fill="auto"/>
            <w:vAlign w:val="center"/>
          </w:tcPr>
          <w:p w14:paraId="03EB2635">
            <w:pPr>
              <w:jc w:val="center"/>
              <w:rPr>
                <w:rFonts w:ascii="宋体" w:hAnsi="宋体"/>
                <w:b w:val="0"/>
                <w:bCs/>
                <w:spacing w:val="-4"/>
                <w:szCs w:val="21"/>
              </w:rPr>
            </w:pPr>
            <w:r>
              <w:rPr>
                <w:rFonts w:hint="eastAsia" w:ascii="宋体" w:hAnsi="宋体"/>
                <w:b w:val="0"/>
                <w:bCs/>
                <w:spacing w:val="-4"/>
                <w:szCs w:val="21"/>
              </w:rPr>
              <w:t>81</w:t>
            </w:r>
            <w:r>
              <w:rPr>
                <w:rFonts w:ascii="宋体" w:hAnsi="宋体"/>
                <w:b w:val="0"/>
                <w:bCs/>
                <w:spacing w:val="-4"/>
                <w:szCs w:val="21"/>
              </w:rPr>
              <w:t>#</w:t>
            </w:r>
            <w:r>
              <w:rPr>
                <w:rFonts w:hint="eastAsia" w:ascii="宋体" w:hAnsi="宋体"/>
                <w:b w:val="0"/>
                <w:bCs/>
                <w:spacing w:val="-4"/>
                <w:szCs w:val="21"/>
              </w:rPr>
              <w:t xml:space="preserve">化工原材料库     </w:t>
            </w:r>
            <w:r>
              <w:rPr>
                <w:rFonts w:hint="eastAsia" w:ascii="宋体" w:hAnsi="宋体"/>
                <w:b w:val="0"/>
                <w:bCs/>
                <w:spacing w:val="-11"/>
                <w:szCs w:val="21"/>
              </w:rPr>
              <w:t>（甲类、40000</w:t>
            </w:r>
            <w:r>
              <w:rPr>
                <w:rFonts w:ascii="宋体" w:hAnsi="宋体"/>
                <w:b w:val="0"/>
                <w:bCs/>
                <w:spacing w:val="-11"/>
                <w:szCs w:val="21"/>
              </w:rPr>
              <w:t>kg</w:t>
            </w:r>
            <w:r>
              <w:rPr>
                <w:rFonts w:hint="eastAsia" w:ascii="宋体" w:hAnsi="宋体"/>
                <w:b w:val="0"/>
                <w:bCs/>
                <w:spacing w:val="-11"/>
                <w:szCs w:val="21"/>
              </w:rPr>
              <w:t>）</w:t>
            </w:r>
          </w:p>
        </w:tc>
        <w:tc>
          <w:tcPr>
            <w:tcW w:w="409" w:type="pct"/>
            <w:shd w:val="clear" w:color="auto" w:fill="auto"/>
            <w:vAlign w:val="center"/>
          </w:tcPr>
          <w:p w14:paraId="38B57771">
            <w:pPr>
              <w:jc w:val="center"/>
              <w:rPr>
                <w:rFonts w:ascii="宋体" w:hAnsi="宋体"/>
                <w:b w:val="0"/>
                <w:bCs/>
                <w:spacing w:val="-4"/>
                <w:kern w:val="0"/>
                <w:szCs w:val="21"/>
              </w:rPr>
            </w:pPr>
            <w:r>
              <w:rPr>
                <w:rFonts w:hint="eastAsia" w:ascii="宋体" w:hAnsi="宋体"/>
                <w:b w:val="0"/>
                <w:bCs/>
                <w:spacing w:val="-4"/>
                <w:kern w:val="0"/>
                <w:szCs w:val="21"/>
              </w:rPr>
              <w:t xml:space="preserve"> 20</w:t>
            </w:r>
          </w:p>
        </w:tc>
        <w:tc>
          <w:tcPr>
            <w:tcW w:w="357" w:type="pct"/>
            <w:shd w:val="clear" w:color="auto" w:fill="auto"/>
            <w:vAlign w:val="center"/>
          </w:tcPr>
          <w:p w14:paraId="4C9E3429">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20</w:t>
            </w:r>
          </w:p>
        </w:tc>
        <w:tc>
          <w:tcPr>
            <w:tcW w:w="388" w:type="pct"/>
            <w:vAlign w:val="center"/>
          </w:tcPr>
          <w:p w14:paraId="58003591">
            <w:pPr>
              <w:jc w:val="center"/>
              <w:rPr>
                <w:rFonts w:ascii="宋体" w:hAnsi="宋体"/>
                <w:b w:val="0"/>
                <w:bCs/>
                <w:spacing w:val="-11"/>
                <w:sz w:val="18"/>
                <w:szCs w:val="18"/>
              </w:rPr>
            </w:pPr>
            <w:r>
              <w:rPr>
                <w:rFonts w:hint="eastAsia" w:ascii="宋体" w:hAnsi="宋体"/>
                <w:b w:val="0"/>
                <w:bCs/>
                <w:spacing w:val="-11"/>
                <w:sz w:val="18"/>
                <w:szCs w:val="18"/>
              </w:rPr>
              <w:t>\</w:t>
            </w:r>
          </w:p>
        </w:tc>
        <w:tc>
          <w:tcPr>
            <w:tcW w:w="888" w:type="pct"/>
            <w:vAlign w:val="center"/>
          </w:tcPr>
          <w:p w14:paraId="12E26B67">
            <w:pPr>
              <w:jc w:val="center"/>
              <w:rPr>
                <w:rFonts w:ascii="宋体" w:hAnsi="宋体" w:cs="宋体"/>
                <w:b w:val="0"/>
                <w:bCs/>
                <w:szCs w:val="21"/>
              </w:rPr>
            </w:pPr>
            <w:r>
              <w:rPr>
                <w:rFonts w:hint="eastAsia" w:ascii="宋体" w:hAnsi="宋体" w:cs="宋体"/>
                <w:b w:val="0"/>
                <w:bCs/>
                <w:szCs w:val="21"/>
              </w:rPr>
              <w:t>GB 50016-2014</w:t>
            </w:r>
          </w:p>
          <w:p w14:paraId="53F74649">
            <w:pPr>
              <w:jc w:val="center"/>
              <w:rPr>
                <w:rFonts w:ascii="宋体" w:hAnsi="宋体" w:cs="宋体"/>
                <w:b w:val="0"/>
                <w:bCs/>
                <w:szCs w:val="21"/>
              </w:rPr>
            </w:pPr>
            <w:r>
              <w:rPr>
                <w:rFonts w:hint="eastAsia" w:ascii="宋体" w:hAnsi="宋体" w:cs="宋体"/>
                <w:b w:val="0"/>
                <w:bCs/>
                <w:szCs w:val="21"/>
              </w:rPr>
              <w:t>第3.5.1条</w:t>
            </w:r>
          </w:p>
        </w:tc>
      </w:tr>
      <w:tr w14:paraId="1E6D71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restart"/>
            <w:shd w:val="clear" w:color="auto" w:fill="auto"/>
            <w:vAlign w:val="center"/>
          </w:tcPr>
          <w:p w14:paraId="79567FB7">
            <w:pPr>
              <w:jc w:val="center"/>
              <w:rPr>
                <w:rFonts w:ascii="宋体" w:hAnsi="宋体" w:cs="Arial"/>
                <w:b w:val="0"/>
                <w:bCs/>
                <w:szCs w:val="21"/>
              </w:rPr>
            </w:pPr>
            <w:r>
              <w:rPr>
                <w:rFonts w:hint="eastAsia" w:ascii="宋体" w:hAnsi="宋体" w:cs="Arial"/>
                <w:b w:val="0"/>
                <w:bCs/>
                <w:szCs w:val="21"/>
              </w:rPr>
              <w:t>81</w:t>
            </w:r>
            <w:r>
              <w:rPr>
                <w:rFonts w:ascii="宋体" w:hAnsi="宋体" w:cs="Arial"/>
                <w:b w:val="0"/>
                <w:bCs/>
                <w:szCs w:val="21"/>
              </w:rPr>
              <w:t>#</w:t>
            </w:r>
            <w:r>
              <w:rPr>
                <w:rFonts w:hint="eastAsia" w:ascii="宋体" w:hAnsi="宋体" w:cs="Arial"/>
                <w:b w:val="0"/>
                <w:bCs/>
                <w:szCs w:val="21"/>
              </w:rPr>
              <w:t>化工原材料库</w:t>
            </w:r>
          </w:p>
        </w:tc>
        <w:tc>
          <w:tcPr>
            <w:tcW w:w="353" w:type="pct"/>
            <w:vMerge w:val="restart"/>
            <w:shd w:val="clear" w:color="auto" w:fill="auto"/>
            <w:vAlign w:val="center"/>
          </w:tcPr>
          <w:p w14:paraId="2D74AD53">
            <w:pPr>
              <w:jc w:val="center"/>
              <w:rPr>
                <w:rFonts w:ascii="宋体" w:hAnsi="宋体" w:cs="Arial"/>
                <w:b w:val="0"/>
                <w:bCs/>
                <w:szCs w:val="21"/>
              </w:rPr>
            </w:pPr>
            <w:r>
              <w:rPr>
                <w:rFonts w:hint="eastAsia" w:ascii="宋体" w:hAnsi="宋体" w:cs="Arial"/>
                <w:b w:val="0"/>
                <w:bCs/>
                <w:szCs w:val="21"/>
              </w:rPr>
              <w:t>甲类</w:t>
            </w:r>
          </w:p>
        </w:tc>
        <w:tc>
          <w:tcPr>
            <w:tcW w:w="518" w:type="pct"/>
            <w:vMerge w:val="restart"/>
            <w:shd w:val="clear" w:color="auto" w:fill="auto"/>
            <w:vAlign w:val="center"/>
          </w:tcPr>
          <w:p w14:paraId="23489099">
            <w:pPr>
              <w:jc w:val="center"/>
              <w:rPr>
                <w:rFonts w:ascii="宋体" w:hAnsi="宋体" w:cs="Arial"/>
                <w:b w:val="0"/>
                <w:bCs/>
                <w:szCs w:val="21"/>
              </w:rPr>
            </w:pPr>
            <w:r>
              <w:rPr>
                <w:rFonts w:hint="eastAsia" w:ascii="宋体" w:hAnsi="宋体" w:cs="Arial"/>
                <w:b w:val="0"/>
                <w:bCs/>
                <w:szCs w:val="21"/>
              </w:rPr>
              <w:t>400</w:t>
            </w:r>
            <w:r>
              <w:rPr>
                <w:rFonts w:ascii="宋体" w:hAnsi="宋体" w:cs="Arial"/>
                <w:b w:val="0"/>
                <w:bCs/>
                <w:szCs w:val="21"/>
              </w:rPr>
              <w:t>00</w:t>
            </w:r>
          </w:p>
        </w:tc>
        <w:tc>
          <w:tcPr>
            <w:tcW w:w="1075" w:type="pct"/>
            <w:shd w:val="clear" w:color="auto" w:fill="auto"/>
            <w:vAlign w:val="center"/>
          </w:tcPr>
          <w:p w14:paraId="28EBCE34">
            <w:pPr>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77</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称料 </w:t>
            </w:r>
          </w:p>
          <w:p w14:paraId="0B08CFD1">
            <w:pPr>
              <w:jc w:val="center"/>
              <w:rPr>
                <w:rFonts w:ascii="宋体" w:hAnsi="宋体"/>
                <w:b w:val="0"/>
                <w:bCs/>
                <w:spacing w:val="-4"/>
                <w:szCs w:val="21"/>
              </w:rPr>
            </w:pPr>
            <w:r>
              <w:rPr>
                <w:rFonts w:hint="eastAsia" w:ascii="宋体" w:hAnsi="宋体"/>
                <w:b w:val="0"/>
                <w:bCs/>
                <w:color w:val="000000" w:themeColor="text1"/>
                <w:spacing w:val="-11"/>
                <w:szCs w:val="21"/>
                <w14:textFill>
                  <w14:solidFill>
                    <w14:schemeClr w14:val="tx1"/>
                  </w14:solidFill>
                </w14:textFill>
              </w:rPr>
              <w:t>（1</w:t>
            </w:r>
            <w:r>
              <w:rPr>
                <w:rFonts w:ascii="宋体" w:hAnsi="宋体"/>
                <w:b w:val="0"/>
                <w:bCs/>
                <w:color w:val="000000" w:themeColor="text1"/>
                <w:spacing w:val="-11"/>
                <w:szCs w:val="21"/>
                <w14:textFill>
                  <w14:solidFill>
                    <w14:schemeClr w14:val="tx1"/>
                  </w14:solidFill>
                </w14:textFill>
              </w:rPr>
              <w:t>.1</w:t>
            </w:r>
            <w:r>
              <w:rPr>
                <w:rFonts w:ascii="宋体" w:hAnsi="宋体"/>
                <w:b w:val="0"/>
                <w:bCs/>
                <w:color w:val="000000" w:themeColor="text1"/>
                <w:spacing w:val="-11"/>
                <w:szCs w:val="21"/>
                <w:vertAlign w:val="superscript"/>
                <w14:textFill>
                  <w14:solidFill>
                    <w14:schemeClr w14:val="tx1"/>
                  </w14:solidFill>
                </w14:textFill>
              </w:rPr>
              <w:t>-2</w:t>
            </w:r>
            <w:r>
              <w:rPr>
                <w:rFonts w:hint="eastAsia" w:ascii="宋体" w:hAnsi="宋体"/>
                <w:b w:val="0"/>
                <w:bCs/>
                <w:color w:val="000000" w:themeColor="text1"/>
                <w:spacing w:val="-11"/>
                <w:szCs w:val="21"/>
                <w14:textFill>
                  <w14:solidFill>
                    <w14:schemeClr w14:val="tx1"/>
                  </w14:solidFill>
                </w14:textFill>
              </w:rPr>
              <w:t>级、3</w:t>
            </w:r>
            <w:r>
              <w:rPr>
                <w:rFonts w:ascii="宋体" w:hAnsi="宋体"/>
                <w:b w:val="0"/>
                <w:bCs/>
                <w:color w:val="000000" w:themeColor="text1"/>
                <w:spacing w:val="-11"/>
                <w:szCs w:val="21"/>
                <w14:textFill>
                  <w14:solidFill>
                    <w14:schemeClr w14:val="tx1"/>
                  </w14:solidFill>
                </w14:textFill>
              </w:rPr>
              <w:t>0</w:t>
            </w:r>
            <w:r>
              <w:rPr>
                <w:rFonts w:hint="eastAsia" w:ascii="宋体" w:hAnsi="宋体"/>
                <w:b w:val="0"/>
                <w:bCs/>
                <w:color w:val="000000" w:themeColor="text1"/>
                <w:spacing w:val="-11"/>
                <w:szCs w:val="21"/>
                <w14:textFill>
                  <w14:solidFill>
                    <w14:schemeClr w14:val="tx1"/>
                  </w14:solidFill>
                </w14:textFill>
              </w:rPr>
              <w:t>/200</w:t>
            </w:r>
            <w:r>
              <w:rPr>
                <w:rFonts w:ascii="宋体" w:hAnsi="宋体"/>
                <w:b w:val="0"/>
                <w:bCs/>
                <w:color w:val="000000" w:themeColor="text1"/>
                <w:spacing w:val="-11"/>
                <w:szCs w:val="21"/>
                <w14:textFill>
                  <w14:solidFill>
                    <w14:schemeClr w14:val="tx1"/>
                  </w14:solidFill>
                </w14:textFill>
              </w:rPr>
              <w:t>kg</w:t>
            </w:r>
            <w:r>
              <w:rPr>
                <w:rFonts w:hint="eastAsia" w:ascii="宋体" w:hAnsi="宋体"/>
                <w:b w:val="0"/>
                <w:bCs/>
                <w:color w:val="000000" w:themeColor="text1"/>
                <w:spacing w:val="-11"/>
                <w:szCs w:val="21"/>
                <w14:textFill>
                  <w14:solidFill>
                    <w14:schemeClr w14:val="tx1"/>
                  </w14:solidFill>
                </w14:textFill>
              </w:rPr>
              <w:t>）</w:t>
            </w:r>
          </w:p>
        </w:tc>
        <w:tc>
          <w:tcPr>
            <w:tcW w:w="409" w:type="pct"/>
            <w:shd w:val="clear" w:color="auto" w:fill="auto"/>
            <w:vAlign w:val="center"/>
          </w:tcPr>
          <w:p w14:paraId="45E80A2F">
            <w:pPr>
              <w:jc w:val="center"/>
              <w:rPr>
                <w:rFonts w:ascii="宋体" w:hAnsi="宋体"/>
                <w:b w:val="0"/>
                <w:bCs/>
                <w:spacing w:val="-4"/>
                <w:kern w:val="0"/>
                <w:szCs w:val="21"/>
              </w:rPr>
            </w:pPr>
            <w:r>
              <w:rPr>
                <w:rFonts w:hint="eastAsia" w:ascii="宋体" w:hAnsi="宋体"/>
                <w:b w:val="0"/>
                <w:bCs/>
                <w:spacing w:val="-4"/>
                <w:kern w:val="0"/>
                <w:szCs w:val="21"/>
              </w:rPr>
              <w:t>20</w:t>
            </w:r>
          </w:p>
        </w:tc>
        <w:tc>
          <w:tcPr>
            <w:tcW w:w="357" w:type="pct"/>
            <w:shd w:val="clear" w:color="auto" w:fill="auto"/>
            <w:vAlign w:val="center"/>
          </w:tcPr>
          <w:p w14:paraId="2ADE77F2">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23</w:t>
            </w:r>
          </w:p>
        </w:tc>
        <w:tc>
          <w:tcPr>
            <w:tcW w:w="388" w:type="pct"/>
            <w:vAlign w:val="center"/>
          </w:tcPr>
          <w:p w14:paraId="37AC8159">
            <w:pPr>
              <w:jc w:val="center"/>
              <w:rPr>
                <w:rFonts w:ascii="宋体" w:hAnsi="宋体"/>
                <w:b w:val="0"/>
                <w:bCs/>
                <w:szCs w:val="21"/>
              </w:rPr>
            </w:pPr>
            <w:r>
              <w:rPr>
                <w:rFonts w:hint="eastAsia" w:ascii="宋体" w:hAnsi="宋体"/>
                <w:b w:val="0"/>
                <w:bCs/>
                <w:szCs w:val="21"/>
              </w:rPr>
              <w:t>单有</w:t>
            </w:r>
          </w:p>
        </w:tc>
        <w:tc>
          <w:tcPr>
            <w:tcW w:w="888" w:type="pct"/>
            <w:shd w:val="clear" w:color="auto" w:fill="auto"/>
            <w:vAlign w:val="center"/>
          </w:tcPr>
          <w:p w14:paraId="63F7051C">
            <w:pPr>
              <w:jc w:val="center"/>
              <w:rPr>
                <w:rFonts w:ascii="宋体" w:hAnsi="宋体" w:cs="宋体"/>
                <w:b w:val="0"/>
                <w:bCs/>
                <w:szCs w:val="21"/>
              </w:rPr>
            </w:pPr>
            <w:r>
              <w:rPr>
                <w:rFonts w:hint="eastAsia" w:ascii="宋体" w:hAnsi="宋体" w:cs="宋体"/>
                <w:b w:val="0"/>
                <w:bCs/>
                <w:szCs w:val="21"/>
              </w:rPr>
              <w:t>GB 50016-2014</w:t>
            </w:r>
          </w:p>
          <w:p w14:paraId="3766D967">
            <w:pPr>
              <w:jc w:val="center"/>
              <w:rPr>
                <w:rFonts w:ascii="宋体" w:hAnsi="宋体" w:cs="宋体"/>
                <w:b w:val="0"/>
                <w:bCs/>
                <w:szCs w:val="21"/>
              </w:rPr>
            </w:pPr>
            <w:r>
              <w:rPr>
                <w:rFonts w:hint="eastAsia" w:ascii="宋体" w:hAnsi="宋体" w:cs="宋体"/>
                <w:b w:val="0"/>
                <w:bCs/>
                <w:szCs w:val="21"/>
              </w:rPr>
              <w:t>第3.5.1条</w:t>
            </w:r>
          </w:p>
        </w:tc>
      </w:tr>
      <w:tr w14:paraId="52233A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47FDB91A">
            <w:pPr>
              <w:jc w:val="center"/>
              <w:rPr>
                <w:rFonts w:ascii="宋体" w:hAnsi="宋体" w:cs="Arial"/>
                <w:b w:val="0"/>
                <w:bCs/>
                <w:szCs w:val="21"/>
              </w:rPr>
            </w:pPr>
          </w:p>
        </w:tc>
        <w:tc>
          <w:tcPr>
            <w:tcW w:w="353" w:type="pct"/>
            <w:vMerge w:val="continue"/>
            <w:shd w:val="clear" w:color="auto" w:fill="auto"/>
            <w:vAlign w:val="center"/>
          </w:tcPr>
          <w:p w14:paraId="6CDD0984">
            <w:pPr>
              <w:jc w:val="center"/>
              <w:rPr>
                <w:rFonts w:ascii="宋体" w:hAnsi="宋体" w:cs="Arial"/>
                <w:b w:val="0"/>
                <w:bCs/>
                <w:szCs w:val="21"/>
              </w:rPr>
            </w:pPr>
          </w:p>
        </w:tc>
        <w:tc>
          <w:tcPr>
            <w:tcW w:w="518" w:type="pct"/>
            <w:vMerge w:val="continue"/>
            <w:shd w:val="clear" w:color="auto" w:fill="auto"/>
            <w:vAlign w:val="center"/>
          </w:tcPr>
          <w:p w14:paraId="5EF43AA1">
            <w:pPr>
              <w:jc w:val="center"/>
              <w:rPr>
                <w:rFonts w:ascii="宋体" w:hAnsi="宋体" w:cs="Arial"/>
                <w:b w:val="0"/>
                <w:bCs/>
                <w:szCs w:val="21"/>
              </w:rPr>
            </w:pPr>
          </w:p>
        </w:tc>
        <w:tc>
          <w:tcPr>
            <w:tcW w:w="1075" w:type="pct"/>
            <w:shd w:val="clear" w:color="auto" w:fill="auto"/>
            <w:vAlign w:val="center"/>
          </w:tcPr>
          <w:p w14:paraId="7C1D8A2F">
            <w:pPr>
              <w:jc w:val="center"/>
              <w:rPr>
                <w:rFonts w:ascii="宋体" w:hAnsi="宋体"/>
                <w:b w:val="0"/>
                <w:bCs/>
                <w:spacing w:val="-4"/>
                <w:szCs w:val="21"/>
              </w:rPr>
            </w:pPr>
            <w:r>
              <w:rPr>
                <w:rFonts w:hint="eastAsia" w:ascii="宋体" w:hAnsi="宋体"/>
                <w:b w:val="0"/>
                <w:bCs/>
                <w:spacing w:val="-4"/>
                <w:szCs w:val="21"/>
              </w:rPr>
              <w:t>82</w:t>
            </w:r>
            <w:r>
              <w:rPr>
                <w:rFonts w:ascii="宋体" w:hAnsi="宋体"/>
                <w:b w:val="0"/>
                <w:bCs/>
                <w:spacing w:val="-4"/>
                <w:szCs w:val="21"/>
              </w:rPr>
              <w:t>#</w:t>
            </w:r>
            <w:r>
              <w:rPr>
                <w:rFonts w:hint="eastAsia" w:ascii="宋体" w:hAnsi="宋体"/>
                <w:b w:val="0"/>
                <w:bCs/>
                <w:spacing w:val="-4"/>
                <w:szCs w:val="21"/>
              </w:rPr>
              <w:t>酒精库</w:t>
            </w:r>
          </w:p>
          <w:p w14:paraId="6B5FCF4A">
            <w:pPr>
              <w:jc w:val="center"/>
              <w:rPr>
                <w:rFonts w:ascii="宋体" w:hAnsi="宋体"/>
                <w:b w:val="0"/>
                <w:bCs/>
                <w:color w:val="FF0000"/>
                <w:spacing w:val="-4"/>
                <w:szCs w:val="21"/>
              </w:rPr>
            </w:pPr>
            <w:r>
              <w:rPr>
                <w:rFonts w:hint="eastAsia" w:ascii="宋体" w:hAnsi="宋体"/>
                <w:b w:val="0"/>
                <w:bCs/>
                <w:spacing w:val="-4"/>
                <w:szCs w:val="21"/>
              </w:rPr>
              <w:t>（甲类、20</w:t>
            </w:r>
            <w:r>
              <w:rPr>
                <w:rFonts w:ascii="宋体" w:hAnsi="宋体"/>
                <w:b w:val="0"/>
                <w:bCs/>
                <w:spacing w:val="-4"/>
                <w:szCs w:val="21"/>
              </w:rPr>
              <w:t>00kg</w:t>
            </w:r>
            <w:r>
              <w:rPr>
                <w:rFonts w:hint="eastAsia" w:ascii="宋体" w:hAnsi="宋体"/>
                <w:b w:val="0"/>
                <w:bCs/>
                <w:spacing w:val="-4"/>
                <w:szCs w:val="21"/>
              </w:rPr>
              <w:t>）</w:t>
            </w:r>
          </w:p>
        </w:tc>
        <w:tc>
          <w:tcPr>
            <w:tcW w:w="409" w:type="pct"/>
            <w:shd w:val="clear" w:color="auto" w:fill="auto"/>
            <w:vAlign w:val="center"/>
          </w:tcPr>
          <w:p w14:paraId="1F206893">
            <w:pPr>
              <w:jc w:val="center"/>
              <w:rPr>
                <w:rFonts w:ascii="宋体" w:hAnsi="宋体"/>
                <w:b w:val="0"/>
                <w:bCs/>
                <w:spacing w:val="-4"/>
                <w:kern w:val="0"/>
                <w:szCs w:val="21"/>
              </w:rPr>
            </w:pPr>
            <w:r>
              <w:rPr>
                <w:rFonts w:hint="eastAsia" w:ascii="宋体" w:hAnsi="宋体"/>
                <w:b w:val="0"/>
                <w:bCs/>
                <w:spacing w:val="-4"/>
                <w:kern w:val="0"/>
                <w:szCs w:val="21"/>
              </w:rPr>
              <w:t>20</w:t>
            </w:r>
          </w:p>
        </w:tc>
        <w:tc>
          <w:tcPr>
            <w:tcW w:w="357" w:type="pct"/>
            <w:shd w:val="clear" w:color="auto" w:fill="auto"/>
            <w:vAlign w:val="center"/>
          </w:tcPr>
          <w:p w14:paraId="11365B53">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26</w:t>
            </w:r>
          </w:p>
        </w:tc>
        <w:tc>
          <w:tcPr>
            <w:tcW w:w="388" w:type="pct"/>
            <w:vAlign w:val="center"/>
          </w:tcPr>
          <w:p w14:paraId="06485E10">
            <w:pPr>
              <w:jc w:val="center"/>
              <w:rPr>
                <w:rFonts w:ascii="宋体" w:hAnsi="宋体"/>
                <w:b w:val="0"/>
                <w:bCs/>
                <w:szCs w:val="21"/>
              </w:rPr>
            </w:pPr>
            <w:r>
              <w:rPr>
                <w:rFonts w:hint="eastAsia" w:ascii="宋体" w:hAnsi="宋体"/>
                <w:b w:val="0"/>
                <w:bCs/>
                <w:szCs w:val="21"/>
              </w:rPr>
              <w:t>\</w:t>
            </w:r>
          </w:p>
        </w:tc>
        <w:tc>
          <w:tcPr>
            <w:tcW w:w="888" w:type="pct"/>
            <w:shd w:val="clear" w:color="auto" w:fill="auto"/>
            <w:vAlign w:val="center"/>
          </w:tcPr>
          <w:p w14:paraId="5F19A845">
            <w:pPr>
              <w:jc w:val="center"/>
              <w:rPr>
                <w:rFonts w:ascii="宋体" w:hAnsi="宋体" w:cs="宋体"/>
                <w:b w:val="0"/>
                <w:bCs/>
                <w:szCs w:val="21"/>
              </w:rPr>
            </w:pPr>
            <w:r>
              <w:rPr>
                <w:rFonts w:hint="eastAsia" w:ascii="宋体" w:hAnsi="宋体" w:cs="宋体"/>
                <w:b w:val="0"/>
                <w:bCs/>
                <w:szCs w:val="21"/>
              </w:rPr>
              <w:t>GB 50016-2014</w:t>
            </w:r>
          </w:p>
          <w:p w14:paraId="01B5B54A">
            <w:pPr>
              <w:jc w:val="center"/>
              <w:rPr>
                <w:rFonts w:ascii="宋体" w:hAnsi="宋体" w:cs="宋体"/>
                <w:b w:val="0"/>
                <w:bCs/>
                <w:szCs w:val="21"/>
              </w:rPr>
            </w:pPr>
            <w:r>
              <w:rPr>
                <w:rFonts w:hint="eastAsia" w:ascii="宋体" w:hAnsi="宋体" w:cs="宋体"/>
                <w:b w:val="0"/>
                <w:bCs/>
                <w:szCs w:val="21"/>
              </w:rPr>
              <w:t>第3.5.1条</w:t>
            </w:r>
          </w:p>
        </w:tc>
      </w:tr>
      <w:tr w14:paraId="7391F1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shd w:val="clear" w:color="auto" w:fill="auto"/>
            <w:vAlign w:val="center"/>
          </w:tcPr>
          <w:p w14:paraId="3135304C">
            <w:pPr>
              <w:jc w:val="center"/>
              <w:rPr>
                <w:rFonts w:ascii="宋体" w:hAnsi="宋体" w:cs="Arial"/>
                <w:b w:val="0"/>
                <w:bCs/>
                <w:szCs w:val="21"/>
              </w:rPr>
            </w:pPr>
            <w:r>
              <w:rPr>
                <w:rFonts w:hint="eastAsia" w:ascii="宋体" w:hAnsi="宋体" w:cs="Arial"/>
                <w:b w:val="0"/>
                <w:bCs/>
                <w:szCs w:val="21"/>
              </w:rPr>
              <w:t>83</w:t>
            </w:r>
            <w:r>
              <w:rPr>
                <w:rFonts w:ascii="宋体" w:hAnsi="宋体" w:cs="Arial"/>
                <w:b w:val="0"/>
                <w:bCs/>
                <w:szCs w:val="21"/>
              </w:rPr>
              <w:t>#</w:t>
            </w:r>
            <w:r>
              <w:rPr>
                <w:rFonts w:hint="eastAsia" w:ascii="宋体" w:hAnsi="宋体" w:cs="Arial"/>
                <w:b w:val="0"/>
                <w:bCs/>
                <w:szCs w:val="21"/>
              </w:rPr>
              <w:t>危废暂存间</w:t>
            </w:r>
          </w:p>
        </w:tc>
        <w:tc>
          <w:tcPr>
            <w:tcW w:w="353" w:type="pct"/>
            <w:shd w:val="clear" w:color="auto" w:fill="auto"/>
            <w:vAlign w:val="center"/>
          </w:tcPr>
          <w:p w14:paraId="1D2C4B65">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w:t>
            </w:r>
            <w:r>
              <w:rPr>
                <w:rFonts w:hint="eastAsia" w:ascii="宋体" w:hAnsi="宋体" w:cs="Arial"/>
                <w:b w:val="0"/>
                <w:bCs/>
                <w:szCs w:val="21"/>
                <w:vertAlign w:val="superscript"/>
              </w:rPr>
              <w:t>1</w:t>
            </w:r>
          </w:p>
        </w:tc>
        <w:tc>
          <w:tcPr>
            <w:tcW w:w="518" w:type="pct"/>
            <w:shd w:val="clear" w:color="auto" w:fill="auto"/>
            <w:vAlign w:val="center"/>
          </w:tcPr>
          <w:p w14:paraId="6BAD93B7">
            <w:pPr>
              <w:jc w:val="center"/>
              <w:rPr>
                <w:rFonts w:ascii="宋体" w:hAnsi="宋体" w:cs="Arial"/>
                <w:b w:val="0"/>
                <w:bCs/>
                <w:szCs w:val="21"/>
              </w:rPr>
            </w:pPr>
            <w:r>
              <w:rPr>
                <w:rFonts w:hint="eastAsia" w:ascii="宋体" w:hAnsi="宋体" w:cs="Arial"/>
                <w:b w:val="0"/>
                <w:bCs/>
                <w:szCs w:val="21"/>
              </w:rPr>
              <w:t>2</w:t>
            </w:r>
            <w:r>
              <w:rPr>
                <w:rFonts w:ascii="宋体" w:hAnsi="宋体" w:cs="Arial"/>
                <w:b w:val="0"/>
                <w:bCs/>
                <w:szCs w:val="21"/>
              </w:rPr>
              <w:t>0</w:t>
            </w:r>
          </w:p>
        </w:tc>
        <w:tc>
          <w:tcPr>
            <w:tcW w:w="1075" w:type="pct"/>
            <w:shd w:val="clear" w:color="auto" w:fill="auto"/>
            <w:vAlign w:val="center"/>
          </w:tcPr>
          <w:p w14:paraId="656C860E">
            <w:pPr>
              <w:jc w:val="center"/>
              <w:rPr>
                <w:rFonts w:ascii="宋体" w:hAnsi="宋体"/>
                <w:b w:val="0"/>
                <w:bCs/>
                <w:spacing w:val="-4"/>
                <w:szCs w:val="21"/>
              </w:rPr>
            </w:pPr>
            <w:r>
              <w:rPr>
                <w:rFonts w:hint="eastAsia" w:ascii="宋体" w:hAnsi="宋体"/>
                <w:b w:val="0"/>
                <w:bCs/>
                <w:spacing w:val="-4"/>
                <w:szCs w:val="21"/>
              </w:rPr>
              <w:t>84</w:t>
            </w:r>
            <w:r>
              <w:rPr>
                <w:rFonts w:ascii="宋体" w:hAnsi="宋体"/>
                <w:b w:val="0"/>
                <w:bCs/>
                <w:spacing w:val="-4"/>
                <w:szCs w:val="21"/>
              </w:rPr>
              <w:t>#</w:t>
            </w:r>
            <w:r>
              <w:rPr>
                <w:rFonts w:hint="eastAsia" w:ascii="宋体" w:hAnsi="宋体"/>
                <w:b w:val="0"/>
                <w:bCs/>
                <w:spacing w:val="-4"/>
                <w:szCs w:val="21"/>
              </w:rPr>
              <w:t>单基火药中转（1</w:t>
            </w:r>
            <w:r>
              <w:rPr>
                <w:rFonts w:ascii="宋体" w:hAnsi="宋体"/>
                <w:b w:val="0"/>
                <w:bCs/>
                <w:spacing w:val="-4"/>
                <w:szCs w:val="21"/>
              </w:rPr>
              <w:t>.1</w:t>
            </w:r>
            <w:r>
              <w:rPr>
                <w:rFonts w:ascii="宋体" w:hAnsi="宋体"/>
                <w:b w:val="0"/>
                <w:bCs/>
                <w:spacing w:val="-4"/>
                <w:szCs w:val="21"/>
                <w:vertAlign w:val="superscript"/>
              </w:rPr>
              <w:t>-2</w:t>
            </w:r>
            <w:r>
              <w:rPr>
                <w:rFonts w:hint="eastAsia" w:ascii="宋体" w:hAnsi="宋体"/>
                <w:b w:val="0"/>
                <w:bCs/>
                <w:spacing w:val="-4"/>
                <w:szCs w:val="21"/>
              </w:rPr>
              <w:t>级、2</w:t>
            </w:r>
            <w:r>
              <w:rPr>
                <w:rFonts w:ascii="宋体" w:hAnsi="宋体"/>
                <w:b w:val="0"/>
                <w:bCs/>
                <w:spacing w:val="-4"/>
                <w:szCs w:val="21"/>
              </w:rPr>
              <w:t>00kg</w:t>
            </w:r>
            <w:r>
              <w:rPr>
                <w:rFonts w:hint="eastAsia" w:ascii="宋体" w:hAnsi="宋体"/>
                <w:b w:val="0"/>
                <w:bCs/>
                <w:spacing w:val="-4"/>
                <w:szCs w:val="21"/>
              </w:rPr>
              <w:t>）</w:t>
            </w:r>
          </w:p>
        </w:tc>
        <w:tc>
          <w:tcPr>
            <w:tcW w:w="409" w:type="pct"/>
            <w:shd w:val="clear" w:color="auto" w:fill="auto"/>
            <w:vAlign w:val="center"/>
          </w:tcPr>
          <w:p w14:paraId="58E3990E">
            <w:pPr>
              <w:jc w:val="center"/>
              <w:rPr>
                <w:rFonts w:ascii="宋体" w:hAnsi="宋体"/>
                <w:b w:val="0"/>
                <w:bCs/>
                <w:spacing w:val="-4"/>
                <w:kern w:val="0"/>
                <w:szCs w:val="21"/>
              </w:rPr>
            </w:pPr>
            <w:r>
              <w:rPr>
                <w:rFonts w:hint="eastAsia" w:ascii="宋体" w:hAnsi="宋体"/>
                <w:b w:val="0"/>
                <w:bCs/>
                <w:spacing w:val="-4"/>
                <w:kern w:val="0"/>
                <w:szCs w:val="21"/>
              </w:rPr>
              <w:t>12</w:t>
            </w:r>
          </w:p>
        </w:tc>
        <w:tc>
          <w:tcPr>
            <w:tcW w:w="357" w:type="pct"/>
            <w:shd w:val="clear" w:color="auto" w:fill="auto"/>
            <w:vAlign w:val="center"/>
          </w:tcPr>
          <w:p w14:paraId="3ED4D175">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47</w:t>
            </w:r>
          </w:p>
        </w:tc>
        <w:tc>
          <w:tcPr>
            <w:tcW w:w="388" w:type="pct"/>
            <w:vAlign w:val="center"/>
          </w:tcPr>
          <w:p w14:paraId="245FF81F">
            <w:pPr>
              <w:jc w:val="center"/>
              <w:rPr>
                <w:rFonts w:ascii="宋体" w:hAnsi="宋体"/>
                <w:b w:val="0"/>
                <w:bCs/>
                <w:szCs w:val="21"/>
              </w:rPr>
            </w:pPr>
            <w:r>
              <w:rPr>
                <w:rFonts w:hint="eastAsia" w:ascii="宋体" w:hAnsi="宋体"/>
                <w:b w:val="0"/>
                <w:bCs/>
                <w:szCs w:val="21"/>
              </w:rPr>
              <w:t>双有</w:t>
            </w:r>
          </w:p>
        </w:tc>
        <w:tc>
          <w:tcPr>
            <w:tcW w:w="888" w:type="pct"/>
            <w:vAlign w:val="center"/>
          </w:tcPr>
          <w:p w14:paraId="12ADADE1">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.2.3</w:t>
            </w:r>
          </w:p>
        </w:tc>
      </w:tr>
      <w:tr w14:paraId="0E353E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restart"/>
            <w:shd w:val="clear" w:color="auto" w:fill="auto"/>
            <w:vAlign w:val="center"/>
          </w:tcPr>
          <w:p w14:paraId="1D80EB42">
            <w:pPr>
              <w:jc w:val="center"/>
              <w:rPr>
                <w:rFonts w:ascii="宋体" w:hAnsi="宋体" w:cs="Arial"/>
                <w:b w:val="0"/>
                <w:bCs/>
                <w:szCs w:val="21"/>
              </w:rPr>
            </w:pPr>
            <w:r>
              <w:rPr>
                <w:rFonts w:hint="eastAsia" w:ascii="宋体" w:hAnsi="宋体" w:cs="Arial"/>
                <w:b w:val="0"/>
                <w:bCs/>
                <w:szCs w:val="21"/>
              </w:rPr>
              <w:t>85</w:t>
            </w:r>
            <w:r>
              <w:rPr>
                <w:rFonts w:ascii="宋体" w:hAnsi="宋体" w:cs="Arial"/>
                <w:b w:val="0"/>
                <w:bCs/>
                <w:szCs w:val="21"/>
              </w:rPr>
              <w:t>#</w:t>
            </w:r>
            <w:r>
              <w:rPr>
                <w:rFonts w:hint="eastAsia" w:ascii="宋体" w:hAnsi="宋体" w:cs="Arial"/>
                <w:b w:val="0"/>
                <w:bCs/>
                <w:szCs w:val="21"/>
              </w:rPr>
              <w:t>晒坪/凉棚</w:t>
            </w:r>
          </w:p>
        </w:tc>
        <w:tc>
          <w:tcPr>
            <w:tcW w:w="353" w:type="pct"/>
            <w:vMerge w:val="restart"/>
            <w:shd w:val="clear" w:color="auto" w:fill="auto"/>
            <w:vAlign w:val="center"/>
          </w:tcPr>
          <w:p w14:paraId="569BE106">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-2</w:t>
            </w:r>
          </w:p>
        </w:tc>
        <w:tc>
          <w:tcPr>
            <w:tcW w:w="518" w:type="pct"/>
            <w:vMerge w:val="restart"/>
            <w:shd w:val="clear" w:color="auto" w:fill="auto"/>
            <w:vAlign w:val="center"/>
          </w:tcPr>
          <w:p w14:paraId="18E93098">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00</w:t>
            </w:r>
          </w:p>
        </w:tc>
        <w:tc>
          <w:tcPr>
            <w:tcW w:w="1075" w:type="pct"/>
            <w:shd w:val="clear" w:color="auto" w:fill="auto"/>
            <w:vAlign w:val="center"/>
          </w:tcPr>
          <w:p w14:paraId="5CF02F03">
            <w:pPr>
              <w:jc w:val="center"/>
              <w:rPr>
                <w:rFonts w:ascii="宋体" w:hAnsi="宋体"/>
                <w:b w:val="0"/>
                <w:bCs/>
                <w:spacing w:val="-4"/>
                <w:szCs w:val="21"/>
              </w:rPr>
            </w:pPr>
            <w:r>
              <w:rPr>
                <w:rFonts w:hint="eastAsia" w:ascii="宋体" w:hAnsi="宋体"/>
                <w:b w:val="0"/>
                <w:bCs/>
                <w:spacing w:val="-4"/>
                <w:szCs w:val="21"/>
              </w:rPr>
              <w:t>84</w:t>
            </w:r>
            <w:r>
              <w:rPr>
                <w:rFonts w:ascii="宋体" w:hAnsi="宋体"/>
                <w:b w:val="0"/>
                <w:bCs/>
                <w:spacing w:val="-4"/>
                <w:szCs w:val="21"/>
              </w:rPr>
              <w:t>#</w:t>
            </w:r>
            <w:r>
              <w:rPr>
                <w:rFonts w:hint="eastAsia" w:ascii="宋体" w:hAnsi="宋体"/>
                <w:b w:val="0"/>
                <w:bCs/>
                <w:spacing w:val="-4"/>
                <w:szCs w:val="21"/>
              </w:rPr>
              <w:t>单基火药中转（1</w:t>
            </w:r>
            <w:r>
              <w:rPr>
                <w:rFonts w:ascii="宋体" w:hAnsi="宋体"/>
                <w:b w:val="0"/>
                <w:bCs/>
                <w:spacing w:val="-4"/>
                <w:szCs w:val="21"/>
              </w:rPr>
              <w:t>.1</w:t>
            </w:r>
            <w:r>
              <w:rPr>
                <w:rFonts w:ascii="宋体" w:hAnsi="宋体"/>
                <w:b w:val="0"/>
                <w:bCs/>
                <w:spacing w:val="-4"/>
                <w:szCs w:val="21"/>
                <w:vertAlign w:val="superscript"/>
              </w:rPr>
              <w:t>-2</w:t>
            </w:r>
            <w:r>
              <w:rPr>
                <w:rFonts w:hint="eastAsia" w:ascii="宋体" w:hAnsi="宋体"/>
                <w:b w:val="0"/>
                <w:bCs/>
                <w:spacing w:val="-4"/>
                <w:szCs w:val="21"/>
              </w:rPr>
              <w:t>级、2</w:t>
            </w:r>
            <w:r>
              <w:rPr>
                <w:rFonts w:ascii="宋体" w:hAnsi="宋体"/>
                <w:b w:val="0"/>
                <w:bCs/>
                <w:spacing w:val="-4"/>
                <w:szCs w:val="21"/>
              </w:rPr>
              <w:t>00kg</w:t>
            </w:r>
            <w:r>
              <w:rPr>
                <w:rFonts w:hint="eastAsia" w:ascii="宋体" w:hAnsi="宋体"/>
                <w:b w:val="0"/>
                <w:bCs/>
                <w:spacing w:val="-4"/>
                <w:szCs w:val="21"/>
              </w:rPr>
              <w:t>）</w:t>
            </w:r>
          </w:p>
        </w:tc>
        <w:tc>
          <w:tcPr>
            <w:tcW w:w="409" w:type="pct"/>
            <w:shd w:val="clear" w:color="auto" w:fill="auto"/>
            <w:vAlign w:val="center"/>
          </w:tcPr>
          <w:p w14:paraId="5EEAACF8">
            <w:pPr>
              <w:jc w:val="center"/>
              <w:rPr>
                <w:rFonts w:ascii="宋体" w:hAnsi="宋体"/>
                <w:b w:val="0"/>
                <w:bCs/>
                <w:spacing w:val="-4"/>
                <w:kern w:val="0"/>
                <w:szCs w:val="21"/>
              </w:rPr>
            </w:pPr>
            <w:r>
              <w:rPr>
                <w:rFonts w:hint="eastAsia" w:ascii="宋体" w:hAnsi="宋体"/>
                <w:b w:val="0"/>
                <w:bCs/>
                <w:spacing w:val="-4"/>
                <w:kern w:val="0"/>
                <w:szCs w:val="21"/>
              </w:rPr>
              <w:t>12</w:t>
            </w:r>
          </w:p>
        </w:tc>
        <w:tc>
          <w:tcPr>
            <w:tcW w:w="357" w:type="pct"/>
            <w:shd w:val="clear" w:color="auto" w:fill="auto"/>
            <w:vAlign w:val="center"/>
          </w:tcPr>
          <w:p w14:paraId="2A9E0E01">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16</w:t>
            </w:r>
          </w:p>
        </w:tc>
        <w:tc>
          <w:tcPr>
            <w:tcW w:w="388" w:type="pct"/>
            <w:vAlign w:val="center"/>
          </w:tcPr>
          <w:p w14:paraId="03391A71">
            <w:pPr>
              <w:jc w:val="center"/>
              <w:rPr>
                <w:rFonts w:ascii="宋体" w:hAnsi="宋体"/>
                <w:b w:val="0"/>
                <w:bCs/>
                <w:szCs w:val="21"/>
              </w:rPr>
            </w:pPr>
            <w:r>
              <w:rPr>
                <w:rFonts w:hint="eastAsia" w:ascii="宋体" w:hAnsi="宋体"/>
                <w:b w:val="0"/>
                <w:bCs/>
                <w:szCs w:val="21"/>
              </w:rPr>
              <w:t>双有</w:t>
            </w:r>
          </w:p>
        </w:tc>
        <w:tc>
          <w:tcPr>
            <w:tcW w:w="888" w:type="pct"/>
            <w:vAlign w:val="center"/>
          </w:tcPr>
          <w:p w14:paraId="5F4D872F">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.2.3</w:t>
            </w:r>
          </w:p>
        </w:tc>
      </w:tr>
      <w:tr w14:paraId="297BCF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5ADF3CF7">
            <w:pPr>
              <w:jc w:val="center"/>
              <w:rPr>
                <w:rFonts w:ascii="宋体" w:hAnsi="宋体" w:cs="Arial"/>
                <w:b w:val="0"/>
                <w:bCs/>
                <w:szCs w:val="21"/>
              </w:rPr>
            </w:pPr>
          </w:p>
        </w:tc>
        <w:tc>
          <w:tcPr>
            <w:tcW w:w="353" w:type="pct"/>
            <w:vMerge w:val="continue"/>
            <w:shd w:val="clear" w:color="auto" w:fill="auto"/>
            <w:vAlign w:val="center"/>
          </w:tcPr>
          <w:p w14:paraId="4BDEF77B">
            <w:pPr>
              <w:jc w:val="center"/>
              <w:rPr>
                <w:rFonts w:ascii="宋体" w:hAnsi="宋体" w:cs="Arial"/>
                <w:b w:val="0"/>
                <w:bCs/>
                <w:szCs w:val="21"/>
              </w:rPr>
            </w:pPr>
          </w:p>
        </w:tc>
        <w:tc>
          <w:tcPr>
            <w:tcW w:w="518" w:type="pct"/>
            <w:vMerge w:val="continue"/>
            <w:shd w:val="clear" w:color="auto" w:fill="auto"/>
            <w:vAlign w:val="center"/>
          </w:tcPr>
          <w:p w14:paraId="5666CBFA">
            <w:pPr>
              <w:jc w:val="center"/>
              <w:rPr>
                <w:rFonts w:ascii="宋体" w:hAnsi="宋体" w:cs="Arial"/>
                <w:b w:val="0"/>
                <w:bCs/>
                <w:szCs w:val="21"/>
              </w:rPr>
            </w:pPr>
          </w:p>
        </w:tc>
        <w:tc>
          <w:tcPr>
            <w:tcW w:w="1075" w:type="pct"/>
            <w:shd w:val="clear" w:color="auto" w:fill="auto"/>
            <w:vAlign w:val="center"/>
          </w:tcPr>
          <w:p w14:paraId="566B323F">
            <w:pPr>
              <w:jc w:val="center"/>
              <w:rPr>
                <w:rFonts w:ascii="宋体" w:hAnsi="宋体"/>
                <w:b w:val="0"/>
                <w:bCs/>
                <w:spacing w:val="-4"/>
                <w:szCs w:val="21"/>
              </w:rPr>
            </w:pPr>
            <w:r>
              <w:rPr>
                <w:rFonts w:hint="eastAsia" w:ascii="宋体" w:hAnsi="宋体"/>
                <w:b w:val="0"/>
                <w:bCs/>
                <w:spacing w:val="-4"/>
                <w:szCs w:val="21"/>
              </w:rPr>
              <w:t>86</w:t>
            </w:r>
            <w:r>
              <w:rPr>
                <w:rFonts w:ascii="宋体" w:hAnsi="宋体"/>
                <w:b w:val="0"/>
                <w:bCs/>
                <w:spacing w:val="-4"/>
                <w:szCs w:val="21"/>
              </w:rPr>
              <w:t>#</w:t>
            </w:r>
            <w:r>
              <w:rPr>
                <w:rFonts w:hint="eastAsia" w:ascii="宋体" w:hAnsi="宋体"/>
                <w:b w:val="0"/>
                <w:bCs/>
                <w:spacing w:val="-4"/>
                <w:szCs w:val="21"/>
              </w:rPr>
              <w:t xml:space="preserve">包装      </w:t>
            </w:r>
          </w:p>
          <w:p w14:paraId="3D430852">
            <w:pPr>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-2</w:t>
            </w:r>
            <w:r>
              <w:rPr>
                <w:rFonts w:hint="eastAsia" w:ascii="宋体" w:hAnsi="宋体"/>
                <w:b w:val="0"/>
                <w:bCs/>
                <w:spacing w:val="-4"/>
                <w:szCs w:val="21"/>
              </w:rPr>
              <w:t>级、3</w:t>
            </w:r>
            <w:r>
              <w:rPr>
                <w:rFonts w:ascii="宋体" w:hAnsi="宋体"/>
                <w:b w:val="0"/>
                <w:bCs/>
                <w:spacing w:val="-4"/>
                <w:szCs w:val="21"/>
              </w:rPr>
              <w:t>0kg</w:t>
            </w:r>
            <w:r>
              <w:rPr>
                <w:rFonts w:hint="eastAsia" w:ascii="宋体" w:hAnsi="宋体"/>
                <w:b w:val="0"/>
                <w:bCs/>
                <w:spacing w:val="-4"/>
                <w:szCs w:val="21"/>
              </w:rPr>
              <w:t>）</w:t>
            </w:r>
          </w:p>
        </w:tc>
        <w:tc>
          <w:tcPr>
            <w:tcW w:w="409" w:type="pct"/>
            <w:shd w:val="clear" w:color="auto" w:fill="auto"/>
            <w:vAlign w:val="center"/>
          </w:tcPr>
          <w:p w14:paraId="67059C59">
            <w:pPr>
              <w:jc w:val="center"/>
              <w:rPr>
                <w:rFonts w:ascii="宋体" w:hAnsi="宋体"/>
                <w:b w:val="0"/>
                <w:bCs/>
                <w:spacing w:val="-4"/>
                <w:kern w:val="0"/>
                <w:szCs w:val="21"/>
              </w:rPr>
            </w:pPr>
            <w:r>
              <w:rPr>
                <w:rFonts w:hint="eastAsia" w:ascii="宋体" w:hAnsi="宋体"/>
                <w:b w:val="0"/>
                <w:bCs/>
                <w:spacing w:val="-4"/>
                <w:kern w:val="0"/>
                <w:szCs w:val="21"/>
              </w:rPr>
              <w:t>12</w:t>
            </w:r>
          </w:p>
        </w:tc>
        <w:tc>
          <w:tcPr>
            <w:tcW w:w="357" w:type="pct"/>
            <w:shd w:val="clear" w:color="auto" w:fill="auto"/>
            <w:vAlign w:val="center"/>
          </w:tcPr>
          <w:p w14:paraId="52482B93">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16</w:t>
            </w:r>
          </w:p>
        </w:tc>
        <w:tc>
          <w:tcPr>
            <w:tcW w:w="388" w:type="pct"/>
            <w:vAlign w:val="center"/>
          </w:tcPr>
          <w:p w14:paraId="5D5E4565">
            <w:pPr>
              <w:jc w:val="center"/>
              <w:rPr>
                <w:rFonts w:ascii="宋体" w:hAnsi="宋体"/>
                <w:b w:val="0"/>
                <w:bCs/>
                <w:szCs w:val="21"/>
              </w:rPr>
            </w:pPr>
            <w:r>
              <w:rPr>
                <w:rFonts w:hint="eastAsia" w:ascii="宋体" w:hAnsi="宋体"/>
                <w:b w:val="0"/>
                <w:bCs/>
                <w:szCs w:val="21"/>
              </w:rPr>
              <w:t>双有</w:t>
            </w:r>
          </w:p>
        </w:tc>
        <w:tc>
          <w:tcPr>
            <w:tcW w:w="888" w:type="pct"/>
            <w:vAlign w:val="center"/>
          </w:tcPr>
          <w:p w14:paraId="33D98D99">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.2.3</w:t>
            </w:r>
          </w:p>
        </w:tc>
      </w:tr>
      <w:tr w14:paraId="63695E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shd w:val="clear" w:color="auto" w:fill="auto"/>
            <w:vAlign w:val="center"/>
          </w:tcPr>
          <w:p w14:paraId="64A33BB8">
            <w:pPr>
              <w:jc w:val="center"/>
              <w:rPr>
                <w:rFonts w:ascii="宋体" w:hAnsi="宋体" w:cs="Arial"/>
                <w:b w:val="0"/>
                <w:bCs/>
                <w:szCs w:val="21"/>
              </w:rPr>
            </w:pPr>
            <w:r>
              <w:rPr>
                <w:rFonts w:hint="eastAsia" w:ascii="宋体" w:hAnsi="宋体" w:cs="Arial"/>
                <w:b w:val="0"/>
                <w:bCs/>
                <w:szCs w:val="21"/>
              </w:rPr>
              <w:t>87</w:t>
            </w:r>
            <w:r>
              <w:rPr>
                <w:rFonts w:ascii="宋体" w:hAnsi="宋体" w:cs="Arial"/>
                <w:b w:val="0"/>
                <w:bCs/>
                <w:szCs w:val="21"/>
              </w:rPr>
              <w:t>#</w:t>
            </w:r>
            <w:r>
              <w:rPr>
                <w:rFonts w:hint="eastAsia" w:ascii="宋体" w:hAnsi="宋体" w:cs="Arial"/>
                <w:b w:val="0"/>
                <w:bCs/>
                <w:szCs w:val="21"/>
              </w:rPr>
              <w:t>单基火药中转</w:t>
            </w:r>
          </w:p>
        </w:tc>
        <w:tc>
          <w:tcPr>
            <w:tcW w:w="353" w:type="pct"/>
            <w:shd w:val="clear" w:color="auto" w:fill="auto"/>
            <w:vAlign w:val="center"/>
          </w:tcPr>
          <w:p w14:paraId="569426E5">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-2</w:t>
            </w:r>
          </w:p>
        </w:tc>
        <w:tc>
          <w:tcPr>
            <w:tcW w:w="518" w:type="pct"/>
            <w:shd w:val="clear" w:color="auto" w:fill="auto"/>
            <w:vAlign w:val="center"/>
          </w:tcPr>
          <w:p w14:paraId="071553EA">
            <w:pPr>
              <w:jc w:val="center"/>
              <w:rPr>
                <w:rFonts w:ascii="宋体" w:hAnsi="宋体" w:cs="Arial"/>
                <w:b w:val="0"/>
                <w:bCs/>
                <w:szCs w:val="21"/>
              </w:rPr>
            </w:pPr>
            <w:r>
              <w:rPr>
                <w:rFonts w:hint="eastAsia" w:ascii="宋体" w:hAnsi="宋体" w:cs="Arial"/>
                <w:b w:val="0"/>
                <w:bCs/>
                <w:szCs w:val="21"/>
              </w:rPr>
              <w:t>2</w:t>
            </w:r>
            <w:r>
              <w:rPr>
                <w:rFonts w:ascii="宋体" w:hAnsi="宋体" w:cs="Arial"/>
                <w:b w:val="0"/>
                <w:bCs/>
                <w:szCs w:val="21"/>
              </w:rPr>
              <w:t>00</w:t>
            </w:r>
          </w:p>
        </w:tc>
        <w:tc>
          <w:tcPr>
            <w:tcW w:w="1075" w:type="pct"/>
            <w:shd w:val="clear" w:color="auto" w:fill="auto"/>
            <w:vAlign w:val="center"/>
          </w:tcPr>
          <w:p w14:paraId="2B314497">
            <w:pPr>
              <w:jc w:val="center"/>
              <w:rPr>
                <w:rFonts w:ascii="宋体" w:hAnsi="宋体"/>
                <w:b w:val="0"/>
                <w:bCs/>
                <w:spacing w:val="-4"/>
                <w:szCs w:val="21"/>
              </w:rPr>
            </w:pPr>
            <w:r>
              <w:rPr>
                <w:rFonts w:hint="eastAsia" w:ascii="宋体" w:hAnsi="宋体"/>
                <w:b w:val="0"/>
                <w:bCs/>
                <w:spacing w:val="-4"/>
                <w:szCs w:val="21"/>
              </w:rPr>
              <w:t>86</w:t>
            </w:r>
            <w:r>
              <w:rPr>
                <w:rFonts w:ascii="宋体" w:hAnsi="宋体"/>
                <w:b w:val="0"/>
                <w:bCs/>
                <w:spacing w:val="-4"/>
                <w:szCs w:val="21"/>
              </w:rPr>
              <w:t>#</w:t>
            </w:r>
            <w:r>
              <w:rPr>
                <w:rFonts w:hint="eastAsia" w:ascii="宋体" w:hAnsi="宋体"/>
                <w:b w:val="0"/>
                <w:bCs/>
                <w:spacing w:val="-4"/>
                <w:szCs w:val="21"/>
              </w:rPr>
              <w:t xml:space="preserve">包装     </w:t>
            </w:r>
          </w:p>
          <w:p w14:paraId="62D45ACE">
            <w:pPr>
              <w:jc w:val="center"/>
              <w:rPr>
                <w:rFonts w:ascii="宋体" w:hAnsi="宋体"/>
                <w:b w:val="0"/>
                <w:bCs/>
                <w:spacing w:val="-4"/>
                <w:szCs w:val="21"/>
              </w:rPr>
            </w:pPr>
            <w:r>
              <w:rPr>
                <w:rFonts w:hint="eastAsia" w:ascii="宋体" w:hAnsi="宋体"/>
                <w:b w:val="0"/>
                <w:bCs/>
                <w:spacing w:val="-4"/>
                <w:szCs w:val="21"/>
              </w:rPr>
              <w:t xml:space="preserve"> （1</w:t>
            </w:r>
            <w:r>
              <w:rPr>
                <w:rFonts w:ascii="宋体" w:hAnsi="宋体"/>
                <w:b w:val="0"/>
                <w:bCs/>
                <w:spacing w:val="-4"/>
                <w:szCs w:val="21"/>
              </w:rPr>
              <w:t>.1</w:t>
            </w:r>
            <w:r>
              <w:rPr>
                <w:rFonts w:ascii="宋体" w:hAnsi="宋体"/>
                <w:b w:val="0"/>
                <w:bCs/>
                <w:spacing w:val="-4"/>
                <w:szCs w:val="21"/>
                <w:vertAlign w:val="superscript"/>
              </w:rPr>
              <w:t>-2</w:t>
            </w:r>
            <w:r>
              <w:rPr>
                <w:rFonts w:hint="eastAsia" w:ascii="宋体" w:hAnsi="宋体"/>
                <w:b w:val="0"/>
                <w:bCs/>
                <w:spacing w:val="-4"/>
                <w:szCs w:val="21"/>
              </w:rPr>
              <w:t>级、3</w:t>
            </w:r>
            <w:r>
              <w:rPr>
                <w:rFonts w:ascii="宋体" w:hAnsi="宋体"/>
                <w:b w:val="0"/>
                <w:bCs/>
                <w:spacing w:val="-4"/>
                <w:szCs w:val="21"/>
              </w:rPr>
              <w:t>0kg</w:t>
            </w:r>
            <w:r>
              <w:rPr>
                <w:rFonts w:hint="eastAsia" w:ascii="宋体" w:hAnsi="宋体"/>
                <w:b w:val="0"/>
                <w:bCs/>
                <w:spacing w:val="-4"/>
                <w:szCs w:val="21"/>
              </w:rPr>
              <w:t>）</w:t>
            </w:r>
          </w:p>
        </w:tc>
        <w:tc>
          <w:tcPr>
            <w:tcW w:w="409" w:type="pct"/>
            <w:shd w:val="clear" w:color="auto" w:fill="auto"/>
            <w:vAlign w:val="center"/>
          </w:tcPr>
          <w:p w14:paraId="595B056C">
            <w:pPr>
              <w:jc w:val="center"/>
              <w:rPr>
                <w:rFonts w:ascii="宋体" w:hAnsi="宋体"/>
                <w:b w:val="0"/>
                <w:bCs/>
                <w:spacing w:val="-4"/>
                <w:kern w:val="0"/>
                <w:szCs w:val="21"/>
              </w:rPr>
            </w:pPr>
            <w:r>
              <w:rPr>
                <w:rFonts w:hint="eastAsia" w:ascii="宋体" w:hAnsi="宋体"/>
                <w:b w:val="0"/>
                <w:bCs/>
                <w:spacing w:val="-4"/>
                <w:kern w:val="0"/>
                <w:szCs w:val="21"/>
              </w:rPr>
              <w:t>1</w:t>
            </w:r>
            <w:r>
              <w:rPr>
                <w:rFonts w:ascii="宋体" w:hAnsi="宋体"/>
                <w:b w:val="0"/>
                <w:bCs/>
                <w:spacing w:val="-4"/>
                <w:kern w:val="0"/>
                <w:szCs w:val="21"/>
              </w:rPr>
              <w:t>2</w:t>
            </w:r>
          </w:p>
        </w:tc>
        <w:tc>
          <w:tcPr>
            <w:tcW w:w="357" w:type="pct"/>
            <w:shd w:val="clear" w:color="auto" w:fill="auto"/>
            <w:vAlign w:val="center"/>
          </w:tcPr>
          <w:p w14:paraId="6403B065">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16</w:t>
            </w:r>
          </w:p>
        </w:tc>
        <w:tc>
          <w:tcPr>
            <w:tcW w:w="388" w:type="pct"/>
            <w:vAlign w:val="center"/>
          </w:tcPr>
          <w:p w14:paraId="5F1F963D">
            <w:pPr>
              <w:jc w:val="center"/>
              <w:rPr>
                <w:rFonts w:ascii="宋体" w:hAnsi="宋体"/>
                <w:b w:val="0"/>
                <w:bCs/>
                <w:szCs w:val="21"/>
              </w:rPr>
            </w:pPr>
            <w:r>
              <w:rPr>
                <w:rFonts w:hint="eastAsia" w:ascii="宋体" w:hAnsi="宋体"/>
                <w:b w:val="0"/>
                <w:bCs/>
                <w:szCs w:val="21"/>
              </w:rPr>
              <w:t>双有</w:t>
            </w:r>
          </w:p>
        </w:tc>
        <w:tc>
          <w:tcPr>
            <w:tcW w:w="888" w:type="pct"/>
            <w:vAlign w:val="center"/>
          </w:tcPr>
          <w:p w14:paraId="3E55A64E">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.2.3</w:t>
            </w:r>
          </w:p>
        </w:tc>
      </w:tr>
      <w:tr w14:paraId="27EF2B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restart"/>
            <w:shd w:val="clear" w:color="auto" w:fill="auto"/>
            <w:vAlign w:val="center"/>
          </w:tcPr>
          <w:p w14:paraId="4217D0C7">
            <w:pPr>
              <w:jc w:val="center"/>
              <w:rPr>
                <w:rFonts w:ascii="宋体" w:hAnsi="宋体" w:cs="Arial"/>
                <w:b w:val="0"/>
                <w:bCs/>
                <w:szCs w:val="21"/>
              </w:rPr>
            </w:pPr>
            <w:r>
              <w:rPr>
                <w:rFonts w:hint="eastAsia" w:ascii="宋体" w:hAnsi="宋体" w:cs="Arial"/>
                <w:b w:val="0"/>
                <w:bCs/>
                <w:szCs w:val="21"/>
              </w:rPr>
              <w:t>89</w:t>
            </w:r>
            <w:r>
              <w:rPr>
                <w:rFonts w:ascii="宋体" w:hAnsi="宋体" w:cs="Arial"/>
                <w:b w:val="0"/>
                <w:bCs/>
                <w:szCs w:val="21"/>
              </w:rPr>
              <w:t>#</w:t>
            </w:r>
            <w:r>
              <w:rPr>
                <w:rFonts w:hint="eastAsia" w:ascii="宋体" w:hAnsi="宋体" w:cs="Arial"/>
                <w:b w:val="0"/>
                <w:bCs/>
                <w:szCs w:val="21"/>
              </w:rPr>
              <w:t>成品库</w:t>
            </w:r>
          </w:p>
        </w:tc>
        <w:tc>
          <w:tcPr>
            <w:tcW w:w="353" w:type="pct"/>
            <w:vMerge w:val="restart"/>
            <w:shd w:val="clear" w:color="auto" w:fill="auto"/>
            <w:vAlign w:val="center"/>
          </w:tcPr>
          <w:p w14:paraId="54485557">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w:t>
            </w:r>
            <w:r>
              <w:rPr>
                <w:rFonts w:hint="eastAsia" w:ascii="宋体" w:hAnsi="宋体" w:cs="Arial"/>
                <w:b w:val="0"/>
                <w:bCs/>
                <w:szCs w:val="21"/>
              </w:rPr>
              <w:t>3</w:t>
            </w:r>
          </w:p>
        </w:tc>
        <w:tc>
          <w:tcPr>
            <w:tcW w:w="518" w:type="pct"/>
            <w:vMerge w:val="restart"/>
            <w:shd w:val="clear" w:color="auto" w:fill="auto"/>
            <w:vAlign w:val="center"/>
          </w:tcPr>
          <w:p w14:paraId="51037EFF">
            <w:pPr>
              <w:jc w:val="center"/>
              <w:rPr>
                <w:rFonts w:ascii="宋体" w:hAnsi="宋体" w:cs="Arial"/>
                <w:b w:val="0"/>
                <w:bCs/>
                <w:szCs w:val="21"/>
              </w:rPr>
            </w:pPr>
            <w:r>
              <w:rPr>
                <w:rFonts w:hint="eastAsia" w:ascii="宋体" w:hAnsi="宋体" w:cs="Arial"/>
                <w:b w:val="0"/>
                <w:bCs/>
                <w:szCs w:val="21"/>
              </w:rPr>
              <w:t>15000</w:t>
            </w:r>
          </w:p>
        </w:tc>
        <w:tc>
          <w:tcPr>
            <w:tcW w:w="1075" w:type="pct"/>
            <w:shd w:val="clear" w:color="auto" w:fill="auto"/>
            <w:vAlign w:val="center"/>
          </w:tcPr>
          <w:p w14:paraId="141ABCCA">
            <w:pPr>
              <w:jc w:val="center"/>
              <w:rPr>
                <w:rFonts w:ascii="宋体" w:hAnsi="宋体"/>
                <w:b w:val="0"/>
                <w:bCs/>
                <w:spacing w:val="-4"/>
                <w:szCs w:val="21"/>
              </w:rPr>
            </w:pPr>
            <w:r>
              <w:rPr>
                <w:rFonts w:hint="eastAsia" w:ascii="宋体" w:hAnsi="宋体"/>
                <w:b w:val="0"/>
                <w:bCs/>
                <w:spacing w:val="-4"/>
                <w:szCs w:val="21"/>
              </w:rPr>
              <w:t>88</w:t>
            </w:r>
            <w:r>
              <w:rPr>
                <w:rFonts w:ascii="宋体" w:hAnsi="宋体"/>
                <w:b w:val="0"/>
                <w:bCs/>
                <w:spacing w:val="-4"/>
                <w:szCs w:val="21"/>
              </w:rPr>
              <w:t>#</w:t>
            </w:r>
            <w:r>
              <w:rPr>
                <w:rFonts w:hint="eastAsia" w:ascii="宋体" w:hAnsi="宋体"/>
                <w:b w:val="0"/>
                <w:bCs/>
                <w:spacing w:val="-4"/>
                <w:szCs w:val="21"/>
              </w:rPr>
              <w:t>值班室</w:t>
            </w:r>
          </w:p>
        </w:tc>
        <w:tc>
          <w:tcPr>
            <w:tcW w:w="409" w:type="pct"/>
            <w:shd w:val="clear" w:color="auto" w:fill="auto"/>
            <w:vAlign w:val="center"/>
          </w:tcPr>
          <w:p w14:paraId="4DB1B046">
            <w:pPr>
              <w:jc w:val="center"/>
              <w:rPr>
                <w:rFonts w:ascii="宋体" w:hAnsi="宋体"/>
                <w:b w:val="0"/>
                <w:bCs/>
                <w:spacing w:val="-4"/>
                <w:kern w:val="0"/>
                <w:szCs w:val="21"/>
              </w:rPr>
            </w:pPr>
            <w:r>
              <w:rPr>
                <w:rFonts w:hint="eastAsia" w:ascii="宋体" w:hAnsi="宋体"/>
                <w:b w:val="0"/>
                <w:bCs/>
                <w:spacing w:val="-4"/>
                <w:kern w:val="0"/>
                <w:szCs w:val="21"/>
              </w:rPr>
              <w:t>40</w:t>
            </w:r>
          </w:p>
        </w:tc>
        <w:tc>
          <w:tcPr>
            <w:tcW w:w="357" w:type="pct"/>
            <w:shd w:val="clear" w:color="auto" w:fill="auto"/>
            <w:vAlign w:val="center"/>
          </w:tcPr>
          <w:p w14:paraId="54CE14C8">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49</w:t>
            </w:r>
          </w:p>
        </w:tc>
        <w:tc>
          <w:tcPr>
            <w:tcW w:w="388" w:type="pct"/>
            <w:vAlign w:val="center"/>
          </w:tcPr>
          <w:p w14:paraId="64FA2BCE">
            <w:pPr>
              <w:jc w:val="center"/>
              <w:rPr>
                <w:rFonts w:ascii="宋体" w:hAnsi="宋体"/>
                <w:b w:val="0"/>
                <w:bCs/>
                <w:szCs w:val="21"/>
              </w:rPr>
            </w:pPr>
            <w:r>
              <w:rPr>
                <w:rFonts w:hint="eastAsia" w:ascii="宋体" w:hAnsi="宋体"/>
                <w:b w:val="0"/>
                <w:bCs/>
                <w:szCs w:val="21"/>
              </w:rPr>
              <w:t>\</w:t>
            </w:r>
          </w:p>
        </w:tc>
        <w:tc>
          <w:tcPr>
            <w:tcW w:w="888" w:type="pct"/>
            <w:vAlign w:val="center"/>
          </w:tcPr>
          <w:p w14:paraId="74A0BA0E">
            <w:pPr>
              <w:jc w:val="center"/>
              <w:rPr>
                <w:rFonts w:ascii="宋体" w:hAnsi="宋体" w:cs="宋体"/>
                <w:b w:val="0"/>
                <w:bCs/>
                <w:szCs w:val="21"/>
              </w:rPr>
            </w:pPr>
            <w:r>
              <w:rPr>
                <w:rFonts w:hint="eastAsia" w:ascii="宋体" w:hAnsi="宋体" w:cs="宋体"/>
                <w:b w:val="0"/>
                <w:bCs/>
                <w:szCs w:val="21"/>
              </w:rPr>
              <w:t>G</w:t>
            </w:r>
            <w:r>
              <w:rPr>
                <w:rFonts w:ascii="宋体" w:hAnsi="宋体" w:cs="宋体"/>
                <w:b w:val="0"/>
                <w:bCs/>
                <w:szCs w:val="21"/>
              </w:rPr>
              <w:t>B50161-2022</w:t>
            </w:r>
            <w:r>
              <w:rPr>
                <w:rFonts w:hint="eastAsia" w:ascii="宋体" w:hAnsi="宋体" w:cs="宋体"/>
                <w:b w:val="0"/>
                <w:bCs/>
                <w:szCs w:val="21"/>
              </w:rPr>
              <w:t>中表5</w:t>
            </w:r>
            <w:r>
              <w:rPr>
                <w:rFonts w:ascii="宋体" w:hAnsi="宋体" w:cs="宋体"/>
                <w:b w:val="0"/>
                <w:bCs/>
                <w:szCs w:val="21"/>
              </w:rPr>
              <w:t>.3.6-3</w:t>
            </w:r>
          </w:p>
        </w:tc>
      </w:tr>
      <w:tr w14:paraId="4109AD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vMerge w:val="continue"/>
            <w:shd w:val="clear" w:color="auto" w:fill="auto"/>
            <w:vAlign w:val="center"/>
          </w:tcPr>
          <w:p w14:paraId="68057FFF">
            <w:pPr>
              <w:jc w:val="center"/>
              <w:rPr>
                <w:rFonts w:ascii="宋体" w:hAnsi="宋体" w:cs="Arial"/>
                <w:b w:val="0"/>
                <w:bCs/>
                <w:szCs w:val="21"/>
              </w:rPr>
            </w:pPr>
          </w:p>
        </w:tc>
        <w:tc>
          <w:tcPr>
            <w:tcW w:w="353" w:type="pct"/>
            <w:vMerge w:val="continue"/>
            <w:shd w:val="clear" w:color="auto" w:fill="auto"/>
            <w:vAlign w:val="center"/>
          </w:tcPr>
          <w:p w14:paraId="185FA90D">
            <w:pPr>
              <w:jc w:val="center"/>
              <w:rPr>
                <w:rFonts w:ascii="宋体" w:hAnsi="宋体" w:cs="Arial"/>
                <w:b w:val="0"/>
                <w:bCs/>
                <w:szCs w:val="21"/>
              </w:rPr>
            </w:pPr>
          </w:p>
        </w:tc>
        <w:tc>
          <w:tcPr>
            <w:tcW w:w="518" w:type="pct"/>
            <w:vMerge w:val="continue"/>
            <w:shd w:val="clear" w:color="auto" w:fill="auto"/>
            <w:vAlign w:val="center"/>
          </w:tcPr>
          <w:p w14:paraId="12C18351">
            <w:pPr>
              <w:jc w:val="center"/>
              <w:rPr>
                <w:rFonts w:ascii="宋体" w:hAnsi="宋体" w:cs="Arial"/>
                <w:b w:val="0"/>
                <w:bCs/>
                <w:szCs w:val="21"/>
              </w:rPr>
            </w:pPr>
          </w:p>
        </w:tc>
        <w:tc>
          <w:tcPr>
            <w:tcW w:w="1075" w:type="pct"/>
            <w:shd w:val="clear" w:color="auto" w:fill="auto"/>
            <w:vAlign w:val="center"/>
          </w:tcPr>
          <w:p w14:paraId="7628B1AC">
            <w:pPr>
              <w:jc w:val="center"/>
              <w:rPr>
                <w:rFonts w:ascii="宋体" w:hAnsi="宋体"/>
                <w:b w:val="0"/>
                <w:bCs/>
                <w:spacing w:val="-4"/>
                <w:szCs w:val="21"/>
              </w:rPr>
            </w:pPr>
            <w:r>
              <w:rPr>
                <w:rFonts w:hint="eastAsia" w:ascii="宋体" w:hAnsi="宋体"/>
                <w:b w:val="0"/>
                <w:bCs/>
                <w:spacing w:val="-4"/>
                <w:szCs w:val="21"/>
              </w:rPr>
              <w:t>90</w:t>
            </w:r>
            <w:r>
              <w:rPr>
                <w:rFonts w:ascii="宋体" w:hAnsi="宋体"/>
                <w:b w:val="0"/>
                <w:bCs/>
                <w:spacing w:val="-4"/>
                <w:szCs w:val="21"/>
              </w:rPr>
              <w:t>#</w:t>
            </w:r>
            <w:r>
              <w:rPr>
                <w:rFonts w:hint="eastAsia" w:ascii="宋体" w:hAnsi="宋体"/>
                <w:b w:val="0"/>
                <w:bCs/>
                <w:spacing w:val="-4"/>
                <w:szCs w:val="21"/>
              </w:rPr>
              <w:t xml:space="preserve">成品库     </w:t>
            </w:r>
          </w:p>
          <w:p w14:paraId="2FB64BCB">
            <w:pPr>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w:t>
            </w:r>
            <w:r>
              <w:rPr>
                <w:rFonts w:hint="eastAsia" w:ascii="宋体" w:hAnsi="宋体"/>
                <w:b w:val="0"/>
                <w:bCs/>
                <w:spacing w:val="-4"/>
                <w:szCs w:val="21"/>
              </w:rPr>
              <w:t>3级、1000</w:t>
            </w:r>
            <w:r>
              <w:rPr>
                <w:rFonts w:ascii="宋体" w:hAnsi="宋体"/>
                <w:b w:val="0"/>
                <w:bCs/>
                <w:spacing w:val="-4"/>
                <w:szCs w:val="21"/>
              </w:rPr>
              <w:t>0kg</w:t>
            </w:r>
            <w:r>
              <w:rPr>
                <w:rFonts w:hint="eastAsia" w:ascii="宋体" w:hAnsi="宋体"/>
                <w:b w:val="0"/>
                <w:bCs/>
                <w:spacing w:val="-4"/>
                <w:szCs w:val="21"/>
              </w:rPr>
              <w:t>）</w:t>
            </w:r>
          </w:p>
        </w:tc>
        <w:tc>
          <w:tcPr>
            <w:tcW w:w="409" w:type="pct"/>
            <w:shd w:val="clear" w:color="auto" w:fill="auto"/>
            <w:vAlign w:val="center"/>
          </w:tcPr>
          <w:p w14:paraId="34F4D01C">
            <w:pPr>
              <w:jc w:val="center"/>
              <w:rPr>
                <w:rFonts w:ascii="宋体" w:hAnsi="宋体"/>
                <w:b w:val="0"/>
                <w:bCs/>
                <w:spacing w:val="-4"/>
                <w:kern w:val="0"/>
                <w:szCs w:val="21"/>
              </w:rPr>
            </w:pPr>
            <w:r>
              <w:rPr>
                <w:rFonts w:hint="eastAsia" w:ascii="宋体" w:hAnsi="宋体"/>
                <w:b w:val="0"/>
                <w:bCs/>
                <w:spacing w:val="-4"/>
                <w:kern w:val="0"/>
                <w:szCs w:val="21"/>
              </w:rPr>
              <w:t>35</w:t>
            </w:r>
          </w:p>
        </w:tc>
        <w:tc>
          <w:tcPr>
            <w:tcW w:w="357" w:type="pct"/>
            <w:shd w:val="clear" w:color="auto" w:fill="auto"/>
            <w:vAlign w:val="center"/>
          </w:tcPr>
          <w:p w14:paraId="45B6DB50">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36</w:t>
            </w:r>
          </w:p>
        </w:tc>
        <w:tc>
          <w:tcPr>
            <w:tcW w:w="388" w:type="pct"/>
            <w:vAlign w:val="center"/>
          </w:tcPr>
          <w:p w14:paraId="186A2604">
            <w:pPr>
              <w:jc w:val="center"/>
              <w:rPr>
                <w:rFonts w:ascii="宋体" w:hAnsi="宋体"/>
                <w:b w:val="0"/>
                <w:bCs/>
                <w:szCs w:val="21"/>
              </w:rPr>
            </w:pPr>
            <w:r>
              <w:rPr>
                <w:rFonts w:hint="eastAsia" w:ascii="宋体" w:hAnsi="宋体"/>
                <w:b w:val="0"/>
                <w:bCs/>
                <w:szCs w:val="21"/>
              </w:rPr>
              <w:t>\</w:t>
            </w:r>
          </w:p>
        </w:tc>
        <w:tc>
          <w:tcPr>
            <w:tcW w:w="888" w:type="pct"/>
            <w:vAlign w:val="center"/>
          </w:tcPr>
          <w:p w14:paraId="220E29AC">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4</w:t>
            </w:r>
          </w:p>
        </w:tc>
      </w:tr>
      <w:tr w14:paraId="0B2E67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008" w:type="pct"/>
            <w:shd w:val="clear" w:color="auto" w:fill="auto"/>
            <w:vAlign w:val="center"/>
          </w:tcPr>
          <w:p w14:paraId="1920BE83">
            <w:pPr>
              <w:jc w:val="center"/>
              <w:rPr>
                <w:rFonts w:ascii="宋体" w:hAnsi="宋体" w:cs="Arial"/>
                <w:b w:val="0"/>
                <w:bCs/>
                <w:szCs w:val="21"/>
              </w:rPr>
            </w:pPr>
            <w:r>
              <w:rPr>
                <w:rFonts w:hint="eastAsia" w:ascii="宋体" w:hAnsi="宋体" w:cs="Arial"/>
                <w:b w:val="0"/>
                <w:bCs/>
                <w:szCs w:val="21"/>
              </w:rPr>
              <w:t>90</w:t>
            </w:r>
            <w:r>
              <w:rPr>
                <w:rFonts w:ascii="宋体" w:hAnsi="宋体" w:cs="Arial"/>
                <w:b w:val="0"/>
                <w:bCs/>
                <w:szCs w:val="21"/>
              </w:rPr>
              <w:t>#</w:t>
            </w:r>
            <w:r>
              <w:rPr>
                <w:rFonts w:hint="eastAsia" w:ascii="宋体" w:hAnsi="宋体" w:cs="Arial"/>
                <w:b w:val="0"/>
                <w:bCs/>
                <w:szCs w:val="21"/>
              </w:rPr>
              <w:t>成品库</w:t>
            </w:r>
          </w:p>
        </w:tc>
        <w:tc>
          <w:tcPr>
            <w:tcW w:w="353" w:type="pct"/>
            <w:shd w:val="clear" w:color="auto" w:fill="auto"/>
            <w:vAlign w:val="center"/>
          </w:tcPr>
          <w:p w14:paraId="755E6472">
            <w:pPr>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-2</w:t>
            </w:r>
          </w:p>
        </w:tc>
        <w:tc>
          <w:tcPr>
            <w:tcW w:w="518" w:type="pct"/>
            <w:shd w:val="clear" w:color="auto" w:fill="auto"/>
            <w:vAlign w:val="center"/>
          </w:tcPr>
          <w:p w14:paraId="0B5F4B4F">
            <w:pPr>
              <w:jc w:val="center"/>
              <w:rPr>
                <w:rFonts w:ascii="宋体" w:hAnsi="宋体" w:cs="Arial"/>
                <w:b w:val="0"/>
                <w:bCs/>
                <w:szCs w:val="21"/>
              </w:rPr>
            </w:pPr>
            <w:r>
              <w:rPr>
                <w:rFonts w:hint="eastAsia" w:ascii="宋体" w:hAnsi="宋体" w:cs="Arial"/>
                <w:b w:val="0"/>
                <w:bCs/>
                <w:szCs w:val="21"/>
              </w:rPr>
              <w:t>5</w:t>
            </w:r>
          </w:p>
        </w:tc>
        <w:tc>
          <w:tcPr>
            <w:tcW w:w="1075" w:type="pct"/>
            <w:shd w:val="clear" w:color="auto" w:fill="auto"/>
            <w:vAlign w:val="center"/>
          </w:tcPr>
          <w:p w14:paraId="3BC157D5">
            <w:pPr>
              <w:jc w:val="center"/>
              <w:rPr>
                <w:rFonts w:ascii="宋体" w:hAnsi="宋体"/>
                <w:b w:val="0"/>
                <w:bCs/>
                <w:spacing w:val="-4"/>
                <w:szCs w:val="21"/>
              </w:rPr>
            </w:pPr>
            <w:r>
              <w:rPr>
                <w:rFonts w:hint="eastAsia" w:ascii="宋体" w:hAnsi="宋体"/>
                <w:b w:val="0"/>
                <w:bCs/>
                <w:spacing w:val="-4"/>
                <w:szCs w:val="21"/>
              </w:rPr>
              <w:t>63</w:t>
            </w:r>
            <w:r>
              <w:rPr>
                <w:rFonts w:ascii="宋体" w:hAnsi="宋体"/>
                <w:b w:val="0"/>
                <w:bCs/>
                <w:spacing w:val="-4"/>
                <w:szCs w:val="21"/>
              </w:rPr>
              <w:t>#</w:t>
            </w:r>
            <w:r>
              <w:rPr>
                <w:rFonts w:hint="eastAsia" w:ascii="宋体" w:hAnsi="宋体"/>
                <w:b w:val="0"/>
                <w:bCs/>
                <w:spacing w:val="-4"/>
                <w:szCs w:val="21"/>
              </w:rPr>
              <w:t>引线库</w:t>
            </w:r>
          </w:p>
          <w:p w14:paraId="36EAC13E">
            <w:pPr>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-1</w:t>
            </w:r>
            <w:r>
              <w:rPr>
                <w:rFonts w:hint="eastAsia" w:ascii="宋体" w:hAnsi="宋体"/>
                <w:b w:val="0"/>
                <w:bCs/>
                <w:spacing w:val="-4"/>
                <w:szCs w:val="21"/>
              </w:rPr>
              <w:t>级、50</w:t>
            </w:r>
            <w:r>
              <w:rPr>
                <w:rFonts w:ascii="宋体" w:hAnsi="宋体"/>
                <w:b w:val="0"/>
                <w:bCs/>
                <w:spacing w:val="-4"/>
                <w:szCs w:val="21"/>
              </w:rPr>
              <w:t>0kg</w:t>
            </w:r>
            <w:r>
              <w:rPr>
                <w:rFonts w:hint="eastAsia" w:ascii="宋体" w:hAnsi="宋体"/>
                <w:b w:val="0"/>
                <w:bCs/>
                <w:spacing w:val="-4"/>
                <w:szCs w:val="21"/>
              </w:rPr>
              <w:t>）</w:t>
            </w:r>
          </w:p>
        </w:tc>
        <w:tc>
          <w:tcPr>
            <w:tcW w:w="409" w:type="pct"/>
            <w:shd w:val="clear" w:color="auto" w:fill="auto"/>
            <w:vAlign w:val="center"/>
          </w:tcPr>
          <w:p w14:paraId="6970BA0E">
            <w:pPr>
              <w:jc w:val="center"/>
              <w:rPr>
                <w:rFonts w:ascii="宋体" w:hAnsi="宋体"/>
                <w:b w:val="0"/>
                <w:bCs/>
                <w:spacing w:val="-4"/>
                <w:kern w:val="0"/>
                <w:szCs w:val="21"/>
              </w:rPr>
            </w:pPr>
            <w:r>
              <w:rPr>
                <w:rFonts w:hint="eastAsia" w:ascii="宋体" w:hAnsi="宋体"/>
                <w:b w:val="0"/>
                <w:bCs/>
                <w:spacing w:val="-4"/>
                <w:kern w:val="0"/>
                <w:szCs w:val="21"/>
              </w:rPr>
              <w:t>30</w:t>
            </w:r>
          </w:p>
        </w:tc>
        <w:tc>
          <w:tcPr>
            <w:tcW w:w="357" w:type="pct"/>
            <w:shd w:val="clear" w:color="auto" w:fill="auto"/>
            <w:vAlign w:val="center"/>
          </w:tcPr>
          <w:p w14:paraId="00249AB9">
            <w:pPr>
              <w:widowControl/>
              <w:jc w:val="center"/>
              <w:textAlignment w:val="center"/>
              <w:rPr>
                <w:rFonts w:ascii="宋体" w:hAnsi="宋体"/>
                <w:b w:val="0"/>
                <w:bCs/>
                <w:spacing w:val="-4"/>
                <w:kern w:val="0"/>
                <w:szCs w:val="21"/>
              </w:rPr>
            </w:pPr>
            <w:r>
              <w:rPr>
                <w:rFonts w:hint="eastAsia" w:ascii="宋体" w:hAnsi="宋体"/>
                <w:b w:val="0"/>
                <w:bCs/>
                <w:spacing w:val="-4"/>
                <w:kern w:val="0"/>
                <w:szCs w:val="21"/>
              </w:rPr>
              <w:t>51</w:t>
            </w:r>
          </w:p>
        </w:tc>
        <w:tc>
          <w:tcPr>
            <w:tcW w:w="388" w:type="pct"/>
            <w:vAlign w:val="center"/>
          </w:tcPr>
          <w:p w14:paraId="65132B46">
            <w:pPr>
              <w:jc w:val="center"/>
              <w:rPr>
                <w:rFonts w:ascii="宋体" w:hAnsi="宋体"/>
                <w:b w:val="0"/>
                <w:bCs/>
                <w:szCs w:val="21"/>
              </w:rPr>
            </w:pPr>
            <w:r>
              <w:rPr>
                <w:rFonts w:hint="eastAsia" w:ascii="宋体" w:hAnsi="宋体"/>
                <w:b w:val="0"/>
                <w:bCs/>
                <w:szCs w:val="21"/>
              </w:rPr>
              <w:t>双有</w:t>
            </w:r>
          </w:p>
        </w:tc>
        <w:tc>
          <w:tcPr>
            <w:tcW w:w="888" w:type="pct"/>
            <w:vAlign w:val="center"/>
          </w:tcPr>
          <w:p w14:paraId="20F14B9A">
            <w:pPr>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4</w:t>
            </w:r>
          </w:p>
        </w:tc>
      </w:tr>
      <w:tr w14:paraId="16272E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80" w:hRule="atLeast"/>
          <w:jc w:val="center"/>
        </w:trPr>
        <w:tc>
          <w:tcPr>
            <w:tcW w:w="5000" w:type="pct"/>
            <w:gridSpan w:val="8"/>
            <w:shd w:val="clear" w:color="auto" w:fill="auto"/>
            <w:vAlign w:val="center"/>
          </w:tcPr>
          <w:p w14:paraId="59B78693">
            <w:pPr>
              <w:rPr>
                <w:rFonts w:ascii="宋体" w:hAnsi="宋体" w:cs="宋体"/>
                <w:b w:val="0"/>
                <w:bCs/>
                <w:szCs w:val="21"/>
              </w:rPr>
            </w:pPr>
            <w:r>
              <w:rPr>
                <w:rFonts w:hint="eastAsia" w:ascii="宋体" w:hAnsi="宋体" w:cs="宋体"/>
                <w:b w:val="0"/>
                <w:bCs/>
                <w:szCs w:val="21"/>
              </w:rPr>
              <w:t>备注：</w:t>
            </w:r>
          </w:p>
          <w:p w14:paraId="0D5ED966">
            <w:pPr>
              <w:ind w:firstLine="630" w:firstLineChars="300"/>
              <w:rPr>
                <w:rFonts w:ascii="宋体" w:hAnsi="宋体" w:cs="宋体"/>
                <w:b w:val="0"/>
                <w:bCs/>
                <w:szCs w:val="21"/>
              </w:rPr>
            </w:pPr>
            <w:r>
              <w:rPr>
                <w:rFonts w:hint="eastAsia" w:ascii="宋体" w:hAnsi="宋体" w:cs="宋体"/>
                <w:b w:val="0"/>
                <w:bCs/>
                <w:szCs w:val="21"/>
              </w:rPr>
              <w:t>表中11</w:t>
            </w:r>
            <w:r>
              <w:rPr>
                <w:rFonts w:ascii="宋体" w:hAnsi="宋体" w:cs="宋体"/>
                <w:b w:val="0"/>
                <w:bCs/>
                <w:szCs w:val="21"/>
              </w:rPr>
              <w:t>#</w:t>
            </w:r>
            <w:r>
              <w:rPr>
                <w:rFonts w:hint="eastAsia" w:ascii="宋体" w:hAnsi="宋体" w:cs="宋体"/>
                <w:b w:val="0"/>
                <w:bCs/>
                <w:szCs w:val="21"/>
              </w:rPr>
              <w:t>组装/包装（1</w:t>
            </w:r>
            <w:r>
              <w:rPr>
                <w:rFonts w:ascii="宋体" w:hAnsi="宋体" w:cs="宋体"/>
                <w:b w:val="0"/>
                <w:bCs/>
                <w:szCs w:val="21"/>
              </w:rPr>
              <w:t>.3</w:t>
            </w:r>
            <w:r>
              <w:rPr>
                <w:rFonts w:hint="eastAsia" w:ascii="宋体" w:hAnsi="宋体" w:cs="宋体"/>
                <w:b w:val="0"/>
                <w:bCs/>
                <w:szCs w:val="21"/>
              </w:rPr>
              <w:t>级、36</w:t>
            </w:r>
            <w:r>
              <w:rPr>
                <w:rFonts w:ascii="宋体" w:hAnsi="宋体" w:cs="宋体"/>
                <w:b w:val="0"/>
                <w:bCs/>
                <w:szCs w:val="21"/>
              </w:rPr>
              <w:t>0</w:t>
            </w:r>
            <w:r>
              <w:rPr>
                <w:rFonts w:hint="eastAsia" w:ascii="宋体" w:hAnsi="宋体" w:cs="宋体"/>
                <w:b w:val="0"/>
                <w:bCs/>
                <w:szCs w:val="21"/>
              </w:rPr>
              <w:t>kg）与7</w:t>
            </w:r>
            <w:r>
              <w:rPr>
                <w:rFonts w:ascii="宋体" w:hAnsi="宋体" w:cs="宋体"/>
                <w:b w:val="0"/>
                <w:bCs/>
                <w:szCs w:val="21"/>
              </w:rPr>
              <w:t>#</w:t>
            </w:r>
            <w:r>
              <w:rPr>
                <w:rFonts w:hint="eastAsia" w:ascii="宋体" w:hAnsi="宋体" w:cs="宋体"/>
                <w:b w:val="0"/>
                <w:bCs/>
                <w:szCs w:val="21"/>
              </w:rPr>
              <w:t>包装材料库；18</w:t>
            </w:r>
            <w:r>
              <w:rPr>
                <w:rFonts w:ascii="宋体" w:hAnsi="宋体" w:cs="宋体"/>
                <w:b w:val="0"/>
                <w:bCs/>
                <w:szCs w:val="21"/>
              </w:rPr>
              <w:t>#</w:t>
            </w:r>
            <w:r>
              <w:rPr>
                <w:rFonts w:hint="eastAsia" w:ascii="宋体" w:hAnsi="宋体" w:cs="宋体"/>
                <w:b w:val="0"/>
                <w:bCs/>
                <w:szCs w:val="21"/>
              </w:rPr>
              <w:t>半成品中转（1</w:t>
            </w:r>
            <w:r>
              <w:rPr>
                <w:rFonts w:ascii="宋体" w:hAnsi="宋体" w:cs="宋体"/>
                <w:b w:val="0"/>
                <w:bCs/>
                <w:szCs w:val="21"/>
              </w:rPr>
              <w:t>.</w:t>
            </w:r>
            <w:r>
              <w:rPr>
                <w:rFonts w:hint="eastAsia" w:ascii="宋体" w:hAnsi="宋体" w:cs="宋体"/>
                <w:b w:val="0"/>
                <w:bCs/>
                <w:szCs w:val="21"/>
              </w:rPr>
              <w:t>3级、500</w:t>
            </w:r>
            <w:r>
              <w:rPr>
                <w:rFonts w:ascii="宋体" w:hAnsi="宋体" w:cs="宋体"/>
                <w:b w:val="0"/>
                <w:bCs/>
                <w:szCs w:val="21"/>
              </w:rPr>
              <w:t>kg</w:t>
            </w:r>
            <w:r>
              <w:rPr>
                <w:rFonts w:hint="eastAsia" w:ascii="宋体" w:hAnsi="宋体" w:cs="宋体"/>
                <w:b w:val="0"/>
                <w:bCs/>
                <w:szCs w:val="21"/>
              </w:rPr>
              <w:t>）与17</w:t>
            </w:r>
            <w:r>
              <w:rPr>
                <w:rFonts w:ascii="宋体" w:hAnsi="宋体" w:cs="宋体"/>
                <w:b w:val="0"/>
                <w:bCs/>
                <w:szCs w:val="21"/>
              </w:rPr>
              <w:t>#</w:t>
            </w:r>
            <w:r>
              <w:rPr>
                <w:rFonts w:hint="eastAsia" w:ascii="宋体" w:hAnsi="宋体" w:cs="宋体"/>
                <w:b w:val="0"/>
                <w:bCs/>
                <w:szCs w:val="21"/>
              </w:rPr>
              <w:t>半成品中转（1</w:t>
            </w:r>
            <w:r>
              <w:rPr>
                <w:rFonts w:ascii="宋体" w:hAnsi="宋体" w:cs="宋体"/>
                <w:b w:val="0"/>
                <w:bCs/>
                <w:szCs w:val="21"/>
              </w:rPr>
              <w:t>.3</w:t>
            </w:r>
            <w:r>
              <w:rPr>
                <w:rFonts w:hint="eastAsia" w:ascii="宋体" w:hAnsi="宋体" w:cs="宋体"/>
                <w:b w:val="0"/>
                <w:bCs/>
                <w:szCs w:val="21"/>
              </w:rPr>
              <w:t>级、5</w:t>
            </w:r>
            <w:r>
              <w:rPr>
                <w:rFonts w:ascii="宋体" w:hAnsi="宋体" w:cs="宋体"/>
                <w:b w:val="0"/>
                <w:bCs/>
                <w:szCs w:val="21"/>
              </w:rPr>
              <w:t>00kg</w:t>
            </w:r>
            <w:r>
              <w:rPr>
                <w:rFonts w:hint="eastAsia" w:ascii="宋体" w:hAnsi="宋体" w:cs="宋体"/>
                <w:b w:val="0"/>
                <w:bCs/>
                <w:szCs w:val="21"/>
              </w:rPr>
              <w:t>）、19</w:t>
            </w:r>
            <w:r>
              <w:rPr>
                <w:rFonts w:ascii="宋体" w:hAnsi="宋体" w:cs="宋体"/>
                <w:b w:val="0"/>
                <w:bCs/>
                <w:szCs w:val="21"/>
              </w:rPr>
              <w:t>#</w:t>
            </w:r>
            <w:r>
              <w:rPr>
                <w:rFonts w:hint="eastAsia" w:ascii="宋体" w:hAnsi="宋体" w:cs="宋体"/>
                <w:b w:val="0"/>
                <w:bCs/>
                <w:szCs w:val="21"/>
              </w:rPr>
              <w:t>半成品中转（1</w:t>
            </w:r>
            <w:r>
              <w:rPr>
                <w:rFonts w:ascii="宋体" w:hAnsi="宋体" w:cs="宋体"/>
                <w:b w:val="0"/>
                <w:bCs/>
                <w:szCs w:val="21"/>
              </w:rPr>
              <w:t>.3</w:t>
            </w:r>
            <w:r>
              <w:rPr>
                <w:rFonts w:hint="eastAsia" w:ascii="宋体" w:hAnsi="宋体" w:cs="宋体"/>
                <w:b w:val="0"/>
                <w:bCs/>
                <w:szCs w:val="21"/>
              </w:rPr>
              <w:t>级、10</w:t>
            </w:r>
            <w:r>
              <w:rPr>
                <w:rFonts w:ascii="宋体" w:hAnsi="宋体" w:cs="宋体"/>
                <w:b w:val="0"/>
                <w:bCs/>
                <w:szCs w:val="21"/>
              </w:rPr>
              <w:t>00kg</w:t>
            </w:r>
            <w:r>
              <w:rPr>
                <w:rFonts w:hint="eastAsia" w:ascii="宋体" w:hAnsi="宋体" w:cs="宋体"/>
                <w:b w:val="0"/>
                <w:bCs/>
                <w:szCs w:val="21"/>
              </w:rPr>
              <w:t>）；31#半成品中转（1</w:t>
            </w:r>
            <w:r>
              <w:rPr>
                <w:rFonts w:ascii="宋体" w:hAnsi="宋体" w:cs="宋体"/>
                <w:b w:val="0"/>
                <w:bCs/>
                <w:szCs w:val="21"/>
              </w:rPr>
              <w:t>.</w:t>
            </w:r>
            <w:r>
              <w:rPr>
                <w:rFonts w:hint="eastAsia" w:ascii="宋体" w:hAnsi="宋体" w:cs="宋体"/>
                <w:b w:val="0"/>
                <w:bCs/>
                <w:szCs w:val="21"/>
              </w:rPr>
              <w:t>3级、100</w:t>
            </w:r>
            <w:r>
              <w:rPr>
                <w:rFonts w:ascii="宋体" w:hAnsi="宋体" w:cs="宋体"/>
                <w:b w:val="0"/>
                <w:bCs/>
                <w:szCs w:val="21"/>
              </w:rPr>
              <w:t>kg</w:t>
            </w:r>
            <w:r>
              <w:rPr>
                <w:rFonts w:hint="eastAsia" w:ascii="宋体" w:hAnsi="宋体" w:cs="宋体"/>
                <w:b w:val="0"/>
                <w:bCs/>
                <w:szCs w:val="21"/>
              </w:rPr>
              <w:t>）与33</w:t>
            </w:r>
            <w:r>
              <w:rPr>
                <w:rFonts w:ascii="宋体" w:hAnsi="宋体" w:cs="宋体"/>
                <w:b w:val="0"/>
                <w:bCs/>
                <w:szCs w:val="21"/>
              </w:rPr>
              <w:t>#</w:t>
            </w:r>
            <w:r>
              <w:rPr>
                <w:rFonts w:hint="eastAsia" w:ascii="宋体" w:hAnsi="宋体" w:cs="宋体"/>
                <w:b w:val="0"/>
                <w:bCs/>
                <w:szCs w:val="21"/>
              </w:rPr>
              <w:t>装药/压药（1</w:t>
            </w:r>
            <w:r>
              <w:rPr>
                <w:rFonts w:ascii="宋体" w:hAnsi="宋体" w:cs="宋体"/>
                <w:b w:val="0"/>
                <w:bCs/>
                <w:szCs w:val="21"/>
              </w:rPr>
              <w:t>.1</w:t>
            </w:r>
            <w:r>
              <w:rPr>
                <w:rFonts w:ascii="宋体" w:hAnsi="宋体" w:cs="宋体"/>
                <w:b w:val="0"/>
                <w:bCs/>
                <w:szCs w:val="21"/>
                <w:vertAlign w:val="superscript"/>
              </w:rPr>
              <w:t>-</w:t>
            </w:r>
            <w:r>
              <w:rPr>
                <w:rFonts w:hint="eastAsia" w:ascii="宋体" w:hAnsi="宋体" w:cs="宋体"/>
                <w:b w:val="0"/>
                <w:bCs/>
                <w:szCs w:val="21"/>
                <w:vertAlign w:val="superscript"/>
              </w:rPr>
              <w:t>2</w:t>
            </w:r>
            <w:r>
              <w:rPr>
                <w:rFonts w:hint="eastAsia" w:ascii="宋体" w:hAnsi="宋体" w:cs="宋体"/>
                <w:b w:val="0"/>
                <w:bCs/>
                <w:szCs w:val="21"/>
              </w:rPr>
              <w:t>级、5</w:t>
            </w:r>
            <w:r>
              <w:rPr>
                <w:rFonts w:ascii="宋体" w:hAnsi="宋体" w:cs="宋体"/>
                <w:b w:val="0"/>
                <w:bCs/>
                <w:szCs w:val="21"/>
              </w:rPr>
              <w:t>kg</w:t>
            </w:r>
            <w:r>
              <w:rPr>
                <w:rFonts w:hint="eastAsia" w:ascii="宋体" w:hAnsi="宋体" w:cs="宋体"/>
                <w:b w:val="0"/>
                <w:bCs/>
                <w:szCs w:val="21"/>
              </w:rPr>
              <w:t>）；37</w:t>
            </w:r>
            <w:r>
              <w:rPr>
                <w:rFonts w:ascii="宋体" w:hAnsi="宋体" w:cs="宋体"/>
                <w:b w:val="0"/>
                <w:bCs/>
                <w:szCs w:val="21"/>
              </w:rPr>
              <w:t>#</w:t>
            </w:r>
            <w:r>
              <w:rPr>
                <w:rFonts w:hint="eastAsia" w:ascii="宋体" w:hAnsi="宋体" w:cs="宋体"/>
                <w:b w:val="0"/>
                <w:bCs/>
                <w:szCs w:val="21"/>
              </w:rPr>
              <w:t>半成品中转（1</w:t>
            </w:r>
            <w:r>
              <w:rPr>
                <w:rFonts w:ascii="宋体" w:hAnsi="宋体" w:cs="宋体"/>
                <w:b w:val="0"/>
                <w:bCs/>
                <w:szCs w:val="21"/>
              </w:rPr>
              <w:t>.3</w:t>
            </w:r>
            <w:r>
              <w:rPr>
                <w:rFonts w:hint="eastAsia" w:ascii="宋体" w:hAnsi="宋体" w:cs="宋体"/>
                <w:b w:val="0"/>
                <w:bCs/>
                <w:szCs w:val="21"/>
              </w:rPr>
              <w:t>级、</w:t>
            </w:r>
            <w:r>
              <w:rPr>
                <w:rFonts w:ascii="宋体" w:hAnsi="宋体" w:cs="宋体"/>
                <w:b w:val="0"/>
                <w:bCs/>
                <w:szCs w:val="21"/>
              </w:rPr>
              <w:t>100kg</w:t>
            </w:r>
            <w:r>
              <w:rPr>
                <w:rFonts w:hint="eastAsia" w:ascii="宋体" w:hAnsi="宋体" w:cs="宋体"/>
                <w:b w:val="0"/>
                <w:bCs/>
                <w:szCs w:val="21"/>
              </w:rPr>
              <w:t>）与35</w:t>
            </w:r>
            <w:r>
              <w:rPr>
                <w:rFonts w:ascii="宋体" w:hAnsi="宋体" w:cs="宋体"/>
                <w:b w:val="0"/>
                <w:bCs/>
                <w:szCs w:val="21"/>
              </w:rPr>
              <w:t>#</w:t>
            </w:r>
            <w:r>
              <w:rPr>
                <w:rFonts w:hint="eastAsia" w:ascii="宋体" w:hAnsi="宋体" w:cs="宋体"/>
                <w:b w:val="0"/>
                <w:bCs/>
                <w:szCs w:val="21"/>
              </w:rPr>
              <w:t>装药/压药（1</w:t>
            </w:r>
            <w:r>
              <w:rPr>
                <w:rFonts w:ascii="宋体" w:hAnsi="宋体" w:cs="宋体"/>
                <w:b w:val="0"/>
                <w:bCs/>
                <w:szCs w:val="21"/>
              </w:rPr>
              <w:t>.1</w:t>
            </w:r>
            <w:r>
              <w:rPr>
                <w:rFonts w:ascii="宋体" w:hAnsi="宋体" w:cs="宋体"/>
                <w:b w:val="0"/>
                <w:bCs/>
                <w:szCs w:val="21"/>
                <w:vertAlign w:val="superscript"/>
              </w:rPr>
              <w:t>-</w:t>
            </w:r>
            <w:r>
              <w:rPr>
                <w:rFonts w:hint="eastAsia" w:ascii="宋体" w:hAnsi="宋体" w:cs="宋体"/>
                <w:b w:val="0"/>
                <w:bCs/>
                <w:szCs w:val="21"/>
                <w:vertAlign w:val="superscript"/>
              </w:rPr>
              <w:t>2</w:t>
            </w:r>
            <w:r>
              <w:rPr>
                <w:rFonts w:hint="eastAsia" w:ascii="宋体" w:hAnsi="宋体" w:cs="宋体"/>
                <w:b w:val="0"/>
                <w:bCs/>
                <w:szCs w:val="21"/>
              </w:rPr>
              <w:t>级、5</w:t>
            </w:r>
            <w:r>
              <w:rPr>
                <w:rFonts w:ascii="宋体" w:hAnsi="宋体" w:cs="宋体"/>
                <w:b w:val="0"/>
                <w:bCs/>
                <w:szCs w:val="21"/>
              </w:rPr>
              <w:t>kg</w:t>
            </w:r>
            <w:r>
              <w:rPr>
                <w:rFonts w:hint="eastAsia" w:ascii="宋体" w:hAnsi="宋体" w:cs="宋体"/>
                <w:b w:val="0"/>
                <w:bCs/>
                <w:szCs w:val="21"/>
              </w:rPr>
              <w:t>）、38#（1</w:t>
            </w:r>
            <w:r>
              <w:rPr>
                <w:rFonts w:ascii="宋体" w:hAnsi="宋体" w:cs="宋体"/>
                <w:b w:val="0"/>
                <w:bCs/>
                <w:szCs w:val="21"/>
              </w:rPr>
              <w:t>.1</w:t>
            </w:r>
            <w:r>
              <w:rPr>
                <w:rFonts w:ascii="宋体" w:hAnsi="宋体" w:cs="宋体"/>
                <w:b w:val="0"/>
                <w:bCs/>
                <w:szCs w:val="21"/>
                <w:vertAlign w:val="superscript"/>
              </w:rPr>
              <w:t>-</w:t>
            </w:r>
            <w:r>
              <w:rPr>
                <w:rFonts w:hint="eastAsia" w:ascii="宋体" w:hAnsi="宋体" w:cs="宋体"/>
                <w:b w:val="0"/>
                <w:bCs/>
                <w:szCs w:val="21"/>
                <w:vertAlign w:val="superscript"/>
              </w:rPr>
              <w:t>2</w:t>
            </w:r>
            <w:r>
              <w:rPr>
                <w:rFonts w:hint="eastAsia" w:ascii="宋体" w:hAnsi="宋体" w:cs="宋体"/>
                <w:b w:val="0"/>
                <w:bCs/>
                <w:szCs w:val="21"/>
              </w:rPr>
              <w:t>级、5</w:t>
            </w:r>
            <w:r>
              <w:rPr>
                <w:rFonts w:ascii="宋体" w:hAnsi="宋体" w:cs="宋体"/>
                <w:b w:val="0"/>
                <w:bCs/>
                <w:szCs w:val="21"/>
              </w:rPr>
              <w:t>kg</w:t>
            </w:r>
            <w:r>
              <w:rPr>
                <w:rFonts w:hint="eastAsia" w:ascii="宋体" w:hAnsi="宋体" w:cs="宋体"/>
                <w:b w:val="0"/>
                <w:bCs/>
                <w:szCs w:val="21"/>
              </w:rPr>
              <w:t>）；43</w:t>
            </w:r>
            <w:r>
              <w:rPr>
                <w:rFonts w:ascii="宋体" w:hAnsi="宋体" w:cs="宋体"/>
                <w:b w:val="0"/>
                <w:bCs/>
                <w:szCs w:val="21"/>
              </w:rPr>
              <w:t>#</w:t>
            </w:r>
            <w:r>
              <w:rPr>
                <w:rFonts w:hint="eastAsia" w:ascii="宋体" w:hAnsi="宋体" w:cs="宋体"/>
                <w:b w:val="0"/>
                <w:bCs/>
                <w:szCs w:val="21"/>
              </w:rPr>
              <w:t>半成品中转（1</w:t>
            </w:r>
            <w:r>
              <w:rPr>
                <w:rFonts w:ascii="宋体" w:hAnsi="宋体" w:cs="宋体"/>
                <w:b w:val="0"/>
                <w:bCs/>
                <w:szCs w:val="21"/>
              </w:rPr>
              <w:t>.3</w:t>
            </w:r>
            <w:r>
              <w:rPr>
                <w:rFonts w:hint="eastAsia" w:ascii="宋体" w:hAnsi="宋体" w:cs="宋体"/>
                <w:b w:val="0"/>
                <w:bCs/>
                <w:szCs w:val="21"/>
              </w:rPr>
              <w:t>级、1</w:t>
            </w:r>
            <w:r>
              <w:rPr>
                <w:rFonts w:ascii="宋体" w:hAnsi="宋体" w:cs="宋体"/>
                <w:b w:val="0"/>
                <w:bCs/>
                <w:szCs w:val="21"/>
              </w:rPr>
              <w:t>00kg</w:t>
            </w:r>
            <w:r>
              <w:rPr>
                <w:rFonts w:hint="eastAsia" w:ascii="宋体" w:hAnsi="宋体" w:cs="宋体"/>
                <w:b w:val="0"/>
                <w:bCs/>
                <w:szCs w:val="21"/>
              </w:rPr>
              <w:t>）与42</w:t>
            </w:r>
            <w:r>
              <w:rPr>
                <w:rFonts w:ascii="宋体" w:hAnsi="宋体" w:cs="宋体"/>
                <w:b w:val="0"/>
                <w:bCs/>
                <w:szCs w:val="21"/>
              </w:rPr>
              <w:t>#</w:t>
            </w:r>
            <w:r>
              <w:rPr>
                <w:rFonts w:hint="eastAsia" w:ascii="宋体" w:hAnsi="宋体" w:cs="宋体"/>
                <w:b w:val="0"/>
                <w:bCs/>
                <w:szCs w:val="21"/>
              </w:rPr>
              <w:t>筑药（1</w:t>
            </w:r>
            <w:r>
              <w:rPr>
                <w:rFonts w:ascii="宋体" w:hAnsi="宋体" w:cs="宋体"/>
                <w:b w:val="0"/>
                <w:bCs/>
                <w:szCs w:val="21"/>
              </w:rPr>
              <w:t>.1</w:t>
            </w:r>
            <w:r>
              <w:rPr>
                <w:rFonts w:ascii="宋体" w:hAnsi="宋体" w:cs="宋体"/>
                <w:b w:val="0"/>
                <w:bCs/>
                <w:szCs w:val="21"/>
                <w:vertAlign w:val="superscript"/>
              </w:rPr>
              <w:t>-2</w:t>
            </w:r>
            <w:r>
              <w:rPr>
                <w:rFonts w:hint="eastAsia" w:ascii="宋体" w:hAnsi="宋体" w:cs="宋体"/>
                <w:b w:val="0"/>
                <w:bCs/>
                <w:szCs w:val="21"/>
              </w:rPr>
              <w:t>级、5</w:t>
            </w:r>
            <w:r>
              <w:rPr>
                <w:rFonts w:ascii="宋体" w:hAnsi="宋体" w:cs="宋体"/>
                <w:b w:val="0"/>
                <w:bCs/>
                <w:szCs w:val="21"/>
              </w:rPr>
              <w:t>kg</w:t>
            </w:r>
            <w:r>
              <w:rPr>
                <w:rFonts w:hint="eastAsia" w:ascii="宋体" w:hAnsi="宋体" w:cs="宋体"/>
                <w:b w:val="0"/>
                <w:bCs/>
                <w:szCs w:val="21"/>
              </w:rPr>
              <w:t>）之间均设置防护屏障，故内部安全距离按G</w:t>
            </w:r>
            <w:r>
              <w:rPr>
                <w:rFonts w:ascii="宋体" w:hAnsi="宋体" w:cs="宋体"/>
                <w:b w:val="0"/>
                <w:bCs/>
                <w:szCs w:val="21"/>
              </w:rPr>
              <w:t>B50161-2022</w:t>
            </w:r>
            <w:r>
              <w:rPr>
                <w:rFonts w:hint="eastAsia" w:ascii="宋体" w:hAnsi="宋体" w:cs="宋体"/>
                <w:b w:val="0"/>
                <w:bCs/>
                <w:szCs w:val="21"/>
              </w:rPr>
              <w:t>中表5</w:t>
            </w:r>
            <w:r>
              <w:rPr>
                <w:rFonts w:ascii="宋体" w:hAnsi="宋体" w:cs="宋体"/>
                <w:b w:val="0"/>
                <w:bCs/>
                <w:szCs w:val="21"/>
              </w:rPr>
              <w:t>.2.8</w:t>
            </w:r>
            <w:r>
              <w:rPr>
                <w:rFonts w:hint="eastAsia" w:ascii="宋体" w:hAnsi="宋体" w:cs="宋体"/>
                <w:b w:val="0"/>
                <w:bCs/>
                <w:szCs w:val="21"/>
              </w:rPr>
              <w:t>所规定值的8</w:t>
            </w:r>
            <w:r>
              <w:rPr>
                <w:rFonts w:ascii="宋体" w:hAnsi="宋体" w:cs="宋体"/>
                <w:b w:val="0"/>
                <w:bCs/>
                <w:szCs w:val="21"/>
              </w:rPr>
              <w:t>0%</w:t>
            </w:r>
            <w:r>
              <w:rPr>
                <w:rFonts w:hint="eastAsia" w:ascii="宋体" w:hAnsi="宋体" w:cs="宋体"/>
                <w:b w:val="0"/>
                <w:bCs/>
                <w:szCs w:val="21"/>
              </w:rPr>
              <w:t>，且不小于1</w:t>
            </w:r>
            <w:r>
              <w:rPr>
                <w:rFonts w:ascii="宋体" w:hAnsi="宋体" w:cs="宋体"/>
                <w:b w:val="0"/>
                <w:bCs/>
                <w:szCs w:val="21"/>
              </w:rPr>
              <w:t>2</w:t>
            </w:r>
            <w:r>
              <w:rPr>
                <w:rFonts w:hint="eastAsia" w:ascii="宋体" w:hAnsi="宋体" w:cs="宋体"/>
                <w:b w:val="0"/>
                <w:bCs/>
                <w:szCs w:val="21"/>
              </w:rPr>
              <w:t>m；</w:t>
            </w:r>
          </w:p>
          <w:p w14:paraId="442EAAAF">
            <w:pPr>
              <w:ind w:firstLine="630" w:firstLineChars="300"/>
              <w:rPr>
                <w:rFonts w:ascii="宋体" w:hAnsi="宋体" w:cs="宋体"/>
                <w:b w:val="0"/>
                <w:bCs/>
                <w:szCs w:val="21"/>
              </w:rPr>
            </w:pPr>
          </w:p>
        </w:tc>
      </w:tr>
    </w:tbl>
    <w:p w14:paraId="590487AE">
      <w:pPr>
        <w:spacing w:line="600" w:lineRule="exact"/>
        <w:ind w:firstLine="560" w:firstLineChars="200"/>
        <w:rPr>
          <w:bCs/>
        </w:rPr>
      </w:pPr>
      <w:r>
        <w:rPr>
          <w:rFonts w:ascii="宋体" w:hAnsi="宋体"/>
          <w:b w:val="0"/>
          <w:sz w:val="28"/>
          <w:szCs w:val="28"/>
        </w:rPr>
        <w:t>在对</w:t>
      </w:r>
      <w:r>
        <w:rPr>
          <w:rFonts w:hint="eastAsia" w:ascii="宋体" w:hAnsi="宋体"/>
          <w:b w:val="0"/>
          <w:sz w:val="28"/>
          <w:szCs w:val="28"/>
        </w:rPr>
        <w:t>该项目</w:t>
      </w:r>
      <w:r>
        <w:rPr>
          <w:rFonts w:ascii="宋体" w:hAnsi="宋体"/>
          <w:b w:val="0"/>
          <w:sz w:val="28"/>
          <w:szCs w:val="28"/>
        </w:rPr>
        <w:t>的</w:t>
      </w:r>
      <w:r>
        <w:rPr>
          <w:rFonts w:hint="eastAsia" w:ascii="宋体" w:hAnsi="宋体"/>
          <w:b w:val="0"/>
          <w:sz w:val="28"/>
          <w:szCs w:val="28"/>
        </w:rPr>
        <w:t>内部</w:t>
      </w:r>
      <w:r>
        <w:rPr>
          <w:rFonts w:ascii="宋体" w:hAnsi="宋体"/>
          <w:b w:val="0"/>
          <w:sz w:val="28"/>
          <w:szCs w:val="28"/>
        </w:rPr>
        <w:t>安全距离检查中，所检查项目</w:t>
      </w:r>
      <w:r>
        <w:rPr>
          <w:rFonts w:hint="eastAsia" w:ascii="宋体" w:hAnsi="宋体"/>
          <w:b w:val="0"/>
          <w:sz w:val="28"/>
          <w:szCs w:val="28"/>
        </w:rPr>
        <w:t>均能符合《烟花爆竹工程设计安全标准》（GB50161-2022）中内</w:t>
      </w:r>
      <w:r>
        <w:rPr>
          <w:rFonts w:ascii="宋体" w:hAnsi="宋体"/>
          <w:b w:val="0"/>
          <w:sz w:val="28"/>
          <w:szCs w:val="28"/>
        </w:rPr>
        <w:t>部距离</w:t>
      </w:r>
      <w:r>
        <w:rPr>
          <w:rFonts w:hint="eastAsia" w:ascii="宋体" w:hAnsi="宋体"/>
          <w:b w:val="0"/>
          <w:sz w:val="28"/>
          <w:szCs w:val="28"/>
        </w:rPr>
        <w:t>的标准要求。</w:t>
      </w:r>
    </w:p>
    <w:p w14:paraId="419197F3">
      <w:pPr>
        <w:keepNext/>
        <w:keepLines/>
        <w:spacing w:before="120" w:beforeLines="50" w:line="600" w:lineRule="exact"/>
        <w:outlineLvl w:val="1"/>
        <w:rPr>
          <w:rFonts w:ascii="黑体" w:hAnsi="宋体" w:eastAsia="黑体"/>
          <w:b w:val="0"/>
          <w:bCs/>
          <w:snapToGrid w:val="0"/>
          <w:sz w:val="32"/>
          <w:szCs w:val="32"/>
        </w:rPr>
      </w:pPr>
      <w:bookmarkStart w:id="141" w:name="_Toc297251648"/>
      <w:bookmarkStart w:id="142" w:name="_Toc300329575"/>
      <w:bookmarkStart w:id="143" w:name="_Toc300344397"/>
      <w:bookmarkStart w:id="144" w:name="_Toc300256200"/>
      <w:bookmarkStart w:id="145" w:name="_Toc278054189"/>
      <w:bookmarkStart w:id="146" w:name="_Toc8622"/>
      <w:r>
        <w:rPr>
          <w:rFonts w:hint="eastAsia" w:ascii="黑体" w:hAnsi="宋体" w:eastAsia="黑体"/>
          <w:b w:val="0"/>
          <w:bCs/>
          <w:snapToGrid w:val="0"/>
          <w:sz w:val="32"/>
          <w:szCs w:val="32"/>
        </w:rPr>
        <w:t>2.</w:t>
      </w:r>
      <w:bookmarkEnd w:id="141"/>
      <w:bookmarkEnd w:id="142"/>
      <w:bookmarkEnd w:id="143"/>
      <w:bookmarkEnd w:id="144"/>
      <w:bookmarkEnd w:id="145"/>
      <w:r>
        <w:rPr>
          <w:rFonts w:hint="eastAsia" w:ascii="黑体" w:hAnsi="宋体" w:eastAsia="黑体"/>
          <w:b w:val="0"/>
          <w:bCs/>
          <w:snapToGrid w:val="0"/>
          <w:sz w:val="32"/>
          <w:szCs w:val="32"/>
        </w:rPr>
        <w:t>9公用工程</w:t>
      </w:r>
      <w:bookmarkEnd w:id="146"/>
    </w:p>
    <w:p w14:paraId="1D79B72E">
      <w:pPr>
        <w:pStyle w:val="5"/>
        <w:spacing w:line="600" w:lineRule="exact"/>
        <w:rPr>
          <w:rFonts w:ascii="黑体" w:hAnsi="宋体" w:eastAsia="黑体"/>
          <w:b w:val="0"/>
          <w:bCs w:val="0"/>
          <w:snapToGrid w:val="0"/>
          <w:sz w:val="30"/>
          <w:szCs w:val="30"/>
        </w:rPr>
      </w:pPr>
      <w:bookmarkStart w:id="147" w:name="_Toc300344398"/>
      <w:bookmarkStart w:id="148" w:name="_Toc278054190"/>
      <w:bookmarkStart w:id="149" w:name="_Toc300256201"/>
      <w:bookmarkStart w:id="150" w:name="_Toc165038784"/>
      <w:bookmarkStart w:id="151" w:name="_Toc300329576"/>
      <w:r>
        <w:rPr>
          <w:rFonts w:hint="eastAsia" w:ascii="黑体" w:hAnsi="宋体" w:eastAsia="黑体"/>
          <w:b w:val="0"/>
          <w:bCs w:val="0"/>
          <w:snapToGrid w:val="0"/>
          <w:sz w:val="30"/>
          <w:szCs w:val="30"/>
        </w:rPr>
        <w:t>2.9.1</w:t>
      </w:r>
      <w:bookmarkEnd w:id="147"/>
      <w:bookmarkEnd w:id="148"/>
      <w:bookmarkEnd w:id="149"/>
      <w:bookmarkEnd w:id="150"/>
      <w:bookmarkEnd w:id="151"/>
      <w:r>
        <w:rPr>
          <w:rFonts w:hint="eastAsia" w:ascii="黑体" w:hAnsi="宋体" w:eastAsia="黑体"/>
          <w:b w:val="0"/>
          <w:bCs w:val="0"/>
          <w:snapToGrid w:val="0"/>
          <w:sz w:val="30"/>
          <w:szCs w:val="30"/>
        </w:rPr>
        <w:t>给排水</w:t>
      </w:r>
    </w:p>
    <w:p w14:paraId="52B3D6B0">
      <w:pPr>
        <w:spacing w:line="600" w:lineRule="exact"/>
        <w:ind w:firstLine="560" w:firstLineChars="200"/>
        <w:jc w:val="left"/>
        <w:rPr>
          <w:rFonts w:ascii="宋体" w:hAnsi="宋体"/>
          <w:b w:val="0"/>
          <w:sz w:val="28"/>
          <w:szCs w:val="28"/>
        </w:rPr>
      </w:pPr>
      <w:bookmarkStart w:id="152" w:name="_Toc165038785"/>
      <w:bookmarkStart w:id="153" w:name="_Toc300256202"/>
      <w:bookmarkStart w:id="154" w:name="_Toc300329577"/>
      <w:bookmarkStart w:id="155" w:name="_Toc300344399"/>
      <w:bookmarkStart w:id="156" w:name="_Toc278054191"/>
      <w:r>
        <w:rPr>
          <w:rFonts w:hint="eastAsia" w:ascii="宋体" w:hAnsi="宋体"/>
          <w:b w:val="0"/>
          <w:sz w:val="28"/>
          <w:szCs w:val="28"/>
        </w:rPr>
        <w:t>1）给水</w:t>
      </w:r>
    </w:p>
    <w:p w14:paraId="40D2061B">
      <w:pPr>
        <w:spacing w:line="600" w:lineRule="exact"/>
        <w:ind w:firstLine="560" w:firstLineChars="200"/>
        <w:rPr>
          <w:rFonts w:ascii="宋体" w:hAnsi="宋体"/>
          <w:b w:val="0"/>
          <w:sz w:val="28"/>
          <w:szCs w:val="28"/>
        </w:rPr>
      </w:pPr>
      <w:r>
        <w:rPr>
          <w:rFonts w:hint="eastAsia" w:ascii="宋体" w:hAnsi="宋体"/>
          <w:b w:val="0"/>
          <w:sz w:val="28"/>
          <w:szCs w:val="28"/>
        </w:rPr>
        <w:t>该项目厂区内新设置</w:t>
      </w:r>
      <w:r>
        <w:rPr>
          <w:rFonts w:ascii="宋体" w:hAnsi="宋体"/>
          <w:b w:val="0"/>
          <w:snapToGrid w:val="0"/>
          <w:sz w:val="28"/>
          <w:szCs w:val="28"/>
        </w:rPr>
        <w:t>1</w:t>
      </w:r>
      <w:r>
        <w:rPr>
          <w:rFonts w:hint="eastAsia" w:ascii="宋体" w:hAnsi="宋体"/>
          <w:b w:val="0"/>
          <w:snapToGrid w:val="0"/>
          <w:sz w:val="28"/>
          <w:szCs w:val="28"/>
        </w:rPr>
        <w:t>座高位消防水池，蓄水量总约300m</w:t>
      </w:r>
      <w:r>
        <w:rPr>
          <w:rFonts w:hint="eastAsia" w:ascii="宋体" w:hAnsi="宋体"/>
          <w:b w:val="0"/>
          <w:snapToGrid w:val="0"/>
          <w:sz w:val="28"/>
          <w:szCs w:val="28"/>
          <w:vertAlign w:val="superscript"/>
        </w:rPr>
        <w:t>3</w:t>
      </w:r>
      <w:r>
        <w:rPr>
          <w:rFonts w:hint="eastAsia" w:ascii="宋体" w:hAnsi="宋体"/>
          <w:b w:val="0"/>
          <w:snapToGrid w:val="0"/>
          <w:sz w:val="28"/>
          <w:szCs w:val="28"/>
        </w:rPr>
        <w:t>，</w:t>
      </w:r>
      <w:r>
        <w:rPr>
          <w:rFonts w:hint="eastAsia" w:ascii="宋体" w:hAnsi="宋体"/>
          <w:b w:val="0"/>
          <w:sz w:val="28"/>
          <w:szCs w:val="28"/>
        </w:rPr>
        <w:t>设置增压泵房供水，基本能满足火灾初期使用。</w:t>
      </w:r>
      <w:r>
        <w:rPr>
          <w:rFonts w:hint="eastAsia" w:ascii="宋体" w:hAnsi="宋体"/>
          <w:b w:val="0"/>
          <w:sz w:val="28"/>
          <w:szCs w:val="28"/>
          <w:lang w:val="en-GB"/>
        </w:rPr>
        <w:t>补充水</w:t>
      </w:r>
      <w:r>
        <w:rPr>
          <w:rFonts w:hint="eastAsia" w:ascii="宋体" w:hAnsi="宋体"/>
          <w:b w:val="0"/>
          <w:sz w:val="28"/>
          <w:szCs w:val="28"/>
        </w:rPr>
        <w:t>采用水井、厂区内水塘、厂区东边河流地表水，使用水泵送到高位水池，同时</w:t>
      </w:r>
      <w:r>
        <w:rPr>
          <w:rFonts w:hint="eastAsia" w:ascii="宋体" w:hAnsi="宋体"/>
          <w:b w:val="0"/>
          <w:sz w:val="28"/>
          <w:szCs w:val="28"/>
          <w:lang w:val="en-GB"/>
        </w:rPr>
        <w:t>为消防管网提供不间断水源。</w:t>
      </w:r>
      <w:r>
        <w:rPr>
          <w:rFonts w:hint="eastAsia" w:ascii="宋体" w:hAnsi="宋体"/>
          <w:b w:val="0"/>
          <w:sz w:val="28"/>
          <w:szCs w:val="28"/>
        </w:rPr>
        <w:t>项目危险品生产区、成品库区的消防用水通过厂区预埋的管网连接于厂区内的消火栓出水，利用消防水带、消防水枪达到消防的目的。生产区内拟设置消火栓，消火栓距危险品生产区最远处距离均不超过150m。药物总库、成品库区和原材料库区采用厂区管网进行消防供水，需满足消防要求。</w:t>
      </w:r>
    </w:p>
    <w:p w14:paraId="2496C8A6">
      <w:pPr>
        <w:spacing w:line="600" w:lineRule="exact"/>
        <w:ind w:firstLine="560" w:firstLineChars="200"/>
        <w:rPr>
          <w:rFonts w:ascii="宋体" w:hAnsi="宋体"/>
          <w:b w:val="0"/>
          <w:sz w:val="28"/>
          <w:szCs w:val="28"/>
        </w:rPr>
      </w:pPr>
      <w:r>
        <w:rPr>
          <w:rFonts w:hint="eastAsia" w:ascii="宋体" w:hAnsi="宋体"/>
          <w:b w:val="0"/>
          <w:sz w:val="28"/>
          <w:szCs w:val="28"/>
        </w:rPr>
        <w:t>危险品生产区、药物总库、成品库消防给水设施保护范围不大于150m，项目配备消防水泵以及消防水带、消防水枪、灭火器等。消防水源和消防设施、设备能够满足消防需要，立足于在火灾初期及时扑救。</w:t>
      </w:r>
    </w:p>
    <w:p w14:paraId="0FF3DC43">
      <w:pPr>
        <w:spacing w:line="600" w:lineRule="exact"/>
        <w:ind w:firstLine="560" w:firstLineChars="200"/>
        <w:rPr>
          <w:rFonts w:ascii="宋体" w:hAnsi="宋体"/>
          <w:b w:val="0"/>
          <w:sz w:val="28"/>
          <w:szCs w:val="28"/>
        </w:rPr>
      </w:pPr>
      <w:r>
        <w:rPr>
          <w:rFonts w:hint="eastAsia" w:ascii="宋体" w:hAnsi="宋体"/>
          <w:b w:val="0"/>
          <w:sz w:val="28"/>
          <w:szCs w:val="28"/>
        </w:rPr>
        <w:t>2）排水</w:t>
      </w:r>
    </w:p>
    <w:p w14:paraId="1247F002">
      <w:pPr>
        <w:spacing w:line="600" w:lineRule="exact"/>
        <w:ind w:firstLine="560" w:firstLineChars="200"/>
        <w:rPr>
          <w:rFonts w:ascii="宋体" w:hAnsi="宋体"/>
          <w:b w:val="0"/>
          <w:sz w:val="28"/>
          <w:szCs w:val="28"/>
        </w:rPr>
      </w:pPr>
      <w:r>
        <w:rPr>
          <w:rFonts w:hint="eastAsia" w:ascii="宋体" w:hAnsi="宋体"/>
          <w:b w:val="0"/>
          <w:sz w:val="28"/>
          <w:szCs w:val="28"/>
        </w:rPr>
        <w:t>场地排水主要为雨水，拟采用明沟，依据地势，由高向低呈散形排放。有药废水经沉淀后拟采用暗管，经三级沉淀后排进污水处理池，管道应地埋，并保持畅通。</w:t>
      </w:r>
    </w:p>
    <w:p w14:paraId="23D0E1D3">
      <w:pPr>
        <w:pStyle w:val="5"/>
        <w:spacing w:line="600" w:lineRule="exact"/>
        <w:rPr>
          <w:rFonts w:ascii="黑体" w:hAnsi="宋体" w:eastAsia="黑体"/>
          <w:b w:val="0"/>
          <w:bCs w:val="0"/>
          <w:snapToGrid w:val="0"/>
          <w:sz w:val="30"/>
          <w:szCs w:val="30"/>
        </w:rPr>
      </w:pPr>
      <w:r>
        <w:rPr>
          <w:rFonts w:hint="eastAsia" w:ascii="黑体" w:hAnsi="宋体" w:eastAsia="黑体"/>
          <w:b w:val="0"/>
          <w:bCs w:val="0"/>
          <w:snapToGrid w:val="0"/>
          <w:sz w:val="30"/>
          <w:szCs w:val="30"/>
        </w:rPr>
        <w:t>2.9.2</w:t>
      </w:r>
      <w:bookmarkEnd w:id="152"/>
      <w:bookmarkEnd w:id="153"/>
      <w:bookmarkEnd w:id="154"/>
      <w:bookmarkEnd w:id="155"/>
      <w:bookmarkEnd w:id="156"/>
      <w:r>
        <w:rPr>
          <w:rFonts w:hint="eastAsia" w:ascii="黑体" w:hAnsi="宋体" w:eastAsia="黑体"/>
          <w:b w:val="0"/>
          <w:bCs w:val="0"/>
          <w:snapToGrid w:val="0"/>
          <w:sz w:val="30"/>
          <w:szCs w:val="30"/>
        </w:rPr>
        <w:t>供配电</w:t>
      </w:r>
    </w:p>
    <w:p w14:paraId="23389D1C">
      <w:pPr>
        <w:adjustRightInd w:val="0"/>
        <w:snapToGrid w:val="0"/>
        <w:spacing w:line="600" w:lineRule="exact"/>
        <w:ind w:firstLine="560" w:firstLineChars="200"/>
        <w:rPr>
          <w:rFonts w:ascii="宋体" w:hAnsi="宋体" w:cs="Arial"/>
          <w:b w:val="0"/>
          <w:sz w:val="28"/>
        </w:rPr>
      </w:pPr>
      <w:r>
        <w:rPr>
          <w:rFonts w:hint="eastAsia" w:ascii="宋体" w:hAnsi="宋体"/>
          <w:b w:val="0"/>
          <w:snapToGrid w:val="0"/>
          <w:sz w:val="28"/>
          <w:szCs w:val="28"/>
        </w:rPr>
        <w:t>该企业厂</w:t>
      </w:r>
      <w:r>
        <w:rPr>
          <w:rFonts w:hint="eastAsia" w:ascii="宋体" w:hAnsi="宋体"/>
          <w:b w:val="0"/>
          <w:snapToGrid w:val="0"/>
          <w:color w:val="000000" w:themeColor="text1"/>
          <w:sz w:val="28"/>
          <w:szCs w:val="28"/>
          <w14:textFill>
            <w14:solidFill>
              <w14:schemeClr w14:val="tx1"/>
            </w14:solidFill>
          </w14:textFill>
        </w:rPr>
        <w:t>内设配电间，</w:t>
      </w:r>
      <w:r>
        <w:rPr>
          <w:rFonts w:hint="eastAsia" w:ascii="宋体" w:hAnsi="宋体"/>
          <w:b w:val="0"/>
          <w:snapToGrid w:val="0"/>
          <w:sz w:val="28"/>
          <w:szCs w:val="28"/>
        </w:rPr>
        <w:t>以380/220V回路为供电电源，负荷等级为三级负荷，电气线路由当地供电所设置安装，未存在私搭乱建行为；厂范围内的道路照明、无药工序的生产用电、粉碎、机械药混合、装药/压药、电焙房/散热等工序的生产用电、部分1.3级工房的照明等。粉碎、机械药混合、装药/压药、电焙房/散热进户线在远离工房处换接电缆地埋至工房，进工房后穿钢管安装；部分1.3级工房的选用防爆型照明设施。</w:t>
      </w:r>
    </w:p>
    <w:p w14:paraId="605A31B3">
      <w:pPr>
        <w:pStyle w:val="5"/>
        <w:spacing w:line="600" w:lineRule="exact"/>
        <w:rPr>
          <w:rFonts w:ascii="黑体" w:hAnsi="宋体" w:eastAsia="黑体"/>
          <w:b w:val="0"/>
          <w:bCs w:val="0"/>
          <w:snapToGrid w:val="0"/>
          <w:sz w:val="30"/>
          <w:szCs w:val="30"/>
        </w:rPr>
      </w:pPr>
      <w:bookmarkStart w:id="157" w:name="_Toc300344400"/>
      <w:bookmarkStart w:id="158" w:name="_Toc300256203"/>
      <w:bookmarkStart w:id="159" w:name="_Toc300329578"/>
      <w:bookmarkStart w:id="160" w:name="_Toc165038786"/>
      <w:bookmarkStart w:id="161" w:name="_Toc278054192"/>
      <w:r>
        <w:rPr>
          <w:rFonts w:ascii="黑体" w:hAnsi="宋体" w:eastAsia="黑体"/>
          <w:b w:val="0"/>
          <w:bCs w:val="0"/>
          <w:snapToGrid w:val="0"/>
          <w:sz w:val="30"/>
          <w:szCs w:val="30"/>
        </w:rPr>
        <w:t>2.</w:t>
      </w:r>
      <w:r>
        <w:rPr>
          <w:rFonts w:hint="eastAsia" w:ascii="黑体" w:hAnsi="宋体" w:eastAsia="黑体"/>
          <w:b w:val="0"/>
          <w:bCs w:val="0"/>
          <w:snapToGrid w:val="0"/>
          <w:sz w:val="30"/>
          <w:szCs w:val="30"/>
        </w:rPr>
        <w:t>9</w:t>
      </w:r>
      <w:r>
        <w:rPr>
          <w:rFonts w:ascii="黑体" w:hAnsi="宋体" w:eastAsia="黑体"/>
          <w:b w:val="0"/>
          <w:bCs w:val="0"/>
          <w:snapToGrid w:val="0"/>
          <w:sz w:val="30"/>
          <w:szCs w:val="30"/>
        </w:rPr>
        <w:t>.</w:t>
      </w:r>
      <w:r>
        <w:rPr>
          <w:rFonts w:hint="eastAsia" w:ascii="黑体" w:hAnsi="宋体" w:eastAsia="黑体"/>
          <w:b w:val="0"/>
          <w:bCs w:val="0"/>
          <w:snapToGrid w:val="0"/>
          <w:sz w:val="30"/>
          <w:szCs w:val="30"/>
        </w:rPr>
        <w:t>3</w:t>
      </w:r>
      <w:bookmarkEnd w:id="157"/>
      <w:bookmarkEnd w:id="158"/>
      <w:bookmarkEnd w:id="159"/>
      <w:bookmarkEnd w:id="160"/>
      <w:bookmarkEnd w:id="161"/>
      <w:r>
        <w:rPr>
          <w:rFonts w:hint="eastAsia" w:ascii="黑体" w:hAnsi="宋体" w:eastAsia="黑体"/>
          <w:b w:val="0"/>
          <w:bCs w:val="0"/>
          <w:snapToGrid w:val="0"/>
          <w:sz w:val="30"/>
          <w:szCs w:val="30"/>
        </w:rPr>
        <w:t>道路运输</w:t>
      </w:r>
    </w:p>
    <w:p w14:paraId="1E38FC41">
      <w:pPr>
        <w:spacing w:line="600" w:lineRule="exact"/>
        <w:ind w:firstLine="560" w:firstLineChars="200"/>
        <w:rPr>
          <w:rFonts w:ascii="宋体" w:hAnsi="宋体"/>
          <w:bCs/>
          <w:sz w:val="28"/>
          <w:szCs w:val="28"/>
          <w:lang w:val="en-GB"/>
        </w:rPr>
      </w:pPr>
      <w:r>
        <w:rPr>
          <w:rFonts w:hint="eastAsia" w:ascii="宋体" w:hAnsi="宋体"/>
          <w:b w:val="0"/>
          <w:sz w:val="28"/>
          <w:szCs w:val="28"/>
          <w:lang w:val="en-GB"/>
        </w:rPr>
        <w:t>该项目内主要运输道路宽度约</w:t>
      </w:r>
      <w:r>
        <w:rPr>
          <w:rFonts w:hint="eastAsia" w:ascii="宋体" w:hAnsi="宋体"/>
          <w:b w:val="0"/>
          <w:sz w:val="28"/>
          <w:szCs w:val="28"/>
        </w:rPr>
        <w:t>4</w:t>
      </w:r>
      <w:r>
        <w:rPr>
          <w:rFonts w:hint="eastAsia" w:ascii="宋体" w:hAnsi="宋体"/>
          <w:b w:val="0"/>
          <w:sz w:val="28"/>
          <w:szCs w:val="28"/>
          <w:lang w:val="en-GB"/>
        </w:rPr>
        <w:t>m，为水泥路面，连通各生产工库房和仓库。库区内设置了</w:t>
      </w:r>
      <w:r>
        <w:rPr>
          <w:rFonts w:hint="eastAsia" w:ascii="宋体" w:hAnsi="宋体"/>
          <w:b w:val="0"/>
          <w:sz w:val="28"/>
          <w:szCs w:val="28"/>
        </w:rPr>
        <w:t>3</w:t>
      </w:r>
      <w:r>
        <w:rPr>
          <w:rFonts w:hint="eastAsia" w:ascii="宋体" w:hAnsi="宋体"/>
          <w:b w:val="0"/>
          <w:sz w:val="28"/>
          <w:szCs w:val="28"/>
          <w:lang w:val="en-GB"/>
        </w:rPr>
        <w:t>m宽的道路，在库房前设置回车场，可以满足消防车辆和货车通行和回车</w:t>
      </w:r>
      <w:r>
        <w:rPr>
          <w:rFonts w:hint="eastAsia" w:ascii="宋体" w:hAnsi="宋体"/>
          <w:bCs/>
          <w:sz w:val="28"/>
          <w:szCs w:val="28"/>
          <w:lang w:val="en-GB"/>
        </w:rPr>
        <w:t>。</w:t>
      </w:r>
    </w:p>
    <w:p w14:paraId="2A848761">
      <w:pPr>
        <w:pStyle w:val="5"/>
        <w:spacing w:line="600" w:lineRule="exact"/>
        <w:rPr>
          <w:rFonts w:ascii="黑体" w:hAnsi="黑体" w:eastAsia="黑体" w:cs="宋体"/>
          <w:b w:val="0"/>
          <w:bCs w:val="0"/>
          <w:szCs w:val="28"/>
        </w:rPr>
      </w:pPr>
      <w:bookmarkStart w:id="162" w:name="_Toc300256208"/>
      <w:bookmarkStart w:id="163" w:name="_Toc278054197"/>
      <w:bookmarkStart w:id="164" w:name="_Toc300329583"/>
      <w:bookmarkStart w:id="165" w:name="_Toc300344405"/>
      <w:r>
        <w:rPr>
          <w:rFonts w:hint="eastAsia" w:ascii="黑体" w:hAnsi="黑体" w:eastAsia="黑体" w:cs="宋体"/>
          <w:b w:val="0"/>
          <w:bCs w:val="0"/>
          <w:szCs w:val="28"/>
        </w:rPr>
        <w:t>2.9.</w:t>
      </w:r>
      <w:r>
        <w:rPr>
          <w:rFonts w:ascii="黑体" w:hAnsi="黑体" w:eastAsia="黑体" w:cs="宋体"/>
          <w:b w:val="0"/>
          <w:bCs w:val="0"/>
          <w:szCs w:val="28"/>
        </w:rPr>
        <w:t>4</w:t>
      </w:r>
      <w:r>
        <w:rPr>
          <w:rFonts w:hint="eastAsia" w:ascii="黑体" w:hAnsi="黑体" w:eastAsia="黑体" w:cs="宋体"/>
          <w:b w:val="0"/>
          <w:bCs w:val="0"/>
          <w:szCs w:val="28"/>
        </w:rPr>
        <w:t>防雷装置</w:t>
      </w:r>
    </w:p>
    <w:p w14:paraId="36E5118F">
      <w:pPr>
        <w:spacing w:line="600" w:lineRule="exact"/>
        <w:ind w:firstLine="560" w:firstLineChars="200"/>
        <w:rPr>
          <w:rFonts w:ascii="宋体" w:hAnsi="宋体" w:cs="宋体"/>
          <w:b w:val="0"/>
          <w:sz w:val="28"/>
          <w:szCs w:val="28"/>
        </w:rPr>
      </w:pPr>
      <w:r>
        <w:rPr>
          <w:rFonts w:hint="eastAsia" w:ascii="宋体" w:hAnsi="宋体"/>
          <w:b w:val="0"/>
          <w:sz w:val="28"/>
          <w:szCs w:val="28"/>
          <w:lang w:val="en-GB"/>
        </w:rPr>
        <w:t>本次</w:t>
      </w:r>
      <w:r>
        <w:rPr>
          <w:rFonts w:hint="eastAsia" w:ascii="宋体" w:hAnsi="宋体"/>
          <w:b w:val="0"/>
          <w:sz w:val="28"/>
          <w:szCs w:val="28"/>
        </w:rPr>
        <w:t>厂房升级改造项目</w:t>
      </w:r>
      <w:r>
        <w:rPr>
          <w:rFonts w:hint="eastAsia" w:ascii="宋体" w:hAnsi="宋体"/>
          <w:b w:val="0"/>
          <w:sz w:val="28"/>
          <w:szCs w:val="28"/>
          <w:lang w:val="en-GB"/>
        </w:rPr>
        <w:t>工</w:t>
      </w:r>
      <w:r>
        <w:rPr>
          <w:rFonts w:hint="eastAsia" w:ascii="宋体" w:hAnsi="宋体"/>
          <w:b w:val="0"/>
          <w:sz w:val="28"/>
          <w:szCs w:val="28"/>
        </w:rPr>
        <w:t>库</w:t>
      </w:r>
      <w:r>
        <w:rPr>
          <w:rFonts w:hint="eastAsia" w:ascii="宋体" w:hAnsi="宋体"/>
          <w:b w:val="0"/>
          <w:sz w:val="28"/>
          <w:szCs w:val="28"/>
          <w:lang w:val="en-GB"/>
        </w:rPr>
        <w:t>房拟依据标准根据不同的防雷类别采取相应的防雷措施，防雷装置</w:t>
      </w:r>
      <w:r>
        <w:rPr>
          <w:rFonts w:hint="eastAsia" w:ascii="宋体" w:hAnsi="宋体"/>
          <w:b w:val="0"/>
          <w:sz w:val="28"/>
          <w:szCs w:val="28"/>
        </w:rPr>
        <w:t>拟</w:t>
      </w:r>
      <w:r>
        <w:rPr>
          <w:rFonts w:hint="eastAsia" w:ascii="宋体" w:hAnsi="宋体"/>
          <w:b w:val="0"/>
          <w:sz w:val="28"/>
          <w:szCs w:val="28"/>
          <w:lang w:val="en-GB"/>
        </w:rPr>
        <w:t>委托有</w:t>
      </w:r>
      <w:r>
        <w:rPr>
          <w:rFonts w:hint="eastAsia" w:ascii="宋体" w:hAnsi="宋体"/>
          <w:b w:val="0"/>
          <w:sz w:val="28"/>
          <w:szCs w:val="28"/>
        </w:rPr>
        <w:t>相关</w:t>
      </w:r>
      <w:r>
        <w:rPr>
          <w:rFonts w:hint="eastAsia" w:ascii="宋体" w:hAnsi="宋体"/>
          <w:b w:val="0"/>
          <w:sz w:val="28"/>
          <w:szCs w:val="28"/>
          <w:lang w:val="en-GB"/>
        </w:rPr>
        <w:t>资质的单位进行设计、安装和检测</w:t>
      </w:r>
      <w:r>
        <w:rPr>
          <w:rFonts w:ascii="宋体" w:hAnsi="宋体" w:cs="宋体"/>
          <w:b w:val="0"/>
          <w:sz w:val="28"/>
          <w:szCs w:val="28"/>
        </w:rPr>
        <w:t>。</w:t>
      </w:r>
    </w:p>
    <w:p w14:paraId="6E9F7799">
      <w:pPr>
        <w:pStyle w:val="5"/>
        <w:spacing w:line="600" w:lineRule="exact"/>
        <w:rPr>
          <w:rFonts w:ascii="黑体" w:hAnsi="黑体" w:eastAsia="黑体" w:cs="宋体"/>
          <w:b w:val="0"/>
          <w:bCs w:val="0"/>
          <w:szCs w:val="28"/>
        </w:rPr>
      </w:pPr>
      <w:r>
        <w:rPr>
          <w:rFonts w:hint="eastAsia" w:ascii="黑体" w:hAnsi="黑体" w:eastAsia="黑体" w:cs="宋体"/>
          <w:b w:val="0"/>
          <w:bCs w:val="0"/>
          <w:szCs w:val="28"/>
        </w:rPr>
        <w:t>2.9.</w:t>
      </w:r>
      <w:r>
        <w:rPr>
          <w:rFonts w:ascii="黑体" w:hAnsi="黑体" w:eastAsia="黑体" w:cs="宋体"/>
          <w:b w:val="0"/>
          <w:bCs w:val="0"/>
          <w:szCs w:val="28"/>
        </w:rPr>
        <w:t>5</w:t>
      </w:r>
      <w:r>
        <w:rPr>
          <w:rFonts w:hint="eastAsia" w:ascii="黑体" w:hAnsi="黑体" w:eastAsia="黑体" w:cs="宋体"/>
          <w:b w:val="0"/>
          <w:bCs w:val="0"/>
          <w:szCs w:val="28"/>
        </w:rPr>
        <w:t>导人体静电装置</w:t>
      </w:r>
    </w:p>
    <w:p w14:paraId="5013D6FE">
      <w:pPr>
        <w:spacing w:line="600" w:lineRule="exact"/>
        <w:ind w:firstLine="560" w:firstLineChars="200"/>
        <w:rPr>
          <w:rFonts w:ascii="宋体" w:hAnsi="宋体"/>
          <w:b w:val="0"/>
          <w:bCs/>
          <w:sz w:val="28"/>
          <w:szCs w:val="28"/>
          <w:lang w:val="en-GB"/>
        </w:rPr>
      </w:pPr>
      <w:r>
        <w:rPr>
          <w:rFonts w:hint="eastAsia" w:ascii="宋体" w:hAnsi="宋体"/>
          <w:b w:val="0"/>
          <w:bCs/>
          <w:sz w:val="28"/>
          <w:szCs w:val="28"/>
        </w:rPr>
        <w:t>该项目拟</w:t>
      </w:r>
      <w:r>
        <w:rPr>
          <w:rFonts w:hint="eastAsia" w:ascii="宋体" w:hAnsi="宋体"/>
          <w:b w:val="0"/>
          <w:bCs/>
          <w:sz w:val="28"/>
          <w:szCs w:val="28"/>
          <w:lang w:val="en-GB"/>
        </w:rPr>
        <w:t>在危险品工</w:t>
      </w:r>
      <w:r>
        <w:rPr>
          <w:rFonts w:hint="eastAsia" w:ascii="宋体" w:hAnsi="宋体"/>
          <w:b w:val="0"/>
          <w:bCs/>
          <w:sz w:val="28"/>
          <w:szCs w:val="28"/>
        </w:rPr>
        <w:t>库</w:t>
      </w:r>
      <w:r>
        <w:rPr>
          <w:rFonts w:hint="eastAsia" w:ascii="宋体" w:hAnsi="宋体"/>
          <w:b w:val="0"/>
          <w:bCs/>
          <w:sz w:val="28"/>
          <w:szCs w:val="28"/>
          <w:lang w:val="en-GB"/>
        </w:rPr>
        <w:t>房的出入口安装导静电装置，</w:t>
      </w:r>
      <w:r>
        <w:rPr>
          <w:rFonts w:ascii="宋体" w:hAnsi="宋体"/>
          <w:b w:val="0"/>
          <w:bCs/>
          <w:sz w:val="28"/>
          <w:szCs w:val="28"/>
          <w:lang w:bidi="ar"/>
        </w:rPr>
        <w:t>1.1</w:t>
      </w:r>
      <w:r>
        <w:rPr>
          <w:rFonts w:hint="eastAsia" w:ascii="宋体" w:hAnsi="宋体"/>
          <w:b w:val="0"/>
          <w:bCs/>
          <w:sz w:val="28"/>
          <w:szCs w:val="28"/>
          <w:lang w:bidi="ar"/>
        </w:rPr>
        <w:t>级工房拟采用导静电地面、工作台面，防静电工作台面拟采用铺设防静电</w:t>
      </w:r>
      <w:bookmarkStart w:id="166" w:name="OLE_LINK144"/>
      <w:bookmarkStart w:id="167" w:name="OLE_LINK196"/>
      <w:r>
        <w:rPr>
          <w:rFonts w:hint="eastAsia" w:ascii="宋体" w:hAnsi="宋体"/>
          <w:b w:val="0"/>
          <w:bCs/>
          <w:sz w:val="28"/>
          <w:szCs w:val="28"/>
          <w:lang w:bidi="ar"/>
        </w:rPr>
        <w:t>橡胶</w:t>
      </w:r>
      <w:bookmarkEnd w:id="166"/>
      <w:bookmarkEnd w:id="167"/>
      <w:r>
        <w:rPr>
          <w:rFonts w:hint="eastAsia" w:ascii="宋体" w:hAnsi="宋体"/>
          <w:b w:val="0"/>
          <w:bCs/>
          <w:sz w:val="28"/>
          <w:szCs w:val="28"/>
          <w:lang w:bidi="ar"/>
        </w:rPr>
        <w:t>板方式，防静电地面拟采用环氧树脂（或聚氨酯）自流平涂料地面，自流平涂料面下方应设静电接地网（带），或防静电地面采用铺设防静电橡胶板方式</w:t>
      </w:r>
      <w:r>
        <w:rPr>
          <w:rFonts w:hint="eastAsia" w:ascii="宋体" w:hAnsi="宋体"/>
          <w:b w:val="0"/>
          <w:bCs/>
          <w:sz w:val="28"/>
          <w:szCs w:val="28"/>
          <w:lang w:val="en-GB"/>
        </w:rPr>
        <w:t>。导静电装置的设置形式、接地方式等由设计单位确定。</w:t>
      </w:r>
    </w:p>
    <w:p w14:paraId="78ABC134">
      <w:pPr>
        <w:pStyle w:val="5"/>
        <w:spacing w:line="600" w:lineRule="exact"/>
        <w:rPr>
          <w:rFonts w:ascii="黑体" w:hAnsi="黑体" w:eastAsia="黑体" w:cs="宋体"/>
          <w:b w:val="0"/>
          <w:bCs w:val="0"/>
          <w:szCs w:val="28"/>
        </w:rPr>
      </w:pPr>
      <w:r>
        <w:rPr>
          <w:rFonts w:hint="eastAsia" w:ascii="黑体" w:hAnsi="黑体" w:eastAsia="黑体" w:cs="宋体"/>
          <w:b w:val="0"/>
          <w:bCs w:val="0"/>
          <w:szCs w:val="28"/>
        </w:rPr>
        <w:t>2.9.</w:t>
      </w:r>
      <w:r>
        <w:rPr>
          <w:rFonts w:ascii="黑体" w:hAnsi="黑体" w:eastAsia="黑体" w:cs="宋体"/>
          <w:b w:val="0"/>
          <w:bCs w:val="0"/>
          <w:szCs w:val="28"/>
        </w:rPr>
        <w:t>6</w:t>
      </w:r>
      <w:r>
        <w:rPr>
          <w:rFonts w:hint="eastAsia" w:ascii="黑体" w:hAnsi="黑体" w:eastAsia="黑体" w:cs="宋体"/>
          <w:b w:val="0"/>
          <w:bCs w:val="0"/>
          <w:szCs w:val="28"/>
        </w:rPr>
        <w:t>风险预警和防控系统</w:t>
      </w:r>
    </w:p>
    <w:p w14:paraId="236F0E0B">
      <w:pPr>
        <w:spacing w:line="600" w:lineRule="exact"/>
        <w:ind w:firstLine="560" w:firstLineChars="200"/>
        <w:rPr>
          <w:rFonts w:ascii="宋体" w:hAnsi="宋体"/>
          <w:b w:val="0"/>
          <w:bCs/>
          <w:sz w:val="28"/>
          <w:szCs w:val="28"/>
          <w:lang w:val="en-GB"/>
        </w:rPr>
      </w:pPr>
      <w:r>
        <w:rPr>
          <w:rFonts w:hint="eastAsia" w:ascii="宋体" w:hAnsi="宋体"/>
          <w:b w:val="0"/>
          <w:bCs/>
          <w:sz w:val="28"/>
          <w:szCs w:val="28"/>
        </w:rPr>
        <w:t>该项目拟</w:t>
      </w:r>
      <w:r>
        <w:rPr>
          <w:rFonts w:hint="eastAsia" w:ascii="宋体" w:hAnsi="宋体"/>
          <w:b w:val="0"/>
          <w:bCs/>
          <w:sz w:val="28"/>
          <w:szCs w:val="28"/>
          <w:lang w:val="en-GB"/>
        </w:rPr>
        <w:t>按照《烟花</w:t>
      </w:r>
      <w:r>
        <w:rPr>
          <w:rFonts w:hint="eastAsia" w:ascii="宋体" w:hAnsi="宋体" w:cs="宋体"/>
          <w:b w:val="0"/>
          <w:bCs/>
          <w:sz w:val="28"/>
          <w:szCs w:val="28"/>
          <w:lang w:val="en-GB"/>
        </w:rPr>
        <w:t>爆竹企业安全监控系统通用技术条件》（AQ4101</w:t>
      </w:r>
      <w:r>
        <w:rPr>
          <w:rFonts w:hint="eastAsia" w:ascii="宋体" w:hAnsi="宋体" w:cs="宋体"/>
          <w:b w:val="0"/>
          <w:bCs/>
          <w:sz w:val="28"/>
          <w:szCs w:val="28"/>
        </w:rPr>
        <w:t>-2008</w:t>
      </w:r>
      <w:r>
        <w:rPr>
          <w:rFonts w:hint="eastAsia" w:ascii="宋体" w:hAnsi="宋体" w:cs="宋体"/>
          <w:b w:val="0"/>
          <w:bCs/>
          <w:sz w:val="28"/>
          <w:szCs w:val="28"/>
          <w:lang w:val="en-GB"/>
        </w:rPr>
        <w:t>）</w:t>
      </w:r>
      <w:r>
        <w:rPr>
          <w:rFonts w:hint="eastAsia" w:ascii="宋体" w:hAnsi="宋体" w:cs="宋体"/>
          <w:b w:val="0"/>
          <w:bCs/>
          <w:sz w:val="28"/>
          <w:szCs w:val="28"/>
        </w:rPr>
        <w:t>在原</w:t>
      </w:r>
      <w:r>
        <w:rPr>
          <w:rFonts w:hint="eastAsia" w:ascii="宋体" w:hAnsi="宋体"/>
          <w:b w:val="0"/>
          <w:bCs/>
          <w:sz w:val="28"/>
          <w:szCs w:val="28"/>
        </w:rPr>
        <w:t>有的基础上</w:t>
      </w:r>
      <w:r>
        <w:rPr>
          <w:rFonts w:hint="eastAsia" w:ascii="宋体" w:hAnsi="宋体"/>
          <w:b w:val="0"/>
          <w:bCs/>
          <w:sz w:val="28"/>
          <w:szCs w:val="28"/>
          <w:lang w:val="en-GB"/>
        </w:rPr>
        <w:t>根据新、</w:t>
      </w:r>
      <w:r>
        <w:rPr>
          <w:rFonts w:hint="eastAsia" w:ascii="宋体" w:hAnsi="宋体"/>
          <w:b w:val="0"/>
          <w:bCs/>
          <w:sz w:val="28"/>
          <w:szCs w:val="28"/>
        </w:rPr>
        <w:t>改</w:t>
      </w:r>
      <w:r>
        <w:rPr>
          <w:rFonts w:hint="eastAsia" w:ascii="宋体" w:hAnsi="宋体"/>
          <w:b w:val="0"/>
          <w:bCs/>
          <w:sz w:val="28"/>
          <w:szCs w:val="28"/>
          <w:lang w:val="en-GB"/>
        </w:rPr>
        <w:t>建工</w:t>
      </w:r>
      <w:r>
        <w:rPr>
          <w:rFonts w:hint="eastAsia" w:ascii="宋体" w:hAnsi="宋体"/>
          <w:b w:val="0"/>
          <w:bCs/>
          <w:sz w:val="28"/>
          <w:szCs w:val="28"/>
        </w:rPr>
        <w:t>库</w:t>
      </w:r>
      <w:r>
        <w:rPr>
          <w:rFonts w:hint="eastAsia" w:ascii="宋体" w:hAnsi="宋体"/>
          <w:b w:val="0"/>
          <w:bCs/>
          <w:sz w:val="28"/>
          <w:szCs w:val="28"/>
          <w:lang w:val="en-GB"/>
        </w:rPr>
        <w:t>房相应调整</w:t>
      </w:r>
      <w:r>
        <w:rPr>
          <w:rFonts w:hint="eastAsia" w:ascii="宋体" w:hAnsi="宋体"/>
          <w:b w:val="0"/>
          <w:bCs/>
          <w:sz w:val="28"/>
          <w:szCs w:val="28"/>
        </w:rPr>
        <w:t>或</w:t>
      </w:r>
      <w:r>
        <w:rPr>
          <w:rFonts w:hint="eastAsia" w:ascii="宋体" w:hAnsi="宋体"/>
          <w:b w:val="0"/>
          <w:bCs/>
          <w:sz w:val="28"/>
          <w:szCs w:val="28"/>
          <w:lang w:val="en-GB"/>
        </w:rPr>
        <w:t>安装视频监控及广播系统。主机设在</w:t>
      </w:r>
      <w:r>
        <w:rPr>
          <w:rFonts w:hint="eastAsia" w:ascii="宋体" w:hAnsi="宋体"/>
          <w:b w:val="0"/>
          <w:bCs/>
          <w:sz w:val="28"/>
          <w:szCs w:val="28"/>
        </w:rPr>
        <w:t>2#办公/生活区内</w:t>
      </w:r>
      <w:r>
        <w:rPr>
          <w:rFonts w:hint="eastAsia" w:ascii="宋体" w:hAnsi="宋体"/>
          <w:b w:val="0"/>
          <w:bCs/>
          <w:sz w:val="28"/>
          <w:szCs w:val="28"/>
          <w:lang w:val="en-GB"/>
        </w:rPr>
        <w:t>，在值班室配置固定电话。</w:t>
      </w:r>
      <w:r>
        <w:rPr>
          <w:rFonts w:hint="eastAsia" w:ascii="宋体" w:hAnsi="宋体"/>
          <w:b w:val="0"/>
          <w:bCs/>
          <w:sz w:val="28"/>
          <w:szCs w:val="28"/>
        </w:rPr>
        <w:t>该项目拟</w:t>
      </w:r>
      <w:r>
        <w:rPr>
          <w:rFonts w:hint="eastAsia" w:ascii="宋体" w:hAnsi="宋体"/>
          <w:b w:val="0"/>
          <w:bCs/>
          <w:sz w:val="28"/>
          <w:szCs w:val="28"/>
          <w:lang w:val="en-GB"/>
        </w:rPr>
        <w:t>在新、</w:t>
      </w:r>
      <w:r>
        <w:rPr>
          <w:rFonts w:hint="eastAsia" w:ascii="宋体" w:hAnsi="宋体"/>
          <w:b w:val="0"/>
          <w:bCs/>
          <w:sz w:val="28"/>
          <w:szCs w:val="28"/>
        </w:rPr>
        <w:t>改</w:t>
      </w:r>
      <w:r>
        <w:rPr>
          <w:rFonts w:hint="eastAsia" w:ascii="宋体" w:hAnsi="宋体"/>
          <w:b w:val="0"/>
          <w:bCs/>
          <w:sz w:val="28"/>
          <w:szCs w:val="28"/>
          <w:lang w:val="en-GB"/>
        </w:rPr>
        <w:t>建工</w:t>
      </w:r>
      <w:r>
        <w:rPr>
          <w:rFonts w:hint="eastAsia" w:ascii="宋体" w:hAnsi="宋体"/>
          <w:b w:val="0"/>
          <w:bCs/>
          <w:sz w:val="28"/>
          <w:szCs w:val="28"/>
        </w:rPr>
        <w:t>库</w:t>
      </w:r>
      <w:r>
        <w:rPr>
          <w:rFonts w:hint="eastAsia" w:ascii="宋体" w:hAnsi="宋体"/>
          <w:b w:val="0"/>
          <w:bCs/>
          <w:sz w:val="28"/>
          <w:szCs w:val="28"/>
          <w:lang w:val="en-GB"/>
        </w:rPr>
        <w:t>房安装烟花爆竹风险预警系统。</w:t>
      </w:r>
    </w:p>
    <w:p w14:paraId="59A4CF37">
      <w:pPr>
        <w:keepNext/>
        <w:snapToGrid w:val="0"/>
        <w:spacing w:before="120" w:beforeLines="50" w:line="600" w:lineRule="exact"/>
        <w:outlineLvl w:val="1"/>
        <w:rPr>
          <w:rFonts w:ascii="黑体" w:hAnsi="黑体" w:eastAsia="黑体" w:cs="楷体"/>
          <w:b w:val="0"/>
          <w:sz w:val="30"/>
          <w:szCs w:val="30"/>
        </w:rPr>
      </w:pPr>
      <w:bookmarkStart w:id="168" w:name="_Toc124539509"/>
      <w:bookmarkStart w:id="169" w:name="_Toc65855298"/>
      <w:bookmarkStart w:id="170" w:name="_Toc29412"/>
      <w:bookmarkStart w:id="171" w:name="_Toc7220"/>
      <w:bookmarkStart w:id="172" w:name="_Toc28356"/>
      <w:r>
        <w:rPr>
          <w:rFonts w:hint="eastAsia" w:ascii="黑体" w:hAnsi="黑体" w:eastAsia="黑体" w:cs="楷体"/>
          <w:b w:val="0"/>
          <w:sz w:val="30"/>
          <w:szCs w:val="30"/>
        </w:rPr>
        <w:t>2.</w:t>
      </w:r>
      <w:bookmarkEnd w:id="168"/>
      <w:bookmarkEnd w:id="169"/>
      <w:bookmarkEnd w:id="170"/>
      <w:bookmarkEnd w:id="171"/>
      <w:r>
        <w:rPr>
          <w:rFonts w:hint="eastAsia" w:ascii="黑体" w:hAnsi="黑体" w:eastAsia="黑体" w:cs="楷体"/>
          <w:b w:val="0"/>
          <w:sz w:val="30"/>
          <w:szCs w:val="30"/>
        </w:rPr>
        <w:t>10企业安全管理情况</w:t>
      </w:r>
      <w:bookmarkEnd w:id="172"/>
    </w:p>
    <w:p w14:paraId="3303D3AE">
      <w:pPr>
        <w:pStyle w:val="5"/>
        <w:spacing w:line="600" w:lineRule="exact"/>
        <w:rPr>
          <w:rFonts w:ascii="黑体" w:hAnsi="黑体" w:eastAsia="黑体" w:cs="宋体"/>
          <w:b w:val="0"/>
          <w:bCs w:val="0"/>
          <w:szCs w:val="28"/>
        </w:rPr>
      </w:pPr>
      <w:bookmarkStart w:id="173" w:name="_Toc65855299"/>
      <w:r>
        <w:rPr>
          <w:rFonts w:hint="eastAsia" w:ascii="黑体" w:hAnsi="黑体" w:eastAsia="黑体" w:cs="宋体"/>
          <w:b w:val="0"/>
          <w:bCs w:val="0"/>
          <w:szCs w:val="28"/>
        </w:rPr>
        <w:t>2.10.</w:t>
      </w:r>
      <w:r>
        <w:rPr>
          <w:rFonts w:ascii="黑体" w:hAnsi="黑体" w:eastAsia="黑体" w:cs="宋体"/>
          <w:b w:val="0"/>
          <w:bCs w:val="0"/>
          <w:szCs w:val="28"/>
        </w:rPr>
        <w:t>1</w:t>
      </w:r>
      <w:r>
        <w:rPr>
          <w:rFonts w:hint="eastAsia" w:ascii="黑体" w:hAnsi="黑体" w:eastAsia="黑体" w:cs="宋体"/>
          <w:b w:val="0"/>
          <w:bCs w:val="0"/>
          <w:szCs w:val="28"/>
        </w:rPr>
        <w:t>安全管理组织</w:t>
      </w:r>
    </w:p>
    <w:p w14:paraId="7153E4CE">
      <w:pPr>
        <w:spacing w:line="600" w:lineRule="exact"/>
        <w:ind w:firstLine="560" w:firstLineChars="200"/>
        <w:rPr>
          <w:rFonts w:ascii="宋体" w:hAnsi="宋体" w:cs="宋体"/>
          <w:b w:val="0"/>
          <w:sz w:val="28"/>
          <w:szCs w:val="28"/>
        </w:rPr>
      </w:pPr>
      <w:r>
        <w:rPr>
          <w:rFonts w:hint="eastAsia" w:ascii="宋体" w:hAnsi="宋体"/>
          <w:b w:val="0"/>
          <w:sz w:val="28"/>
          <w:szCs w:val="28"/>
          <w:lang w:val="en-GB"/>
        </w:rPr>
        <w:t>该企业已建立安全生产组织机构及其安全生产网络，建立产品质量检验和应急救援组织机构，各部门负责人即是生产负责人同时也是安全生产责任人。企业实行负责人制</w:t>
      </w:r>
      <w:r>
        <w:rPr>
          <w:rFonts w:ascii="宋体" w:hAnsi="宋体" w:cs="宋体"/>
          <w:b w:val="0"/>
          <w:sz w:val="28"/>
          <w:szCs w:val="28"/>
        </w:rPr>
        <w:t>。</w:t>
      </w:r>
    </w:p>
    <w:p w14:paraId="70F6C141">
      <w:pPr>
        <w:pStyle w:val="5"/>
        <w:spacing w:line="600" w:lineRule="exact"/>
        <w:rPr>
          <w:rFonts w:ascii="黑体" w:hAnsi="黑体" w:eastAsia="黑体" w:cs="宋体"/>
          <w:b w:val="0"/>
          <w:bCs w:val="0"/>
          <w:szCs w:val="28"/>
        </w:rPr>
      </w:pPr>
      <w:r>
        <w:rPr>
          <w:rFonts w:hint="eastAsia" w:ascii="黑体" w:hAnsi="黑体" w:eastAsia="黑体" w:cs="宋体"/>
          <w:b w:val="0"/>
          <w:bCs w:val="0"/>
          <w:szCs w:val="28"/>
        </w:rPr>
        <w:t>2.10.</w:t>
      </w:r>
      <w:r>
        <w:rPr>
          <w:rFonts w:ascii="黑体" w:hAnsi="黑体" w:eastAsia="黑体" w:cs="宋体"/>
          <w:b w:val="0"/>
          <w:bCs w:val="0"/>
          <w:szCs w:val="28"/>
        </w:rPr>
        <w:t>2</w:t>
      </w:r>
      <w:r>
        <w:rPr>
          <w:rFonts w:hint="eastAsia" w:ascii="黑体" w:hAnsi="黑体" w:eastAsia="黑体" w:cs="宋体"/>
          <w:b w:val="0"/>
          <w:bCs w:val="0"/>
          <w:szCs w:val="28"/>
        </w:rPr>
        <w:t>教育与培训及工伤保险</w:t>
      </w:r>
    </w:p>
    <w:p w14:paraId="163FE474">
      <w:pPr>
        <w:spacing w:line="600" w:lineRule="exact"/>
        <w:ind w:firstLine="560" w:firstLineChars="200"/>
        <w:rPr>
          <w:rFonts w:ascii="宋体" w:hAnsi="宋体"/>
          <w:b w:val="0"/>
          <w:sz w:val="28"/>
          <w:szCs w:val="28"/>
          <w:lang w:val="en-GB"/>
        </w:rPr>
      </w:pPr>
      <w:r>
        <w:rPr>
          <w:rFonts w:hint="eastAsia" w:ascii="宋体" w:hAnsi="宋体"/>
          <w:b w:val="0"/>
          <w:sz w:val="28"/>
          <w:szCs w:val="28"/>
          <w:lang w:val="en-GB"/>
        </w:rPr>
        <w:t>该企业主要负责人、分管安全生产负责人和专职安全生产管理人员均经相关部门培训考核合格并取得安全资格证书；特种作业人员经过相关职能部门培训，并持证上岗；其它危险工序作业人员都必须参加相关专业中介机构的安全培训，无药工序作业人员通过本厂组织的三级培训教育后上岗。该企业根据相关规定为从业人员购买工伤保险。</w:t>
      </w:r>
    </w:p>
    <w:p w14:paraId="45C61596">
      <w:pPr>
        <w:pStyle w:val="5"/>
        <w:spacing w:line="600" w:lineRule="exact"/>
        <w:rPr>
          <w:rFonts w:ascii="黑体" w:hAnsi="黑体" w:eastAsia="黑体" w:cs="宋体"/>
          <w:b w:val="0"/>
          <w:bCs w:val="0"/>
          <w:szCs w:val="28"/>
        </w:rPr>
      </w:pPr>
      <w:r>
        <w:rPr>
          <w:rFonts w:hint="eastAsia" w:ascii="黑体" w:hAnsi="黑体" w:eastAsia="黑体" w:cs="宋体"/>
          <w:b w:val="0"/>
          <w:bCs w:val="0"/>
          <w:szCs w:val="28"/>
        </w:rPr>
        <w:t>2.10.</w:t>
      </w:r>
      <w:r>
        <w:rPr>
          <w:rFonts w:ascii="黑体" w:hAnsi="黑体" w:eastAsia="黑体" w:cs="宋体"/>
          <w:b w:val="0"/>
          <w:bCs w:val="0"/>
          <w:szCs w:val="28"/>
        </w:rPr>
        <w:t>3</w:t>
      </w:r>
      <w:r>
        <w:rPr>
          <w:rFonts w:hint="eastAsia" w:ascii="黑体" w:hAnsi="黑体" w:eastAsia="黑体" w:cs="宋体"/>
          <w:b w:val="0"/>
          <w:bCs w:val="0"/>
          <w:szCs w:val="28"/>
        </w:rPr>
        <w:t>安全生产责任制、安全管理制度、安全操作规程和应急预案</w:t>
      </w:r>
    </w:p>
    <w:p w14:paraId="7B285A91">
      <w:pPr>
        <w:pStyle w:val="28"/>
        <w:spacing w:line="600" w:lineRule="exact"/>
        <w:ind w:firstLine="560" w:firstLineChars="200"/>
        <w:jc w:val="both"/>
        <w:rPr>
          <w:rFonts w:ascii="宋体" w:hAnsi="宋体" w:eastAsia="宋体"/>
          <w:b w:val="0"/>
          <w:bCs/>
          <w:sz w:val="28"/>
          <w:szCs w:val="28"/>
          <w:lang w:val="en-GB"/>
        </w:rPr>
      </w:pPr>
      <w:r>
        <w:rPr>
          <w:rFonts w:hint="eastAsia" w:ascii="宋体" w:hAnsi="宋体" w:eastAsia="宋体"/>
          <w:b w:val="0"/>
          <w:bCs/>
          <w:sz w:val="28"/>
          <w:szCs w:val="28"/>
          <w:lang w:val="en-GB"/>
        </w:rPr>
        <w:t>该企业根据《中华人民共和国安全生产法》、《烟花爆竹安全管理条例》、《烟花爆竹生产企业安全生产许可证实施办法》、《烟花爆竹作业安全技术规程》等有关法律法规的要求，已建立健全了各项安全生产责任制、各项安全管理制度、各岗位相应的安全操作规程，其制定的各项安全生产责任制、安全管理制度、安全操作规程与本企业烟花爆竹经营相适应，内容具体全面，并能适用于企业的安全管理。</w:t>
      </w:r>
    </w:p>
    <w:p w14:paraId="51FC00DA">
      <w:pPr>
        <w:spacing w:line="600" w:lineRule="exact"/>
        <w:ind w:firstLine="560" w:firstLineChars="200"/>
        <w:rPr>
          <w:rFonts w:ascii="宋体" w:hAnsi="宋体" w:cs="宋体"/>
          <w:b w:val="0"/>
          <w:bCs/>
          <w:sz w:val="28"/>
          <w:szCs w:val="28"/>
          <w:lang w:val="en-GB"/>
        </w:rPr>
      </w:pPr>
      <w:r>
        <w:rPr>
          <w:rFonts w:hint="eastAsia" w:ascii="宋体" w:hAnsi="宋体" w:cs="宋体"/>
          <w:b w:val="0"/>
          <w:bCs/>
          <w:sz w:val="28"/>
          <w:szCs w:val="28"/>
          <w:lang w:val="en-GB"/>
        </w:rPr>
        <w:t>1）安全生产责任制、安全管理制度、安全操作规程</w:t>
      </w:r>
    </w:p>
    <w:p w14:paraId="25947CED">
      <w:pPr>
        <w:pStyle w:val="28"/>
        <w:spacing w:line="600" w:lineRule="exact"/>
        <w:ind w:firstLine="560" w:firstLineChars="200"/>
        <w:jc w:val="both"/>
        <w:rPr>
          <w:rFonts w:ascii="宋体" w:hAnsi="宋体" w:eastAsia="宋体"/>
          <w:b w:val="0"/>
          <w:bCs/>
          <w:sz w:val="28"/>
          <w:szCs w:val="28"/>
          <w:lang w:val="en-GB"/>
        </w:rPr>
      </w:pPr>
      <w:r>
        <w:rPr>
          <w:rFonts w:hint="eastAsia" w:ascii="宋体" w:hAnsi="宋体" w:eastAsia="宋体"/>
          <w:b w:val="0"/>
          <w:bCs/>
          <w:sz w:val="28"/>
          <w:szCs w:val="28"/>
          <w:lang w:val="en-GB"/>
        </w:rPr>
        <w:t>（1）已制定以下安全管理制度：《药物存储管理、领取管理和余（废）药处理制度》、《企业负责人及涉裸药生产线负责人值（带）班制度》、《特种作业人员管理制度》、《从业人员安全教育培训制度》、《安全检查和隐患排查治理制度》、《产品购销合同和销售流向登记管理制度》、《新产品、新药物研发管理制度》、《安全设施设备维护管理制度》、《原材料购买、检验、储存及使用管理制度》、《药物运输管理制度》、《易制爆化学品安全储存管理制度》、《职工考勤及外来人员（车辆）出入厂（库）区管理制度》、《厂（库）区门卫值班（守卫）制度》、《电瓶车使用安全管理制度》、《重大危险源（重点危险部位）监控管理制度》、《安全生产费用提取和使用制度》、《劳动防护用品配备、使用和管理制度》、《工作场所职业病危害防治制度》、《烟火药安全检测制度》、《动火作业审批制度》、《不合格产品的处置和跟踪制度》、《奖励与违规违章惩罚制度》、《职业卫生管理制度》、《安全生产例会制度》、《非正常情况下不得生产的规定》、《技术档案管理制度》、《工艺和技术管理制度》、《工（器）具管理制度》、《机械设备安装、维护和检修管理制度》、《安全用电管理制度》、《半成品储存、出入库管理制度》、《燃放试验管理制度》、《事故应急救援与演练制度》、《事故报告与调查处理制度》、《安全生产责任考核管理制度》、《安全生产奖惩制度》、《安全风险分级管控制度》等安全生产管理制度，制度内容具体、全面，责任应明确，符合国家有关法律、法规、标准的要求。其操作规程与企业生产的产品、所设的工序相适应，内容具体全面，并能适用于企业的安全管理。</w:t>
      </w:r>
    </w:p>
    <w:p w14:paraId="5E29B909">
      <w:pPr>
        <w:pStyle w:val="28"/>
        <w:spacing w:line="600" w:lineRule="exact"/>
        <w:ind w:firstLine="560" w:firstLineChars="200"/>
        <w:jc w:val="both"/>
        <w:rPr>
          <w:rFonts w:ascii="宋体" w:hAnsi="宋体" w:eastAsia="宋体"/>
          <w:b w:val="0"/>
          <w:bCs/>
          <w:sz w:val="28"/>
          <w:szCs w:val="28"/>
          <w:lang w:val="en-GB"/>
        </w:rPr>
      </w:pPr>
      <w:r>
        <w:rPr>
          <w:rFonts w:hint="eastAsia" w:ascii="宋体" w:hAnsi="宋体" w:eastAsia="宋体"/>
          <w:b w:val="0"/>
          <w:bCs/>
          <w:sz w:val="28"/>
          <w:szCs w:val="28"/>
        </w:rPr>
        <w:t>（2）已制定以下安全生产责任制：《各部门安全生产责任制》、</w:t>
      </w:r>
      <w:r>
        <w:rPr>
          <w:rFonts w:ascii="宋体" w:hAnsi="宋体" w:eastAsia="宋体"/>
          <w:b w:val="0"/>
          <w:bCs/>
          <w:sz w:val="28"/>
          <w:szCs w:val="28"/>
        </w:rPr>
        <w:t>《</w:t>
      </w:r>
      <w:r>
        <w:rPr>
          <w:rFonts w:hint="eastAsia" w:ascii="宋体" w:hAnsi="宋体" w:eastAsia="宋体"/>
          <w:b w:val="0"/>
          <w:bCs/>
          <w:sz w:val="28"/>
          <w:szCs w:val="28"/>
        </w:rPr>
        <w:t>主要负责人安全生产责任制》、</w:t>
      </w:r>
      <w:r>
        <w:rPr>
          <w:rFonts w:ascii="宋体" w:hAnsi="宋体" w:eastAsia="宋体"/>
          <w:b w:val="0"/>
          <w:bCs/>
          <w:sz w:val="28"/>
          <w:szCs w:val="28"/>
        </w:rPr>
        <w:t>《</w:t>
      </w:r>
      <w:r>
        <w:rPr>
          <w:rFonts w:hint="eastAsia" w:ascii="宋体" w:hAnsi="宋体" w:eastAsia="宋体"/>
          <w:b w:val="0"/>
          <w:bCs/>
          <w:sz w:val="28"/>
          <w:szCs w:val="28"/>
        </w:rPr>
        <w:t>分管安全生产负责人安全生产责任制》、</w:t>
      </w:r>
      <w:r>
        <w:rPr>
          <w:rFonts w:ascii="宋体" w:hAnsi="宋体" w:eastAsia="宋体"/>
          <w:b w:val="0"/>
          <w:bCs/>
          <w:sz w:val="28"/>
          <w:szCs w:val="28"/>
        </w:rPr>
        <w:t>《</w:t>
      </w:r>
      <w:r>
        <w:rPr>
          <w:rFonts w:hint="eastAsia" w:ascii="宋体" w:hAnsi="宋体" w:eastAsia="宋体"/>
          <w:b w:val="0"/>
          <w:bCs/>
          <w:sz w:val="28"/>
          <w:szCs w:val="28"/>
        </w:rPr>
        <w:t>专职安全生产管理人员安全生产责任制》、《兼职安全员安全生产责任制》、《注册安全工程师安全生产责任制》、《特种作业人员安全生产责任制》、《生产工人安全生产责任制》</w:t>
      </w:r>
      <w:r>
        <w:rPr>
          <w:rFonts w:hint="eastAsia" w:ascii="宋体" w:hAnsi="宋体" w:eastAsia="宋体"/>
          <w:b w:val="0"/>
          <w:bCs/>
          <w:sz w:val="28"/>
          <w:szCs w:val="28"/>
          <w:lang w:val="en-GB"/>
        </w:rPr>
        <w:t>等安全生产生产责任制度，制度内容具体、全面，责任应明确，符合国家有关法律、法规、标准的要求。其操作规程与企业生产的产品、所设的工序相适应，内容具体全面，并能适用于企业的安全管理。</w:t>
      </w:r>
    </w:p>
    <w:p w14:paraId="147BDBAC">
      <w:pPr>
        <w:pStyle w:val="28"/>
        <w:spacing w:line="600" w:lineRule="exact"/>
        <w:ind w:firstLine="560" w:firstLineChars="200"/>
        <w:jc w:val="both"/>
        <w:rPr>
          <w:rFonts w:ascii="宋体" w:hAnsi="宋体" w:eastAsia="宋体"/>
          <w:b w:val="0"/>
          <w:bCs/>
          <w:sz w:val="28"/>
          <w:szCs w:val="28"/>
          <w:lang w:val="en-GB"/>
        </w:rPr>
      </w:pPr>
      <w:r>
        <w:rPr>
          <w:rFonts w:hint="eastAsia" w:ascii="宋体" w:hAnsi="宋体" w:eastAsia="宋体"/>
          <w:b w:val="0"/>
          <w:bCs/>
          <w:sz w:val="28"/>
          <w:szCs w:val="28"/>
        </w:rPr>
        <w:t>（3）</w:t>
      </w:r>
      <w:r>
        <w:rPr>
          <w:rFonts w:hint="eastAsia" w:ascii="宋体" w:hAnsi="宋体" w:eastAsia="宋体"/>
          <w:b w:val="0"/>
          <w:bCs/>
          <w:sz w:val="28"/>
          <w:szCs w:val="28"/>
          <w:lang w:val="en-GB"/>
        </w:rPr>
        <w:t>已制定以下安全操作规程：《原材料粉碎、称料安全操作规程》、《药物混合安全操作规程</w:t>
      </w:r>
      <w:r>
        <w:rPr>
          <w:rFonts w:ascii="宋体" w:hAnsi="宋体" w:eastAsia="宋体"/>
          <w:b w:val="0"/>
          <w:bCs/>
          <w:sz w:val="28"/>
          <w:szCs w:val="28"/>
          <w:lang w:val="en-GB"/>
        </w:rPr>
        <w:t>》</w:t>
      </w:r>
      <w:r>
        <w:rPr>
          <w:rFonts w:hint="eastAsia" w:ascii="宋体" w:hAnsi="宋体" w:eastAsia="宋体"/>
          <w:b w:val="0"/>
          <w:bCs/>
          <w:sz w:val="28"/>
          <w:szCs w:val="28"/>
          <w:lang w:val="en-GB"/>
        </w:rPr>
        <w:t>、</w:t>
      </w:r>
      <w:r>
        <w:rPr>
          <w:rFonts w:ascii="宋体" w:hAnsi="宋体" w:eastAsia="宋体"/>
          <w:b w:val="0"/>
          <w:bCs/>
          <w:sz w:val="28"/>
          <w:szCs w:val="28"/>
          <w:lang w:val="en-GB"/>
        </w:rPr>
        <w:t>《</w:t>
      </w:r>
      <w:r>
        <w:rPr>
          <w:rFonts w:hint="eastAsia" w:ascii="宋体" w:hAnsi="宋体" w:eastAsia="宋体"/>
          <w:b w:val="0"/>
          <w:bCs/>
          <w:sz w:val="28"/>
          <w:szCs w:val="28"/>
          <w:lang w:val="en-GB"/>
        </w:rPr>
        <w:t>做样品安全操作规程》、《烟火药自动混合机安全操作规程》</w:t>
      </w:r>
      <w:r>
        <w:rPr>
          <w:rFonts w:ascii="宋体" w:hAnsi="宋体" w:eastAsia="宋体"/>
          <w:b w:val="0"/>
          <w:bCs/>
          <w:sz w:val="28"/>
          <w:szCs w:val="28"/>
          <w:lang w:val="en-GB"/>
        </w:rPr>
        <w:t>、</w:t>
      </w:r>
      <w:r>
        <w:rPr>
          <w:rFonts w:hint="eastAsia" w:ascii="宋体" w:hAnsi="宋体" w:eastAsia="宋体"/>
          <w:b w:val="0"/>
          <w:bCs/>
          <w:sz w:val="28"/>
          <w:szCs w:val="28"/>
          <w:lang w:val="en-GB"/>
        </w:rPr>
        <w:t>《装药/压药安全操作规程》</w:t>
      </w:r>
      <w:r>
        <w:rPr>
          <w:rFonts w:ascii="宋体" w:hAnsi="宋体" w:eastAsia="宋体"/>
          <w:b w:val="0"/>
          <w:bCs/>
          <w:sz w:val="28"/>
          <w:szCs w:val="28"/>
          <w:lang w:val="en-GB"/>
        </w:rPr>
        <w:t>、</w:t>
      </w:r>
      <w:r>
        <w:rPr>
          <w:rFonts w:hint="eastAsia" w:ascii="宋体" w:hAnsi="宋体" w:eastAsia="宋体"/>
          <w:b w:val="0"/>
          <w:bCs/>
          <w:sz w:val="28"/>
          <w:szCs w:val="28"/>
          <w:lang w:val="en-GB"/>
        </w:rPr>
        <w:t>《筑药（喷花）安全操作规程》</w:t>
      </w:r>
      <w:r>
        <w:rPr>
          <w:rFonts w:ascii="宋体" w:hAnsi="宋体" w:eastAsia="宋体"/>
          <w:b w:val="0"/>
          <w:bCs/>
          <w:sz w:val="28"/>
          <w:szCs w:val="28"/>
          <w:lang w:val="en-GB"/>
        </w:rPr>
        <w:t>、</w:t>
      </w:r>
      <w:r>
        <w:rPr>
          <w:rFonts w:hint="eastAsia" w:ascii="宋体" w:hAnsi="宋体" w:eastAsia="宋体"/>
          <w:b w:val="0"/>
          <w:bCs/>
          <w:sz w:val="28"/>
          <w:szCs w:val="28"/>
          <w:lang w:val="en-GB"/>
        </w:rPr>
        <w:t>《</w:t>
      </w:r>
      <w:r>
        <w:rPr>
          <w:rFonts w:hint="eastAsia" w:ascii="宋体" w:hAnsi="宋体" w:eastAsia="宋体"/>
          <w:b w:val="0"/>
          <w:bCs/>
          <w:sz w:val="28"/>
          <w:szCs w:val="28"/>
        </w:rPr>
        <w:t>造粒安全操作规程</w:t>
      </w:r>
      <w:r>
        <w:rPr>
          <w:rFonts w:hint="eastAsia" w:ascii="宋体" w:hAnsi="宋体" w:eastAsia="宋体"/>
          <w:b w:val="0"/>
          <w:bCs/>
          <w:sz w:val="28"/>
          <w:szCs w:val="28"/>
          <w:lang w:val="en-GB"/>
        </w:rPr>
        <w:t>》、《</w:t>
      </w:r>
      <w:r>
        <w:rPr>
          <w:rFonts w:hint="eastAsia" w:ascii="宋体" w:hAnsi="宋体" w:eastAsia="宋体"/>
          <w:b w:val="0"/>
          <w:bCs/>
          <w:sz w:val="28"/>
          <w:szCs w:val="28"/>
        </w:rPr>
        <w:t>筛选安全操作规程</w:t>
      </w:r>
      <w:r>
        <w:rPr>
          <w:rFonts w:hint="eastAsia" w:ascii="宋体" w:hAnsi="宋体" w:eastAsia="宋体"/>
          <w:b w:val="0"/>
          <w:bCs/>
          <w:sz w:val="28"/>
          <w:szCs w:val="28"/>
          <w:lang w:val="en-GB"/>
        </w:rPr>
        <w:t>》、《</w:t>
      </w:r>
      <w:r>
        <w:rPr>
          <w:rFonts w:hint="eastAsia" w:ascii="宋体" w:hAnsi="宋体" w:eastAsia="宋体"/>
          <w:b w:val="0"/>
          <w:bCs/>
          <w:sz w:val="28"/>
          <w:szCs w:val="28"/>
        </w:rPr>
        <w:t>电烘房安全操作操作</w:t>
      </w:r>
      <w:r>
        <w:rPr>
          <w:rFonts w:hint="eastAsia" w:ascii="宋体" w:hAnsi="宋体" w:eastAsia="宋体"/>
          <w:b w:val="0"/>
          <w:bCs/>
          <w:sz w:val="28"/>
          <w:szCs w:val="28"/>
          <w:lang w:val="en-GB"/>
        </w:rPr>
        <w:t>》、《组装/包装</w:t>
      </w:r>
      <w:r>
        <w:rPr>
          <w:rFonts w:ascii="宋体" w:hAnsi="宋体" w:eastAsia="宋体"/>
          <w:b w:val="0"/>
          <w:bCs/>
          <w:sz w:val="28"/>
          <w:szCs w:val="28"/>
          <w:lang w:val="en-GB"/>
        </w:rPr>
        <w:t>安全操作规程》、《</w:t>
      </w:r>
      <w:r>
        <w:rPr>
          <w:rFonts w:hint="eastAsia" w:ascii="宋体" w:hAnsi="宋体" w:eastAsia="宋体"/>
          <w:b w:val="0"/>
          <w:bCs/>
          <w:sz w:val="28"/>
          <w:szCs w:val="28"/>
          <w:lang w:val="en-GB"/>
        </w:rPr>
        <w:t>运输、出入库</w:t>
      </w:r>
      <w:r>
        <w:rPr>
          <w:rFonts w:ascii="宋体" w:hAnsi="宋体" w:eastAsia="宋体"/>
          <w:b w:val="0"/>
          <w:bCs/>
          <w:sz w:val="28"/>
          <w:szCs w:val="28"/>
          <w:lang w:val="en-GB"/>
        </w:rPr>
        <w:t>安全操作规程</w:t>
      </w:r>
      <w:r>
        <w:rPr>
          <w:rFonts w:hint="eastAsia" w:ascii="宋体" w:hAnsi="宋体" w:eastAsia="宋体"/>
          <w:b w:val="0"/>
          <w:bCs/>
          <w:sz w:val="28"/>
          <w:szCs w:val="28"/>
          <w:lang w:val="en-GB"/>
        </w:rPr>
        <w:t>》</w:t>
      </w:r>
      <w:r>
        <w:rPr>
          <w:rFonts w:ascii="宋体" w:hAnsi="宋体" w:eastAsia="宋体"/>
          <w:b w:val="0"/>
          <w:bCs/>
          <w:sz w:val="28"/>
          <w:szCs w:val="28"/>
          <w:lang w:val="en-GB"/>
        </w:rPr>
        <w:t>、《</w:t>
      </w:r>
      <w:r>
        <w:rPr>
          <w:rFonts w:hint="eastAsia" w:ascii="宋体" w:hAnsi="宋体" w:eastAsia="宋体"/>
          <w:b w:val="0"/>
          <w:bCs/>
          <w:sz w:val="28"/>
          <w:szCs w:val="28"/>
          <w:lang w:val="en-GB"/>
        </w:rPr>
        <w:t>危险场所电气检修安装、机械设备维修</w:t>
      </w:r>
      <w:r>
        <w:rPr>
          <w:rFonts w:ascii="宋体" w:hAnsi="宋体" w:eastAsia="宋体"/>
          <w:b w:val="0"/>
          <w:bCs/>
          <w:sz w:val="28"/>
          <w:szCs w:val="28"/>
          <w:lang w:val="en-GB"/>
        </w:rPr>
        <w:t>安全操作规程》、</w:t>
      </w:r>
      <w:r>
        <w:rPr>
          <w:rFonts w:hint="eastAsia" w:ascii="宋体" w:hAnsi="宋体" w:eastAsia="宋体"/>
          <w:b w:val="0"/>
          <w:bCs/>
          <w:sz w:val="28"/>
          <w:szCs w:val="28"/>
          <w:lang w:val="en-GB"/>
        </w:rPr>
        <w:t>《余废药及报废产品销毁操作规程》、《电瓶车安全操作规程》</w:t>
      </w:r>
      <w:r>
        <w:rPr>
          <w:rFonts w:ascii="宋体" w:hAnsi="宋体" w:eastAsia="宋体"/>
          <w:b w:val="0"/>
          <w:bCs/>
          <w:sz w:val="28"/>
          <w:szCs w:val="28"/>
          <w:lang w:val="en-GB"/>
        </w:rPr>
        <w:t>、</w:t>
      </w:r>
      <w:r>
        <w:rPr>
          <w:rFonts w:hint="eastAsia" w:ascii="宋体" w:hAnsi="宋体" w:eastAsia="宋体"/>
          <w:b w:val="0"/>
          <w:bCs/>
          <w:sz w:val="28"/>
          <w:szCs w:val="28"/>
          <w:lang w:val="en-GB"/>
        </w:rPr>
        <w:t>《包装、成箱安全操作规程》等安全生产操作规程，操作</w:t>
      </w:r>
      <w:r>
        <w:rPr>
          <w:rFonts w:ascii="宋体" w:hAnsi="宋体" w:eastAsia="宋体"/>
          <w:b w:val="0"/>
          <w:bCs/>
          <w:sz w:val="28"/>
          <w:szCs w:val="28"/>
          <w:lang w:val="en-GB"/>
        </w:rPr>
        <w:t>规程</w:t>
      </w:r>
      <w:r>
        <w:rPr>
          <w:rFonts w:hint="eastAsia" w:ascii="宋体" w:hAnsi="宋体" w:eastAsia="宋体"/>
          <w:b w:val="0"/>
          <w:bCs/>
          <w:sz w:val="28"/>
          <w:szCs w:val="28"/>
          <w:lang w:val="en-GB"/>
        </w:rPr>
        <w:t>内容具体、全面，责任应明确，符合国家有关法律、法规、标准的要求。其操作规程与企业生产的产品、所设的工序相适应，内容具体全面，并能适用于企业的安全管理。</w:t>
      </w:r>
    </w:p>
    <w:p w14:paraId="751F57EC">
      <w:pPr>
        <w:pStyle w:val="28"/>
        <w:spacing w:line="600" w:lineRule="exact"/>
        <w:ind w:firstLine="560" w:firstLineChars="200"/>
        <w:jc w:val="both"/>
        <w:rPr>
          <w:rFonts w:ascii="宋体" w:hAnsi="宋体" w:eastAsia="宋体" w:cs="宋体"/>
          <w:b w:val="0"/>
          <w:bCs/>
          <w:sz w:val="28"/>
          <w:szCs w:val="28"/>
        </w:rPr>
      </w:pPr>
      <w:r>
        <w:rPr>
          <w:rFonts w:hint="eastAsia" w:ascii="宋体" w:hAnsi="宋体" w:eastAsia="宋体" w:cs="宋体"/>
          <w:b w:val="0"/>
          <w:bCs/>
          <w:sz w:val="28"/>
          <w:szCs w:val="28"/>
        </w:rPr>
        <w:t>2）</w:t>
      </w:r>
      <w:r>
        <w:rPr>
          <w:rFonts w:hint="eastAsia" w:ascii="宋体" w:hAnsi="宋体" w:eastAsia="宋体"/>
          <w:b w:val="0"/>
          <w:bCs/>
          <w:sz w:val="28"/>
          <w:szCs w:val="28"/>
        </w:rPr>
        <w:t>事故</w:t>
      </w:r>
      <w:r>
        <w:rPr>
          <w:rFonts w:hint="eastAsia" w:ascii="宋体" w:hAnsi="宋体" w:eastAsia="宋体"/>
          <w:b w:val="0"/>
          <w:bCs/>
          <w:sz w:val="28"/>
          <w:szCs w:val="28"/>
          <w:lang w:val="en-GB"/>
        </w:rPr>
        <w:t>应急预案</w:t>
      </w:r>
    </w:p>
    <w:p w14:paraId="614FFC1C">
      <w:pPr>
        <w:spacing w:line="600" w:lineRule="exact"/>
        <w:ind w:firstLine="560" w:firstLineChars="200"/>
        <w:rPr>
          <w:rFonts w:ascii="宋体" w:hAnsi="宋体" w:cs="宋体"/>
          <w:b w:val="0"/>
          <w:bCs/>
          <w:sz w:val="28"/>
          <w:szCs w:val="28"/>
          <w:lang w:val="en-GB"/>
        </w:rPr>
      </w:pPr>
      <w:r>
        <w:rPr>
          <w:rFonts w:hint="eastAsia" w:ascii="宋体" w:hAnsi="宋体" w:cs="宋体"/>
          <w:b w:val="0"/>
          <w:bCs/>
          <w:sz w:val="28"/>
          <w:szCs w:val="28"/>
        </w:rPr>
        <w:t>企业应根据厂内安全生产条件的变更对应急救援预案进行修订，及时去相关部门备案登记，</w:t>
      </w:r>
      <w:r>
        <w:rPr>
          <w:rFonts w:hint="eastAsia" w:ascii="宋体" w:hAnsi="宋体" w:cs="宋体"/>
          <w:b w:val="0"/>
          <w:bCs/>
          <w:sz w:val="28"/>
          <w:szCs w:val="28"/>
          <w:lang w:val="en-GB"/>
        </w:rPr>
        <w:t>并定期进行演练</w:t>
      </w:r>
      <w:r>
        <w:rPr>
          <w:rFonts w:hint="eastAsia" w:ascii="宋体" w:hAnsi="宋体" w:cs="宋体"/>
          <w:b w:val="0"/>
          <w:bCs/>
          <w:sz w:val="28"/>
          <w:szCs w:val="28"/>
        </w:rPr>
        <w:t>。</w:t>
      </w:r>
    </w:p>
    <w:p w14:paraId="04501748">
      <w:pPr>
        <w:spacing w:line="600" w:lineRule="exact"/>
        <w:ind w:firstLine="560" w:firstLineChars="200"/>
        <w:rPr>
          <w:rFonts w:ascii="宋体" w:hAnsi="宋体" w:cs="宋体"/>
          <w:b w:val="0"/>
          <w:bCs/>
          <w:sz w:val="28"/>
          <w:szCs w:val="28"/>
          <w:lang w:val="en-GB"/>
        </w:rPr>
      </w:pPr>
      <w:r>
        <w:rPr>
          <w:rFonts w:hint="eastAsia" w:ascii="宋体" w:hAnsi="宋体" w:cs="宋体"/>
          <w:b w:val="0"/>
          <w:bCs/>
          <w:sz w:val="28"/>
          <w:szCs w:val="28"/>
          <w:lang w:val="en-GB"/>
        </w:rPr>
        <w:t>《安全生产事故应急救援预案》</w:t>
      </w:r>
      <w:r>
        <w:rPr>
          <w:rFonts w:hint="eastAsia" w:ascii="宋体" w:hAnsi="宋体" w:cs="宋体"/>
          <w:b w:val="0"/>
          <w:bCs/>
          <w:sz w:val="28"/>
          <w:szCs w:val="28"/>
        </w:rPr>
        <w:t>应</w:t>
      </w:r>
      <w:r>
        <w:rPr>
          <w:rFonts w:hint="eastAsia" w:ascii="宋体" w:hAnsi="宋体" w:cs="宋体"/>
          <w:b w:val="0"/>
          <w:bCs/>
          <w:sz w:val="28"/>
          <w:szCs w:val="28"/>
          <w:lang w:val="en-GB"/>
        </w:rPr>
        <w:t>包括《生产经营单位安全生产事故应急预案编制导则》（GB/T29639-2020）要求的基本条款，编制目的明确、编制依据充分；</w:t>
      </w:r>
      <w:r>
        <w:rPr>
          <w:rFonts w:hint="eastAsia" w:ascii="宋体" w:hAnsi="宋体" w:cs="宋体"/>
          <w:b w:val="0"/>
          <w:bCs/>
          <w:sz w:val="28"/>
          <w:szCs w:val="28"/>
        </w:rPr>
        <w:t>应</w:t>
      </w:r>
      <w:r>
        <w:rPr>
          <w:rFonts w:hint="eastAsia" w:ascii="宋体" w:hAnsi="宋体" w:cs="宋体"/>
          <w:b w:val="0"/>
          <w:bCs/>
          <w:sz w:val="28"/>
          <w:szCs w:val="28"/>
          <w:lang w:val="en-GB"/>
        </w:rPr>
        <w:t>针对企业特点进行相应的危险、有害因素分析；</w:t>
      </w:r>
      <w:r>
        <w:rPr>
          <w:rFonts w:hint="eastAsia" w:ascii="宋体" w:hAnsi="宋体" w:cs="宋体"/>
          <w:b w:val="0"/>
          <w:bCs/>
          <w:sz w:val="28"/>
          <w:szCs w:val="28"/>
        </w:rPr>
        <w:t>建立</w:t>
      </w:r>
      <w:r>
        <w:rPr>
          <w:rFonts w:hint="eastAsia" w:ascii="宋体" w:hAnsi="宋体" w:cs="宋体"/>
          <w:b w:val="0"/>
          <w:bCs/>
          <w:sz w:val="28"/>
          <w:szCs w:val="28"/>
          <w:lang w:val="en-GB"/>
        </w:rPr>
        <w:t>健全的应急管理机构和职责；预防和预警到位；应急响应有分级、响应程序；信息发布、后期处置、保障措施、培训及演练、奖惩及附则</w:t>
      </w:r>
      <w:r>
        <w:rPr>
          <w:rFonts w:hint="eastAsia" w:ascii="宋体" w:hAnsi="宋体" w:cs="宋体"/>
          <w:b w:val="0"/>
          <w:bCs/>
          <w:sz w:val="28"/>
          <w:szCs w:val="28"/>
        </w:rPr>
        <w:t>应</w:t>
      </w:r>
      <w:r>
        <w:rPr>
          <w:rFonts w:hint="eastAsia" w:ascii="宋体" w:hAnsi="宋体" w:cs="宋体"/>
          <w:b w:val="0"/>
          <w:bCs/>
          <w:sz w:val="28"/>
          <w:szCs w:val="28"/>
          <w:lang w:val="en-GB"/>
        </w:rPr>
        <w:t>合理。</w:t>
      </w:r>
    </w:p>
    <w:p w14:paraId="56022501">
      <w:pPr>
        <w:pStyle w:val="5"/>
        <w:spacing w:line="600" w:lineRule="exact"/>
        <w:jc w:val="both"/>
        <w:rPr>
          <w:rFonts w:ascii="黑体" w:hAnsi="黑体" w:eastAsia="黑体" w:cs="宋体"/>
          <w:b w:val="0"/>
          <w:bCs w:val="0"/>
          <w:szCs w:val="28"/>
        </w:rPr>
      </w:pPr>
      <w:r>
        <w:rPr>
          <w:rFonts w:hint="eastAsia" w:ascii="黑体" w:hAnsi="黑体" w:eastAsia="黑体" w:cs="宋体"/>
          <w:b w:val="0"/>
          <w:bCs w:val="0"/>
          <w:szCs w:val="28"/>
        </w:rPr>
        <w:t>2.10.</w:t>
      </w:r>
      <w:r>
        <w:rPr>
          <w:rFonts w:ascii="黑体" w:hAnsi="黑体" w:eastAsia="黑体" w:cs="宋体"/>
          <w:b w:val="0"/>
          <w:bCs w:val="0"/>
          <w:szCs w:val="28"/>
        </w:rPr>
        <w:t>4</w:t>
      </w:r>
      <w:r>
        <w:rPr>
          <w:rFonts w:hint="eastAsia" w:ascii="黑体" w:hAnsi="黑体" w:eastAsia="黑体" w:cs="宋体"/>
          <w:b w:val="0"/>
          <w:bCs w:val="0"/>
          <w:szCs w:val="28"/>
        </w:rPr>
        <w:t>劳动防护</w:t>
      </w:r>
    </w:p>
    <w:p w14:paraId="7A233D2B">
      <w:pPr>
        <w:pStyle w:val="87"/>
        <w:spacing w:line="600" w:lineRule="exact"/>
        <w:ind w:firstLine="560"/>
        <w:rPr>
          <w:rFonts w:ascii="宋体" w:hAnsi="宋体" w:eastAsia="宋体"/>
          <w:b w:val="0"/>
          <w:bCs/>
          <w:szCs w:val="28"/>
          <w:lang w:val="en-GB"/>
        </w:rPr>
      </w:pPr>
      <w:r>
        <w:rPr>
          <w:rFonts w:hint="eastAsia" w:ascii="宋体" w:hAnsi="宋体" w:eastAsia="宋体"/>
          <w:b w:val="0"/>
          <w:bCs/>
          <w:szCs w:val="28"/>
          <w:lang w:val="en-GB"/>
        </w:rPr>
        <w:t>该企业已制定劳动防护用品配备、使用和管理制度和工作场所职业病危害防治制度，拟建立劳动防护用品发放台帐，拟为危险岗位人员配备防尘口罩、棉质工作服、工作手套等劳动防护用品。</w:t>
      </w:r>
    </w:p>
    <w:p w14:paraId="50C7C185">
      <w:pPr>
        <w:pStyle w:val="5"/>
        <w:spacing w:line="600" w:lineRule="exact"/>
        <w:jc w:val="both"/>
        <w:rPr>
          <w:rFonts w:ascii="黑体" w:hAnsi="黑体" w:eastAsia="黑体" w:cs="宋体"/>
          <w:b w:val="0"/>
          <w:bCs w:val="0"/>
          <w:szCs w:val="28"/>
        </w:rPr>
      </w:pPr>
      <w:r>
        <w:rPr>
          <w:rFonts w:hint="eastAsia" w:ascii="黑体" w:hAnsi="黑体" w:eastAsia="黑体" w:cs="宋体"/>
          <w:b w:val="0"/>
          <w:bCs w:val="0"/>
          <w:szCs w:val="28"/>
        </w:rPr>
        <w:t>2.10.</w:t>
      </w:r>
      <w:r>
        <w:rPr>
          <w:rFonts w:ascii="黑体" w:hAnsi="黑体" w:eastAsia="黑体" w:cs="宋体"/>
          <w:b w:val="0"/>
          <w:bCs w:val="0"/>
          <w:szCs w:val="28"/>
        </w:rPr>
        <w:t>5</w:t>
      </w:r>
      <w:r>
        <w:rPr>
          <w:rFonts w:hint="eastAsia" w:ascii="黑体" w:hAnsi="黑体" w:eastAsia="黑体" w:cs="宋体"/>
          <w:b w:val="0"/>
          <w:bCs w:val="0"/>
          <w:szCs w:val="28"/>
        </w:rPr>
        <w:t>设备维护保养</w:t>
      </w:r>
    </w:p>
    <w:bookmarkEnd w:id="162"/>
    <w:bookmarkEnd w:id="163"/>
    <w:bookmarkEnd w:id="164"/>
    <w:bookmarkEnd w:id="165"/>
    <w:bookmarkEnd w:id="173"/>
    <w:p w14:paraId="6F1E71C6">
      <w:pPr>
        <w:spacing w:line="600" w:lineRule="exact"/>
        <w:ind w:firstLine="560" w:firstLineChars="200"/>
        <w:rPr>
          <w:rFonts w:ascii="宋体" w:hAnsi="宋体"/>
          <w:b w:val="0"/>
          <w:bCs/>
          <w:lang w:val="zh-CN"/>
        </w:rPr>
        <w:sectPr>
          <w:footerReference r:id="rId11" w:type="default"/>
          <w:pgSz w:w="11906" w:h="16838"/>
          <w:pgMar w:top="1417" w:right="1417" w:bottom="1417" w:left="1417" w:header="851" w:footer="867" w:gutter="0"/>
          <w:pgBorders>
            <w:top w:val="none" w:sz="0" w:space="0"/>
            <w:left w:val="none" w:sz="0" w:space="0"/>
            <w:bottom w:val="none" w:sz="0" w:space="0"/>
            <w:right w:val="none" w:sz="0" w:space="0"/>
          </w:pgBorders>
          <w:pgNumType w:start="1"/>
          <w:cols w:space="720" w:num="1"/>
          <w:docGrid w:linePitch="312" w:charSpace="0"/>
        </w:sectPr>
      </w:pPr>
      <w:r>
        <w:rPr>
          <w:rFonts w:ascii="宋体" w:hAnsi="宋体"/>
          <w:b w:val="0"/>
          <w:bCs/>
          <w:sz w:val="28"/>
          <w:szCs w:val="28"/>
          <w:lang w:val="en-GB"/>
        </w:rPr>
        <w:t>为加强设备的维护与保养、贯彻“预防为主”和“维护与计划检修相结合”的原则，做到正确使用、精心维护，使设备经常处于良好状态，以保证设备的长周期、安全稳定运转，制定</w:t>
      </w:r>
      <w:r>
        <w:rPr>
          <w:rFonts w:hint="eastAsia" w:ascii="宋体" w:hAnsi="宋体"/>
          <w:b w:val="0"/>
          <w:bCs/>
          <w:sz w:val="28"/>
          <w:szCs w:val="28"/>
          <w:lang w:val="en-GB"/>
        </w:rPr>
        <w:t>设备维护保养</w:t>
      </w:r>
      <w:r>
        <w:rPr>
          <w:rFonts w:ascii="宋体" w:hAnsi="宋体"/>
          <w:b w:val="0"/>
          <w:bCs/>
          <w:sz w:val="28"/>
          <w:szCs w:val="28"/>
          <w:lang w:val="en-GB"/>
        </w:rPr>
        <w:t>制度</w:t>
      </w:r>
      <w:r>
        <w:rPr>
          <w:rFonts w:hint="eastAsia" w:ascii="宋体" w:hAnsi="宋体"/>
          <w:b w:val="0"/>
          <w:bCs/>
          <w:sz w:val="28"/>
          <w:szCs w:val="28"/>
          <w:lang w:val="en-GB"/>
        </w:rPr>
        <w:t>，并按制度进行施行。</w:t>
      </w:r>
    </w:p>
    <w:p w14:paraId="137431BA">
      <w:pPr>
        <w:keepNext/>
        <w:pageBreakBefore/>
        <w:widowControl/>
        <w:spacing w:before="120" w:beforeLines="50" w:line="360" w:lineRule="auto"/>
        <w:jc w:val="center"/>
        <w:outlineLvl w:val="0"/>
        <w:rPr>
          <w:rFonts w:ascii="黑体" w:hAnsi="宋体" w:eastAsia="黑体"/>
          <w:b w:val="0"/>
          <w:sz w:val="32"/>
          <w:szCs w:val="32"/>
        </w:rPr>
      </w:pPr>
      <w:bookmarkStart w:id="174" w:name="_Toc484637211"/>
      <w:bookmarkStart w:id="175" w:name="_Toc3798"/>
      <w:bookmarkStart w:id="176" w:name="_Toc110569895"/>
      <w:r>
        <w:rPr>
          <w:rFonts w:hint="eastAsia" w:ascii="黑体" w:hAnsi="宋体" w:eastAsia="黑体"/>
          <w:b w:val="0"/>
          <w:sz w:val="32"/>
          <w:szCs w:val="32"/>
        </w:rPr>
        <w:t>第三章 主要危险、</w:t>
      </w:r>
      <w:r>
        <w:rPr>
          <w:rFonts w:ascii="黑体" w:hAnsi="宋体" w:eastAsia="黑体"/>
          <w:b w:val="0"/>
          <w:sz w:val="32"/>
          <w:szCs w:val="32"/>
        </w:rPr>
        <w:t>有害因素</w:t>
      </w:r>
      <w:r>
        <w:rPr>
          <w:rFonts w:hint="eastAsia" w:ascii="黑体" w:hAnsi="宋体" w:eastAsia="黑体"/>
          <w:b w:val="0"/>
          <w:sz w:val="32"/>
          <w:szCs w:val="32"/>
        </w:rPr>
        <w:t>辨识与分析</w:t>
      </w:r>
      <w:bookmarkEnd w:id="174"/>
      <w:bookmarkEnd w:id="175"/>
    </w:p>
    <w:p w14:paraId="31F08567">
      <w:pPr>
        <w:keepNext/>
        <w:keepLines/>
        <w:spacing w:before="120" w:beforeLines="50" w:line="360" w:lineRule="auto"/>
        <w:outlineLvl w:val="1"/>
        <w:rPr>
          <w:rFonts w:ascii="黑体" w:hAnsi="黑体" w:eastAsia="黑体"/>
          <w:b w:val="0"/>
          <w:bCs/>
          <w:snapToGrid w:val="0"/>
          <w:sz w:val="32"/>
          <w:szCs w:val="32"/>
        </w:rPr>
      </w:pPr>
      <w:bookmarkStart w:id="177" w:name="_Toc271898745"/>
      <w:bookmarkStart w:id="178" w:name="_Toc202015901"/>
      <w:bookmarkStart w:id="179" w:name="_Toc335902395"/>
      <w:bookmarkStart w:id="180" w:name="_Toc227869281"/>
      <w:bookmarkStart w:id="181" w:name="_Toc188265294"/>
      <w:bookmarkStart w:id="182" w:name="_Toc294247807"/>
      <w:bookmarkStart w:id="183" w:name="_Toc173077654"/>
      <w:bookmarkStart w:id="184" w:name="_Toc9424"/>
      <w:r>
        <w:rPr>
          <w:rFonts w:hint="eastAsia" w:ascii="黑体" w:hAnsi="黑体" w:eastAsia="黑体"/>
          <w:b w:val="0"/>
          <w:bCs/>
          <w:snapToGrid w:val="0"/>
          <w:sz w:val="32"/>
          <w:szCs w:val="32"/>
        </w:rPr>
        <w:t>3.1危险、有害因素分析方法</w:t>
      </w:r>
      <w:bookmarkEnd w:id="177"/>
      <w:bookmarkEnd w:id="178"/>
      <w:bookmarkEnd w:id="179"/>
      <w:bookmarkEnd w:id="180"/>
      <w:bookmarkEnd w:id="181"/>
      <w:bookmarkEnd w:id="182"/>
      <w:bookmarkEnd w:id="183"/>
      <w:bookmarkEnd w:id="184"/>
    </w:p>
    <w:p w14:paraId="365F2DD3">
      <w:pPr>
        <w:spacing w:line="360" w:lineRule="auto"/>
        <w:ind w:firstLine="560" w:firstLineChars="200"/>
        <w:rPr>
          <w:rFonts w:ascii="宋体" w:hAnsi="宋体"/>
          <w:b w:val="0"/>
          <w:bCs/>
          <w:sz w:val="28"/>
        </w:rPr>
      </w:pPr>
      <w:r>
        <w:rPr>
          <w:rFonts w:hint="eastAsia" w:ascii="宋体" w:hAnsi="宋体"/>
          <w:b w:val="0"/>
          <w:bCs/>
          <w:sz w:val="28"/>
          <w:lang w:val="en-GB"/>
        </w:rPr>
        <w:t>危险因素是指对人造成伤亡或对物造成突发性损害的因素；有害因素是指能影响人的身体健康，导致疾病，或对物造成慢性损害的因素。通常情况下，并不对两者加以区分，而统称为危险因素，主要指客观存在的危险、有害物质或能量超过临界值的设备、设施和场所</w:t>
      </w:r>
      <w:r>
        <w:rPr>
          <w:rFonts w:hint="eastAsia" w:ascii="宋体" w:hAnsi="宋体"/>
          <w:b w:val="0"/>
          <w:bCs/>
          <w:sz w:val="28"/>
        </w:rPr>
        <w:t>。</w:t>
      </w:r>
    </w:p>
    <w:p w14:paraId="7864AA47">
      <w:pPr>
        <w:keepNext/>
        <w:keepLines/>
        <w:spacing w:before="120" w:beforeLines="50" w:line="360" w:lineRule="auto"/>
        <w:outlineLvl w:val="1"/>
        <w:rPr>
          <w:rFonts w:ascii="黑体" w:hAnsi="黑体" w:eastAsia="黑体"/>
          <w:b w:val="0"/>
          <w:bCs/>
          <w:snapToGrid w:val="0"/>
          <w:sz w:val="32"/>
          <w:szCs w:val="32"/>
        </w:rPr>
      </w:pPr>
      <w:bookmarkStart w:id="185" w:name="_Toc7107"/>
      <w:r>
        <w:rPr>
          <w:rFonts w:hint="eastAsia" w:ascii="黑体" w:hAnsi="黑体" w:eastAsia="黑体"/>
          <w:b w:val="0"/>
          <w:bCs/>
          <w:snapToGrid w:val="0"/>
          <w:sz w:val="32"/>
          <w:szCs w:val="32"/>
        </w:rPr>
        <w:t>3.2改建项目可能发生的生产事故分类</w:t>
      </w:r>
      <w:bookmarkEnd w:id="185"/>
    </w:p>
    <w:p w14:paraId="429744BB">
      <w:pPr>
        <w:spacing w:line="360" w:lineRule="auto"/>
        <w:ind w:firstLine="560" w:firstLineChars="200"/>
        <w:rPr>
          <w:rFonts w:ascii="宋体" w:hAnsi="宋体"/>
          <w:b w:val="0"/>
          <w:bCs/>
          <w:sz w:val="28"/>
        </w:rPr>
      </w:pPr>
      <w:r>
        <w:rPr>
          <w:rFonts w:hint="eastAsia" w:ascii="宋体" w:hAnsi="宋体"/>
          <w:b w:val="0"/>
          <w:bCs/>
          <w:sz w:val="28"/>
        </w:rPr>
        <w:t>该改建项目可能发生的生产事故分类根据</w:t>
      </w:r>
      <w:r>
        <w:rPr>
          <w:rFonts w:hint="eastAsia" w:ascii="宋体" w:hAnsi="宋体"/>
          <w:b w:val="0"/>
          <w:bCs/>
          <w:sz w:val="28"/>
          <w:lang w:val="en-GB"/>
        </w:rPr>
        <w:t>《生产安全事故分类与编码》</w:t>
      </w:r>
      <w:r>
        <w:rPr>
          <w:rFonts w:hint="eastAsia" w:ascii="宋体" w:hAnsi="宋体"/>
          <w:b w:val="0"/>
          <w:bCs/>
          <w:sz w:val="28"/>
        </w:rPr>
        <w:t>GB6441-2025具体如表3.2-1：</w:t>
      </w:r>
    </w:p>
    <w:p w14:paraId="09102E61">
      <w:pPr>
        <w:pStyle w:val="87"/>
        <w:spacing w:line="240" w:lineRule="auto"/>
        <w:ind w:firstLine="0" w:firstLineChars="0"/>
        <w:jc w:val="center"/>
        <w:rPr>
          <w:rFonts w:ascii="黑体" w:hAnsi="黑体" w:eastAsia="黑体"/>
          <w:b w:val="0"/>
          <w:sz w:val="24"/>
          <w:szCs w:val="24"/>
        </w:rPr>
      </w:pPr>
      <w:r>
        <w:rPr>
          <w:rFonts w:hint="eastAsia" w:ascii="黑体" w:hAnsi="黑体" w:eastAsia="黑体"/>
          <w:b w:val="0"/>
          <w:sz w:val="24"/>
          <w:szCs w:val="24"/>
        </w:rPr>
        <w:t>表3.2-1改建项目生产事故分类表</w:t>
      </w:r>
    </w:p>
    <w:tbl>
      <w:tblPr>
        <w:tblStyle w:val="703"/>
        <w:tblW w:w="853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89"/>
        <w:gridCol w:w="1584"/>
        <w:gridCol w:w="6265"/>
      </w:tblGrid>
      <w:tr w14:paraId="07156E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tblHeader/>
          <w:jc w:val="center"/>
        </w:trPr>
        <w:tc>
          <w:tcPr>
            <w:tcW w:w="689" w:type="dxa"/>
            <w:vAlign w:val="center"/>
          </w:tcPr>
          <w:p w14:paraId="67A33950">
            <w:pPr>
              <w:jc w:val="center"/>
              <w:rPr>
                <w:rFonts w:ascii="宋体" w:hAnsi="宋体" w:cs="宋体"/>
                <w:szCs w:val="21"/>
              </w:rPr>
            </w:pPr>
            <w:r>
              <w:rPr>
                <w:rFonts w:hint="eastAsia" w:ascii="宋体" w:hAnsi="宋体" w:cs="宋体"/>
                <w:szCs w:val="21"/>
              </w:rPr>
              <w:t>序号</w:t>
            </w:r>
          </w:p>
        </w:tc>
        <w:tc>
          <w:tcPr>
            <w:tcW w:w="1584" w:type="dxa"/>
            <w:vAlign w:val="center"/>
          </w:tcPr>
          <w:p w14:paraId="7E9EAA9A">
            <w:pPr>
              <w:jc w:val="center"/>
              <w:rPr>
                <w:rFonts w:ascii="宋体" w:hAnsi="宋体" w:cs="宋体"/>
                <w:szCs w:val="21"/>
              </w:rPr>
            </w:pPr>
            <w:r>
              <w:rPr>
                <w:rFonts w:hint="eastAsia" w:ascii="宋体" w:hAnsi="宋体" w:cs="宋体"/>
                <w:szCs w:val="21"/>
              </w:rPr>
              <w:t>事故类型</w:t>
            </w:r>
          </w:p>
        </w:tc>
        <w:tc>
          <w:tcPr>
            <w:tcW w:w="6265" w:type="dxa"/>
            <w:vAlign w:val="center"/>
          </w:tcPr>
          <w:p w14:paraId="0422DA97">
            <w:pPr>
              <w:jc w:val="center"/>
              <w:rPr>
                <w:rFonts w:ascii="宋体" w:hAnsi="宋体" w:cs="宋体"/>
                <w:szCs w:val="21"/>
              </w:rPr>
            </w:pPr>
            <w:r>
              <w:rPr>
                <w:rFonts w:hint="eastAsia" w:ascii="宋体" w:hAnsi="宋体" w:cs="宋体"/>
                <w:szCs w:val="21"/>
              </w:rPr>
              <w:t>说明</w:t>
            </w:r>
          </w:p>
        </w:tc>
      </w:tr>
      <w:tr w14:paraId="0E7E3C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9" w:type="dxa"/>
            <w:vAlign w:val="center"/>
          </w:tcPr>
          <w:p w14:paraId="6196A386">
            <w:pPr>
              <w:jc w:val="center"/>
              <w:rPr>
                <w:rFonts w:ascii="宋体" w:hAnsi="宋体" w:cs="宋体"/>
                <w:b w:val="0"/>
                <w:szCs w:val="21"/>
              </w:rPr>
            </w:pPr>
            <w:r>
              <w:rPr>
                <w:rFonts w:hint="eastAsia" w:ascii="宋体" w:hAnsi="宋体" w:cs="宋体"/>
                <w:b w:val="0"/>
                <w:szCs w:val="21"/>
              </w:rPr>
              <w:t>1</w:t>
            </w:r>
          </w:p>
        </w:tc>
        <w:tc>
          <w:tcPr>
            <w:tcW w:w="1584" w:type="dxa"/>
            <w:vAlign w:val="center"/>
          </w:tcPr>
          <w:p w14:paraId="4B8DA67D">
            <w:pPr>
              <w:jc w:val="center"/>
              <w:rPr>
                <w:rFonts w:ascii="宋体" w:hAnsi="宋体" w:cs="宋体"/>
                <w:b w:val="0"/>
                <w:szCs w:val="21"/>
              </w:rPr>
            </w:pPr>
            <w:r>
              <w:rPr>
                <w:rFonts w:hint="eastAsia" w:ascii="宋体" w:hAnsi="宋体" w:cs="宋体"/>
                <w:b w:val="0"/>
                <w:szCs w:val="21"/>
                <w:shd w:val="clear" w:color="auto" w:fill="FFFFFF"/>
              </w:rPr>
              <w:t>火灾</w:t>
            </w:r>
          </w:p>
        </w:tc>
        <w:tc>
          <w:tcPr>
            <w:tcW w:w="6265" w:type="dxa"/>
            <w:vAlign w:val="center"/>
          </w:tcPr>
          <w:p w14:paraId="25BCBA9C">
            <w:pPr>
              <w:rPr>
                <w:rFonts w:ascii="宋体" w:hAnsi="宋体" w:cs="宋体"/>
                <w:b w:val="0"/>
                <w:szCs w:val="21"/>
              </w:rPr>
            </w:pPr>
            <w:r>
              <w:rPr>
                <w:rFonts w:hint="eastAsia" w:ascii="宋体" w:hAnsi="宋体" w:cs="宋体"/>
                <w:b w:val="0"/>
                <w:szCs w:val="21"/>
                <w:shd w:val="clear" w:color="auto" w:fill="FFFFFF"/>
              </w:rPr>
              <w:t>药物车间违规动火、药料自燃引发失控燃烧事故</w:t>
            </w:r>
          </w:p>
        </w:tc>
      </w:tr>
      <w:tr w14:paraId="2DB61D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689" w:type="dxa"/>
            <w:vAlign w:val="center"/>
          </w:tcPr>
          <w:p w14:paraId="7A6457F2">
            <w:pPr>
              <w:jc w:val="center"/>
              <w:rPr>
                <w:rFonts w:ascii="宋体" w:hAnsi="宋体" w:cs="宋体"/>
                <w:b w:val="0"/>
                <w:szCs w:val="21"/>
              </w:rPr>
            </w:pPr>
            <w:r>
              <w:rPr>
                <w:rFonts w:hint="eastAsia" w:ascii="宋体" w:hAnsi="宋体" w:cs="宋体"/>
                <w:b w:val="0"/>
                <w:szCs w:val="21"/>
              </w:rPr>
              <w:t>2</w:t>
            </w:r>
          </w:p>
        </w:tc>
        <w:tc>
          <w:tcPr>
            <w:tcW w:w="1584" w:type="dxa"/>
            <w:vAlign w:val="center"/>
          </w:tcPr>
          <w:p w14:paraId="10C16790">
            <w:pPr>
              <w:jc w:val="center"/>
              <w:rPr>
                <w:rFonts w:ascii="宋体" w:hAnsi="宋体" w:cs="宋体"/>
                <w:b w:val="0"/>
                <w:szCs w:val="21"/>
              </w:rPr>
            </w:pPr>
            <w:r>
              <w:rPr>
                <w:rFonts w:hint="eastAsia" w:ascii="宋体" w:hAnsi="宋体" w:cs="宋体"/>
                <w:b w:val="0"/>
                <w:szCs w:val="21"/>
                <w:shd w:val="clear" w:color="auto" w:fill="FFFFFF"/>
              </w:rPr>
              <w:t>烟花爆竹爆炸</w:t>
            </w:r>
          </w:p>
        </w:tc>
        <w:tc>
          <w:tcPr>
            <w:tcW w:w="6265" w:type="dxa"/>
            <w:vAlign w:val="center"/>
          </w:tcPr>
          <w:p w14:paraId="066DF2AE">
            <w:pPr>
              <w:rPr>
                <w:rFonts w:ascii="宋体" w:hAnsi="宋体" w:cs="宋体"/>
                <w:b w:val="0"/>
                <w:szCs w:val="21"/>
              </w:rPr>
            </w:pPr>
            <w:r>
              <w:rPr>
                <w:rFonts w:hint="eastAsia" w:ascii="宋体" w:hAnsi="宋体" w:cs="宋体"/>
                <w:b w:val="0"/>
                <w:szCs w:val="21"/>
              </w:rPr>
              <w:t>烟花爆竹在生产、存储、运输和燃放过程中发生爆炸造成的事故</w:t>
            </w:r>
          </w:p>
        </w:tc>
      </w:tr>
      <w:tr w14:paraId="19F3CF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9" w:type="dxa"/>
            <w:vAlign w:val="center"/>
          </w:tcPr>
          <w:p w14:paraId="4DC0FBDA">
            <w:pPr>
              <w:jc w:val="center"/>
              <w:rPr>
                <w:rFonts w:ascii="宋体" w:hAnsi="宋体" w:cs="宋体"/>
                <w:b w:val="0"/>
                <w:szCs w:val="21"/>
              </w:rPr>
            </w:pPr>
            <w:r>
              <w:rPr>
                <w:rFonts w:hint="eastAsia" w:ascii="宋体" w:hAnsi="宋体" w:cs="宋体"/>
                <w:b w:val="0"/>
                <w:szCs w:val="21"/>
              </w:rPr>
              <w:t>3</w:t>
            </w:r>
          </w:p>
        </w:tc>
        <w:tc>
          <w:tcPr>
            <w:tcW w:w="1584" w:type="dxa"/>
            <w:vAlign w:val="center"/>
          </w:tcPr>
          <w:p w14:paraId="530BECB0">
            <w:pPr>
              <w:jc w:val="center"/>
              <w:rPr>
                <w:rFonts w:ascii="宋体" w:hAnsi="宋体" w:cs="宋体"/>
                <w:b w:val="0"/>
                <w:szCs w:val="21"/>
              </w:rPr>
            </w:pPr>
            <w:r>
              <w:rPr>
                <w:rFonts w:hint="eastAsia" w:ascii="宋体" w:hAnsi="宋体" w:cs="宋体"/>
                <w:b w:val="0"/>
                <w:szCs w:val="21"/>
                <w:shd w:val="clear" w:color="auto" w:fill="FFFFFF"/>
              </w:rPr>
              <w:t>粉尘爆炸</w:t>
            </w:r>
          </w:p>
        </w:tc>
        <w:tc>
          <w:tcPr>
            <w:tcW w:w="6265" w:type="dxa"/>
            <w:vAlign w:val="center"/>
          </w:tcPr>
          <w:p w14:paraId="464EF1DD">
            <w:pPr>
              <w:rPr>
                <w:rFonts w:ascii="宋体" w:hAnsi="宋体" w:cs="宋体"/>
                <w:b w:val="0"/>
                <w:szCs w:val="21"/>
              </w:rPr>
            </w:pPr>
            <w:r>
              <w:rPr>
                <w:rFonts w:hint="eastAsia" w:ascii="宋体" w:hAnsi="宋体" w:cs="宋体"/>
                <w:b w:val="0"/>
                <w:szCs w:val="21"/>
                <w:shd w:val="clear" w:color="auto" w:fill="FFFFFF"/>
              </w:rPr>
              <w:t>药料粉碎、装药等工序产生的可燃粉尘遇火源发生连锁爆炸</w:t>
            </w:r>
          </w:p>
        </w:tc>
      </w:tr>
      <w:tr w14:paraId="08719D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9" w:type="dxa"/>
            <w:vAlign w:val="center"/>
          </w:tcPr>
          <w:p w14:paraId="7065DCC4">
            <w:pPr>
              <w:jc w:val="center"/>
              <w:rPr>
                <w:rFonts w:ascii="宋体" w:hAnsi="宋体" w:cs="宋体"/>
                <w:b w:val="0"/>
                <w:szCs w:val="21"/>
              </w:rPr>
            </w:pPr>
            <w:r>
              <w:rPr>
                <w:rFonts w:hint="eastAsia" w:ascii="宋体" w:hAnsi="宋体" w:cs="宋体"/>
                <w:b w:val="0"/>
                <w:szCs w:val="21"/>
              </w:rPr>
              <w:t>4</w:t>
            </w:r>
          </w:p>
        </w:tc>
        <w:tc>
          <w:tcPr>
            <w:tcW w:w="1584" w:type="dxa"/>
            <w:vAlign w:val="center"/>
          </w:tcPr>
          <w:p w14:paraId="4228C50C">
            <w:pPr>
              <w:jc w:val="center"/>
              <w:rPr>
                <w:rFonts w:ascii="宋体" w:hAnsi="宋体" w:cs="宋体"/>
                <w:b w:val="0"/>
                <w:szCs w:val="21"/>
              </w:rPr>
            </w:pPr>
            <w:r>
              <w:rPr>
                <w:rFonts w:hint="eastAsia" w:ascii="宋体" w:hAnsi="宋体" w:cs="宋体"/>
                <w:b w:val="0"/>
                <w:szCs w:val="21"/>
                <w:shd w:val="clear" w:color="auto" w:fill="FFFFFF"/>
              </w:rPr>
              <w:t>其他可燃固体爆炸</w:t>
            </w:r>
          </w:p>
        </w:tc>
        <w:tc>
          <w:tcPr>
            <w:tcW w:w="6265" w:type="dxa"/>
            <w:vAlign w:val="center"/>
          </w:tcPr>
          <w:p w14:paraId="36961653">
            <w:pPr>
              <w:rPr>
                <w:rFonts w:ascii="宋体" w:hAnsi="宋体" w:cs="宋体"/>
                <w:b w:val="0"/>
                <w:szCs w:val="21"/>
              </w:rPr>
            </w:pPr>
            <w:r>
              <w:rPr>
                <w:rFonts w:hint="eastAsia" w:ascii="宋体" w:hAnsi="宋体" w:cs="宋体"/>
                <w:b w:val="0"/>
                <w:szCs w:val="21"/>
                <w:shd w:val="clear" w:color="auto" w:fill="FFFFFF"/>
              </w:rPr>
              <w:t>除粉尘、民用爆炸物品、烟花爆竹之外的可燃固体发生爆炸造成的事故</w:t>
            </w:r>
          </w:p>
        </w:tc>
      </w:tr>
      <w:tr w14:paraId="36915A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9" w:type="dxa"/>
            <w:vAlign w:val="center"/>
          </w:tcPr>
          <w:p w14:paraId="2456C39C">
            <w:pPr>
              <w:jc w:val="center"/>
              <w:rPr>
                <w:rFonts w:ascii="宋体" w:hAnsi="宋体" w:cs="宋体"/>
                <w:b w:val="0"/>
                <w:szCs w:val="21"/>
              </w:rPr>
            </w:pPr>
            <w:r>
              <w:rPr>
                <w:rFonts w:hint="eastAsia" w:ascii="宋体" w:hAnsi="宋体" w:cs="宋体"/>
                <w:b w:val="0"/>
                <w:szCs w:val="21"/>
              </w:rPr>
              <w:t>5</w:t>
            </w:r>
          </w:p>
        </w:tc>
        <w:tc>
          <w:tcPr>
            <w:tcW w:w="1584" w:type="dxa"/>
            <w:vAlign w:val="center"/>
          </w:tcPr>
          <w:p w14:paraId="44E1EF34">
            <w:pPr>
              <w:jc w:val="center"/>
              <w:rPr>
                <w:rFonts w:ascii="宋体" w:hAnsi="宋体" w:cs="宋体"/>
                <w:b w:val="0"/>
                <w:szCs w:val="21"/>
              </w:rPr>
            </w:pPr>
            <w:r>
              <w:rPr>
                <w:rFonts w:hint="eastAsia" w:ascii="宋体" w:hAnsi="宋体" w:cs="宋体"/>
                <w:b w:val="0"/>
                <w:szCs w:val="21"/>
                <w:shd w:val="clear" w:color="auto" w:fill="FFFFFF"/>
              </w:rPr>
              <w:t>机械致害</w:t>
            </w:r>
          </w:p>
        </w:tc>
        <w:tc>
          <w:tcPr>
            <w:tcW w:w="6265" w:type="dxa"/>
            <w:vAlign w:val="center"/>
          </w:tcPr>
          <w:p w14:paraId="1E3E45E4">
            <w:pPr>
              <w:rPr>
                <w:rFonts w:ascii="宋体" w:hAnsi="宋体" w:cs="宋体"/>
                <w:b w:val="0"/>
                <w:szCs w:val="21"/>
              </w:rPr>
            </w:pPr>
            <w:r>
              <w:rPr>
                <w:rFonts w:hint="eastAsia" w:ascii="宋体" w:hAnsi="宋体" w:cs="宋体"/>
                <w:b w:val="0"/>
                <w:szCs w:val="21"/>
                <w:shd w:val="clear" w:color="auto" w:fill="FFFFFF"/>
              </w:rPr>
              <w:t>机械设备运动或静止部件、工具等与人体接触引起的夹击、碰撞、剪切、卷入、割刺等伤害</w:t>
            </w:r>
          </w:p>
        </w:tc>
      </w:tr>
      <w:tr w14:paraId="097DC7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689" w:type="dxa"/>
            <w:vAlign w:val="center"/>
          </w:tcPr>
          <w:p w14:paraId="3C5D3D1A">
            <w:pPr>
              <w:jc w:val="center"/>
              <w:rPr>
                <w:rFonts w:ascii="宋体" w:hAnsi="宋体" w:cs="宋体"/>
                <w:b w:val="0"/>
                <w:szCs w:val="21"/>
              </w:rPr>
            </w:pPr>
            <w:r>
              <w:rPr>
                <w:rFonts w:hint="eastAsia" w:ascii="宋体" w:hAnsi="宋体" w:cs="宋体"/>
                <w:b w:val="0"/>
                <w:szCs w:val="21"/>
              </w:rPr>
              <w:t>6</w:t>
            </w:r>
          </w:p>
        </w:tc>
        <w:tc>
          <w:tcPr>
            <w:tcW w:w="1584" w:type="dxa"/>
            <w:vAlign w:val="center"/>
          </w:tcPr>
          <w:p w14:paraId="0E0DAD00">
            <w:pPr>
              <w:jc w:val="center"/>
              <w:rPr>
                <w:rFonts w:ascii="宋体" w:hAnsi="宋体" w:cs="宋体"/>
                <w:b w:val="0"/>
                <w:szCs w:val="21"/>
              </w:rPr>
            </w:pPr>
            <w:r>
              <w:rPr>
                <w:rFonts w:hint="eastAsia" w:ascii="宋体" w:hAnsi="宋体" w:cs="宋体"/>
                <w:b w:val="0"/>
                <w:szCs w:val="21"/>
                <w:shd w:val="clear" w:color="auto" w:fill="FFFFFF"/>
              </w:rPr>
              <w:t>起重致害</w:t>
            </w:r>
          </w:p>
        </w:tc>
        <w:tc>
          <w:tcPr>
            <w:tcW w:w="6265" w:type="dxa"/>
            <w:vAlign w:val="center"/>
          </w:tcPr>
          <w:p w14:paraId="3BDDBDB0">
            <w:pPr>
              <w:rPr>
                <w:rFonts w:ascii="宋体" w:hAnsi="宋体" w:cs="宋体"/>
                <w:b w:val="0"/>
                <w:szCs w:val="21"/>
              </w:rPr>
            </w:pPr>
            <w:r>
              <w:rPr>
                <w:rFonts w:hint="eastAsia" w:ascii="宋体" w:hAnsi="宋体" w:cs="宋体"/>
                <w:b w:val="0"/>
                <w:szCs w:val="21"/>
                <w:shd w:val="clear" w:color="auto" w:fill="FFFFFF"/>
              </w:rPr>
              <w:t>起重设备在建筑施工、安拆、检修、试验及起重作业过程中因发生挤压、倾覆、折断、倒塌、部件坠落、吊具打击等造成的事故</w:t>
            </w:r>
          </w:p>
        </w:tc>
      </w:tr>
      <w:tr w14:paraId="174A91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9" w:type="dxa"/>
            <w:vAlign w:val="center"/>
          </w:tcPr>
          <w:p w14:paraId="2879C76F">
            <w:pPr>
              <w:jc w:val="center"/>
              <w:rPr>
                <w:rFonts w:ascii="宋体" w:hAnsi="宋体" w:cs="宋体"/>
                <w:b w:val="0"/>
                <w:szCs w:val="21"/>
              </w:rPr>
            </w:pPr>
            <w:r>
              <w:rPr>
                <w:rFonts w:hint="eastAsia" w:ascii="宋体" w:hAnsi="宋体" w:cs="宋体"/>
                <w:b w:val="0"/>
                <w:szCs w:val="21"/>
              </w:rPr>
              <w:t>7</w:t>
            </w:r>
          </w:p>
        </w:tc>
        <w:tc>
          <w:tcPr>
            <w:tcW w:w="1584" w:type="dxa"/>
            <w:vAlign w:val="center"/>
          </w:tcPr>
          <w:p w14:paraId="3AE978C8">
            <w:pPr>
              <w:jc w:val="center"/>
              <w:rPr>
                <w:rFonts w:ascii="宋体" w:hAnsi="宋体" w:cs="宋体"/>
                <w:b w:val="0"/>
                <w:szCs w:val="21"/>
              </w:rPr>
            </w:pPr>
            <w:r>
              <w:rPr>
                <w:rFonts w:hint="eastAsia" w:ascii="宋体" w:hAnsi="宋体" w:cs="宋体"/>
                <w:b w:val="0"/>
                <w:szCs w:val="21"/>
                <w:shd w:val="clear" w:color="auto" w:fill="FFFFFF"/>
              </w:rPr>
              <w:t>物体打击</w:t>
            </w:r>
          </w:p>
        </w:tc>
        <w:tc>
          <w:tcPr>
            <w:tcW w:w="6265" w:type="dxa"/>
            <w:vAlign w:val="center"/>
          </w:tcPr>
          <w:p w14:paraId="5E794365">
            <w:pPr>
              <w:rPr>
                <w:rFonts w:ascii="宋体" w:hAnsi="宋体" w:cs="宋体"/>
                <w:b w:val="0"/>
                <w:szCs w:val="21"/>
              </w:rPr>
            </w:pPr>
            <w:r>
              <w:rPr>
                <w:rFonts w:hint="eastAsia" w:ascii="宋体" w:hAnsi="宋体" w:cs="宋体"/>
                <w:b w:val="0"/>
                <w:szCs w:val="21"/>
                <w:shd w:val="clear" w:color="auto" w:fill="FFFFFF"/>
              </w:rPr>
              <w:t>在重力、应力或其他外力作用下物体由于惯性造成的事故</w:t>
            </w:r>
          </w:p>
        </w:tc>
      </w:tr>
      <w:tr w14:paraId="26C589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9" w:type="dxa"/>
            <w:vAlign w:val="center"/>
          </w:tcPr>
          <w:p w14:paraId="074EA502">
            <w:pPr>
              <w:jc w:val="center"/>
              <w:rPr>
                <w:rFonts w:ascii="宋体" w:hAnsi="宋体" w:cs="宋体"/>
                <w:b w:val="0"/>
                <w:szCs w:val="21"/>
              </w:rPr>
            </w:pPr>
            <w:r>
              <w:rPr>
                <w:rFonts w:hint="eastAsia" w:ascii="宋体" w:hAnsi="宋体" w:cs="宋体"/>
                <w:b w:val="0"/>
                <w:szCs w:val="21"/>
              </w:rPr>
              <w:t>8</w:t>
            </w:r>
          </w:p>
        </w:tc>
        <w:tc>
          <w:tcPr>
            <w:tcW w:w="1584" w:type="dxa"/>
            <w:vAlign w:val="center"/>
          </w:tcPr>
          <w:p w14:paraId="42D3C5F3">
            <w:pPr>
              <w:jc w:val="center"/>
              <w:rPr>
                <w:rFonts w:ascii="宋体" w:hAnsi="宋体" w:cs="宋体"/>
                <w:b w:val="0"/>
                <w:szCs w:val="21"/>
                <w:shd w:val="clear" w:color="auto" w:fill="FFFFFF"/>
              </w:rPr>
            </w:pPr>
            <w:r>
              <w:rPr>
                <w:rFonts w:hint="eastAsia" w:ascii="宋体" w:hAnsi="宋体" w:cs="宋体"/>
                <w:b w:val="0"/>
                <w:szCs w:val="21"/>
                <w:shd w:val="clear" w:color="auto" w:fill="FFFFFF"/>
              </w:rPr>
              <w:t>触电</w:t>
            </w:r>
          </w:p>
        </w:tc>
        <w:tc>
          <w:tcPr>
            <w:tcW w:w="6265" w:type="dxa"/>
            <w:vAlign w:val="center"/>
          </w:tcPr>
          <w:p w14:paraId="61D6CCF0">
            <w:pPr>
              <w:rPr>
                <w:rFonts w:ascii="宋体" w:hAnsi="宋体" w:cs="宋体"/>
                <w:b w:val="0"/>
                <w:szCs w:val="21"/>
                <w:shd w:val="clear" w:color="auto" w:fill="FFFFFF"/>
              </w:rPr>
            </w:pPr>
            <w:r>
              <w:rPr>
                <w:rFonts w:hint="eastAsia" w:ascii="宋体" w:hAnsi="宋体" w:cs="宋体"/>
                <w:b w:val="0"/>
                <w:szCs w:val="21"/>
                <w:shd w:val="clear" w:color="auto" w:fill="FFFFFF"/>
              </w:rPr>
              <w:t>电流通过人体造成的伤害事故</w:t>
            </w:r>
          </w:p>
        </w:tc>
      </w:tr>
      <w:tr w14:paraId="4727AA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9" w:type="dxa"/>
            <w:vAlign w:val="center"/>
          </w:tcPr>
          <w:p w14:paraId="448FD02E">
            <w:pPr>
              <w:jc w:val="center"/>
              <w:rPr>
                <w:rFonts w:ascii="宋体" w:hAnsi="宋体" w:cs="宋体"/>
                <w:b w:val="0"/>
                <w:szCs w:val="21"/>
              </w:rPr>
            </w:pPr>
            <w:r>
              <w:rPr>
                <w:rFonts w:hint="eastAsia" w:ascii="宋体" w:hAnsi="宋体" w:cs="宋体"/>
                <w:b w:val="0"/>
                <w:szCs w:val="21"/>
              </w:rPr>
              <w:t>9</w:t>
            </w:r>
          </w:p>
        </w:tc>
        <w:tc>
          <w:tcPr>
            <w:tcW w:w="1584" w:type="dxa"/>
            <w:vAlign w:val="center"/>
          </w:tcPr>
          <w:p w14:paraId="076D0C39">
            <w:pPr>
              <w:jc w:val="center"/>
              <w:rPr>
                <w:rFonts w:ascii="宋体" w:hAnsi="宋体" w:cs="宋体"/>
                <w:b w:val="0"/>
                <w:szCs w:val="21"/>
                <w:shd w:val="clear" w:color="auto" w:fill="FFFFFF"/>
              </w:rPr>
            </w:pPr>
            <w:r>
              <w:rPr>
                <w:rFonts w:hint="eastAsia" w:ascii="宋体" w:hAnsi="宋体" w:cs="宋体"/>
                <w:b w:val="0"/>
                <w:szCs w:val="21"/>
                <w:shd w:val="clear" w:color="auto" w:fill="FFFFFF"/>
              </w:rPr>
              <w:t>淹溺</w:t>
            </w:r>
          </w:p>
        </w:tc>
        <w:tc>
          <w:tcPr>
            <w:tcW w:w="6265" w:type="dxa"/>
            <w:vAlign w:val="center"/>
          </w:tcPr>
          <w:p w14:paraId="2166DABC">
            <w:pPr>
              <w:rPr>
                <w:rFonts w:ascii="宋体" w:hAnsi="宋体" w:cs="宋体"/>
                <w:b w:val="0"/>
                <w:szCs w:val="21"/>
                <w:shd w:val="clear" w:color="auto" w:fill="FFFFFF"/>
              </w:rPr>
            </w:pPr>
            <w:r>
              <w:rPr>
                <w:rFonts w:hint="eastAsia" w:ascii="宋体" w:hAnsi="宋体" w:cs="宋体"/>
                <w:b w:val="0"/>
                <w:szCs w:val="21"/>
                <w:shd w:val="clear" w:color="auto" w:fill="FFFFFF"/>
              </w:rPr>
              <w:t>消防水池、高位水池清洗或维护等造成液体淹没呼吸道导致的窒息伤害</w:t>
            </w:r>
          </w:p>
        </w:tc>
      </w:tr>
      <w:tr w14:paraId="0B0437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9" w:type="dxa"/>
            <w:vAlign w:val="center"/>
          </w:tcPr>
          <w:p w14:paraId="4160CDFB">
            <w:pPr>
              <w:jc w:val="center"/>
              <w:rPr>
                <w:rFonts w:ascii="宋体" w:hAnsi="宋体" w:cs="宋体"/>
                <w:b w:val="0"/>
                <w:szCs w:val="21"/>
              </w:rPr>
            </w:pPr>
            <w:r>
              <w:rPr>
                <w:rFonts w:hint="eastAsia" w:ascii="宋体" w:hAnsi="宋体" w:cs="宋体"/>
                <w:b w:val="0"/>
                <w:szCs w:val="21"/>
              </w:rPr>
              <w:t>10</w:t>
            </w:r>
          </w:p>
        </w:tc>
        <w:tc>
          <w:tcPr>
            <w:tcW w:w="1584" w:type="dxa"/>
            <w:vAlign w:val="center"/>
          </w:tcPr>
          <w:p w14:paraId="49024018">
            <w:pPr>
              <w:jc w:val="center"/>
              <w:rPr>
                <w:rFonts w:ascii="宋体" w:hAnsi="宋体" w:cs="宋体"/>
                <w:b w:val="0"/>
                <w:szCs w:val="21"/>
                <w:shd w:val="clear" w:color="auto" w:fill="FFFFFF"/>
              </w:rPr>
            </w:pPr>
            <w:r>
              <w:rPr>
                <w:rFonts w:hint="eastAsia" w:ascii="宋体" w:hAnsi="宋体" w:cs="宋体"/>
                <w:b w:val="0"/>
                <w:szCs w:val="21"/>
                <w:shd w:val="clear" w:color="auto" w:fill="FFFFFF"/>
              </w:rPr>
              <w:t>灼烫</w:t>
            </w:r>
          </w:p>
        </w:tc>
        <w:tc>
          <w:tcPr>
            <w:tcW w:w="6265" w:type="dxa"/>
            <w:vAlign w:val="center"/>
          </w:tcPr>
          <w:p w14:paraId="151AC02F">
            <w:pPr>
              <w:rPr>
                <w:rFonts w:ascii="宋体" w:hAnsi="宋体" w:cs="宋体"/>
                <w:b w:val="0"/>
                <w:szCs w:val="21"/>
                <w:shd w:val="clear" w:color="auto" w:fill="FFFFFF"/>
              </w:rPr>
            </w:pPr>
            <w:r>
              <w:rPr>
                <w:rFonts w:hint="eastAsia" w:ascii="宋体" w:hAnsi="宋体" w:cs="宋体"/>
                <w:b w:val="0"/>
                <w:szCs w:val="21"/>
                <w:shd w:val="clear" w:color="auto" w:fill="FFFFFF"/>
              </w:rPr>
              <w:t>高温物体或物质接触人体造成的伤害</w:t>
            </w:r>
          </w:p>
        </w:tc>
      </w:tr>
      <w:tr w14:paraId="2713A9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9" w:type="dxa"/>
            <w:vAlign w:val="center"/>
          </w:tcPr>
          <w:p w14:paraId="2EA27E60">
            <w:pPr>
              <w:jc w:val="center"/>
              <w:rPr>
                <w:rFonts w:ascii="宋体" w:hAnsi="宋体" w:cs="宋体"/>
                <w:b w:val="0"/>
                <w:szCs w:val="21"/>
              </w:rPr>
            </w:pPr>
            <w:r>
              <w:rPr>
                <w:rFonts w:hint="eastAsia" w:ascii="宋体" w:hAnsi="宋体" w:cs="宋体"/>
                <w:b w:val="0"/>
                <w:szCs w:val="21"/>
              </w:rPr>
              <w:t>11</w:t>
            </w:r>
          </w:p>
        </w:tc>
        <w:tc>
          <w:tcPr>
            <w:tcW w:w="1584" w:type="dxa"/>
            <w:vAlign w:val="center"/>
          </w:tcPr>
          <w:p w14:paraId="64A737E3">
            <w:pPr>
              <w:jc w:val="center"/>
              <w:rPr>
                <w:rFonts w:ascii="宋体" w:hAnsi="宋体" w:cs="宋体"/>
                <w:b w:val="0"/>
                <w:szCs w:val="21"/>
                <w:shd w:val="clear" w:color="auto" w:fill="FFFFFF"/>
              </w:rPr>
            </w:pPr>
            <w:r>
              <w:rPr>
                <w:rFonts w:hint="eastAsia" w:ascii="宋体" w:hAnsi="宋体" w:cs="宋体"/>
                <w:b w:val="0"/>
                <w:szCs w:val="21"/>
                <w:shd w:val="clear" w:color="auto" w:fill="FFFFFF"/>
              </w:rPr>
              <w:t>高处坠落</w:t>
            </w:r>
          </w:p>
        </w:tc>
        <w:tc>
          <w:tcPr>
            <w:tcW w:w="6265" w:type="dxa"/>
            <w:vAlign w:val="center"/>
          </w:tcPr>
          <w:p w14:paraId="43D0D76A">
            <w:pPr>
              <w:rPr>
                <w:rFonts w:ascii="宋体" w:hAnsi="宋体" w:cs="宋体"/>
                <w:b w:val="0"/>
                <w:szCs w:val="21"/>
                <w:shd w:val="clear" w:color="auto" w:fill="FFFFFF"/>
              </w:rPr>
            </w:pPr>
            <w:r>
              <w:rPr>
                <w:rFonts w:hint="eastAsia" w:ascii="宋体" w:hAnsi="宋体" w:cs="宋体"/>
                <w:b w:val="0"/>
                <w:szCs w:val="21"/>
                <w:shd w:val="clear" w:color="auto" w:fill="FFFFFF"/>
              </w:rPr>
              <w:t>从高处跌落导致的伤害，包括脚手架、检修屋顶作业坠落等</w:t>
            </w:r>
          </w:p>
        </w:tc>
      </w:tr>
      <w:tr w14:paraId="4E818F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9" w:type="dxa"/>
            <w:vAlign w:val="center"/>
          </w:tcPr>
          <w:p w14:paraId="7AFC7E77">
            <w:pPr>
              <w:jc w:val="center"/>
              <w:rPr>
                <w:rFonts w:ascii="宋体" w:hAnsi="宋体" w:cs="宋体"/>
                <w:b w:val="0"/>
                <w:szCs w:val="21"/>
              </w:rPr>
            </w:pPr>
            <w:r>
              <w:rPr>
                <w:rFonts w:hint="eastAsia" w:ascii="宋体" w:hAnsi="宋体" w:cs="宋体"/>
                <w:b w:val="0"/>
                <w:szCs w:val="21"/>
              </w:rPr>
              <w:t>12</w:t>
            </w:r>
          </w:p>
        </w:tc>
        <w:tc>
          <w:tcPr>
            <w:tcW w:w="1584" w:type="dxa"/>
            <w:vAlign w:val="center"/>
          </w:tcPr>
          <w:p w14:paraId="06F54735">
            <w:pPr>
              <w:jc w:val="center"/>
              <w:rPr>
                <w:rFonts w:ascii="宋体" w:hAnsi="宋体" w:cs="宋体"/>
                <w:b w:val="0"/>
                <w:szCs w:val="21"/>
                <w:shd w:val="clear" w:color="auto" w:fill="FFFFFF"/>
              </w:rPr>
            </w:pPr>
            <w:r>
              <w:rPr>
                <w:rFonts w:hint="eastAsia" w:ascii="宋体" w:hAnsi="宋体" w:cs="宋体"/>
                <w:b w:val="0"/>
                <w:szCs w:val="21"/>
                <w:shd w:val="clear" w:color="auto" w:fill="FFFFFF"/>
              </w:rPr>
              <w:t>跌落</w:t>
            </w:r>
          </w:p>
        </w:tc>
        <w:tc>
          <w:tcPr>
            <w:tcW w:w="6265" w:type="dxa"/>
            <w:vAlign w:val="center"/>
          </w:tcPr>
          <w:p w14:paraId="10BF77C6">
            <w:pPr>
              <w:rPr>
                <w:rFonts w:ascii="宋体" w:hAnsi="宋体" w:cs="宋体"/>
                <w:b w:val="0"/>
                <w:szCs w:val="21"/>
                <w:shd w:val="clear" w:color="auto" w:fill="FFFFFF"/>
              </w:rPr>
            </w:pPr>
            <w:r>
              <w:rPr>
                <w:rFonts w:hint="eastAsia" w:ascii="宋体" w:hAnsi="宋体" w:cs="宋体"/>
                <w:b w:val="0"/>
                <w:szCs w:val="21"/>
                <w:shd w:val="clear" w:color="auto" w:fill="FFFFFF"/>
              </w:rPr>
              <w:t>2米以下的车间地面滑倒、绊倒、操作台检修导致人员摔伤</w:t>
            </w:r>
          </w:p>
        </w:tc>
      </w:tr>
      <w:tr w14:paraId="22308C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9" w:type="dxa"/>
            <w:vAlign w:val="center"/>
          </w:tcPr>
          <w:p w14:paraId="03345C3E">
            <w:pPr>
              <w:jc w:val="center"/>
              <w:rPr>
                <w:rFonts w:ascii="宋体" w:hAnsi="宋体" w:cs="宋体"/>
                <w:b w:val="0"/>
                <w:szCs w:val="21"/>
              </w:rPr>
            </w:pPr>
            <w:r>
              <w:rPr>
                <w:rFonts w:hint="eastAsia" w:ascii="宋体" w:hAnsi="宋体" w:cs="宋体"/>
                <w:b w:val="0"/>
                <w:szCs w:val="21"/>
              </w:rPr>
              <w:t>13</w:t>
            </w:r>
          </w:p>
        </w:tc>
        <w:tc>
          <w:tcPr>
            <w:tcW w:w="1584" w:type="dxa"/>
            <w:vAlign w:val="center"/>
          </w:tcPr>
          <w:p w14:paraId="77393684">
            <w:pPr>
              <w:jc w:val="center"/>
              <w:rPr>
                <w:rFonts w:ascii="宋体" w:hAnsi="宋体" w:cs="宋体"/>
                <w:b w:val="0"/>
                <w:szCs w:val="21"/>
                <w:shd w:val="clear" w:color="auto" w:fill="FFFFFF"/>
              </w:rPr>
            </w:pPr>
            <w:r>
              <w:rPr>
                <w:rFonts w:hint="eastAsia" w:ascii="宋体" w:hAnsi="宋体" w:cs="宋体"/>
                <w:b w:val="0"/>
                <w:szCs w:val="21"/>
                <w:shd w:val="clear" w:color="auto" w:fill="FFFFFF"/>
              </w:rPr>
              <w:t>坍塌</w:t>
            </w:r>
          </w:p>
        </w:tc>
        <w:tc>
          <w:tcPr>
            <w:tcW w:w="6265" w:type="dxa"/>
            <w:vAlign w:val="center"/>
          </w:tcPr>
          <w:p w14:paraId="34720076">
            <w:pPr>
              <w:rPr>
                <w:rFonts w:ascii="宋体" w:hAnsi="宋体" w:cs="宋体"/>
                <w:b w:val="0"/>
                <w:szCs w:val="21"/>
                <w:shd w:val="clear" w:color="auto" w:fill="FFFFFF"/>
              </w:rPr>
            </w:pPr>
            <w:r>
              <w:rPr>
                <w:rFonts w:hint="eastAsia" w:ascii="宋体" w:hAnsi="宋体" w:cs="宋体"/>
                <w:b w:val="0"/>
                <w:szCs w:val="21"/>
                <w:shd w:val="clear" w:color="auto" w:fill="FFFFFF"/>
              </w:rPr>
              <w:t>建筑物、构筑物或土石方倒塌伤害</w:t>
            </w:r>
          </w:p>
        </w:tc>
      </w:tr>
      <w:tr w14:paraId="4AA634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689" w:type="dxa"/>
            <w:vAlign w:val="center"/>
          </w:tcPr>
          <w:p w14:paraId="6938158E">
            <w:pPr>
              <w:jc w:val="center"/>
              <w:rPr>
                <w:rFonts w:ascii="宋体" w:hAnsi="宋体" w:cs="宋体"/>
                <w:b w:val="0"/>
                <w:szCs w:val="21"/>
              </w:rPr>
            </w:pPr>
            <w:r>
              <w:rPr>
                <w:rFonts w:hint="eastAsia" w:ascii="宋体" w:hAnsi="宋体" w:cs="宋体"/>
                <w:b w:val="0"/>
                <w:szCs w:val="21"/>
              </w:rPr>
              <w:t>14</w:t>
            </w:r>
          </w:p>
        </w:tc>
        <w:tc>
          <w:tcPr>
            <w:tcW w:w="1584" w:type="dxa"/>
            <w:vAlign w:val="center"/>
          </w:tcPr>
          <w:p w14:paraId="42D545AD">
            <w:pPr>
              <w:jc w:val="center"/>
              <w:rPr>
                <w:rFonts w:ascii="宋体" w:hAnsi="宋体" w:cs="宋体"/>
                <w:b w:val="0"/>
                <w:szCs w:val="21"/>
                <w:shd w:val="clear" w:color="auto" w:fill="FFFFFF"/>
              </w:rPr>
            </w:pPr>
            <w:r>
              <w:rPr>
                <w:rFonts w:hint="eastAsia" w:ascii="宋体" w:hAnsi="宋体" w:cs="宋体"/>
                <w:b w:val="0"/>
                <w:szCs w:val="21"/>
                <w:shd w:val="clear" w:color="auto" w:fill="FFFFFF"/>
              </w:rPr>
              <w:t>中毒</w:t>
            </w:r>
          </w:p>
        </w:tc>
        <w:tc>
          <w:tcPr>
            <w:tcW w:w="6265" w:type="dxa"/>
            <w:vAlign w:val="center"/>
          </w:tcPr>
          <w:p w14:paraId="7FDF3EF1">
            <w:pPr>
              <w:rPr>
                <w:rFonts w:ascii="宋体" w:hAnsi="宋体" w:cs="宋体"/>
                <w:b w:val="0"/>
                <w:szCs w:val="21"/>
                <w:shd w:val="clear" w:color="auto" w:fill="FFFFFF"/>
              </w:rPr>
            </w:pPr>
            <w:r>
              <w:rPr>
                <w:rFonts w:hint="eastAsia" w:ascii="宋体" w:hAnsi="宋体" w:cs="宋体"/>
                <w:b w:val="0"/>
                <w:szCs w:val="21"/>
                <w:shd w:val="clear" w:color="auto" w:fill="FFFFFF"/>
              </w:rPr>
              <w:t>有毒物质侵入人体造成的伤害，溶剂库、粉碎车间有毒气体积累等</w:t>
            </w:r>
          </w:p>
        </w:tc>
      </w:tr>
      <w:tr w14:paraId="1602F4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9" w:type="dxa"/>
            <w:vAlign w:val="center"/>
          </w:tcPr>
          <w:p w14:paraId="5ACEACE1">
            <w:pPr>
              <w:jc w:val="center"/>
              <w:rPr>
                <w:rFonts w:ascii="宋体" w:hAnsi="宋体" w:cs="宋体"/>
                <w:b w:val="0"/>
                <w:szCs w:val="21"/>
              </w:rPr>
            </w:pPr>
            <w:r>
              <w:rPr>
                <w:rFonts w:hint="eastAsia" w:ascii="宋体" w:hAnsi="宋体" w:cs="宋体"/>
                <w:b w:val="0"/>
                <w:szCs w:val="21"/>
              </w:rPr>
              <w:t>15</w:t>
            </w:r>
          </w:p>
        </w:tc>
        <w:tc>
          <w:tcPr>
            <w:tcW w:w="1584" w:type="dxa"/>
            <w:vAlign w:val="center"/>
          </w:tcPr>
          <w:p w14:paraId="3864EBFA">
            <w:pPr>
              <w:jc w:val="center"/>
              <w:rPr>
                <w:rFonts w:ascii="宋体" w:hAnsi="宋体" w:cs="宋体"/>
                <w:b w:val="0"/>
                <w:szCs w:val="21"/>
                <w:shd w:val="clear" w:color="auto" w:fill="FFFFFF"/>
              </w:rPr>
            </w:pPr>
            <w:r>
              <w:rPr>
                <w:rFonts w:hint="eastAsia" w:ascii="宋体" w:hAnsi="宋体" w:cs="宋体"/>
                <w:b w:val="0"/>
                <w:szCs w:val="21"/>
                <w:shd w:val="clear" w:color="auto" w:fill="FFFFFF"/>
              </w:rPr>
              <w:t>滑坡</w:t>
            </w:r>
          </w:p>
        </w:tc>
        <w:tc>
          <w:tcPr>
            <w:tcW w:w="6265" w:type="dxa"/>
            <w:vAlign w:val="center"/>
          </w:tcPr>
          <w:p w14:paraId="4B5920E2">
            <w:pPr>
              <w:rPr>
                <w:rFonts w:ascii="宋体" w:hAnsi="宋体" w:cs="宋体"/>
                <w:b w:val="0"/>
                <w:szCs w:val="21"/>
                <w:shd w:val="clear" w:color="auto" w:fill="FFFFFF"/>
              </w:rPr>
            </w:pPr>
            <w:r>
              <w:rPr>
                <w:rFonts w:hint="eastAsia" w:ascii="宋体" w:hAnsi="宋体" w:cs="宋体"/>
                <w:b w:val="0"/>
                <w:szCs w:val="21"/>
                <w:shd w:val="clear" w:color="auto" w:fill="FFFFFF"/>
              </w:rPr>
              <w:t>依山建设的厂区周边边坡失稳下滑，冲击工房</w:t>
            </w:r>
          </w:p>
        </w:tc>
      </w:tr>
      <w:tr w14:paraId="702B9C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89" w:type="dxa"/>
            <w:vAlign w:val="center"/>
          </w:tcPr>
          <w:p w14:paraId="3BA389D3">
            <w:pPr>
              <w:jc w:val="center"/>
              <w:rPr>
                <w:rFonts w:ascii="宋体" w:hAnsi="宋体" w:cs="宋体"/>
                <w:b w:val="0"/>
                <w:szCs w:val="21"/>
              </w:rPr>
            </w:pPr>
            <w:r>
              <w:rPr>
                <w:rFonts w:hint="eastAsia" w:ascii="宋体" w:hAnsi="宋体" w:cs="宋体"/>
                <w:b w:val="0"/>
                <w:szCs w:val="21"/>
              </w:rPr>
              <w:t>16</w:t>
            </w:r>
          </w:p>
        </w:tc>
        <w:tc>
          <w:tcPr>
            <w:tcW w:w="1584" w:type="dxa"/>
            <w:vAlign w:val="center"/>
          </w:tcPr>
          <w:p w14:paraId="62523908">
            <w:pPr>
              <w:jc w:val="center"/>
              <w:rPr>
                <w:rFonts w:ascii="宋体" w:hAnsi="宋体" w:cs="宋体"/>
                <w:b w:val="0"/>
                <w:szCs w:val="21"/>
                <w:shd w:val="clear" w:color="auto" w:fill="FFFFFF"/>
              </w:rPr>
            </w:pPr>
            <w:r>
              <w:rPr>
                <w:rFonts w:hint="eastAsia" w:ascii="宋体" w:hAnsi="宋体" w:cs="宋体"/>
                <w:b w:val="0"/>
                <w:szCs w:val="21"/>
                <w:shd w:val="clear" w:color="auto" w:fill="FFFFFF"/>
              </w:rPr>
              <w:t>厂(场)内车辆致害</w:t>
            </w:r>
          </w:p>
        </w:tc>
        <w:tc>
          <w:tcPr>
            <w:tcW w:w="6265" w:type="dxa"/>
            <w:vAlign w:val="center"/>
          </w:tcPr>
          <w:p w14:paraId="3844457A">
            <w:pPr>
              <w:rPr>
                <w:rFonts w:ascii="宋体" w:hAnsi="宋体" w:cs="宋体"/>
                <w:b w:val="0"/>
                <w:szCs w:val="21"/>
                <w:shd w:val="clear" w:color="auto" w:fill="FFFFFF"/>
              </w:rPr>
            </w:pPr>
            <w:r>
              <w:rPr>
                <w:rFonts w:hint="eastAsia" w:ascii="宋体" w:hAnsi="宋体" w:cs="宋体"/>
                <w:b w:val="0"/>
                <w:szCs w:val="21"/>
                <w:shd w:val="clear" w:color="auto" w:fill="FFFFFF"/>
              </w:rPr>
              <w:t>企业场内机动车辆行驶中引发的事故</w:t>
            </w:r>
          </w:p>
        </w:tc>
      </w:tr>
      <w:tr w14:paraId="20B973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89" w:type="dxa"/>
            <w:vAlign w:val="center"/>
          </w:tcPr>
          <w:p w14:paraId="78CE94EE">
            <w:pPr>
              <w:jc w:val="center"/>
              <w:rPr>
                <w:rFonts w:ascii="宋体" w:hAnsi="宋体" w:cs="宋体"/>
                <w:b w:val="0"/>
                <w:szCs w:val="21"/>
              </w:rPr>
            </w:pPr>
            <w:r>
              <w:rPr>
                <w:rFonts w:hint="eastAsia" w:ascii="宋体" w:hAnsi="宋体" w:cs="宋体"/>
                <w:b w:val="0"/>
                <w:szCs w:val="21"/>
              </w:rPr>
              <w:t>17</w:t>
            </w:r>
          </w:p>
        </w:tc>
        <w:tc>
          <w:tcPr>
            <w:tcW w:w="1584" w:type="dxa"/>
            <w:vAlign w:val="center"/>
          </w:tcPr>
          <w:p w14:paraId="7E5F1F48">
            <w:pPr>
              <w:jc w:val="center"/>
              <w:rPr>
                <w:rFonts w:ascii="宋体" w:hAnsi="宋体" w:cs="宋体"/>
                <w:b w:val="0"/>
                <w:szCs w:val="21"/>
                <w:shd w:val="clear" w:color="auto" w:fill="FFFFFF"/>
              </w:rPr>
            </w:pPr>
            <w:r>
              <w:rPr>
                <w:rFonts w:hint="eastAsia" w:ascii="宋体" w:hAnsi="宋体" w:cs="宋体"/>
                <w:b w:val="0"/>
                <w:szCs w:val="21"/>
                <w:shd w:val="clear" w:color="auto" w:fill="FFFFFF"/>
              </w:rPr>
              <w:t>其他</w:t>
            </w:r>
          </w:p>
        </w:tc>
        <w:tc>
          <w:tcPr>
            <w:tcW w:w="6265" w:type="dxa"/>
            <w:vAlign w:val="center"/>
          </w:tcPr>
          <w:p w14:paraId="1E1B9A72">
            <w:pPr>
              <w:rPr>
                <w:rFonts w:ascii="宋体" w:hAnsi="宋体" w:cs="宋体"/>
                <w:b w:val="0"/>
                <w:szCs w:val="21"/>
                <w:shd w:val="clear" w:color="auto" w:fill="FFFFFF"/>
              </w:rPr>
            </w:pPr>
            <w:r>
              <w:rPr>
                <w:rFonts w:hint="eastAsia" w:ascii="宋体" w:hAnsi="宋体" w:cs="宋体"/>
                <w:b w:val="0"/>
                <w:szCs w:val="21"/>
                <w:shd w:val="clear" w:color="auto" w:fill="FFFFFF"/>
              </w:rPr>
              <w:t>未包含在上述分类中的伤害，如动物伤害、极端天气伤害等</w:t>
            </w:r>
          </w:p>
        </w:tc>
      </w:tr>
    </w:tbl>
    <w:p w14:paraId="10CAC0D4">
      <w:pPr>
        <w:keepNext/>
        <w:keepLines/>
        <w:spacing w:before="120" w:beforeLines="50" w:line="360" w:lineRule="auto"/>
        <w:outlineLvl w:val="1"/>
        <w:rPr>
          <w:rFonts w:ascii="黑体" w:hAnsi="黑体" w:eastAsia="黑体"/>
          <w:b w:val="0"/>
          <w:bCs/>
          <w:snapToGrid w:val="0"/>
          <w:sz w:val="32"/>
          <w:szCs w:val="32"/>
        </w:rPr>
      </w:pPr>
      <w:bookmarkStart w:id="186" w:name="_Toc83159005"/>
      <w:bookmarkStart w:id="187" w:name="_Toc188265295"/>
      <w:bookmarkStart w:id="188" w:name="_Toc173077655"/>
      <w:bookmarkStart w:id="189" w:name="_Toc31226"/>
      <w:bookmarkStart w:id="190" w:name="_Toc227869282"/>
      <w:bookmarkStart w:id="191" w:name="_Toc335902396"/>
      <w:bookmarkStart w:id="192" w:name="_Toc202015902"/>
      <w:bookmarkStart w:id="193" w:name="_Toc271898746"/>
      <w:bookmarkStart w:id="194" w:name="_Toc294247808"/>
      <w:r>
        <w:rPr>
          <w:rFonts w:hint="eastAsia" w:ascii="黑体" w:hAnsi="黑体" w:eastAsia="黑体"/>
          <w:b w:val="0"/>
          <w:bCs/>
          <w:snapToGrid w:val="0"/>
          <w:sz w:val="32"/>
          <w:szCs w:val="32"/>
        </w:rPr>
        <w:t>3.3主要原料、半成品、成品的危险有害因素分析</w:t>
      </w:r>
      <w:bookmarkEnd w:id="186"/>
      <w:bookmarkEnd w:id="187"/>
      <w:bookmarkEnd w:id="188"/>
      <w:bookmarkEnd w:id="189"/>
      <w:bookmarkEnd w:id="190"/>
      <w:bookmarkEnd w:id="191"/>
      <w:bookmarkEnd w:id="192"/>
      <w:bookmarkEnd w:id="193"/>
      <w:bookmarkEnd w:id="194"/>
    </w:p>
    <w:p w14:paraId="455A33E0">
      <w:pPr>
        <w:spacing w:line="360" w:lineRule="auto"/>
        <w:ind w:firstLine="560" w:firstLineChars="200"/>
        <w:rPr>
          <w:rFonts w:ascii="宋体" w:hAnsi="宋体" w:cs="Arial"/>
          <w:b w:val="0"/>
          <w:sz w:val="28"/>
        </w:rPr>
      </w:pPr>
      <w:r>
        <w:rPr>
          <w:rFonts w:hint="eastAsia" w:ascii="宋体" w:hAnsi="宋体"/>
          <w:b w:val="0"/>
          <w:snapToGrid w:val="0"/>
          <w:sz w:val="28"/>
          <w:szCs w:val="28"/>
        </w:rPr>
        <w:t>烟花生产中使用的原材料主要为氧化剂、还原剂（可燃物）、特种效应剂和其它辅助材料。该企业拟生产的</w:t>
      </w:r>
      <w:r>
        <w:rPr>
          <w:rFonts w:hint="eastAsia" w:ascii="宋体" w:hAnsi="宋体" w:cs="Arial"/>
          <w:b w:val="0"/>
          <w:sz w:val="28"/>
        </w:rPr>
        <w:t>喷花类（C1级、C2级、D级）、组合烟花（喷花组合，C1级、C2级、D级））产品生产所需原辅材料基本为：氧化剂（高氯酸钾、高氯酸铵、硝酸钾、硝酸钡、氧化铜等）；还原剂（铝粉、铝镁合金、硫磺、木炭等）；特种效应剂和其他辅助材料（碳酸锶、聚氯乙烯、酚醛树脂（固体）等）。</w:t>
      </w:r>
    </w:p>
    <w:p w14:paraId="35B9D6F4">
      <w:pPr>
        <w:spacing w:line="360" w:lineRule="auto"/>
        <w:outlineLvl w:val="2"/>
        <w:rPr>
          <w:rFonts w:ascii="黑体" w:hAnsi="黑体" w:eastAsia="黑体"/>
          <w:b w:val="0"/>
          <w:sz w:val="30"/>
          <w:szCs w:val="30"/>
        </w:rPr>
      </w:pPr>
      <w:bookmarkStart w:id="195" w:name="_Toc202015903"/>
      <w:bookmarkStart w:id="196" w:name="_Toc58861984"/>
      <w:bookmarkStart w:id="197" w:name="_Toc335902397"/>
      <w:bookmarkStart w:id="198" w:name="_Toc148036985"/>
      <w:bookmarkStart w:id="199" w:name="_Toc181194063"/>
      <w:bookmarkStart w:id="200" w:name="_Toc294247809"/>
      <w:bookmarkStart w:id="201" w:name="_Toc58946816"/>
      <w:bookmarkStart w:id="202" w:name="_Toc145275190"/>
      <w:bookmarkStart w:id="203" w:name="_Toc271898747"/>
      <w:bookmarkStart w:id="204" w:name="_Toc173077656"/>
      <w:bookmarkStart w:id="205" w:name="_Toc188265296"/>
      <w:bookmarkStart w:id="206" w:name="_Toc294247645"/>
      <w:bookmarkStart w:id="207" w:name="_Toc60129099"/>
      <w:r>
        <w:rPr>
          <w:rFonts w:ascii="黑体" w:hAnsi="黑体" w:eastAsia="黑体"/>
          <w:b w:val="0"/>
          <w:sz w:val="30"/>
          <w:szCs w:val="30"/>
        </w:rPr>
        <w:t>3.</w:t>
      </w:r>
      <w:r>
        <w:rPr>
          <w:rFonts w:hint="eastAsia" w:ascii="黑体" w:hAnsi="黑体" w:eastAsia="黑体"/>
          <w:b w:val="0"/>
          <w:sz w:val="30"/>
          <w:szCs w:val="30"/>
        </w:rPr>
        <w:t>3</w:t>
      </w:r>
      <w:r>
        <w:rPr>
          <w:rFonts w:ascii="黑体" w:hAnsi="黑体" w:eastAsia="黑体"/>
          <w:b w:val="0"/>
          <w:sz w:val="30"/>
          <w:szCs w:val="30"/>
        </w:rPr>
        <w:t>.1</w:t>
      </w:r>
      <w:r>
        <w:rPr>
          <w:rFonts w:hint="eastAsia" w:ascii="黑体" w:hAnsi="黑体" w:eastAsia="黑体"/>
          <w:b w:val="0"/>
          <w:sz w:val="30"/>
          <w:szCs w:val="30"/>
        </w:rPr>
        <w:t>氧化剂</w:t>
      </w:r>
      <w:bookmarkEnd w:id="195"/>
      <w:bookmarkEnd w:id="196"/>
      <w:bookmarkEnd w:id="197"/>
      <w:bookmarkEnd w:id="198"/>
      <w:bookmarkEnd w:id="199"/>
      <w:bookmarkEnd w:id="200"/>
      <w:bookmarkEnd w:id="201"/>
      <w:bookmarkEnd w:id="202"/>
      <w:bookmarkEnd w:id="203"/>
      <w:bookmarkEnd w:id="204"/>
      <w:bookmarkEnd w:id="205"/>
      <w:bookmarkEnd w:id="206"/>
      <w:bookmarkEnd w:id="207"/>
    </w:p>
    <w:p w14:paraId="2F15F925">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氧化剂提供烟花爆竹烟火药燃烧时需要的氧，一般电负性大的物质都可作氧化剂。氧化剂可以是含氧氧化剂，也可以是无氧氧化剂。烟花爆竹用氧化剂大多数是含氧氧化剂，烟火药燃烧时有自供氧系统，即可以在隔绝空气的条件下燃烧，把反应进行到底。也有部分烟花爆竹烟火药利用空气中的氧燃烧。</w:t>
      </w:r>
    </w:p>
    <w:p w14:paraId="053E76C7">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不同氧化剂助燃能力不同，在其特性中能反映出来，具体如下表3.</w:t>
      </w:r>
      <w:r>
        <w:rPr>
          <w:rFonts w:ascii="宋体" w:hAnsi="宋体"/>
          <w:b w:val="0"/>
          <w:snapToGrid w:val="0"/>
          <w:sz w:val="28"/>
          <w:szCs w:val="28"/>
        </w:rPr>
        <w:t>3</w:t>
      </w:r>
      <w:r>
        <w:rPr>
          <w:rFonts w:hint="eastAsia" w:ascii="宋体" w:hAnsi="宋体"/>
          <w:b w:val="0"/>
          <w:snapToGrid w:val="0"/>
          <w:sz w:val="28"/>
          <w:szCs w:val="28"/>
        </w:rPr>
        <w:t>-1。表中熔点反映出氧化剂的热稳定性,因为熔点低的相应分解温度也低。分解出的初生态氧，活性很高，很容易与还原剂反应将烟火药点燃。表中分解温度能反映出与熔点高的还原剂的反应活性。而在与熔点低的还原剂的反应中（如硫），则点火温度取决于还原剂的熔点和反应活化能。该企业使用的氧化剂的危险有害因素及应对措施表述如下文。</w:t>
      </w:r>
    </w:p>
    <w:p w14:paraId="231FB212">
      <w:pPr>
        <w:jc w:val="center"/>
        <w:rPr>
          <w:rFonts w:ascii="黑体" w:hAnsi="宋体" w:eastAsia="黑体"/>
          <w:b w:val="0"/>
          <w:sz w:val="24"/>
        </w:rPr>
      </w:pPr>
      <w:r>
        <w:rPr>
          <w:rFonts w:hint="eastAsia" w:ascii="黑体" w:hAnsi="宋体" w:eastAsia="黑体"/>
          <w:b w:val="0"/>
          <w:sz w:val="24"/>
        </w:rPr>
        <w:t>表3.3-1 氧化剂特性表</w:t>
      </w:r>
    </w:p>
    <w:tbl>
      <w:tblPr>
        <w:tblStyle w:val="88"/>
        <w:tblW w:w="4922"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30"/>
        <w:gridCol w:w="951"/>
        <w:gridCol w:w="1015"/>
        <w:gridCol w:w="1390"/>
        <w:gridCol w:w="816"/>
        <w:gridCol w:w="816"/>
        <w:gridCol w:w="3725"/>
      </w:tblGrid>
      <w:tr w14:paraId="7520C1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235" w:type="pct"/>
            <w:tcBorders>
              <w:top w:val="single" w:color="auto" w:sz="12" w:space="0"/>
            </w:tcBorders>
            <w:vAlign w:val="center"/>
          </w:tcPr>
          <w:p w14:paraId="0CF2ED32">
            <w:pPr>
              <w:spacing w:line="240" w:lineRule="exact"/>
              <w:jc w:val="center"/>
              <w:rPr>
                <w:rFonts w:ascii="宋体"/>
                <w:bCs/>
                <w:szCs w:val="21"/>
              </w:rPr>
            </w:pPr>
            <w:bookmarkStart w:id="208" w:name="_Toc109360858"/>
            <w:r>
              <w:rPr>
                <w:rFonts w:hint="eastAsia" w:ascii="宋体" w:hAnsi="宋体"/>
                <w:bCs/>
                <w:szCs w:val="21"/>
              </w:rPr>
              <w:t>序号</w:t>
            </w:r>
          </w:p>
        </w:tc>
        <w:tc>
          <w:tcPr>
            <w:tcW w:w="520" w:type="pct"/>
            <w:tcBorders>
              <w:top w:val="single" w:color="auto" w:sz="12" w:space="0"/>
            </w:tcBorders>
            <w:vAlign w:val="center"/>
          </w:tcPr>
          <w:p w14:paraId="611AC463">
            <w:pPr>
              <w:spacing w:line="240" w:lineRule="exact"/>
              <w:jc w:val="center"/>
              <w:rPr>
                <w:rFonts w:ascii="宋体"/>
                <w:bCs/>
                <w:szCs w:val="21"/>
              </w:rPr>
            </w:pPr>
            <w:r>
              <w:rPr>
                <w:rFonts w:hint="eastAsia" w:ascii="宋体" w:hAnsi="宋体"/>
                <w:bCs/>
                <w:szCs w:val="21"/>
              </w:rPr>
              <w:t>物质</w:t>
            </w:r>
          </w:p>
          <w:p w14:paraId="5D4360F5">
            <w:pPr>
              <w:spacing w:line="240" w:lineRule="exact"/>
              <w:jc w:val="center"/>
              <w:rPr>
                <w:rFonts w:ascii="宋体"/>
                <w:bCs/>
                <w:szCs w:val="21"/>
              </w:rPr>
            </w:pPr>
            <w:r>
              <w:rPr>
                <w:rFonts w:hint="eastAsia" w:ascii="宋体" w:hAnsi="宋体"/>
                <w:bCs/>
                <w:szCs w:val="21"/>
              </w:rPr>
              <w:t>名称</w:t>
            </w:r>
          </w:p>
        </w:tc>
        <w:tc>
          <w:tcPr>
            <w:tcW w:w="555" w:type="pct"/>
            <w:tcBorders>
              <w:top w:val="single" w:color="auto" w:sz="12" w:space="0"/>
            </w:tcBorders>
            <w:vAlign w:val="center"/>
          </w:tcPr>
          <w:p w14:paraId="153D76FE">
            <w:pPr>
              <w:spacing w:line="240" w:lineRule="exact"/>
              <w:jc w:val="center"/>
              <w:rPr>
                <w:rFonts w:ascii="宋体"/>
                <w:bCs/>
                <w:szCs w:val="21"/>
              </w:rPr>
            </w:pPr>
            <w:r>
              <w:rPr>
                <w:rFonts w:hint="eastAsia" w:ascii="宋体" w:hAnsi="宋体"/>
                <w:bCs/>
                <w:kern w:val="0"/>
                <w:szCs w:val="21"/>
              </w:rPr>
              <w:t>危险化学品目录序号</w:t>
            </w:r>
          </w:p>
        </w:tc>
        <w:tc>
          <w:tcPr>
            <w:tcW w:w="760" w:type="pct"/>
            <w:tcBorders>
              <w:top w:val="single" w:color="auto" w:sz="12" w:space="0"/>
            </w:tcBorders>
            <w:vAlign w:val="center"/>
          </w:tcPr>
          <w:p w14:paraId="5E0255CA">
            <w:pPr>
              <w:spacing w:line="240" w:lineRule="exact"/>
              <w:jc w:val="center"/>
              <w:rPr>
                <w:rFonts w:ascii="宋体"/>
                <w:bCs/>
                <w:szCs w:val="21"/>
              </w:rPr>
            </w:pPr>
            <w:r>
              <w:rPr>
                <w:rFonts w:ascii="宋体" w:hAnsi="宋体"/>
                <w:bCs/>
                <w:szCs w:val="21"/>
              </w:rPr>
              <w:t>CAS</w:t>
            </w:r>
            <w:r>
              <w:rPr>
                <w:rFonts w:hint="eastAsia" w:ascii="宋体" w:hAnsi="宋体"/>
                <w:bCs/>
                <w:szCs w:val="21"/>
              </w:rPr>
              <w:t>号</w:t>
            </w:r>
          </w:p>
        </w:tc>
        <w:tc>
          <w:tcPr>
            <w:tcW w:w="446" w:type="pct"/>
            <w:tcBorders>
              <w:top w:val="single" w:color="auto" w:sz="12" w:space="0"/>
            </w:tcBorders>
            <w:vAlign w:val="center"/>
          </w:tcPr>
          <w:p w14:paraId="09EB6C3A">
            <w:pPr>
              <w:spacing w:line="240" w:lineRule="exact"/>
              <w:jc w:val="center"/>
              <w:rPr>
                <w:rFonts w:ascii="宋体"/>
                <w:bCs/>
                <w:szCs w:val="21"/>
              </w:rPr>
            </w:pPr>
            <w:r>
              <w:rPr>
                <w:rFonts w:hint="eastAsia" w:ascii="宋体" w:hAnsi="宋体"/>
                <w:bCs/>
                <w:szCs w:val="21"/>
              </w:rPr>
              <w:t>闪点</w:t>
            </w:r>
          </w:p>
        </w:tc>
        <w:tc>
          <w:tcPr>
            <w:tcW w:w="446" w:type="pct"/>
            <w:tcBorders>
              <w:top w:val="single" w:color="auto" w:sz="12" w:space="0"/>
            </w:tcBorders>
            <w:vAlign w:val="center"/>
          </w:tcPr>
          <w:p w14:paraId="1EF51F14">
            <w:pPr>
              <w:spacing w:line="240" w:lineRule="exact"/>
              <w:jc w:val="center"/>
              <w:rPr>
                <w:rFonts w:ascii="宋体"/>
                <w:bCs/>
                <w:szCs w:val="21"/>
              </w:rPr>
            </w:pPr>
            <w:r>
              <w:rPr>
                <w:rFonts w:hint="eastAsia" w:ascii="宋体" w:hAnsi="宋体"/>
                <w:bCs/>
                <w:szCs w:val="21"/>
              </w:rPr>
              <w:t>火险等级</w:t>
            </w:r>
          </w:p>
        </w:tc>
        <w:tc>
          <w:tcPr>
            <w:tcW w:w="2036" w:type="pct"/>
            <w:tcBorders>
              <w:top w:val="single" w:color="auto" w:sz="12" w:space="0"/>
            </w:tcBorders>
            <w:vAlign w:val="center"/>
          </w:tcPr>
          <w:p w14:paraId="15D92017">
            <w:pPr>
              <w:spacing w:line="240" w:lineRule="exact"/>
              <w:jc w:val="center"/>
              <w:rPr>
                <w:rFonts w:ascii="宋体"/>
                <w:bCs/>
                <w:szCs w:val="21"/>
              </w:rPr>
            </w:pPr>
            <w:r>
              <w:rPr>
                <w:rFonts w:hint="eastAsia" w:ascii="宋体" w:hAnsi="宋体"/>
                <w:bCs/>
                <w:kern w:val="0"/>
                <w:szCs w:val="21"/>
              </w:rPr>
              <w:t>主要危害特性</w:t>
            </w:r>
          </w:p>
        </w:tc>
      </w:tr>
      <w:tr w14:paraId="6786B6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5" w:type="pct"/>
            <w:vAlign w:val="center"/>
          </w:tcPr>
          <w:p w14:paraId="687BDFE8">
            <w:pPr>
              <w:spacing w:line="240" w:lineRule="exact"/>
              <w:jc w:val="center"/>
              <w:rPr>
                <w:rFonts w:ascii="宋体" w:hAnsi="宋体"/>
                <w:b w:val="0"/>
                <w:szCs w:val="21"/>
              </w:rPr>
            </w:pPr>
            <w:r>
              <w:rPr>
                <w:rFonts w:ascii="宋体" w:hAnsi="宋体"/>
                <w:b w:val="0"/>
                <w:szCs w:val="21"/>
              </w:rPr>
              <w:t>1</w:t>
            </w:r>
          </w:p>
        </w:tc>
        <w:tc>
          <w:tcPr>
            <w:tcW w:w="520" w:type="pct"/>
            <w:vAlign w:val="center"/>
          </w:tcPr>
          <w:p w14:paraId="7C5A87B7">
            <w:pPr>
              <w:spacing w:line="240" w:lineRule="exact"/>
              <w:jc w:val="center"/>
              <w:rPr>
                <w:rFonts w:ascii="宋体" w:hAnsi="宋体"/>
                <w:b w:val="0"/>
                <w:szCs w:val="21"/>
              </w:rPr>
            </w:pPr>
            <w:r>
              <w:rPr>
                <w:rFonts w:hint="eastAsia" w:ascii="宋体" w:hAnsi="宋体"/>
                <w:b w:val="0"/>
                <w:szCs w:val="21"/>
              </w:rPr>
              <w:t>高氯</w:t>
            </w:r>
          </w:p>
          <w:p w14:paraId="3F9D929D">
            <w:pPr>
              <w:spacing w:line="240" w:lineRule="exact"/>
              <w:jc w:val="center"/>
              <w:rPr>
                <w:rFonts w:ascii="宋体"/>
                <w:b w:val="0"/>
                <w:szCs w:val="21"/>
              </w:rPr>
            </w:pPr>
            <w:r>
              <w:rPr>
                <w:rFonts w:hint="eastAsia" w:ascii="宋体" w:hAnsi="宋体"/>
                <w:b w:val="0"/>
                <w:szCs w:val="21"/>
              </w:rPr>
              <w:t>酸钾</w:t>
            </w:r>
          </w:p>
        </w:tc>
        <w:tc>
          <w:tcPr>
            <w:tcW w:w="555" w:type="pct"/>
            <w:vAlign w:val="center"/>
          </w:tcPr>
          <w:p w14:paraId="3A3891F7">
            <w:pPr>
              <w:spacing w:line="240" w:lineRule="exact"/>
              <w:jc w:val="center"/>
              <w:rPr>
                <w:rFonts w:ascii="宋体"/>
                <w:b w:val="0"/>
                <w:szCs w:val="21"/>
              </w:rPr>
            </w:pPr>
            <w:r>
              <w:rPr>
                <w:rFonts w:ascii="宋体" w:hAnsi="宋体"/>
                <w:b w:val="0"/>
                <w:szCs w:val="21"/>
              </w:rPr>
              <w:t>803</w:t>
            </w:r>
          </w:p>
        </w:tc>
        <w:tc>
          <w:tcPr>
            <w:tcW w:w="760" w:type="pct"/>
            <w:vAlign w:val="center"/>
          </w:tcPr>
          <w:p w14:paraId="320BA93A">
            <w:pPr>
              <w:spacing w:line="240" w:lineRule="exact"/>
              <w:jc w:val="center"/>
              <w:rPr>
                <w:rFonts w:ascii="宋体"/>
                <w:b w:val="0"/>
                <w:szCs w:val="21"/>
              </w:rPr>
            </w:pPr>
            <w:r>
              <w:rPr>
                <w:rFonts w:ascii="宋体" w:hAnsi="宋体"/>
                <w:b w:val="0"/>
                <w:szCs w:val="21"/>
              </w:rPr>
              <w:t>7778-74-7</w:t>
            </w:r>
          </w:p>
        </w:tc>
        <w:tc>
          <w:tcPr>
            <w:tcW w:w="446" w:type="pct"/>
            <w:vAlign w:val="center"/>
          </w:tcPr>
          <w:p w14:paraId="4C395B33">
            <w:pPr>
              <w:spacing w:line="240" w:lineRule="exact"/>
              <w:jc w:val="center"/>
              <w:rPr>
                <w:rFonts w:ascii="宋体"/>
                <w:b w:val="0"/>
                <w:szCs w:val="21"/>
              </w:rPr>
            </w:pPr>
            <w:r>
              <w:rPr>
                <w:rFonts w:hint="eastAsia" w:ascii="宋体" w:hAnsi="宋体"/>
                <w:b w:val="0"/>
                <w:szCs w:val="21"/>
              </w:rPr>
              <w:t>无意义</w:t>
            </w:r>
          </w:p>
        </w:tc>
        <w:tc>
          <w:tcPr>
            <w:tcW w:w="446" w:type="pct"/>
            <w:vAlign w:val="center"/>
          </w:tcPr>
          <w:p w14:paraId="285F16F4">
            <w:pPr>
              <w:spacing w:line="240" w:lineRule="exact"/>
              <w:jc w:val="center"/>
              <w:rPr>
                <w:rFonts w:ascii="宋体"/>
                <w:b w:val="0"/>
                <w:szCs w:val="21"/>
              </w:rPr>
            </w:pPr>
            <w:r>
              <w:rPr>
                <w:rFonts w:hint="eastAsia" w:ascii="宋体" w:hAnsi="宋体"/>
                <w:b w:val="0"/>
                <w:szCs w:val="21"/>
              </w:rPr>
              <w:t>乙类</w:t>
            </w:r>
          </w:p>
        </w:tc>
        <w:tc>
          <w:tcPr>
            <w:tcW w:w="2036" w:type="pct"/>
            <w:vAlign w:val="center"/>
          </w:tcPr>
          <w:p w14:paraId="0F32EB74">
            <w:pPr>
              <w:spacing w:line="240" w:lineRule="exact"/>
              <w:rPr>
                <w:rFonts w:ascii="宋体"/>
                <w:b w:val="0"/>
                <w:szCs w:val="21"/>
              </w:rPr>
            </w:pPr>
            <w:r>
              <w:rPr>
                <w:rFonts w:hint="eastAsia" w:ascii="宋体" w:hAnsi="宋体"/>
                <w:b w:val="0"/>
                <w:szCs w:val="21"/>
              </w:rPr>
              <w:t>遇酸、遇碱、受潮湿、强热、摩擦、冲击或与易燃物、还原剂接触、能发生分解并引起燃烧或爆炸。</w:t>
            </w:r>
          </w:p>
        </w:tc>
      </w:tr>
      <w:tr w14:paraId="2BCDFD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235" w:type="pct"/>
            <w:vAlign w:val="center"/>
          </w:tcPr>
          <w:p w14:paraId="1B8DC700">
            <w:pPr>
              <w:spacing w:line="240" w:lineRule="exact"/>
              <w:jc w:val="center"/>
              <w:rPr>
                <w:rFonts w:ascii="宋体" w:hAnsi="宋体"/>
                <w:b w:val="0"/>
                <w:szCs w:val="21"/>
              </w:rPr>
            </w:pPr>
            <w:r>
              <w:rPr>
                <w:rFonts w:hint="eastAsia" w:ascii="宋体" w:hAnsi="宋体"/>
                <w:b w:val="0"/>
                <w:szCs w:val="21"/>
              </w:rPr>
              <w:t>2</w:t>
            </w:r>
          </w:p>
        </w:tc>
        <w:tc>
          <w:tcPr>
            <w:tcW w:w="520" w:type="pct"/>
            <w:vAlign w:val="center"/>
          </w:tcPr>
          <w:p w14:paraId="0A951047">
            <w:pPr>
              <w:spacing w:line="240" w:lineRule="exact"/>
              <w:jc w:val="center"/>
              <w:rPr>
                <w:rFonts w:ascii="宋体" w:hAnsi="宋体"/>
                <w:b w:val="0"/>
                <w:szCs w:val="21"/>
              </w:rPr>
            </w:pPr>
            <w:r>
              <w:rPr>
                <w:rFonts w:hint="eastAsia" w:ascii="宋体" w:hAnsi="宋体"/>
                <w:b w:val="0"/>
                <w:szCs w:val="21"/>
              </w:rPr>
              <w:t>高氯</w:t>
            </w:r>
          </w:p>
          <w:p w14:paraId="0159A26A">
            <w:pPr>
              <w:spacing w:line="240" w:lineRule="exact"/>
              <w:jc w:val="center"/>
              <w:rPr>
                <w:rFonts w:ascii="宋体" w:hAnsi="宋体"/>
                <w:b w:val="0"/>
                <w:szCs w:val="21"/>
              </w:rPr>
            </w:pPr>
            <w:r>
              <w:rPr>
                <w:rFonts w:hint="eastAsia" w:ascii="宋体" w:hAnsi="宋体"/>
                <w:b w:val="0"/>
                <w:szCs w:val="21"/>
              </w:rPr>
              <w:t>酸铵</w:t>
            </w:r>
          </w:p>
        </w:tc>
        <w:tc>
          <w:tcPr>
            <w:tcW w:w="555" w:type="pct"/>
            <w:vAlign w:val="center"/>
          </w:tcPr>
          <w:p w14:paraId="2612ED91">
            <w:pPr>
              <w:spacing w:line="240" w:lineRule="exact"/>
              <w:jc w:val="center"/>
              <w:rPr>
                <w:rFonts w:ascii="宋体" w:hAnsi="宋体"/>
                <w:b w:val="0"/>
                <w:szCs w:val="21"/>
              </w:rPr>
            </w:pPr>
            <w:r>
              <w:rPr>
                <w:rFonts w:hint="eastAsia" w:ascii="宋体" w:hAnsi="宋体"/>
                <w:b w:val="0"/>
                <w:szCs w:val="21"/>
              </w:rPr>
              <w:t>799</w:t>
            </w:r>
          </w:p>
        </w:tc>
        <w:tc>
          <w:tcPr>
            <w:tcW w:w="760" w:type="pct"/>
            <w:vAlign w:val="center"/>
          </w:tcPr>
          <w:p w14:paraId="049FBCC2">
            <w:pPr>
              <w:spacing w:line="240" w:lineRule="exact"/>
              <w:jc w:val="center"/>
              <w:rPr>
                <w:rFonts w:ascii="宋体" w:hAnsi="宋体"/>
                <w:b w:val="0"/>
                <w:szCs w:val="21"/>
              </w:rPr>
            </w:pPr>
            <w:r>
              <w:rPr>
                <w:rFonts w:ascii="宋体" w:hAnsi="宋体"/>
                <w:b w:val="0"/>
                <w:szCs w:val="21"/>
              </w:rPr>
              <w:t>7790-98-9</w:t>
            </w:r>
          </w:p>
        </w:tc>
        <w:tc>
          <w:tcPr>
            <w:tcW w:w="446" w:type="pct"/>
            <w:vAlign w:val="center"/>
          </w:tcPr>
          <w:p w14:paraId="31BFCE02">
            <w:pPr>
              <w:spacing w:line="240" w:lineRule="exact"/>
              <w:jc w:val="center"/>
              <w:rPr>
                <w:rFonts w:ascii="宋体" w:hAnsi="宋体"/>
                <w:b w:val="0"/>
                <w:szCs w:val="21"/>
              </w:rPr>
            </w:pPr>
            <w:r>
              <w:rPr>
                <w:rFonts w:hint="eastAsia" w:ascii="宋体" w:hAnsi="宋体"/>
                <w:b w:val="0"/>
                <w:szCs w:val="21"/>
              </w:rPr>
              <w:t>无意义</w:t>
            </w:r>
          </w:p>
        </w:tc>
        <w:tc>
          <w:tcPr>
            <w:tcW w:w="446" w:type="pct"/>
            <w:vAlign w:val="center"/>
          </w:tcPr>
          <w:p w14:paraId="172E98CE">
            <w:pPr>
              <w:spacing w:line="240" w:lineRule="exact"/>
              <w:jc w:val="center"/>
              <w:rPr>
                <w:rFonts w:ascii="宋体" w:hAnsi="宋体"/>
                <w:b w:val="0"/>
                <w:szCs w:val="21"/>
              </w:rPr>
            </w:pPr>
            <w:r>
              <w:rPr>
                <w:rFonts w:hint="eastAsia" w:ascii="宋体" w:hAnsi="宋体"/>
                <w:b w:val="0"/>
                <w:szCs w:val="21"/>
              </w:rPr>
              <w:t>乙类</w:t>
            </w:r>
          </w:p>
        </w:tc>
        <w:tc>
          <w:tcPr>
            <w:tcW w:w="2036" w:type="pct"/>
            <w:vAlign w:val="center"/>
          </w:tcPr>
          <w:p w14:paraId="770031B5">
            <w:pPr>
              <w:spacing w:line="240" w:lineRule="exact"/>
              <w:rPr>
                <w:rFonts w:ascii="宋体" w:hAnsi="宋体"/>
                <w:b w:val="0"/>
                <w:szCs w:val="21"/>
              </w:rPr>
            </w:pPr>
            <w:r>
              <w:rPr>
                <w:rFonts w:hint="eastAsia" w:ascii="宋体" w:hAnsi="宋体"/>
                <w:b w:val="0"/>
                <w:szCs w:val="21"/>
              </w:rPr>
              <w:t>强氧化剂，与还原剂、有机物、易燃物如硫、磷或金属粉末等混合可形成爆炸性混合物，急剧加热时可发生爆炸，燃烧(分解)产物：氨、氯化物。</w:t>
            </w:r>
          </w:p>
        </w:tc>
      </w:tr>
      <w:tr w14:paraId="45F22A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5" w:type="pct"/>
            <w:vAlign w:val="center"/>
          </w:tcPr>
          <w:p w14:paraId="6E110230">
            <w:pPr>
              <w:spacing w:line="240" w:lineRule="exact"/>
              <w:jc w:val="center"/>
              <w:rPr>
                <w:rFonts w:ascii="宋体"/>
                <w:b w:val="0"/>
                <w:szCs w:val="21"/>
              </w:rPr>
            </w:pPr>
            <w:r>
              <w:rPr>
                <w:rFonts w:hint="eastAsia" w:ascii="宋体"/>
                <w:b w:val="0"/>
                <w:szCs w:val="21"/>
              </w:rPr>
              <w:t>3</w:t>
            </w:r>
          </w:p>
        </w:tc>
        <w:tc>
          <w:tcPr>
            <w:tcW w:w="520" w:type="pct"/>
            <w:shd w:val="clear" w:color="auto" w:fill="auto"/>
            <w:vAlign w:val="center"/>
          </w:tcPr>
          <w:p w14:paraId="09A8AB51">
            <w:pPr>
              <w:spacing w:line="240" w:lineRule="exact"/>
              <w:jc w:val="center"/>
              <w:rPr>
                <w:rFonts w:ascii="宋体"/>
                <w:b w:val="0"/>
                <w:szCs w:val="21"/>
              </w:rPr>
            </w:pPr>
            <w:r>
              <w:rPr>
                <w:rFonts w:hint="eastAsia" w:ascii="宋体" w:hAnsi="宋体"/>
                <w:b w:val="0"/>
                <w:szCs w:val="21"/>
              </w:rPr>
              <w:t>硝酸钾</w:t>
            </w:r>
          </w:p>
        </w:tc>
        <w:tc>
          <w:tcPr>
            <w:tcW w:w="555" w:type="pct"/>
            <w:shd w:val="clear" w:color="auto" w:fill="auto"/>
            <w:vAlign w:val="center"/>
          </w:tcPr>
          <w:p w14:paraId="403BC631">
            <w:pPr>
              <w:spacing w:line="240" w:lineRule="exact"/>
              <w:jc w:val="center"/>
              <w:rPr>
                <w:rFonts w:ascii="宋体"/>
                <w:b w:val="0"/>
                <w:szCs w:val="21"/>
              </w:rPr>
            </w:pPr>
            <w:r>
              <w:rPr>
                <w:rFonts w:ascii="宋体" w:hAnsi="宋体"/>
                <w:b w:val="0"/>
                <w:szCs w:val="21"/>
              </w:rPr>
              <w:t>2303</w:t>
            </w:r>
          </w:p>
        </w:tc>
        <w:tc>
          <w:tcPr>
            <w:tcW w:w="760" w:type="pct"/>
            <w:shd w:val="clear" w:color="auto" w:fill="auto"/>
            <w:vAlign w:val="center"/>
          </w:tcPr>
          <w:p w14:paraId="6839605F">
            <w:pPr>
              <w:spacing w:line="240" w:lineRule="exact"/>
              <w:jc w:val="center"/>
              <w:rPr>
                <w:rFonts w:ascii="宋体"/>
                <w:b w:val="0"/>
                <w:szCs w:val="21"/>
              </w:rPr>
            </w:pPr>
            <w:r>
              <w:rPr>
                <w:rFonts w:ascii="宋体" w:hAnsi="宋体"/>
                <w:b w:val="0"/>
                <w:szCs w:val="21"/>
              </w:rPr>
              <w:t>7757-79-1</w:t>
            </w:r>
          </w:p>
        </w:tc>
        <w:tc>
          <w:tcPr>
            <w:tcW w:w="446" w:type="pct"/>
            <w:shd w:val="clear" w:color="auto" w:fill="auto"/>
            <w:vAlign w:val="center"/>
          </w:tcPr>
          <w:p w14:paraId="7327BE8C">
            <w:pPr>
              <w:spacing w:line="240" w:lineRule="exact"/>
              <w:jc w:val="center"/>
              <w:rPr>
                <w:rFonts w:ascii="宋体"/>
                <w:b w:val="0"/>
                <w:szCs w:val="21"/>
              </w:rPr>
            </w:pPr>
            <w:r>
              <w:rPr>
                <w:rFonts w:hint="eastAsia" w:ascii="宋体" w:hAnsi="宋体"/>
                <w:b w:val="0"/>
                <w:szCs w:val="21"/>
              </w:rPr>
              <w:t>无意义</w:t>
            </w:r>
          </w:p>
        </w:tc>
        <w:tc>
          <w:tcPr>
            <w:tcW w:w="446" w:type="pct"/>
            <w:shd w:val="clear" w:color="auto" w:fill="auto"/>
            <w:vAlign w:val="center"/>
          </w:tcPr>
          <w:p w14:paraId="66AAC5A5">
            <w:pPr>
              <w:spacing w:line="240" w:lineRule="exact"/>
              <w:jc w:val="center"/>
              <w:rPr>
                <w:rFonts w:ascii="宋体"/>
                <w:b w:val="0"/>
                <w:szCs w:val="21"/>
              </w:rPr>
            </w:pPr>
            <w:r>
              <w:rPr>
                <w:rFonts w:hint="eastAsia" w:ascii="宋体" w:hAnsi="宋体"/>
                <w:b w:val="0"/>
                <w:szCs w:val="21"/>
              </w:rPr>
              <w:t>乙类</w:t>
            </w:r>
          </w:p>
        </w:tc>
        <w:tc>
          <w:tcPr>
            <w:tcW w:w="2036" w:type="pct"/>
            <w:shd w:val="clear" w:color="auto" w:fill="auto"/>
            <w:vAlign w:val="center"/>
          </w:tcPr>
          <w:p w14:paraId="2F7351BB">
            <w:pPr>
              <w:spacing w:line="240" w:lineRule="exact"/>
              <w:rPr>
                <w:rFonts w:ascii="宋体"/>
                <w:b w:val="0"/>
                <w:szCs w:val="21"/>
              </w:rPr>
            </w:pPr>
            <w:r>
              <w:rPr>
                <w:rFonts w:hint="eastAsia" w:ascii="宋体" w:hAnsi="宋体"/>
                <w:b w:val="0"/>
                <w:szCs w:val="21"/>
              </w:rPr>
              <w:t>强氧化剂，助燃，遇可燃物着火时，能助长火势。与有机物、还原剂、易燃物如硫、磷等接触或混合时有引起燃烧爆炸的危险。</w:t>
            </w:r>
          </w:p>
        </w:tc>
      </w:tr>
      <w:tr w14:paraId="19594C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5" w:type="pct"/>
            <w:vAlign w:val="center"/>
          </w:tcPr>
          <w:p w14:paraId="0CBDA8A6">
            <w:pPr>
              <w:spacing w:line="240" w:lineRule="exact"/>
              <w:jc w:val="center"/>
              <w:rPr>
                <w:rFonts w:ascii="宋体"/>
                <w:b w:val="0"/>
                <w:szCs w:val="21"/>
              </w:rPr>
            </w:pPr>
            <w:r>
              <w:rPr>
                <w:rFonts w:hint="eastAsia" w:ascii="宋体"/>
                <w:b w:val="0"/>
                <w:szCs w:val="21"/>
              </w:rPr>
              <w:t>4</w:t>
            </w:r>
          </w:p>
        </w:tc>
        <w:tc>
          <w:tcPr>
            <w:tcW w:w="520" w:type="pct"/>
            <w:shd w:val="clear" w:color="auto" w:fill="auto"/>
            <w:vAlign w:val="center"/>
          </w:tcPr>
          <w:p w14:paraId="69500FB5">
            <w:pPr>
              <w:spacing w:line="240" w:lineRule="exact"/>
              <w:jc w:val="center"/>
              <w:rPr>
                <w:rFonts w:ascii="宋体"/>
                <w:b w:val="0"/>
                <w:szCs w:val="21"/>
              </w:rPr>
            </w:pPr>
            <w:r>
              <w:rPr>
                <w:rFonts w:hint="eastAsia" w:ascii="宋体" w:hAnsi="宋体"/>
                <w:b w:val="0"/>
                <w:szCs w:val="21"/>
              </w:rPr>
              <w:t>硝酸钡</w:t>
            </w:r>
          </w:p>
        </w:tc>
        <w:tc>
          <w:tcPr>
            <w:tcW w:w="555" w:type="pct"/>
            <w:shd w:val="clear" w:color="auto" w:fill="auto"/>
            <w:vAlign w:val="center"/>
          </w:tcPr>
          <w:p w14:paraId="1F7C4A13">
            <w:pPr>
              <w:spacing w:line="240" w:lineRule="exact"/>
              <w:jc w:val="center"/>
              <w:rPr>
                <w:rFonts w:ascii="宋体"/>
                <w:b w:val="0"/>
                <w:szCs w:val="21"/>
              </w:rPr>
            </w:pPr>
            <w:r>
              <w:rPr>
                <w:rFonts w:ascii="宋体" w:hAnsi="宋体"/>
                <w:b w:val="0"/>
                <w:szCs w:val="21"/>
              </w:rPr>
              <w:t>2288</w:t>
            </w:r>
          </w:p>
        </w:tc>
        <w:tc>
          <w:tcPr>
            <w:tcW w:w="760" w:type="pct"/>
            <w:shd w:val="clear" w:color="auto" w:fill="auto"/>
            <w:vAlign w:val="center"/>
          </w:tcPr>
          <w:p w14:paraId="52572BB9">
            <w:pPr>
              <w:spacing w:line="240" w:lineRule="exact"/>
              <w:jc w:val="center"/>
              <w:rPr>
                <w:rFonts w:ascii="宋体"/>
                <w:b w:val="0"/>
                <w:szCs w:val="21"/>
              </w:rPr>
            </w:pPr>
            <w:r>
              <w:rPr>
                <w:rFonts w:ascii="宋体" w:hAnsi="宋体"/>
                <w:b w:val="0"/>
                <w:szCs w:val="21"/>
              </w:rPr>
              <w:t>1022-31-8</w:t>
            </w:r>
          </w:p>
        </w:tc>
        <w:tc>
          <w:tcPr>
            <w:tcW w:w="446" w:type="pct"/>
            <w:shd w:val="clear" w:color="auto" w:fill="auto"/>
            <w:vAlign w:val="center"/>
          </w:tcPr>
          <w:p w14:paraId="38CF6A9C">
            <w:pPr>
              <w:spacing w:line="240" w:lineRule="exact"/>
              <w:jc w:val="center"/>
              <w:rPr>
                <w:rFonts w:ascii="宋体"/>
                <w:b w:val="0"/>
                <w:szCs w:val="21"/>
              </w:rPr>
            </w:pPr>
            <w:r>
              <w:rPr>
                <w:rFonts w:hint="eastAsia" w:ascii="宋体" w:hAnsi="宋体"/>
                <w:b w:val="0"/>
                <w:szCs w:val="21"/>
              </w:rPr>
              <w:t>无意义</w:t>
            </w:r>
          </w:p>
        </w:tc>
        <w:tc>
          <w:tcPr>
            <w:tcW w:w="446" w:type="pct"/>
            <w:shd w:val="clear" w:color="auto" w:fill="auto"/>
            <w:vAlign w:val="center"/>
          </w:tcPr>
          <w:p w14:paraId="077BB176">
            <w:pPr>
              <w:spacing w:line="240" w:lineRule="exact"/>
              <w:jc w:val="center"/>
              <w:rPr>
                <w:rFonts w:ascii="宋体"/>
                <w:b w:val="0"/>
                <w:szCs w:val="21"/>
              </w:rPr>
            </w:pPr>
            <w:r>
              <w:rPr>
                <w:rFonts w:hint="eastAsia" w:ascii="宋体" w:hAnsi="宋体"/>
                <w:b w:val="0"/>
                <w:szCs w:val="21"/>
              </w:rPr>
              <w:t>乙类</w:t>
            </w:r>
          </w:p>
        </w:tc>
        <w:tc>
          <w:tcPr>
            <w:tcW w:w="2036" w:type="pct"/>
            <w:shd w:val="clear" w:color="auto" w:fill="auto"/>
            <w:vAlign w:val="center"/>
          </w:tcPr>
          <w:p w14:paraId="0FD89C50">
            <w:pPr>
              <w:spacing w:line="240" w:lineRule="exact"/>
              <w:rPr>
                <w:rFonts w:ascii="宋体"/>
                <w:b w:val="0"/>
                <w:szCs w:val="21"/>
              </w:rPr>
            </w:pPr>
            <w:r>
              <w:rPr>
                <w:rFonts w:hint="eastAsia" w:ascii="宋体" w:hAnsi="宋体"/>
                <w:b w:val="0"/>
                <w:szCs w:val="21"/>
              </w:rPr>
              <w:t>遇可燃物着火时，能助长火势。与还原剂、有机物、易燃物如硫、磷或金属粉末等混合可形成爆炸性混合物。燃烧分解时</w:t>
            </w:r>
            <w:r>
              <w:rPr>
                <w:rFonts w:ascii="宋体" w:hAnsi="宋体"/>
                <w:b w:val="0"/>
                <w:szCs w:val="21"/>
              </w:rPr>
              <w:t xml:space="preserve">, </w:t>
            </w:r>
            <w:r>
              <w:rPr>
                <w:rFonts w:hint="eastAsia" w:ascii="宋体" w:hAnsi="宋体"/>
                <w:b w:val="0"/>
                <w:szCs w:val="21"/>
              </w:rPr>
              <w:t>放出有毒的氮氧化物气体。</w:t>
            </w:r>
          </w:p>
        </w:tc>
      </w:tr>
      <w:tr w14:paraId="4311EA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5" w:type="pct"/>
            <w:vAlign w:val="center"/>
          </w:tcPr>
          <w:p w14:paraId="2FEAA3E3">
            <w:pPr>
              <w:spacing w:line="240" w:lineRule="exact"/>
              <w:jc w:val="center"/>
              <w:rPr>
                <w:rFonts w:ascii="宋体"/>
                <w:b w:val="0"/>
                <w:szCs w:val="21"/>
              </w:rPr>
            </w:pPr>
            <w:r>
              <w:rPr>
                <w:rFonts w:hint="eastAsia" w:ascii="宋体"/>
                <w:b w:val="0"/>
                <w:szCs w:val="21"/>
              </w:rPr>
              <w:t>5</w:t>
            </w:r>
          </w:p>
        </w:tc>
        <w:tc>
          <w:tcPr>
            <w:tcW w:w="520" w:type="pct"/>
            <w:shd w:val="clear" w:color="auto" w:fill="auto"/>
            <w:vAlign w:val="center"/>
          </w:tcPr>
          <w:p w14:paraId="5F66A514">
            <w:pPr>
              <w:spacing w:line="240" w:lineRule="exact"/>
              <w:jc w:val="center"/>
              <w:rPr>
                <w:rFonts w:ascii="宋体"/>
                <w:b w:val="0"/>
                <w:szCs w:val="21"/>
              </w:rPr>
            </w:pPr>
            <w:r>
              <w:rPr>
                <w:rFonts w:hint="eastAsia" w:ascii="宋体" w:hAnsi="宋体"/>
                <w:b w:val="0"/>
                <w:szCs w:val="21"/>
              </w:rPr>
              <w:t>氧化铜</w:t>
            </w:r>
          </w:p>
        </w:tc>
        <w:tc>
          <w:tcPr>
            <w:tcW w:w="555" w:type="pct"/>
            <w:shd w:val="clear" w:color="auto" w:fill="auto"/>
            <w:vAlign w:val="center"/>
          </w:tcPr>
          <w:p w14:paraId="01C596AA">
            <w:pPr>
              <w:spacing w:line="240" w:lineRule="exact"/>
              <w:jc w:val="center"/>
              <w:rPr>
                <w:rFonts w:ascii="宋体"/>
                <w:b w:val="0"/>
                <w:szCs w:val="21"/>
              </w:rPr>
            </w:pPr>
            <w:r>
              <w:rPr>
                <w:rFonts w:ascii="宋体" w:hAnsi="宋体"/>
                <w:b w:val="0"/>
                <w:szCs w:val="21"/>
              </w:rPr>
              <w:t>762</w:t>
            </w:r>
          </w:p>
        </w:tc>
        <w:tc>
          <w:tcPr>
            <w:tcW w:w="760" w:type="pct"/>
            <w:shd w:val="clear" w:color="auto" w:fill="auto"/>
            <w:vAlign w:val="center"/>
          </w:tcPr>
          <w:p w14:paraId="3F5F0BC6">
            <w:pPr>
              <w:spacing w:line="240" w:lineRule="exact"/>
              <w:jc w:val="center"/>
              <w:rPr>
                <w:rFonts w:ascii="宋体"/>
                <w:b w:val="0"/>
                <w:szCs w:val="21"/>
              </w:rPr>
            </w:pPr>
            <w:r>
              <w:rPr>
                <w:rFonts w:ascii="宋体" w:hAnsi="宋体"/>
                <w:b w:val="0"/>
                <w:szCs w:val="21"/>
              </w:rPr>
              <w:t>1317-38-0</w:t>
            </w:r>
          </w:p>
        </w:tc>
        <w:tc>
          <w:tcPr>
            <w:tcW w:w="446" w:type="pct"/>
            <w:shd w:val="clear" w:color="auto" w:fill="auto"/>
            <w:vAlign w:val="center"/>
          </w:tcPr>
          <w:p w14:paraId="31CE3A9E">
            <w:pPr>
              <w:spacing w:line="240" w:lineRule="exact"/>
              <w:jc w:val="center"/>
              <w:rPr>
                <w:rFonts w:ascii="宋体"/>
                <w:b w:val="0"/>
                <w:szCs w:val="21"/>
              </w:rPr>
            </w:pPr>
            <w:r>
              <w:rPr>
                <w:rFonts w:hint="eastAsia" w:ascii="宋体" w:hAnsi="宋体"/>
                <w:b w:val="0"/>
                <w:szCs w:val="21"/>
              </w:rPr>
              <w:t>无意义</w:t>
            </w:r>
          </w:p>
        </w:tc>
        <w:tc>
          <w:tcPr>
            <w:tcW w:w="446" w:type="pct"/>
            <w:shd w:val="clear" w:color="auto" w:fill="auto"/>
            <w:vAlign w:val="center"/>
          </w:tcPr>
          <w:p w14:paraId="2A1D4AC6">
            <w:pPr>
              <w:spacing w:line="240" w:lineRule="exact"/>
              <w:jc w:val="center"/>
              <w:rPr>
                <w:rFonts w:ascii="宋体"/>
                <w:b w:val="0"/>
                <w:szCs w:val="21"/>
              </w:rPr>
            </w:pPr>
            <w:r>
              <w:rPr>
                <w:rFonts w:hint="eastAsia" w:ascii="宋体" w:hAnsi="宋体"/>
                <w:b w:val="0"/>
                <w:szCs w:val="21"/>
              </w:rPr>
              <w:t>乙类</w:t>
            </w:r>
          </w:p>
        </w:tc>
        <w:tc>
          <w:tcPr>
            <w:tcW w:w="2036" w:type="pct"/>
            <w:shd w:val="clear" w:color="auto" w:fill="auto"/>
            <w:vAlign w:val="center"/>
          </w:tcPr>
          <w:p w14:paraId="53FFD7BF">
            <w:pPr>
              <w:spacing w:line="240" w:lineRule="exact"/>
              <w:rPr>
                <w:rFonts w:ascii="宋体"/>
                <w:b w:val="0"/>
                <w:szCs w:val="21"/>
              </w:rPr>
            </w:pPr>
            <w:r>
              <w:rPr>
                <w:rFonts w:hint="eastAsia" w:ascii="宋体" w:hAnsi="宋体"/>
                <w:b w:val="0"/>
                <w:szCs w:val="21"/>
              </w:rPr>
              <w:t>长期接触，可见呼吸道及眼结膜刺激、鼻衄、鼻粘膜出血点或溃疡，甚至鼻中隔穿孔以及皮炎，可出现胃肠道症状。有报道，长期吸入尚可引起肺部纤维组织增生。</w:t>
            </w:r>
          </w:p>
        </w:tc>
      </w:tr>
    </w:tbl>
    <w:p w14:paraId="2CE89E85">
      <w:pPr>
        <w:spacing w:before="120" w:beforeLines="50" w:line="360" w:lineRule="auto"/>
        <w:ind w:firstLine="562" w:firstLineChars="200"/>
        <w:rPr>
          <w:rFonts w:ascii="宋体" w:hAnsi="宋体"/>
          <w:snapToGrid w:val="0"/>
          <w:sz w:val="28"/>
          <w:szCs w:val="28"/>
        </w:rPr>
      </w:pPr>
      <w:r>
        <w:rPr>
          <w:rFonts w:hint="eastAsia" w:ascii="宋体" w:hAnsi="宋体"/>
          <w:snapToGrid w:val="0"/>
          <w:sz w:val="28"/>
          <w:szCs w:val="28"/>
        </w:rPr>
        <w:t>1）高氯酸钾</w:t>
      </w:r>
      <w:bookmarkEnd w:id="208"/>
    </w:p>
    <w:p w14:paraId="29A0F944">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高氯酸钾属一级无机氧化剂，物性参数及对其危险的应对措施列于表3.</w:t>
      </w:r>
      <w:r>
        <w:rPr>
          <w:rFonts w:ascii="宋体" w:hAnsi="宋体"/>
          <w:b w:val="0"/>
          <w:snapToGrid w:val="0"/>
          <w:sz w:val="28"/>
          <w:szCs w:val="28"/>
        </w:rPr>
        <w:t>3</w:t>
      </w:r>
      <w:r>
        <w:rPr>
          <w:rFonts w:hint="eastAsia" w:ascii="宋体" w:hAnsi="宋体"/>
          <w:b w:val="0"/>
          <w:snapToGrid w:val="0"/>
          <w:sz w:val="28"/>
          <w:szCs w:val="28"/>
        </w:rPr>
        <w:t>-2。</w:t>
      </w:r>
    </w:p>
    <w:p w14:paraId="2845FDF3">
      <w:pPr>
        <w:jc w:val="center"/>
        <w:rPr>
          <w:rFonts w:ascii="黑体" w:hAnsi="宋体" w:eastAsia="黑体"/>
          <w:b w:val="0"/>
          <w:sz w:val="24"/>
        </w:rPr>
      </w:pPr>
      <w:r>
        <w:rPr>
          <w:rFonts w:hint="eastAsia" w:ascii="黑体" w:hAnsi="宋体" w:eastAsia="黑体"/>
          <w:b w:val="0"/>
          <w:sz w:val="24"/>
        </w:rPr>
        <w:t>表3.3-2 高氯酸钾的物性参数及对危险的应对措施</w:t>
      </w:r>
    </w:p>
    <w:tbl>
      <w:tblPr>
        <w:tblStyle w:val="88"/>
        <w:tblW w:w="4941"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00"/>
        <w:gridCol w:w="8178"/>
      </w:tblGrid>
      <w:tr w14:paraId="46A1F6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545" w:type="pct"/>
            <w:vAlign w:val="center"/>
          </w:tcPr>
          <w:p w14:paraId="40834D6C">
            <w:pPr>
              <w:adjustRightInd w:val="0"/>
              <w:snapToGrid w:val="0"/>
              <w:spacing w:line="240" w:lineRule="exact"/>
              <w:jc w:val="center"/>
              <w:rPr>
                <w:rFonts w:ascii="宋体" w:hAnsi="宋体"/>
                <w:b w:val="0"/>
                <w:bCs/>
                <w:szCs w:val="21"/>
              </w:rPr>
            </w:pPr>
            <w:r>
              <w:rPr>
                <w:rFonts w:hint="eastAsia" w:ascii="宋体" w:hAnsi="宋体"/>
                <w:b w:val="0"/>
                <w:bCs/>
                <w:szCs w:val="21"/>
              </w:rPr>
              <w:t>标 识</w:t>
            </w:r>
          </w:p>
        </w:tc>
        <w:tc>
          <w:tcPr>
            <w:tcW w:w="4454" w:type="pct"/>
          </w:tcPr>
          <w:p w14:paraId="285EE9E4">
            <w:pPr>
              <w:adjustRightInd w:val="0"/>
              <w:snapToGrid w:val="0"/>
              <w:spacing w:line="240" w:lineRule="exact"/>
              <w:rPr>
                <w:rFonts w:ascii="宋体" w:hAnsi="宋体"/>
                <w:b w:val="0"/>
                <w:szCs w:val="21"/>
              </w:rPr>
            </w:pPr>
            <w:r>
              <w:rPr>
                <w:rFonts w:hint="eastAsia" w:ascii="宋体" w:hAnsi="宋体"/>
                <w:b w:val="0"/>
                <w:szCs w:val="21"/>
              </w:rPr>
              <w:t>中文名称：高氯酸钾，过氯酸钾           英 文 名：</w:t>
            </w:r>
            <w:r>
              <w:rPr>
                <w:rFonts w:ascii="宋体" w:hAnsi="宋体"/>
                <w:b w:val="0"/>
                <w:szCs w:val="21"/>
              </w:rPr>
              <w:t>potassium perchlorate</w:t>
            </w:r>
          </w:p>
          <w:p w14:paraId="190881CB">
            <w:pPr>
              <w:adjustRightInd w:val="0"/>
              <w:snapToGrid w:val="0"/>
              <w:spacing w:line="240" w:lineRule="exact"/>
              <w:rPr>
                <w:rFonts w:ascii="宋体" w:hAnsi="宋体"/>
                <w:b w:val="0"/>
                <w:szCs w:val="21"/>
              </w:rPr>
            </w:pPr>
            <w:r>
              <w:rPr>
                <w:rFonts w:hint="eastAsia" w:ascii="宋体" w:hAnsi="宋体"/>
                <w:b w:val="0"/>
                <w:szCs w:val="21"/>
              </w:rPr>
              <w:t>分 子 式：</w:t>
            </w:r>
            <w:r>
              <w:rPr>
                <w:rFonts w:ascii="宋体" w:hAnsi="宋体"/>
                <w:b w:val="0"/>
                <w:szCs w:val="21"/>
              </w:rPr>
              <w:t>KclO</w:t>
            </w:r>
            <w:r>
              <w:rPr>
                <w:rFonts w:hint="eastAsia" w:ascii="宋体" w:hAnsi="宋体"/>
                <w:b w:val="0"/>
                <w:szCs w:val="21"/>
                <w:vertAlign w:val="subscript"/>
              </w:rPr>
              <w:t>4</w:t>
            </w:r>
            <w:r>
              <w:rPr>
                <w:rFonts w:hint="eastAsia" w:ascii="宋体" w:hAnsi="宋体"/>
                <w:b w:val="0"/>
                <w:szCs w:val="21"/>
              </w:rPr>
              <w:t xml:space="preserve">                         分 子 量：138.55</w:t>
            </w:r>
          </w:p>
          <w:p w14:paraId="4EAB05CA">
            <w:pPr>
              <w:adjustRightInd w:val="0"/>
              <w:snapToGrid w:val="0"/>
              <w:spacing w:line="240" w:lineRule="exact"/>
              <w:rPr>
                <w:rFonts w:ascii="宋体" w:hAnsi="宋体"/>
                <w:b w:val="0"/>
                <w:szCs w:val="21"/>
              </w:rPr>
            </w:pPr>
            <w:r>
              <w:rPr>
                <w:rFonts w:hint="eastAsia" w:ascii="宋体" w:hAnsi="宋体"/>
                <w:b w:val="0"/>
                <w:szCs w:val="21"/>
              </w:rPr>
              <w:t xml:space="preserve">危险化学品目录序号：803                UN 编 号：1489 </w:t>
            </w:r>
          </w:p>
          <w:p w14:paraId="11136B2B">
            <w:pPr>
              <w:adjustRightInd w:val="0"/>
              <w:snapToGrid w:val="0"/>
              <w:spacing w:line="240" w:lineRule="exact"/>
              <w:rPr>
                <w:rFonts w:ascii="宋体" w:hAnsi="宋体"/>
                <w:b w:val="0"/>
                <w:szCs w:val="21"/>
              </w:rPr>
            </w:pPr>
            <w:r>
              <w:rPr>
                <w:rFonts w:ascii="宋体" w:hAnsi="宋体"/>
                <w:b w:val="0"/>
                <w:szCs w:val="21"/>
              </w:rPr>
              <w:t>CAS</w:t>
            </w:r>
            <w:r>
              <w:rPr>
                <w:rFonts w:hint="eastAsia" w:ascii="宋体" w:hAnsi="宋体"/>
                <w:b w:val="0"/>
                <w:szCs w:val="21"/>
              </w:rPr>
              <w:t>号：7778-74-7                      危险标记：11</w:t>
            </w:r>
          </w:p>
        </w:tc>
      </w:tr>
      <w:tr w14:paraId="27A8EB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545" w:type="pct"/>
            <w:vAlign w:val="center"/>
          </w:tcPr>
          <w:p w14:paraId="033EF114">
            <w:pPr>
              <w:adjustRightInd w:val="0"/>
              <w:snapToGrid w:val="0"/>
              <w:spacing w:line="240" w:lineRule="exact"/>
              <w:jc w:val="center"/>
              <w:rPr>
                <w:rFonts w:ascii="宋体" w:hAnsi="宋体"/>
                <w:b w:val="0"/>
                <w:bCs/>
                <w:szCs w:val="21"/>
              </w:rPr>
            </w:pPr>
            <w:r>
              <w:rPr>
                <w:rFonts w:ascii="宋体" w:hAnsi="宋体"/>
                <w:b w:val="0"/>
                <w:bCs/>
                <w:szCs w:val="21"/>
              </w:rPr>
              <w:t>理</w:t>
            </w:r>
            <w:r>
              <w:rPr>
                <w:rFonts w:hint="eastAsia" w:ascii="宋体" w:hAnsi="宋体"/>
                <w:b w:val="0"/>
                <w:bCs/>
                <w:szCs w:val="21"/>
              </w:rPr>
              <w:t xml:space="preserve"> </w:t>
            </w:r>
            <w:r>
              <w:rPr>
                <w:rFonts w:ascii="宋体" w:hAnsi="宋体"/>
                <w:b w:val="0"/>
                <w:bCs/>
                <w:szCs w:val="21"/>
              </w:rPr>
              <w:t>化</w:t>
            </w:r>
          </w:p>
          <w:p w14:paraId="0A3CE79C">
            <w:pPr>
              <w:adjustRightInd w:val="0"/>
              <w:snapToGrid w:val="0"/>
              <w:spacing w:line="240" w:lineRule="exact"/>
              <w:jc w:val="center"/>
              <w:rPr>
                <w:rFonts w:ascii="宋体" w:hAnsi="宋体"/>
                <w:b w:val="0"/>
                <w:bCs/>
                <w:szCs w:val="21"/>
              </w:rPr>
            </w:pPr>
            <w:r>
              <w:rPr>
                <w:rFonts w:hint="eastAsia" w:ascii="宋体" w:hAnsi="宋体"/>
                <w:b w:val="0"/>
                <w:bCs/>
                <w:szCs w:val="21"/>
              </w:rPr>
              <w:t>性 质</w:t>
            </w:r>
          </w:p>
        </w:tc>
        <w:tc>
          <w:tcPr>
            <w:tcW w:w="4454" w:type="pct"/>
          </w:tcPr>
          <w:p w14:paraId="5EEE2B44">
            <w:pPr>
              <w:adjustRightInd w:val="0"/>
              <w:snapToGrid w:val="0"/>
              <w:spacing w:line="240" w:lineRule="exact"/>
              <w:rPr>
                <w:rFonts w:ascii="宋体" w:hAnsi="宋体"/>
                <w:b w:val="0"/>
                <w:szCs w:val="21"/>
              </w:rPr>
            </w:pPr>
            <w:r>
              <w:rPr>
                <w:rFonts w:ascii="宋体" w:hAnsi="宋体"/>
                <w:b w:val="0"/>
                <w:szCs w:val="21"/>
              </w:rPr>
              <w:t>外观性状：</w:t>
            </w:r>
            <w:r>
              <w:rPr>
                <w:rFonts w:hint="eastAsia" w:ascii="宋体" w:hAnsi="宋体"/>
                <w:b w:val="0"/>
                <w:szCs w:val="21"/>
              </w:rPr>
              <w:t xml:space="preserve"> </w:t>
            </w:r>
            <w:r>
              <w:rPr>
                <w:rFonts w:ascii="宋体" w:hAnsi="宋体"/>
                <w:b w:val="0"/>
                <w:szCs w:val="21"/>
              </w:rPr>
              <w:t>无色结晶或白色晶状粉末</w:t>
            </w:r>
            <w:r>
              <w:rPr>
                <w:rFonts w:hint="eastAsia" w:ascii="宋体" w:hAnsi="宋体"/>
                <w:b w:val="0"/>
                <w:szCs w:val="21"/>
              </w:rPr>
              <w:t xml:space="preserve">        熔    点： </w:t>
            </w:r>
            <w:r>
              <w:rPr>
                <w:rFonts w:ascii="宋体" w:hAnsi="宋体"/>
                <w:b w:val="0"/>
                <w:szCs w:val="21"/>
              </w:rPr>
              <w:t>610</w:t>
            </w:r>
            <w:r>
              <w:rPr>
                <w:rFonts w:hint="eastAsia" w:ascii="宋体" w:hAnsi="宋体"/>
                <w:b w:val="0"/>
                <w:szCs w:val="21"/>
              </w:rPr>
              <w:t>℃</w:t>
            </w:r>
            <w:r>
              <w:rPr>
                <w:rFonts w:ascii="宋体" w:hAnsi="宋体"/>
                <w:b w:val="0"/>
                <w:szCs w:val="21"/>
              </w:rPr>
              <w:t>(分解)</w:t>
            </w:r>
            <w:r>
              <w:rPr>
                <w:rFonts w:hint="eastAsia" w:ascii="宋体" w:hAnsi="宋体"/>
                <w:b w:val="0"/>
                <w:szCs w:val="21"/>
              </w:rPr>
              <w:t xml:space="preserve"> </w:t>
            </w:r>
          </w:p>
          <w:p w14:paraId="2EE82D31">
            <w:pPr>
              <w:adjustRightInd w:val="0"/>
              <w:snapToGrid w:val="0"/>
              <w:spacing w:line="240" w:lineRule="exact"/>
              <w:rPr>
                <w:rFonts w:ascii="宋体" w:hAnsi="宋体"/>
                <w:b w:val="0"/>
                <w:szCs w:val="21"/>
              </w:rPr>
            </w:pPr>
            <w:r>
              <w:rPr>
                <w:rFonts w:hint="eastAsia" w:ascii="宋体" w:hAnsi="宋体"/>
                <w:b w:val="0"/>
                <w:szCs w:val="21"/>
              </w:rPr>
              <w:t xml:space="preserve">相对密度： </w:t>
            </w:r>
            <w:r>
              <w:rPr>
                <w:rFonts w:ascii="宋体" w:hAnsi="宋体"/>
                <w:b w:val="0"/>
                <w:szCs w:val="21"/>
              </w:rPr>
              <w:t>4.8</w:t>
            </w:r>
            <w:r>
              <w:rPr>
                <w:rFonts w:hint="eastAsia" w:ascii="宋体" w:hAnsi="宋体"/>
                <w:b w:val="0"/>
                <w:szCs w:val="21"/>
              </w:rPr>
              <w:t xml:space="preserve">（空气=1）； 2.52（水=1）   溶 解 性： </w:t>
            </w:r>
            <w:r>
              <w:rPr>
                <w:rFonts w:ascii="宋体" w:hAnsi="宋体"/>
                <w:b w:val="0"/>
                <w:szCs w:val="21"/>
              </w:rPr>
              <w:t>微溶于水，不溶于乙醇</w:t>
            </w:r>
          </w:p>
          <w:p w14:paraId="3DB06C38">
            <w:pPr>
              <w:adjustRightInd w:val="0"/>
              <w:snapToGrid w:val="0"/>
              <w:spacing w:line="240" w:lineRule="exact"/>
              <w:rPr>
                <w:rFonts w:ascii="宋体" w:hAnsi="宋体"/>
                <w:b w:val="0"/>
                <w:szCs w:val="21"/>
              </w:rPr>
            </w:pPr>
            <w:r>
              <w:rPr>
                <w:rFonts w:hint="eastAsia" w:ascii="宋体" w:hAnsi="宋体"/>
                <w:b w:val="0"/>
                <w:szCs w:val="21"/>
              </w:rPr>
              <w:t xml:space="preserve">禁 忌 物： </w:t>
            </w:r>
            <w:r>
              <w:rPr>
                <w:rFonts w:ascii="宋体" w:hAnsi="宋体"/>
                <w:b w:val="0"/>
                <w:szCs w:val="21"/>
              </w:rPr>
              <w:t>强还原剂、活性金属粉末、强酸、醇类、易燃或可燃物</w:t>
            </w:r>
            <w:r>
              <w:rPr>
                <w:rFonts w:hint="eastAsia" w:ascii="宋体" w:hAnsi="宋体"/>
                <w:b w:val="0"/>
                <w:szCs w:val="21"/>
              </w:rPr>
              <w:t>。</w:t>
            </w:r>
          </w:p>
        </w:tc>
      </w:tr>
      <w:tr w14:paraId="7FFCA6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72" w:hRule="atLeast"/>
          <w:jc w:val="center"/>
        </w:trPr>
        <w:tc>
          <w:tcPr>
            <w:tcW w:w="545" w:type="pct"/>
            <w:vAlign w:val="center"/>
          </w:tcPr>
          <w:p w14:paraId="2F99E2FE">
            <w:pPr>
              <w:adjustRightInd w:val="0"/>
              <w:snapToGrid w:val="0"/>
              <w:spacing w:line="240" w:lineRule="exact"/>
              <w:jc w:val="center"/>
              <w:rPr>
                <w:rFonts w:ascii="宋体" w:hAnsi="宋体"/>
                <w:b w:val="0"/>
                <w:bCs/>
                <w:szCs w:val="21"/>
              </w:rPr>
            </w:pPr>
            <w:r>
              <w:rPr>
                <w:rFonts w:hint="eastAsia" w:ascii="宋体" w:hAnsi="宋体"/>
                <w:b w:val="0"/>
                <w:bCs/>
                <w:szCs w:val="21"/>
              </w:rPr>
              <w:t>危险有害特性</w:t>
            </w:r>
          </w:p>
        </w:tc>
        <w:tc>
          <w:tcPr>
            <w:tcW w:w="4454" w:type="pct"/>
          </w:tcPr>
          <w:p w14:paraId="290E2723">
            <w:pPr>
              <w:adjustRightInd w:val="0"/>
              <w:snapToGrid w:val="0"/>
              <w:spacing w:line="240" w:lineRule="exact"/>
              <w:rPr>
                <w:rFonts w:ascii="宋体" w:hAnsi="宋体"/>
                <w:b w:val="0"/>
                <w:szCs w:val="21"/>
              </w:rPr>
            </w:pPr>
            <w:r>
              <w:rPr>
                <w:rFonts w:hint="eastAsia" w:ascii="宋体" w:hAnsi="宋体"/>
                <w:b w:val="0"/>
                <w:szCs w:val="21"/>
              </w:rPr>
              <w:t>燃烧爆炸性：燃 烧 性： 助燃  ，          稳 定 性： 稳定</w:t>
            </w:r>
          </w:p>
          <w:p w14:paraId="4975EBD4">
            <w:pPr>
              <w:adjustRightInd w:val="0"/>
              <w:snapToGrid w:val="0"/>
              <w:spacing w:line="240" w:lineRule="exact"/>
              <w:rPr>
                <w:rFonts w:ascii="宋体" w:hAnsi="宋体"/>
                <w:b w:val="0"/>
                <w:szCs w:val="21"/>
              </w:rPr>
            </w:pPr>
            <w:r>
              <w:rPr>
                <w:rFonts w:ascii="宋体" w:hAnsi="宋体"/>
                <w:b w:val="0"/>
                <w:szCs w:val="21"/>
              </w:rPr>
              <w:t>本品</w:t>
            </w:r>
            <w:r>
              <w:rPr>
                <w:rFonts w:hint="eastAsia" w:ascii="宋体" w:hAnsi="宋体"/>
                <w:b w:val="0"/>
                <w:szCs w:val="21"/>
              </w:rPr>
              <w:t>为</w:t>
            </w:r>
            <w:r>
              <w:rPr>
                <w:rFonts w:ascii="宋体" w:hAnsi="宋体"/>
                <w:b w:val="0"/>
                <w:szCs w:val="21"/>
              </w:rPr>
              <w:t>强氧化剂，与还原剂、有机物、易燃物如硫、磷或金属粉末等混合可形成爆炸性混合物。在火场中，受热的容器有爆炸危险。受热分解放出氧气</w:t>
            </w:r>
            <w:r>
              <w:rPr>
                <w:rFonts w:hint="eastAsia" w:ascii="宋体" w:hAnsi="宋体"/>
                <w:b w:val="0"/>
                <w:szCs w:val="21"/>
              </w:rPr>
              <w:t>，</w:t>
            </w:r>
            <w:r>
              <w:rPr>
                <w:rFonts w:ascii="宋体" w:hAnsi="宋体"/>
                <w:b w:val="0"/>
                <w:szCs w:val="21"/>
              </w:rPr>
              <w:t>燃烧(分解)产</w:t>
            </w:r>
            <w:r>
              <w:rPr>
                <w:rFonts w:hint="eastAsia" w:ascii="宋体" w:hAnsi="宋体"/>
                <w:b w:val="0"/>
                <w:szCs w:val="21"/>
              </w:rPr>
              <w:t>生</w:t>
            </w:r>
            <w:r>
              <w:rPr>
                <w:rFonts w:ascii="宋体" w:hAnsi="宋体"/>
                <w:b w:val="0"/>
                <w:szCs w:val="21"/>
              </w:rPr>
              <w:t>氯化物、氧化钾</w:t>
            </w:r>
            <w:r>
              <w:rPr>
                <w:rFonts w:hint="eastAsia" w:ascii="宋体" w:hAnsi="宋体"/>
                <w:b w:val="0"/>
                <w:szCs w:val="21"/>
              </w:rPr>
              <w:t>。</w:t>
            </w:r>
          </w:p>
          <w:p w14:paraId="08289587">
            <w:pPr>
              <w:adjustRightInd w:val="0"/>
              <w:snapToGrid w:val="0"/>
              <w:spacing w:line="240" w:lineRule="exact"/>
              <w:rPr>
                <w:rFonts w:ascii="宋体" w:hAnsi="宋体"/>
                <w:b w:val="0"/>
                <w:szCs w:val="21"/>
              </w:rPr>
            </w:pPr>
            <w:r>
              <w:rPr>
                <w:rFonts w:hint="eastAsia" w:ascii="宋体" w:hAnsi="宋体"/>
                <w:b w:val="0"/>
                <w:szCs w:val="21"/>
              </w:rPr>
              <w:t xml:space="preserve">健康危害： </w:t>
            </w:r>
            <w:r>
              <w:rPr>
                <w:rFonts w:ascii="宋体" w:hAnsi="宋体"/>
                <w:b w:val="0"/>
                <w:szCs w:val="21"/>
              </w:rPr>
              <w:t>本品</w:t>
            </w:r>
            <w:r>
              <w:rPr>
                <w:rFonts w:hint="eastAsia" w:ascii="宋体" w:hAnsi="宋体"/>
                <w:b w:val="0"/>
                <w:szCs w:val="21"/>
              </w:rPr>
              <w:t>可</w:t>
            </w:r>
            <w:r>
              <w:rPr>
                <w:rFonts w:ascii="宋体" w:hAnsi="宋体"/>
                <w:b w:val="0"/>
                <w:szCs w:val="21"/>
              </w:rPr>
              <w:t>吸入、食入、经皮吸收</w:t>
            </w:r>
            <w:r>
              <w:rPr>
                <w:rFonts w:hint="eastAsia" w:ascii="宋体" w:hAnsi="宋体"/>
                <w:b w:val="0"/>
                <w:szCs w:val="21"/>
              </w:rPr>
              <w:t>，</w:t>
            </w:r>
            <w:r>
              <w:rPr>
                <w:rFonts w:ascii="宋体" w:hAnsi="宋体"/>
                <w:b w:val="0"/>
                <w:szCs w:val="21"/>
              </w:rPr>
              <w:t>有强烈刺激性。高浓度接触，严重损害粘膜、上呼吸道、眼睛及皮肤。中毒表现有烧灼感、咳嗽、喘息、气短、喉炎、头痛、恶心和呕吐等</w:t>
            </w:r>
            <w:r>
              <w:rPr>
                <w:rFonts w:hint="eastAsia" w:ascii="宋体" w:hAnsi="宋体"/>
                <w:b w:val="0"/>
                <w:szCs w:val="21"/>
              </w:rPr>
              <w:t>。</w:t>
            </w:r>
          </w:p>
        </w:tc>
      </w:tr>
      <w:tr w14:paraId="75487E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53" w:hRule="atLeast"/>
          <w:jc w:val="center"/>
        </w:trPr>
        <w:tc>
          <w:tcPr>
            <w:tcW w:w="545" w:type="pct"/>
            <w:vAlign w:val="center"/>
          </w:tcPr>
          <w:p w14:paraId="5370E301">
            <w:pPr>
              <w:adjustRightInd w:val="0"/>
              <w:snapToGrid w:val="0"/>
              <w:spacing w:line="240" w:lineRule="exact"/>
              <w:jc w:val="center"/>
              <w:rPr>
                <w:rFonts w:ascii="宋体" w:hAnsi="宋体"/>
                <w:b w:val="0"/>
                <w:bCs/>
                <w:szCs w:val="21"/>
              </w:rPr>
            </w:pPr>
            <w:r>
              <w:rPr>
                <w:rFonts w:hint="eastAsia" w:ascii="宋体" w:hAnsi="宋体"/>
                <w:b w:val="0"/>
                <w:bCs/>
                <w:szCs w:val="21"/>
              </w:rPr>
              <w:t>急救</w:t>
            </w:r>
          </w:p>
        </w:tc>
        <w:tc>
          <w:tcPr>
            <w:tcW w:w="4454" w:type="pct"/>
          </w:tcPr>
          <w:p w14:paraId="1272FD93">
            <w:pPr>
              <w:adjustRightInd w:val="0"/>
              <w:snapToGrid w:val="0"/>
              <w:spacing w:line="240" w:lineRule="exact"/>
              <w:rPr>
                <w:rFonts w:ascii="宋体" w:hAnsi="宋体"/>
                <w:b w:val="0"/>
                <w:szCs w:val="21"/>
              </w:rPr>
            </w:pPr>
            <w:r>
              <w:rPr>
                <w:rFonts w:ascii="宋体" w:hAnsi="宋体"/>
                <w:b w:val="0"/>
                <w:szCs w:val="21"/>
              </w:rPr>
              <w:t>消防措施：采用雾状水、砂土灭火</w:t>
            </w:r>
            <w:r>
              <w:rPr>
                <w:rFonts w:hint="eastAsia" w:ascii="宋体" w:hAnsi="宋体"/>
                <w:b w:val="0"/>
                <w:szCs w:val="21"/>
              </w:rPr>
              <w:t>。</w:t>
            </w:r>
          </w:p>
          <w:p w14:paraId="68901306">
            <w:pPr>
              <w:adjustRightInd w:val="0"/>
              <w:snapToGrid w:val="0"/>
              <w:spacing w:line="240" w:lineRule="exact"/>
              <w:rPr>
                <w:rFonts w:ascii="宋体" w:hAnsi="宋体"/>
                <w:b w:val="0"/>
                <w:szCs w:val="21"/>
              </w:rPr>
            </w:pPr>
            <w:r>
              <w:rPr>
                <w:rFonts w:hint="eastAsia" w:ascii="宋体" w:hAnsi="宋体"/>
                <w:b w:val="0"/>
                <w:szCs w:val="21"/>
              </w:rPr>
              <w:t>皮肤接触：立即脱去被污染的衣着，用大量流动清水彻底冲洗，至少15分钟。就医。</w:t>
            </w:r>
          </w:p>
          <w:p w14:paraId="1D89F715">
            <w:pPr>
              <w:adjustRightInd w:val="0"/>
              <w:snapToGrid w:val="0"/>
              <w:spacing w:line="240" w:lineRule="exact"/>
              <w:rPr>
                <w:rFonts w:ascii="宋体" w:hAnsi="宋体"/>
                <w:b w:val="0"/>
                <w:szCs w:val="21"/>
              </w:rPr>
            </w:pPr>
            <w:r>
              <w:rPr>
                <w:rFonts w:ascii="宋体" w:hAnsi="宋体"/>
                <w:b w:val="0"/>
                <w:szCs w:val="21"/>
              </w:rPr>
              <w:t>眼睛接触:</w:t>
            </w:r>
            <w:r>
              <w:rPr>
                <w:rFonts w:hint="eastAsia" w:ascii="宋体" w:hAnsi="宋体"/>
                <w:b w:val="0"/>
                <w:szCs w:val="21"/>
              </w:rPr>
              <w:t xml:space="preserve"> </w:t>
            </w:r>
            <w:r>
              <w:rPr>
                <w:rFonts w:ascii="宋体" w:hAnsi="宋体"/>
                <w:b w:val="0"/>
                <w:szCs w:val="21"/>
              </w:rPr>
              <w:t>立即提起眼睑，用大量流动清水或生理盐水冲洗至少15分钟。就医。</w:t>
            </w:r>
          </w:p>
          <w:p w14:paraId="3E00BF47">
            <w:pPr>
              <w:adjustRightInd w:val="0"/>
              <w:snapToGrid w:val="0"/>
              <w:spacing w:line="240" w:lineRule="exact"/>
              <w:rPr>
                <w:rFonts w:ascii="宋体" w:hAnsi="宋体"/>
                <w:b w:val="0"/>
                <w:szCs w:val="21"/>
              </w:rPr>
            </w:pPr>
            <w:r>
              <w:rPr>
                <w:rFonts w:hint="eastAsia" w:ascii="宋体" w:hAnsi="宋体"/>
                <w:b w:val="0"/>
                <w:szCs w:val="21"/>
              </w:rPr>
              <w:t>吸    入：迅速脱离现场至空气新鲜处。保持呼吸道畅通。如呼吸困难，给输氧。如呼吸停止，立即进行人工呼吸，就医。</w:t>
            </w:r>
          </w:p>
          <w:p w14:paraId="670A3037">
            <w:pPr>
              <w:adjustRightInd w:val="0"/>
              <w:snapToGrid w:val="0"/>
              <w:spacing w:line="240" w:lineRule="exact"/>
              <w:rPr>
                <w:rFonts w:ascii="宋体" w:hAnsi="宋体"/>
                <w:b w:val="0"/>
                <w:szCs w:val="21"/>
              </w:rPr>
            </w:pPr>
            <w:r>
              <w:rPr>
                <w:rFonts w:hint="eastAsia" w:ascii="宋体" w:hAnsi="宋体"/>
                <w:b w:val="0"/>
                <w:szCs w:val="21"/>
              </w:rPr>
              <w:t>食    入：误服者用水漱口，给饮牛奶或蛋清。就医。</w:t>
            </w:r>
          </w:p>
        </w:tc>
      </w:tr>
      <w:tr w14:paraId="5FF8D7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545" w:type="pct"/>
            <w:vAlign w:val="center"/>
          </w:tcPr>
          <w:p w14:paraId="7CDB9CB6">
            <w:pPr>
              <w:adjustRightInd w:val="0"/>
              <w:snapToGrid w:val="0"/>
              <w:spacing w:line="240" w:lineRule="exact"/>
              <w:jc w:val="center"/>
              <w:rPr>
                <w:rFonts w:ascii="宋体" w:hAnsi="宋体"/>
                <w:b w:val="0"/>
                <w:bCs/>
                <w:szCs w:val="21"/>
              </w:rPr>
            </w:pPr>
            <w:r>
              <w:rPr>
                <w:rFonts w:hint="eastAsia" w:ascii="宋体" w:hAnsi="宋体"/>
                <w:b w:val="0"/>
                <w:bCs/>
                <w:szCs w:val="21"/>
              </w:rPr>
              <w:t>防护</w:t>
            </w:r>
          </w:p>
        </w:tc>
        <w:tc>
          <w:tcPr>
            <w:tcW w:w="4454" w:type="pct"/>
          </w:tcPr>
          <w:p w14:paraId="29A7BD03">
            <w:pPr>
              <w:adjustRightInd w:val="0"/>
              <w:snapToGrid w:val="0"/>
              <w:spacing w:line="240" w:lineRule="exact"/>
              <w:rPr>
                <w:rFonts w:ascii="宋体" w:hAnsi="宋体"/>
                <w:b w:val="0"/>
                <w:szCs w:val="21"/>
              </w:rPr>
            </w:pPr>
            <w:r>
              <w:rPr>
                <w:rFonts w:ascii="宋体" w:hAnsi="宋体"/>
                <w:b w:val="0"/>
                <w:szCs w:val="21"/>
              </w:rPr>
              <w:t>可能接触其粉尘时，建议佩戴头罩型电动送风过滤式防尘呼吸器。穿聚乙烯防毒服。戴橡胶手套。工作现场禁止吸烟、进食和饮水。工作毕，淋浴更衣。保持良好的卫生习惯。</w:t>
            </w:r>
          </w:p>
        </w:tc>
      </w:tr>
      <w:tr w14:paraId="45D1FC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44" w:hRule="atLeast"/>
          <w:jc w:val="center"/>
        </w:trPr>
        <w:tc>
          <w:tcPr>
            <w:tcW w:w="545" w:type="pct"/>
            <w:vAlign w:val="center"/>
          </w:tcPr>
          <w:p w14:paraId="1471D37B">
            <w:pPr>
              <w:adjustRightInd w:val="0"/>
              <w:snapToGrid w:val="0"/>
              <w:spacing w:line="240" w:lineRule="exact"/>
              <w:jc w:val="center"/>
              <w:rPr>
                <w:rFonts w:ascii="宋体" w:hAnsi="宋体"/>
                <w:b w:val="0"/>
                <w:bCs/>
                <w:szCs w:val="21"/>
              </w:rPr>
            </w:pPr>
            <w:r>
              <w:rPr>
                <w:rFonts w:hint="eastAsia" w:ascii="宋体" w:hAnsi="宋体"/>
                <w:b w:val="0"/>
                <w:bCs/>
                <w:szCs w:val="21"/>
              </w:rPr>
              <w:t>泄 露</w:t>
            </w:r>
          </w:p>
          <w:p w14:paraId="3FA09329">
            <w:pPr>
              <w:adjustRightInd w:val="0"/>
              <w:snapToGrid w:val="0"/>
              <w:spacing w:line="240" w:lineRule="exact"/>
              <w:jc w:val="center"/>
              <w:rPr>
                <w:rFonts w:ascii="宋体" w:hAnsi="宋体"/>
                <w:b w:val="0"/>
                <w:bCs/>
                <w:szCs w:val="21"/>
              </w:rPr>
            </w:pPr>
            <w:r>
              <w:rPr>
                <w:rFonts w:ascii="宋体" w:hAnsi="宋体"/>
                <w:b w:val="0"/>
                <w:bCs/>
                <w:szCs w:val="21"/>
              </w:rPr>
              <w:t>处</w:t>
            </w:r>
            <w:r>
              <w:rPr>
                <w:rFonts w:hint="eastAsia" w:ascii="宋体" w:hAnsi="宋体"/>
                <w:b w:val="0"/>
                <w:bCs/>
                <w:szCs w:val="21"/>
              </w:rPr>
              <w:t xml:space="preserve"> </w:t>
            </w:r>
            <w:r>
              <w:rPr>
                <w:rFonts w:ascii="宋体" w:hAnsi="宋体"/>
                <w:b w:val="0"/>
                <w:bCs/>
                <w:szCs w:val="21"/>
              </w:rPr>
              <w:t>理</w:t>
            </w:r>
          </w:p>
        </w:tc>
        <w:tc>
          <w:tcPr>
            <w:tcW w:w="4454" w:type="pct"/>
          </w:tcPr>
          <w:p w14:paraId="1AC3A632">
            <w:pPr>
              <w:adjustRightInd w:val="0"/>
              <w:snapToGrid w:val="0"/>
              <w:spacing w:line="240" w:lineRule="exact"/>
              <w:rPr>
                <w:rFonts w:ascii="宋体" w:hAnsi="宋体"/>
                <w:b w:val="0"/>
                <w:szCs w:val="21"/>
              </w:rPr>
            </w:pPr>
            <w:r>
              <w:rPr>
                <w:rFonts w:ascii="宋体" w:hAnsi="宋体"/>
                <w:b w:val="0"/>
                <w:szCs w:val="21"/>
              </w:rPr>
              <w:t>隔离泄漏污染区，限制出入。建议应急处理人员戴防尘面具（全面罩），穿防毒服。不要直接接触泄漏物。勿使泄漏物与有机物、还原剂、易燃物接触。小量泄漏：用砂土、干燥石灰或苏打灰混合。收集于干燥、洁净、有盖的容器中。大量泄漏：用塑料布、帆布覆盖。然后收集回收或运至废物处理场所处置</w:t>
            </w:r>
            <w:r>
              <w:rPr>
                <w:rFonts w:hint="eastAsia" w:ascii="宋体" w:hAnsi="宋体"/>
                <w:b w:val="0"/>
                <w:szCs w:val="21"/>
              </w:rPr>
              <w:t>。</w:t>
            </w:r>
          </w:p>
        </w:tc>
      </w:tr>
      <w:tr w14:paraId="5D02B7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45" w:type="pct"/>
            <w:vAlign w:val="center"/>
          </w:tcPr>
          <w:p w14:paraId="60BCF554">
            <w:pPr>
              <w:adjustRightInd w:val="0"/>
              <w:snapToGrid w:val="0"/>
              <w:spacing w:line="240" w:lineRule="exact"/>
              <w:jc w:val="center"/>
              <w:rPr>
                <w:rFonts w:ascii="宋体" w:hAnsi="宋体"/>
                <w:b w:val="0"/>
                <w:bCs/>
                <w:szCs w:val="21"/>
              </w:rPr>
            </w:pPr>
            <w:r>
              <w:rPr>
                <w:rFonts w:ascii="宋体" w:hAnsi="宋体"/>
                <w:b w:val="0"/>
                <w:bCs/>
                <w:szCs w:val="21"/>
              </w:rPr>
              <w:t>储</w:t>
            </w:r>
            <w:r>
              <w:rPr>
                <w:rFonts w:hint="eastAsia" w:ascii="宋体" w:hAnsi="宋体"/>
                <w:b w:val="0"/>
                <w:bCs/>
                <w:szCs w:val="21"/>
              </w:rPr>
              <w:t xml:space="preserve"> </w:t>
            </w:r>
            <w:r>
              <w:rPr>
                <w:rFonts w:ascii="宋体" w:hAnsi="宋体"/>
                <w:b w:val="0"/>
                <w:bCs/>
                <w:szCs w:val="21"/>
              </w:rPr>
              <w:t>运</w:t>
            </w:r>
          </w:p>
        </w:tc>
        <w:tc>
          <w:tcPr>
            <w:tcW w:w="4454" w:type="pct"/>
          </w:tcPr>
          <w:p w14:paraId="5DE983AA">
            <w:pPr>
              <w:adjustRightInd w:val="0"/>
              <w:snapToGrid w:val="0"/>
              <w:spacing w:line="240" w:lineRule="exact"/>
              <w:rPr>
                <w:rFonts w:ascii="宋体" w:hAnsi="宋体"/>
                <w:b w:val="0"/>
                <w:szCs w:val="21"/>
              </w:rPr>
            </w:pPr>
            <w:r>
              <w:rPr>
                <w:rFonts w:hint="eastAsia" w:ascii="宋体" w:hAnsi="宋体"/>
                <w:b w:val="0"/>
                <w:szCs w:val="21"/>
              </w:rPr>
              <w:t>储存于阴凉、通风仓库内。防止阳光直射。注意防潮和雨淋。保持容器密封。不得与有机物、活性金属粉末、易燃或可燃物、还原剂、酸类等混储混运。搬运时要轻装轻卸，防止包装和容器损坏。禁止震动、撞击和摩擦。</w:t>
            </w:r>
          </w:p>
        </w:tc>
      </w:tr>
    </w:tbl>
    <w:p w14:paraId="1C29B65A">
      <w:pPr>
        <w:spacing w:before="120" w:beforeLines="50" w:line="360" w:lineRule="auto"/>
        <w:ind w:firstLine="562" w:firstLineChars="200"/>
        <w:rPr>
          <w:rFonts w:ascii="宋体" w:hAnsi="宋体"/>
          <w:sz w:val="28"/>
        </w:rPr>
      </w:pPr>
      <w:bookmarkStart w:id="209" w:name="_Toc109360859"/>
      <w:r>
        <w:rPr>
          <w:rFonts w:hint="eastAsia" w:ascii="宋体" w:hAnsi="宋体"/>
          <w:snapToGrid w:val="0"/>
          <w:sz w:val="28"/>
          <w:szCs w:val="28"/>
        </w:rPr>
        <w:t>2）</w:t>
      </w:r>
      <w:r>
        <w:rPr>
          <w:rFonts w:hint="eastAsia" w:ascii="宋体" w:hAnsi="宋体"/>
          <w:sz w:val="28"/>
        </w:rPr>
        <w:t>高氯酸铵</w:t>
      </w:r>
    </w:p>
    <w:p w14:paraId="0C8A3002">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高氯酸铵物性参数及对其危险的应对措施列于表3.3-</w:t>
      </w:r>
      <w:r>
        <w:rPr>
          <w:rFonts w:ascii="宋体" w:hAnsi="宋体"/>
          <w:b w:val="0"/>
          <w:snapToGrid w:val="0"/>
          <w:sz w:val="28"/>
          <w:szCs w:val="28"/>
        </w:rPr>
        <w:t>3</w:t>
      </w:r>
      <w:r>
        <w:rPr>
          <w:rFonts w:hint="eastAsia" w:ascii="宋体" w:hAnsi="宋体"/>
          <w:b w:val="0"/>
          <w:snapToGrid w:val="0"/>
          <w:sz w:val="28"/>
          <w:szCs w:val="28"/>
        </w:rPr>
        <w:t>。</w:t>
      </w:r>
    </w:p>
    <w:p w14:paraId="5D777BCC">
      <w:pPr>
        <w:jc w:val="center"/>
        <w:rPr>
          <w:rFonts w:ascii="黑体" w:hAnsi="宋体" w:eastAsia="黑体"/>
          <w:b w:val="0"/>
          <w:sz w:val="24"/>
        </w:rPr>
      </w:pPr>
      <w:r>
        <w:rPr>
          <w:rFonts w:hint="eastAsia" w:ascii="黑体" w:hAnsi="宋体" w:eastAsia="黑体"/>
          <w:b w:val="0"/>
          <w:sz w:val="24"/>
        </w:rPr>
        <w:t>表</w:t>
      </w:r>
      <w:r>
        <w:rPr>
          <w:rFonts w:ascii="黑体" w:hAnsi="宋体" w:eastAsia="黑体"/>
          <w:b w:val="0"/>
          <w:sz w:val="24"/>
        </w:rPr>
        <w:t>3.</w:t>
      </w:r>
      <w:r>
        <w:rPr>
          <w:rFonts w:hint="eastAsia" w:ascii="黑体" w:hAnsi="宋体" w:eastAsia="黑体"/>
          <w:b w:val="0"/>
          <w:sz w:val="24"/>
        </w:rPr>
        <w:t>3</w:t>
      </w:r>
      <w:r>
        <w:rPr>
          <w:rFonts w:ascii="黑体" w:hAnsi="宋体" w:eastAsia="黑体"/>
          <w:b w:val="0"/>
          <w:sz w:val="24"/>
        </w:rPr>
        <w:t xml:space="preserve">-3  </w:t>
      </w:r>
      <w:r>
        <w:rPr>
          <w:rFonts w:hint="eastAsia" w:ascii="黑体" w:hAnsi="宋体" w:eastAsia="黑体"/>
          <w:b w:val="0"/>
          <w:sz w:val="24"/>
        </w:rPr>
        <w:t>高氯酸铵的物性参数及对危险的应对措施</w:t>
      </w:r>
    </w:p>
    <w:tbl>
      <w:tblPr>
        <w:tblStyle w:val="88"/>
        <w:tblW w:w="5016"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8300"/>
      </w:tblGrid>
      <w:tr w14:paraId="3202DC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10" w:hRule="atLeast"/>
          <w:jc w:val="center"/>
        </w:trPr>
        <w:tc>
          <w:tcPr>
            <w:tcW w:w="546" w:type="pct"/>
            <w:vAlign w:val="center"/>
          </w:tcPr>
          <w:p w14:paraId="16D5A4D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宋体" w:hAnsi="宋体"/>
                <w:b w:val="0"/>
                <w:bCs/>
                <w:szCs w:val="21"/>
              </w:rPr>
            </w:pPr>
            <w:r>
              <w:rPr>
                <w:rFonts w:hint="eastAsia" w:ascii="宋体" w:hAnsi="宋体"/>
                <w:b w:val="0"/>
                <w:bCs/>
                <w:szCs w:val="21"/>
              </w:rPr>
              <w:t>标 识</w:t>
            </w:r>
          </w:p>
        </w:tc>
        <w:tc>
          <w:tcPr>
            <w:tcW w:w="4453" w:type="pct"/>
          </w:tcPr>
          <w:p w14:paraId="14717C43">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ascii="宋体" w:hAnsi="宋体"/>
                <w:b w:val="0"/>
                <w:szCs w:val="21"/>
              </w:rPr>
            </w:pPr>
            <w:r>
              <w:rPr>
                <w:rFonts w:hint="eastAsia" w:ascii="宋体" w:hAnsi="宋体"/>
                <w:b w:val="0"/>
                <w:szCs w:val="21"/>
              </w:rPr>
              <w:t>中文名称：高氯酸铵、</w:t>
            </w:r>
            <w:r>
              <w:rPr>
                <w:rFonts w:ascii="宋体" w:hAnsi="宋体"/>
                <w:b w:val="0"/>
                <w:szCs w:val="21"/>
              </w:rPr>
              <w:t>过氯酸铵</w:t>
            </w:r>
            <w:r>
              <w:rPr>
                <w:rFonts w:hint="eastAsia" w:ascii="宋体" w:hAnsi="宋体"/>
                <w:b w:val="0"/>
                <w:szCs w:val="21"/>
              </w:rPr>
              <w:t xml:space="preserve">           英 文 名：</w:t>
            </w:r>
            <w:r>
              <w:rPr>
                <w:rFonts w:ascii="宋体" w:hAnsi="宋体"/>
                <w:b w:val="0"/>
                <w:szCs w:val="21"/>
              </w:rPr>
              <w:t>AMMONIUM PERCHLORATE</w:t>
            </w:r>
          </w:p>
          <w:p w14:paraId="0EF61D86">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ascii="宋体" w:hAnsi="宋体"/>
                <w:b w:val="0"/>
                <w:szCs w:val="21"/>
              </w:rPr>
            </w:pPr>
            <w:r>
              <w:rPr>
                <w:rFonts w:hint="eastAsia" w:ascii="宋体" w:hAnsi="宋体"/>
                <w:b w:val="0"/>
                <w:szCs w:val="21"/>
              </w:rPr>
              <w:t>分 子 式：</w:t>
            </w:r>
            <w:r>
              <w:rPr>
                <w:rFonts w:ascii="宋体" w:hAnsi="宋体"/>
                <w:b w:val="0"/>
                <w:szCs w:val="21"/>
              </w:rPr>
              <w:t>NH4ClO</w:t>
            </w:r>
            <w:r>
              <w:rPr>
                <w:rFonts w:ascii="宋体" w:hAnsi="宋体"/>
                <w:b w:val="0"/>
                <w:szCs w:val="21"/>
                <w:vertAlign w:val="subscript"/>
              </w:rPr>
              <w:t>4</w:t>
            </w:r>
            <w:r>
              <w:rPr>
                <w:rFonts w:hint="eastAsia" w:ascii="宋体" w:hAnsi="宋体"/>
                <w:b w:val="0"/>
                <w:szCs w:val="21"/>
              </w:rPr>
              <w:t xml:space="preserve">                       分 子 量：</w:t>
            </w:r>
            <w:r>
              <w:rPr>
                <w:rFonts w:ascii="宋体" w:hAnsi="宋体"/>
                <w:b w:val="0"/>
                <w:szCs w:val="21"/>
              </w:rPr>
              <w:t>117.49</w:t>
            </w:r>
          </w:p>
          <w:p w14:paraId="17831E1A">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ascii="宋体" w:hAnsi="宋体"/>
                <w:b w:val="0"/>
                <w:szCs w:val="21"/>
              </w:rPr>
            </w:pPr>
            <w:r>
              <w:rPr>
                <w:rFonts w:hint="eastAsia" w:ascii="宋体" w:hAnsi="宋体"/>
                <w:b w:val="0"/>
                <w:szCs w:val="21"/>
              </w:rPr>
              <w:t xml:space="preserve">危险化学品目录序号：799                </w:t>
            </w:r>
            <w:r>
              <w:rPr>
                <w:rFonts w:ascii="宋体" w:hAnsi="宋体"/>
                <w:b w:val="0"/>
                <w:szCs w:val="21"/>
              </w:rPr>
              <w:t>UN编号为1442</w:t>
            </w:r>
          </w:p>
          <w:p w14:paraId="5B9BA20C">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ascii="宋体" w:hAnsi="宋体"/>
                <w:b w:val="0"/>
                <w:szCs w:val="21"/>
              </w:rPr>
            </w:pPr>
            <w:r>
              <w:rPr>
                <w:rFonts w:ascii="宋体" w:hAnsi="宋体"/>
                <w:b w:val="0"/>
                <w:szCs w:val="21"/>
              </w:rPr>
              <w:t>CAS</w:t>
            </w:r>
            <w:r>
              <w:rPr>
                <w:rFonts w:hint="eastAsia" w:ascii="宋体" w:hAnsi="宋体"/>
                <w:b w:val="0"/>
                <w:szCs w:val="21"/>
              </w:rPr>
              <w:t>号：</w:t>
            </w:r>
            <w:r>
              <w:rPr>
                <w:rFonts w:ascii="宋体" w:hAnsi="宋体"/>
                <w:b w:val="0"/>
                <w:szCs w:val="21"/>
              </w:rPr>
              <w:t>7790-98-9</w:t>
            </w:r>
            <w:r>
              <w:rPr>
                <w:rFonts w:hint="eastAsia" w:ascii="宋体" w:hAnsi="宋体"/>
                <w:b w:val="0"/>
                <w:szCs w:val="21"/>
              </w:rPr>
              <w:t xml:space="preserve">                      </w:t>
            </w:r>
          </w:p>
        </w:tc>
      </w:tr>
      <w:tr w14:paraId="167595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44" w:hRule="atLeast"/>
          <w:jc w:val="center"/>
        </w:trPr>
        <w:tc>
          <w:tcPr>
            <w:tcW w:w="546" w:type="pct"/>
            <w:vAlign w:val="center"/>
          </w:tcPr>
          <w:p w14:paraId="5C563A6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宋体" w:hAnsi="宋体"/>
                <w:b w:val="0"/>
                <w:bCs/>
                <w:szCs w:val="21"/>
              </w:rPr>
            </w:pPr>
            <w:r>
              <w:rPr>
                <w:rFonts w:ascii="宋体" w:hAnsi="宋体"/>
                <w:b w:val="0"/>
                <w:bCs/>
                <w:szCs w:val="21"/>
              </w:rPr>
              <w:t>理</w:t>
            </w:r>
            <w:r>
              <w:rPr>
                <w:rFonts w:hint="eastAsia" w:ascii="宋体" w:hAnsi="宋体"/>
                <w:b w:val="0"/>
                <w:bCs/>
                <w:szCs w:val="21"/>
              </w:rPr>
              <w:t xml:space="preserve"> </w:t>
            </w:r>
            <w:r>
              <w:rPr>
                <w:rFonts w:ascii="宋体" w:hAnsi="宋体"/>
                <w:b w:val="0"/>
                <w:bCs/>
                <w:szCs w:val="21"/>
              </w:rPr>
              <w:t>化</w:t>
            </w:r>
          </w:p>
          <w:p w14:paraId="64EDB2C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宋体" w:hAnsi="宋体"/>
                <w:b w:val="0"/>
                <w:bCs/>
                <w:szCs w:val="21"/>
              </w:rPr>
            </w:pPr>
            <w:r>
              <w:rPr>
                <w:rFonts w:hint="eastAsia" w:ascii="宋体" w:hAnsi="宋体"/>
                <w:b w:val="0"/>
                <w:bCs/>
                <w:szCs w:val="21"/>
              </w:rPr>
              <w:t>性 质</w:t>
            </w:r>
          </w:p>
        </w:tc>
        <w:tc>
          <w:tcPr>
            <w:tcW w:w="4453" w:type="pct"/>
          </w:tcPr>
          <w:p w14:paraId="5DEF8E4B">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ascii="宋体" w:hAnsi="宋体"/>
                <w:b w:val="0"/>
                <w:szCs w:val="21"/>
              </w:rPr>
            </w:pPr>
            <w:r>
              <w:rPr>
                <w:rFonts w:ascii="宋体" w:hAnsi="宋体"/>
                <w:b w:val="0"/>
                <w:szCs w:val="21"/>
              </w:rPr>
              <w:t>外观性状：白色晶体</w:t>
            </w:r>
            <w:r>
              <w:rPr>
                <w:rFonts w:hint="eastAsia" w:ascii="宋体" w:hAnsi="宋体"/>
                <w:b w:val="0"/>
                <w:szCs w:val="21"/>
              </w:rPr>
              <w:t xml:space="preserve">           熔    点：</w:t>
            </w:r>
            <w:r>
              <w:rPr>
                <w:rFonts w:ascii="宋体" w:hAnsi="宋体"/>
                <w:b w:val="0"/>
                <w:szCs w:val="21"/>
              </w:rPr>
              <w:t>约350°C(分解)</w:t>
            </w:r>
          </w:p>
          <w:p w14:paraId="7681B1FC">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ascii="宋体" w:hAnsi="宋体"/>
                <w:b w:val="0"/>
                <w:szCs w:val="21"/>
              </w:rPr>
            </w:pPr>
            <w:r>
              <w:rPr>
                <w:rFonts w:hint="eastAsia" w:ascii="宋体" w:hAnsi="宋体"/>
                <w:b w:val="0"/>
                <w:szCs w:val="21"/>
              </w:rPr>
              <w:t xml:space="preserve">相对密度： </w:t>
            </w:r>
            <w:r>
              <w:rPr>
                <w:rFonts w:ascii="宋体" w:hAnsi="宋体"/>
                <w:b w:val="0"/>
                <w:szCs w:val="21"/>
              </w:rPr>
              <w:t>1.95 g/cm3</w:t>
            </w:r>
            <w:r>
              <w:rPr>
                <w:rFonts w:hint="eastAsia" w:ascii="宋体" w:hAnsi="宋体"/>
                <w:b w:val="0"/>
                <w:szCs w:val="21"/>
              </w:rPr>
              <w:t xml:space="preserve">        </w:t>
            </w:r>
            <w:r>
              <w:rPr>
                <w:rFonts w:ascii="宋体" w:hAnsi="宋体"/>
                <w:b w:val="0"/>
                <w:szCs w:val="21"/>
              </w:rPr>
              <w:t>水溶性</w:t>
            </w:r>
            <w:r>
              <w:rPr>
                <w:rFonts w:hint="eastAsia" w:ascii="宋体" w:hAnsi="宋体"/>
                <w:b w:val="0"/>
                <w:szCs w:val="21"/>
              </w:rPr>
              <w:t xml:space="preserve">： </w:t>
            </w:r>
            <w:r>
              <w:rPr>
                <w:rFonts w:ascii="宋体" w:hAnsi="宋体"/>
                <w:b w:val="0"/>
                <w:szCs w:val="21"/>
              </w:rPr>
              <w:t>7g(100mL，20°C)</w:t>
            </w:r>
          </w:p>
          <w:p w14:paraId="00D97F3E">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ascii="宋体" w:hAnsi="宋体"/>
                <w:b w:val="0"/>
                <w:szCs w:val="21"/>
              </w:rPr>
            </w:pPr>
            <w:r>
              <w:rPr>
                <w:rFonts w:hint="eastAsia" w:ascii="宋体" w:hAnsi="宋体"/>
                <w:b w:val="0"/>
                <w:szCs w:val="21"/>
              </w:rPr>
              <w:t xml:space="preserve">禁 忌 物： </w:t>
            </w:r>
            <w:r>
              <w:rPr>
                <w:rFonts w:ascii="宋体" w:hAnsi="宋体"/>
                <w:b w:val="0"/>
                <w:szCs w:val="21"/>
              </w:rPr>
              <w:t>强还原剂、</w:t>
            </w:r>
            <w:r>
              <w:rPr>
                <w:rFonts w:hint="eastAsia" w:ascii="宋体" w:hAnsi="宋体"/>
                <w:b w:val="0"/>
                <w:szCs w:val="21"/>
              </w:rPr>
              <w:t>如硫、磷</w:t>
            </w:r>
          </w:p>
        </w:tc>
      </w:tr>
      <w:tr w14:paraId="58075A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546" w:type="pct"/>
            <w:vAlign w:val="center"/>
          </w:tcPr>
          <w:p w14:paraId="1A921D8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宋体" w:hAnsi="宋体"/>
                <w:b w:val="0"/>
                <w:bCs/>
                <w:szCs w:val="21"/>
              </w:rPr>
            </w:pPr>
            <w:r>
              <w:rPr>
                <w:rFonts w:hint="eastAsia" w:ascii="宋体" w:hAnsi="宋体"/>
                <w:b w:val="0"/>
                <w:bCs/>
                <w:szCs w:val="21"/>
              </w:rPr>
              <w:t>危险有害特性</w:t>
            </w:r>
          </w:p>
        </w:tc>
        <w:tc>
          <w:tcPr>
            <w:tcW w:w="4453" w:type="pct"/>
          </w:tcPr>
          <w:p w14:paraId="5A2EB6E9">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ascii="宋体" w:hAnsi="宋体"/>
                <w:b w:val="0"/>
                <w:szCs w:val="21"/>
              </w:rPr>
            </w:pPr>
            <w:r>
              <w:rPr>
                <w:rFonts w:hint="eastAsia" w:ascii="宋体" w:hAnsi="宋体"/>
                <w:b w:val="0"/>
                <w:szCs w:val="21"/>
              </w:rPr>
              <w:t>燃烧爆炸性：燃烧性： 助燃            稳定性：稳定</w:t>
            </w:r>
          </w:p>
          <w:p w14:paraId="637CC392">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ascii="宋体" w:hAnsi="宋体"/>
                <w:b w:val="0"/>
                <w:szCs w:val="21"/>
              </w:rPr>
            </w:pPr>
            <w:r>
              <w:rPr>
                <w:rFonts w:ascii="宋体" w:hAnsi="宋体"/>
                <w:b w:val="0"/>
                <w:szCs w:val="21"/>
              </w:rPr>
              <w:t>强氧化剂。与还原剂、有机物、易燃物如硫、</w:t>
            </w:r>
            <w:r>
              <w:fldChar w:fldCharType="begin"/>
            </w:r>
            <w:r>
              <w:instrText xml:space="preserve"> HYPERLINK "https://baike.so.com/doc/4236858-4438872.html" \t "_blank" </w:instrText>
            </w:r>
            <w:r>
              <w:fldChar w:fldCharType="separate"/>
            </w:r>
            <w:r>
              <w:rPr>
                <w:rFonts w:ascii="宋体" w:hAnsi="宋体"/>
                <w:b w:val="0"/>
              </w:rPr>
              <w:t>磷</w:t>
            </w:r>
            <w:r>
              <w:rPr>
                <w:rFonts w:ascii="宋体" w:hAnsi="宋体"/>
                <w:b w:val="0"/>
              </w:rPr>
              <w:fldChar w:fldCharType="end"/>
            </w:r>
            <w:r>
              <w:rPr>
                <w:rFonts w:ascii="宋体" w:hAnsi="宋体"/>
                <w:b w:val="0"/>
                <w:szCs w:val="21"/>
              </w:rPr>
              <w:t>或金属粉末等混合可形成爆炸性混合物。急剧加热时可发生爆炸。</w:t>
            </w:r>
          </w:p>
          <w:p w14:paraId="0A9F68A7">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ascii="宋体" w:hAnsi="宋体"/>
                <w:b w:val="0"/>
                <w:szCs w:val="21"/>
              </w:rPr>
            </w:pPr>
            <w:r>
              <w:rPr>
                <w:rFonts w:ascii="宋体" w:hAnsi="宋体"/>
                <w:b w:val="0"/>
                <w:szCs w:val="21"/>
              </w:rPr>
              <w:t>燃烧(分解)产物：</w:t>
            </w:r>
            <w:r>
              <w:fldChar w:fldCharType="begin"/>
            </w:r>
            <w:r>
              <w:instrText xml:space="preserve"> HYPERLINK "https://baike.so.com/doc/1605878-1697614.html" \t "_blank" </w:instrText>
            </w:r>
            <w:r>
              <w:fldChar w:fldCharType="separate"/>
            </w:r>
            <w:r>
              <w:rPr>
                <w:rFonts w:ascii="宋体" w:hAnsi="宋体"/>
                <w:b w:val="0"/>
              </w:rPr>
              <w:t>氨</w:t>
            </w:r>
            <w:r>
              <w:rPr>
                <w:rFonts w:ascii="宋体" w:hAnsi="宋体"/>
                <w:b w:val="0"/>
              </w:rPr>
              <w:fldChar w:fldCharType="end"/>
            </w:r>
            <w:r>
              <w:rPr>
                <w:rFonts w:ascii="宋体" w:hAnsi="宋体"/>
                <w:b w:val="0"/>
                <w:szCs w:val="21"/>
              </w:rPr>
              <w:t>、氯化物</w:t>
            </w:r>
          </w:p>
        </w:tc>
      </w:tr>
      <w:tr w14:paraId="55A06D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33" w:hRule="atLeast"/>
          <w:jc w:val="center"/>
        </w:trPr>
        <w:tc>
          <w:tcPr>
            <w:tcW w:w="546" w:type="pct"/>
            <w:vAlign w:val="center"/>
          </w:tcPr>
          <w:p w14:paraId="4BCC74E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宋体" w:hAnsi="宋体"/>
                <w:b w:val="0"/>
                <w:bCs/>
                <w:szCs w:val="21"/>
              </w:rPr>
            </w:pPr>
            <w:r>
              <w:rPr>
                <w:rFonts w:hint="eastAsia" w:ascii="宋体" w:hAnsi="宋体"/>
                <w:b w:val="0"/>
                <w:bCs/>
                <w:szCs w:val="21"/>
              </w:rPr>
              <w:t>急救</w:t>
            </w:r>
          </w:p>
          <w:p w14:paraId="2C0E9DA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宋体" w:hAnsi="宋体"/>
                <w:b w:val="0"/>
                <w:bCs/>
                <w:szCs w:val="21"/>
              </w:rPr>
            </w:pPr>
            <w:r>
              <w:rPr>
                <w:rFonts w:hint="eastAsia" w:ascii="宋体" w:hAnsi="宋体"/>
                <w:b w:val="0"/>
                <w:bCs/>
                <w:szCs w:val="21"/>
              </w:rPr>
              <w:t>措施</w:t>
            </w:r>
          </w:p>
        </w:tc>
        <w:tc>
          <w:tcPr>
            <w:tcW w:w="4453" w:type="pct"/>
          </w:tcPr>
          <w:p w14:paraId="3630DDAF">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ascii="宋体" w:hAnsi="宋体"/>
                <w:b w:val="0"/>
                <w:szCs w:val="21"/>
              </w:rPr>
            </w:pPr>
            <w:r>
              <w:rPr>
                <w:rFonts w:hint="eastAsia" w:ascii="宋体" w:hAnsi="宋体"/>
                <w:b w:val="0"/>
                <w:szCs w:val="21"/>
              </w:rPr>
              <w:t>皮肤接触：脱去被污染的衣着，用大量流动清水冲洗；</w:t>
            </w:r>
          </w:p>
          <w:p w14:paraId="517AC0D7">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ascii="宋体" w:hAnsi="宋体"/>
                <w:b w:val="0"/>
                <w:szCs w:val="21"/>
              </w:rPr>
            </w:pPr>
            <w:r>
              <w:rPr>
                <w:rFonts w:ascii="宋体" w:hAnsi="宋体"/>
                <w:b w:val="0"/>
                <w:szCs w:val="21"/>
              </w:rPr>
              <w:t>眼睛接触：提起眼睑，用流动清或生理盐水冲洗</w:t>
            </w:r>
            <w:r>
              <w:rPr>
                <w:rFonts w:hint="eastAsia" w:ascii="宋体" w:hAnsi="宋体"/>
                <w:b w:val="0"/>
                <w:szCs w:val="21"/>
              </w:rPr>
              <w:t>，</w:t>
            </w:r>
            <w:r>
              <w:rPr>
                <w:rFonts w:ascii="宋体" w:hAnsi="宋体"/>
                <w:b w:val="0"/>
                <w:szCs w:val="21"/>
              </w:rPr>
              <w:t>就医</w:t>
            </w:r>
            <w:r>
              <w:rPr>
                <w:rFonts w:hint="eastAsia" w:ascii="宋体" w:hAnsi="宋体"/>
                <w:b w:val="0"/>
                <w:szCs w:val="21"/>
              </w:rPr>
              <w:t>；</w:t>
            </w:r>
          </w:p>
          <w:p w14:paraId="5C799DCF">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ascii="宋体" w:hAnsi="宋体"/>
                <w:b w:val="0"/>
                <w:szCs w:val="21"/>
              </w:rPr>
            </w:pPr>
            <w:r>
              <w:rPr>
                <w:rFonts w:hint="eastAsia" w:ascii="宋体" w:hAnsi="宋体"/>
                <w:b w:val="0"/>
                <w:szCs w:val="21"/>
              </w:rPr>
              <w:t>吸入：迅速脱离现场至空气新鲜处。保持呼吸道通畅。如呼吸困难，给输氧。如呼吸停止，立即进行人工呼吸，就医；</w:t>
            </w:r>
          </w:p>
          <w:p w14:paraId="047280DD">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ascii="宋体" w:hAnsi="宋体"/>
                <w:b w:val="0"/>
                <w:szCs w:val="21"/>
              </w:rPr>
            </w:pPr>
            <w:r>
              <w:rPr>
                <w:rFonts w:hint="eastAsia" w:ascii="宋体" w:hAnsi="宋体"/>
                <w:b w:val="0"/>
                <w:szCs w:val="21"/>
              </w:rPr>
              <w:t>食入：饮足量温水。催吐，就医</w:t>
            </w:r>
          </w:p>
        </w:tc>
      </w:tr>
      <w:tr w14:paraId="4066C2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44" w:hRule="atLeast"/>
          <w:jc w:val="center"/>
        </w:trPr>
        <w:tc>
          <w:tcPr>
            <w:tcW w:w="546" w:type="pct"/>
            <w:vAlign w:val="center"/>
          </w:tcPr>
          <w:p w14:paraId="47E28F3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宋体" w:hAnsi="宋体"/>
                <w:b w:val="0"/>
                <w:bCs/>
                <w:szCs w:val="21"/>
              </w:rPr>
            </w:pPr>
            <w:r>
              <w:rPr>
                <w:rFonts w:hint="eastAsia" w:ascii="宋体" w:hAnsi="宋体"/>
                <w:b w:val="0"/>
                <w:bCs/>
                <w:szCs w:val="21"/>
              </w:rPr>
              <w:t>防护</w:t>
            </w:r>
          </w:p>
          <w:p w14:paraId="75CBA54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宋体" w:hAnsi="宋体"/>
                <w:b w:val="0"/>
              </w:rPr>
            </w:pPr>
            <w:r>
              <w:rPr>
                <w:rFonts w:hint="eastAsia" w:ascii="宋体" w:hAnsi="宋体"/>
                <w:b w:val="0"/>
                <w:bCs/>
                <w:szCs w:val="21"/>
              </w:rPr>
              <w:t>措施</w:t>
            </w:r>
          </w:p>
        </w:tc>
        <w:tc>
          <w:tcPr>
            <w:tcW w:w="4453" w:type="pct"/>
          </w:tcPr>
          <w:p w14:paraId="7738F010">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ascii="宋体" w:hAnsi="宋体"/>
                <w:b w:val="0"/>
                <w:szCs w:val="21"/>
              </w:rPr>
            </w:pPr>
            <w:r>
              <w:rPr>
                <w:rFonts w:hint="eastAsia" w:ascii="宋体" w:hAnsi="宋体"/>
                <w:b w:val="0"/>
                <w:szCs w:val="21"/>
              </w:rPr>
              <w:t>呼吸系统防护：可能接触其粉尘时，建议佩戴头罩型电动送风过滤式防尘呼吸器；</w:t>
            </w:r>
            <w:r>
              <w:rPr>
                <w:rFonts w:ascii="宋体" w:hAnsi="宋体"/>
                <w:b w:val="0"/>
                <w:szCs w:val="21"/>
              </w:rPr>
              <w:t>眼睛防护：呼吸系统防护中已用防护</w:t>
            </w:r>
            <w:r>
              <w:rPr>
                <w:rFonts w:hint="eastAsia" w:ascii="宋体" w:hAnsi="宋体"/>
                <w:b w:val="0"/>
                <w:szCs w:val="21"/>
              </w:rPr>
              <w:t>；</w:t>
            </w:r>
            <w:r>
              <w:rPr>
                <w:rFonts w:ascii="宋体" w:hAnsi="宋体"/>
                <w:b w:val="0"/>
                <w:szCs w:val="21"/>
              </w:rPr>
              <w:t>身体防护：穿聚乙烯防毒服</w:t>
            </w:r>
            <w:r>
              <w:rPr>
                <w:rFonts w:hint="eastAsia" w:ascii="宋体" w:hAnsi="宋体"/>
                <w:b w:val="0"/>
                <w:szCs w:val="21"/>
              </w:rPr>
              <w:t>；</w:t>
            </w:r>
            <w:r>
              <w:rPr>
                <w:rFonts w:ascii="宋体" w:hAnsi="宋体" w:cs="Arial"/>
                <w:b w:val="0"/>
                <w:color w:val="333333"/>
                <w:szCs w:val="21"/>
                <w:shd w:val="clear" w:color="auto" w:fill="FFFFFF"/>
              </w:rPr>
              <w:t>手防护：戴橡胶手套</w:t>
            </w:r>
            <w:r>
              <w:rPr>
                <w:rFonts w:hint="eastAsia" w:ascii="宋体" w:hAnsi="宋体" w:cs="Arial"/>
                <w:b w:val="0"/>
                <w:color w:val="333333"/>
                <w:szCs w:val="21"/>
                <w:shd w:val="clear" w:color="auto" w:fill="FFFFFF"/>
              </w:rPr>
              <w:t>；</w:t>
            </w:r>
            <w:r>
              <w:rPr>
                <w:rFonts w:ascii="宋体" w:hAnsi="宋体" w:cs="Arial"/>
                <w:b w:val="0"/>
                <w:color w:val="333333"/>
                <w:szCs w:val="21"/>
                <w:shd w:val="clear" w:color="auto" w:fill="FFFFFF"/>
              </w:rPr>
              <w:t>其它：工作现场禁止</w:t>
            </w:r>
            <w:r>
              <w:fldChar w:fldCharType="begin"/>
            </w:r>
            <w:r>
              <w:instrText xml:space="preserve"> HYPERLINK "https://baike.so.com/doc/5367803-5603575.html" \t "_blank" </w:instrText>
            </w:r>
            <w:r>
              <w:fldChar w:fldCharType="separate"/>
            </w:r>
            <w:r>
              <w:rPr>
                <w:rFonts w:ascii="宋体" w:hAnsi="宋体"/>
                <w:b w:val="0"/>
              </w:rPr>
              <w:t>吸烟</w:t>
            </w:r>
            <w:r>
              <w:rPr>
                <w:rFonts w:ascii="宋体" w:hAnsi="宋体"/>
                <w:b w:val="0"/>
              </w:rPr>
              <w:fldChar w:fldCharType="end"/>
            </w:r>
            <w:r>
              <w:rPr>
                <w:rFonts w:ascii="宋体" w:hAnsi="宋体"/>
                <w:b w:val="0"/>
                <w:szCs w:val="21"/>
              </w:rPr>
              <w:t>、</w:t>
            </w:r>
            <w:r>
              <w:rPr>
                <w:rFonts w:ascii="宋体" w:hAnsi="宋体" w:cs="Arial"/>
                <w:b w:val="0"/>
                <w:color w:val="333333"/>
                <w:szCs w:val="21"/>
                <w:shd w:val="clear" w:color="auto" w:fill="FFFFFF"/>
              </w:rPr>
              <w:t>进食和饮水。工作毕，淋浴更衣。保持良好的卫生习惯</w:t>
            </w:r>
          </w:p>
        </w:tc>
      </w:tr>
      <w:tr w14:paraId="0AADCF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546" w:type="pct"/>
            <w:vAlign w:val="center"/>
          </w:tcPr>
          <w:p w14:paraId="07A9D09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宋体" w:hAnsi="宋体"/>
                <w:b w:val="0"/>
                <w:bCs/>
                <w:szCs w:val="21"/>
              </w:rPr>
            </w:pPr>
            <w:r>
              <w:rPr>
                <w:rFonts w:hint="eastAsia" w:ascii="宋体" w:hAnsi="宋体"/>
                <w:b w:val="0"/>
                <w:bCs/>
                <w:szCs w:val="21"/>
              </w:rPr>
              <w:t>泄 露</w:t>
            </w:r>
          </w:p>
          <w:p w14:paraId="75ACA32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宋体" w:hAnsi="宋体"/>
                <w:b w:val="0"/>
                <w:bCs/>
                <w:szCs w:val="21"/>
              </w:rPr>
            </w:pPr>
            <w:r>
              <w:rPr>
                <w:rFonts w:ascii="宋体" w:hAnsi="宋体"/>
                <w:b w:val="0"/>
                <w:bCs/>
                <w:szCs w:val="21"/>
              </w:rPr>
              <w:t>处</w:t>
            </w:r>
            <w:r>
              <w:rPr>
                <w:rFonts w:hint="eastAsia" w:ascii="宋体" w:hAnsi="宋体"/>
                <w:b w:val="0"/>
                <w:bCs/>
                <w:szCs w:val="21"/>
              </w:rPr>
              <w:t xml:space="preserve"> </w:t>
            </w:r>
            <w:r>
              <w:rPr>
                <w:rFonts w:ascii="宋体" w:hAnsi="宋体"/>
                <w:b w:val="0"/>
                <w:bCs/>
                <w:szCs w:val="21"/>
              </w:rPr>
              <w:t>理</w:t>
            </w:r>
          </w:p>
        </w:tc>
        <w:tc>
          <w:tcPr>
            <w:tcW w:w="4453" w:type="pct"/>
          </w:tcPr>
          <w:p w14:paraId="0A9E9949">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ascii="宋体" w:hAnsi="宋体"/>
                <w:b w:val="0"/>
                <w:szCs w:val="21"/>
              </w:rPr>
            </w:pPr>
            <w:r>
              <w:rPr>
                <w:rFonts w:hint="eastAsia" w:ascii="宋体" w:hAnsi="宋体"/>
                <w:b w:val="0"/>
                <w:szCs w:val="21"/>
              </w:rPr>
              <w:t>隔离泄漏污染区。限制出入。建议应急处理人员戴自给式呼吸器，穿一般作业工作服。不要直接接触泄漏物。勿使泄漏物与有机物、还原剂、易燃物接触。小量泄漏：避免扬尘，小心扫起，收集转移至安全场所，也可以用大量水冲洗，洗水稀释后放入废水系统。大量泄漏：收集回收或运至废物处理场所处置</w:t>
            </w:r>
          </w:p>
        </w:tc>
      </w:tr>
      <w:tr w14:paraId="4C4335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10" w:hRule="atLeast"/>
          <w:jc w:val="center"/>
        </w:trPr>
        <w:tc>
          <w:tcPr>
            <w:tcW w:w="546" w:type="pct"/>
            <w:vAlign w:val="center"/>
          </w:tcPr>
          <w:p w14:paraId="0FF8C91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宋体" w:hAnsi="宋体"/>
                <w:b w:val="0"/>
                <w:bCs/>
                <w:szCs w:val="21"/>
              </w:rPr>
            </w:pPr>
            <w:r>
              <w:rPr>
                <w:rFonts w:ascii="宋体" w:hAnsi="宋体"/>
                <w:b w:val="0"/>
                <w:bCs/>
                <w:szCs w:val="21"/>
              </w:rPr>
              <w:t>储</w:t>
            </w:r>
            <w:r>
              <w:rPr>
                <w:rFonts w:hint="eastAsia" w:ascii="宋体" w:hAnsi="宋体"/>
                <w:b w:val="0"/>
                <w:bCs/>
                <w:szCs w:val="21"/>
              </w:rPr>
              <w:t xml:space="preserve"> </w:t>
            </w:r>
            <w:r>
              <w:rPr>
                <w:rFonts w:ascii="宋体" w:hAnsi="宋体"/>
                <w:b w:val="0"/>
                <w:bCs/>
                <w:szCs w:val="21"/>
              </w:rPr>
              <w:t>运</w:t>
            </w:r>
          </w:p>
        </w:tc>
        <w:tc>
          <w:tcPr>
            <w:tcW w:w="4453" w:type="pct"/>
          </w:tcPr>
          <w:p w14:paraId="0670D784">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ascii="宋体" w:hAnsi="宋体"/>
                <w:b w:val="0"/>
                <w:szCs w:val="21"/>
              </w:rPr>
            </w:pPr>
            <w:r>
              <w:rPr>
                <w:rFonts w:hint="eastAsia" w:ascii="宋体" w:hAnsi="宋体"/>
                <w:b w:val="0"/>
                <w:szCs w:val="21"/>
              </w:rPr>
              <w:t>装入二层纸袋或塑料袋，袋口扎紧，再装入厚度为0.7毫米的钢桶内，容器口应密封牢固，每桶净重不超过50公斤；</w:t>
            </w:r>
            <w:r>
              <w:rPr>
                <w:rFonts w:ascii="宋体" w:hAnsi="宋体"/>
                <w:b w:val="0"/>
                <w:szCs w:val="21"/>
              </w:rPr>
              <w:t>运输时单独装运，运输过程中要确保容器不泄漏、不倒塌、不坠落、不损坏。运输时运输车辆应配备相应品种和数量的消防器材。严禁与酸类、易燃物、有机物、</w:t>
            </w:r>
            <w:r>
              <w:fldChar w:fldCharType="begin"/>
            </w:r>
            <w:r>
              <w:instrText xml:space="preserve"> HYPERLINK "https://baike.so.com/doc/722002-764387.html" \t "_blank" </w:instrText>
            </w:r>
            <w:r>
              <w:fldChar w:fldCharType="separate"/>
            </w:r>
            <w:r>
              <w:rPr>
                <w:rFonts w:ascii="宋体" w:hAnsi="宋体"/>
                <w:b w:val="0"/>
              </w:rPr>
              <w:t>还原剂</w:t>
            </w:r>
            <w:r>
              <w:rPr>
                <w:rFonts w:ascii="宋体" w:hAnsi="宋体"/>
                <w:b w:val="0"/>
              </w:rPr>
              <w:fldChar w:fldCharType="end"/>
            </w:r>
            <w:r>
              <w:rPr>
                <w:rFonts w:ascii="宋体" w:hAnsi="宋体"/>
                <w:b w:val="0"/>
                <w:szCs w:val="21"/>
              </w:rPr>
              <w:t>、自燃物品、遇湿易燃物品等并车混运。运输时车速不宜过快，不得强行超车。运输车辆装卸前后，均应彻底清扫、洗净，严禁混入有机物、易燃物等杂质。</w:t>
            </w:r>
          </w:p>
        </w:tc>
      </w:tr>
    </w:tbl>
    <w:p w14:paraId="33F9F660">
      <w:pPr>
        <w:rPr>
          <w:rFonts w:ascii="宋体" w:hAnsi="宋体"/>
          <w:snapToGrid w:val="0"/>
          <w:sz w:val="28"/>
          <w:szCs w:val="28"/>
        </w:rPr>
      </w:pPr>
      <w:r>
        <w:rPr>
          <w:rFonts w:hint="eastAsia" w:ascii="宋体" w:hAnsi="宋体"/>
          <w:snapToGrid w:val="0"/>
          <w:sz w:val="28"/>
          <w:szCs w:val="28"/>
        </w:rPr>
        <w:br w:type="page"/>
      </w:r>
    </w:p>
    <w:p w14:paraId="129EB533">
      <w:pPr>
        <w:spacing w:before="120" w:beforeLines="50" w:line="360" w:lineRule="auto"/>
        <w:ind w:firstLine="562" w:firstLineChars="200"/>
        <w:rPr>
          <w:rFonts w:ascii="宋体" w:hAnsi="宋体"/>
          <w:snapToGrid w:val="0"/>
          <w:sz w:val="28"/>
          <w:szCs w:val="28"/>
        </w:rPr>
      </w:pPr>
      <w:r>
        <w:rPr>
          <w:rFonts w:hint="eastAsia" w:ascii="宋体" w:hAnsi="宋体"/>
          <w:snapToGrid w:val="0"/>
          <w:sz w:val="28"/>
          <w:szCs w:val="28"/>
        </w:rPr>
        <w:t>3）硝酸钾</w:t>
      </w:r>
      <w:bookmarkEnd w:id="209"/>
    </w:p>
    <w:p w14:paraId="1A117040">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硝酸钾物性参数及对其危险的应对措施列于表3.3-4。</w:t>
      </w:r>
    </w:p>
    <w:p w14:paraId="1114F2C2">
      <w:pPr>
        <w:jc w:val="center"/>
        <w:rPr>
          <w:rFonts w:ascii="黑体" w:hAnsi="宋体" w:eastAsia="黑体"/>
          <w:b w:val="0"/>
          <w:sz w:val="24"/>
        </w:rPr>
      </w:pPr>
      <w:r>
        <w:rPr>
          <w:rFonts w:hint="eastAsia" w:ascii="黑体" w:hAnsi="宋体" w:eastAsia="黑体"/>
          <w:b w:val="0"/>
          <w:sz w:val="24"/>
        </w:rPr>
        <w:t>表3.3-4 硝酸钾的物性参数及对危险的应对措施</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8270"/>
      </w:tblGrid>
      <w:tr w14:paraId="6C865C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8" w:type="pct"/>
            <w:vAlign w:val="center"/>
          </w:tcPr>
          <w:p w14:paraId="4C47C67F">
            <w:pPr>
              <w:jc w:val="center"/>
              <w:rPr>
                <w:rFonts w:ascii="宋体" w:hAnsi="宋体"/>
                <w:b w:val="0"/>
                <w:szCs w:val="21"/>
              </w:rPr>
            </w:pPr>
            <w:r>
              <w:rPr>
                <w:rFonts w:hint="eastAsia" w:ascii="宋体" w:hAnsi="宋体"/>
                <w:b w:val="0"/>
                <w:szCs w:val="21"/>
              </w:rPr>
              <w:t>标 识</w:t>
            </w:r>
          </w:p>
        </w:tc>
        <w:tc>
          <w:tcPr>
            <w:tcW w:w="4452" w:type="pct"/>
          </w:tcPr>
          <w:p w14:paraId="7E570C13">
            <w:pPr>
              <w:adjustRightInd w:val="0"/>
              <w:snapToGrid w:val="0"/>
              <w:rPr>
                <w:rFonts w:ascii="宋体" w:hAnsi="宋体"/>
                <w:b w:val="0"/>
                <w:szCs w:val="21"/>
              </w:rPr>
            </w:pPr>
            <w:r>
              <w:rPr>
                <w:rFonts w:hint="eastAsia" w:ascii="宋体" w:hAnsi="宋体"/>
                <w:b w:val="0"/>
                <w:szCs w:val="21"/>
              </w:rPr>
              <w:t>中文名称：硝酸钾，</w:t>
            </w:r>
            <w:r>
              <w:rPr>
                <w:rFonts w:ascii="宋体" w:hAnsi="宋体"/>
                <w:b w:val="0"/>
                <w:szCs w:val="21"/>
              </w:rPr>
              <w:t>火硝</w:t>
            </w:r>
            <w:r>
              <w:rPr>
                <w:rFonts w:hint="eastAsia" w:ascii="宋体" w:hAnsi="宋体"/>
                <w:b w:val="0"/>
                <w:szCs w:val="21"/>
              </w:rPr>
              <w:t xml:space="preserve">                     英文名：potassium nitrate</w:t>
            </w:r>
          </w:p>
          <w:p w14:paraId="3AD17D12">
            <w:pPr>
              <w:adjustRightInd w:val="0"/>
              <w:snapToGrid w:val="0"/>
              <w:rPr>
                <w:rFonts w:ascii="宋体" w:hAnsi="宋体"/>
                <w:b w:val="0"/>
                <w:szCs w:val="21"/>
              </w:rPr>
            </w:pPr>
            <w:r>
              <w:rPr>
                <w:rFonts w:hint="eastAsia" w:ascii="宋体" w:hAnsi="宋体"/>
                <w:b w:val="0"/>
                <w:szCs w:val="21"/>
              </w:rPr>
              <w:t>分 子 式：KNO</w:t>
            </w:r>
            <w:r>
              <w:rPr>
                <w:rFonts w:hint="eastAsia" w:ascii="宋体" w:hAnsi="宋体"/>
                <w:b w:val="0"/>
                <w:szCs w:val="21"/>
                <w:vertAlign w:val="subscript"/>
              </w:rPr>
              <w:t>3</w:t>
            </w:r>
            <w:r>
              <w:rPr>
                <w:rFonts w:hint="eastAsia" w:ascii="宋体" w:hAnsi="宋体"/>
                <w:b w:val="0"/>
                <w:szCs w:val="21"/>
              </w:rPr>
              <w:t>；                           分子量：101.10；</w:t>
            </w:r>
          </w:p>
          <w:p w14:paraId="71705CFD">
            <w:pPr>
              <w:adjustRightInd w:val="0"/>
              <w:snapToGrid w:val="0"/>
              <w:rPr>
                <w:rFonts w:ascii="宋体" w:hAnsi="宋体"/>
                <w:b w:val="0"/>
                <w:szCs w:val="21"/>
              </w:rPr>
            </w:pPr>
            <w:r>
              <w:rPr>
                <w:rFonts w:hint="eastAsia" w:ascii="宋体" w:hAnsi="宋体"/>
                <w:b w:val="0"/>
                <w:szCs w:val="21"/>
              </w:rPr>
              <w:t>危险化学品目录序号：2303；                 UN编号：1486；</w:t>
            </w:r>
          </w:p>
          <w:p w14:paraId="68A1BB9D">
            <w:pPr>
              <w:adjustRightInd w:val="0"/>
              <w:snapToGrid w:val="0"/>
              <w:rPr>
                <w:rFonts w:ascii="宋体" w:hAnsi="宋体"/>
                <w:b w:val="0"/>
                <w:szCs w:val="21"/>
              </w:rPr>
            </w:pPr>
            <w:r>
              <w:rPr>
                <w:rFonts w:ascii="宋体" w:hAnsi="宋体"/>
                <w:b w:val="0"/>
                <w:szCs w:val="21"/>
              </w:rPr>
              <w:t>CAS</w:t>
            </w:r>
            <w:r>
              <w:rPr>
                <w:rFonts w:hint="eastAsia" w:ascii="宋体" w:hAnsi="宋体"/>
                <w:b w:val="0"/>
                <w:szCs w:val="21"/>
              </w:rPr>
              <w:t>号：7757-79-1</w:t>
            </w:r>
          </w:p>
        </w:tc>
      </w:tr>
      <w:tr w14:paraId="7B9B9B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8" w:type="pct"/>
            <w:vAlign w:val="center"/>
          </w:tcPr>
          <w:p w14:paraId="1E943554">
            <w:pPr>
              <w:jc w:val="center"/>
              <w:rPr>
                <w:rFonts w:ascii="宋体" w:hAnsi="宋体"/>
                <w:b w:val="0"/>
                <w:szCs w:val="21"/>
              </w:rPr>
            </w:pPr>
            <w:r>
              <w:rPr>
                <w:rFonts w:ascii="宋体" w:hAnsi="宋体"/>
                <w:b w:val="0"/>
                <w:szCs w:val="21"/>
              </w:rPr>
              <w:t>理</w:t>
            </w:r>
            <w:r>
              <w:rPr>
                <w:rFonts w:hint="eastAsia" w:ascii="宋体" w:hAnsi="宋体"/>
                <w:b w:val="0"/>
                <w:szCs w:val="21"/>
              </w:rPr>
              <w:t xml:space="preserve"> </w:t>
            </w:r>
            <w:r>
              <w:rPr>
                <w:rFonts w:ascii="宋体" w:hAnsi="宋体"/>
                <w:b w:val="0"/>
                <w:szCs w:val="21"/>
              </w:rPr>
              <w:t>化</w:t>
            </w:r>
          </w:p>
          <w:p w14:paraId="4AECEFF4">
            <w:pPr>
              <w:jc w:val="center"/>
              <w:rPr>
                <w:rFonts w:ascii="宋体" w:hAnsi="宋体"/>
                <w:b w:val="0"/>
                <w:szCs w:val="21"/>
              </w:rPr>
            </w:pPr>
            <w:r>
              <w:rPr>
                <w:rFonts w:hint="eastAsia" w:ascii="宋体" w:hAnsi="宋体"/>
                <w:b w:val="0"/>
                <w:szCs w:val="21"/>
              </w:rPr>
              <w:t>性 质</w:t>
            </w:r>
          </w:p>
        </w:tc>
        <w:tc>
          <w:tcPr>
            <w:tcW w:w="4452" w:type="pct"/>
            <w:vAlign w:val="center"/>
          </w:tcPr>
          <w:p w14:paraId="680CD4CB">
            <w:pPr>
              <w:adjustRightInd w:val="0"/>
              <w:snapToGrid w:val="0"/>
              <w:rPr>
                <w:rFonts w:ascii="宋体" w:hAnsi="宋体"/>
                <w:b w:val="0"/>
                <w:szCs w:val="21"/>
              </w:rPr>
            </w:pPr>
            <w:r>
              <w:rPr>
                <w:rFonts w:ascii="宋体" w:hAnsi="宋体"/>
                <w:b w:val="0"/>
                <w:szCs w:val="21"/>
              </w:rPr>
              <w:t>外观性状：无色透明斜方或三方晶系颗粒或白色粉末</w:t>
            </w:r>
            <w:r>
              <w:rPr>
                <w:rFonts w:hint="eastAsia" w:ascii="宋体" w:hAnsi="宋体"/>
                <w:b w:val="0"/>
                <w:szCs w:val="21"/>
              </w:rPr>
              <w:t xml:space="preserve">     熔    点（℃）：334；</w:t>
            </w:r>
          </w:p>
          <w:p w14:paraId="7220AE33">
            <w:pPr>
              <w:adjustRightInd w:val="0"/>
              <w:snapToGrid w:val="0"/>
              <w:rPr>
                <w:rFonts w:ascii="宋体" w:hAnsi="宋体"/>
                <w:b w:val="0"/>
                <w:szCs w:val="21"/>
              </w:rPr>
            </w:pPr>
            <w:r>
              <w:rPr>
                <w:rFonts w:hint="eastAsia" w:ascii="宋体" w:hAnsi="宋体"/>
                <w:b w:val="0"/>
                <w:szCs w:val="21"/>
              </w:rPr>
              <w:t>溶 解 性：溶于水、稀乙醇、甘油，不溶于无水乙醇和乙醚。在水中的溶解度随水温上升而剧烈增大。</w:t>
            </w:r>
          </w:p>
          <w:p w14:paraId="4804A3A5">
            <w:pPr>
              <w:adjustRightInd w:val="0"/>
              <w:snapToGrid w:val="0"/>
              <w:rPr>
                <w:rFonts w:ascii="宋体" w:hAnsi="宋体"/>
                <w:b w:val="0"/>
                <w:szCs w:val="21"/>
              </w:rPr>
            </w:pPr>
            <w:r>
              <w:rPr>
                <w:rFonts w:hint="eastAsia" w:ascii="宋体" w:hAnsi="宋体"/>
                <w:b w:val="0"/>
                <w:szCs w:val="21"/>
              </w:rPr>
              <w:t>禁 忌 物：强还原剂、强酸、易燃或可燃物、活性金属粉末</w:t>
            </w:r>
          </w:p>
        </w:tc>
      </w:tr>
      <w:tr w14:paraId="74C6A5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8" w:type="pct"/>
            <w:vAlign w:val="center"/>
          </w:tcPr>
          <w:p w14:paraId="20EAF768">
            <w:pPr>
              <w:jc w:val="center"/>
              <w:rPr>
                <w:rFonts w:ascii="宋体" w:hAnsi="宋体"/>
                <w:b w:val="0"/>
                <w:szCs w:val="21"/>
              </w:rPr>
            </w:pPr>
            <w:r>
              <w:rPr>
                <w:rFonts w:hint="eastAsia" w:ascii="宋体" w:hAnsi="宋体"/>
                <w:b w:val="0"/>
                <w:szCs w:val="21"/>
              </w:rPr>
              <w:t>危险有害特性</w:t>
            </w:r>
          </w:p>
        </w:tc>
        <w:tc>
          <w:tcPr>
            <w:tcW w:w="4452" w:type="pct"/>
          </w:tcPr>
          <w:p w14:paraId="65F66BCA">
            <w:pPr>
              <w:adjustRightInd w:val="0"/>
              <w:snapToGrid w:val="0"/>
              <w:rPr>
                <w:rFonts w:ascii="宋体" w:hAnsi="宋体"/>
                <w:b w:val="0"/>
                <w:szCs w:val="21"/>
              </w:rPr>
            </w:pPr>
            <w:r>
              <w:rPr>
                <w:rFonts w:hint="eastAsia" w:ascii="宋体" w:hAnsi="宋体"/>
                <w:b w:val="0"/>
                <w:szCs w:val="21"/>
              </w:rPr>
              <w:t xml:space="preserve">燃烧爆炸性：燃 烧 性：不燃           稳 定 性：稳定   </w:t>
            </w:r>
          </w:p>
          <w:p w14:paraId="53D82971">
            <w:pPr>
              <w:adjustRightInd w:val="0"/>
              <w:snapToGrid w:val="0"/>
              <w:rPr>
                <w:rFonts w:ascii="宋体" w:hAnsi="宋体"/>
                <w:b w:val="0"/>
                <w:szCs w:val="21"/>
              </w:rPr>
            </w:pPr>
            <w:r>
              <w:rPr>
                <w:rFonts w:ascii="宋体" w:hAnsi="宋体"/>
                <w:b w:val="0"/>
                <w:szCs w:val="21"/>
              </w:rPr>
              <w:t>在400</w:t>
            </w:r>
            <w:r>
              <w:rPr>
                <w:rFonts w:hint="eastAsia" w:ascii="宋体" w:hAnsi="宋体"/>
                <w:b w:val="0"/>
                <w:szCs w:val="21"/>
              </w:rPr>
              <w:t>℃</w:t>
            </w:r>
            <w:r>
              <w:rPr>
                <w:rFonts w:ascii="宋体" w:hAnsi="宋体"/>
                <w:b w:val="0"/>
                <w:szCs w:val="21"/>
              </w:rPr>
              <w:t>分解并放出氧。在空气中不潮解</w:t>
            </w:r>
            <w:r>
              <w:rPr>
                <w:rFonts w:hint="eastAsia" w:ascii="宋体" w:hAnsi="宋体"/>
                <w:b w:val="0"/>
                <w:szCs w:val="21"/>
              </w:rPr>
              <w:t>。</w:t>
            </w:r>
            <w:r>
              <w:rPr>
                <w:rFonts w:ascii="宋体" w:hAnsi="宋体"/>
                <w:b w:val="0"/>
                <w:szCs w:val="21"/>
              </w:rPr>
              <w:t>本品</w:t>
            </w:r>
            <w:r>
              <w:rPr>
                <w:rFonts w:hint="eastAsia" w:ascii="宋体" w:hAnsi="宋体"/>
                <w:b w:val="0"/>
                <w:szCs w:val="21"/>
              </w:rPr>
              <w:t>为强氧化剂，</w:t>
            </w:r>
            <w:r>
              <w:rPr>
                <w:rFonts w:ascii="宋体" w:hAnsi="宋体"/>
                <w:b w:val="0"/>
                <w:szCs w:val="21"/>
              </w:rPr>
              <w:t>助燃，</w:t>
            </w:r>
            <w:r>
              <w:rPr>
                <w:rFonts w:hint="eastAsia" w:ascii="宋体" w:hAnsi="宋体"/>
                <w:b w:val="0"/>
                <w:szCs w:val="21"/>
              </w:rPr>
              <w:t>遇可燃物着火时，能助长火势。与有机物、还原剂、易燃物如硫、磷等接触或混合时有引起燃烧爆炸的危险。燃烧分解时，放出有毒的氮氧化物。受热分解，放出氧气。</w:t>
            </w:r>
          </w:p>
          <w:p w14:paraId="6F9EC1EE">
            <w:pPr>
              <w:adjustRightInd w:val="0"/>
              <w:snapToGrid w:val="0"/>
              <w:rPr>
                <w:rFonts w:ascii="宋体" w:hAnsi="宋体"/>
                <w:b w:val="0"/>
                <w:szCs w:val="21"/>
              </w:rPr>
            </w:pPr>
            <w:r>
              <w:rPr>
                <w:rFonts w:hint="eastAsia" w:ascii="宋体" w:hAnsi="宋体"/>
                <w:b w:val="0"/>
                <w:szCs w:val="21"/>
              </w:rPr>
              <w:t>健康危害：</w:t>
            </w:r>
            <w:r>
              <w:rPr>
                <w:rFonts w:ascii="宋体" w:hAnsi="宋体"/>
                <w:b w:val="0"/>
                <w:szCs w:val="21"/>
              </w:rPr>
              <w:t>具刺激性</w:t>
            </w:r>
            <w:r>
              <w:rPr>
                <w:rFonts w:hint="eastAsia" w:ascii="宋体" w:hAnsi="宋体"/>
                <w:b w:val="0"/>
                <w:szCs w:val="21"/>
              </w:rPr>
              <w:t>，吸入、食入、经皮吸收。吸入本品粉尘对呼吸道有刺激性，高浓度吸入可引起肺水肿。大量接触可引起高铁血红蛋白血症，影响血液携氧能力，出现头痛、头晕、紫绀、恶心、呕吐。重者引起呼吸紊乱、虚脱，甚至死亡。口服引起剧烈腹痛、呕吐、血便、休克、全身抽搐、昏迷，甚至死亡。对皮肤和眼睛有强烈刺激性，甚至造成灼伤。皮肤反复接触引起皮肤干燥、皲裂和皮疹。</w:t>
            </w:r>
          </w:p>
          <w:p w14:paraId="05455175">
            <w:pPr>
              <w:adjustRightInd w:val="0"/>
              <w:snapToGrid w:val="0"/>
              <w:rPr>
                <w:rFonts w:ascii="宋体" w:hAnsi="宋体"/>
                <w:b w:val="0"/>
                <w:szCs w:val="21"/>
              </w:rPr>
            </w:pPr>
            <w:r>
              <w:rPr>
                <w:rFonts w:ascii="宋体" w:hAnsi="宋体"/>
                <w:b w:val="0"/>
                <w:szCs w:val="21"/>
              </w:rPr>
              <w:t>其它有害作用： 该物质对环境可能有危害，在地下水中有蓄积作用。</w:t>
            </w:r>
          </w:p>
        </w:tc>
      </w:tr>
      <w:tr w14:paraId="4353F0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8" w:type="pct"/>
            <w:vAlign w:val="center"/>
          </w:tcPr>
          <w:p w14:paraId="2657861C">
            <w:pPr>
              <w:jc w:val="center"/>
              <w:rPr>
                <w:rFonts w:ascii="宋体" w:hAnsi="宋体"/>
                <w:b w:val="0"/>
                <w:szCs w:val="21"/>
              </w:rPr>
            </w:pPr>
            <w:r>
              <w:rPr>
                <w:rFonts w:hint="eastAsia" w:ascii="宋体" w:hAnsi="宋体"/>
                <w:b w:val="0"/>
                <w:szCs w:val="21"/>
              </w:rPr>
              <w:t>急救</w:t>
            </w:r>
          </w:p>
        </w:tc>
        <w:tc>
          <w:tcPr>
            <w:tcW w:w="4452" w:type="pct"/>
          </w:tcPr>
          <w:p w14:paraId="69C688E9">
            <w:pPr>
              <w:adjustRightInd w:val="0"/>
              <w:snapToGrid w:val="0"/>
              <w:rPr>
                <w:rFonts w:ascii="宋体" w:hAnsi="宋体"/>
                <w:b w:val="0"/>
                <w:szCs w:val="21"/>
              </w:rPr>
            </w:pPr>
            <w:r>
              <w:rPr>
                <w:rFonts w:ascii="宋体" w:hAnsi="宋体"/>
                <w:b w:val="0"/>
                <w:szCs w:val="21"/>
              </w:rPr>
              <w:t>消防措施：</w:t>
            </w:r>
            <w:r>
              <w:rPr>
                <w:rFonts w:hint="eastAsia" w:ascii="宋体" w:hAnsi="宋体"/>
                <w:b w:val="0"/>
                <w:szCs w:val="21"/>
              </w:rPr>
              <w:t>消防人员须佩戴防毒面具、穿全身消防服。</w:t>
            </w:r>
            <w:r>
              <w:rPr>
                <w:rFonts w:ascii="宋体" w:hAnsi="宋体"/>
                <w:b w:val="0"/>
                <w:szCs w:val="21"/>
              </w:rPr>
              <w:t>在上风向灭火。</w:t>
            </w:r>
            <w:r>
              <w:rPr>
                <w:rFonts w:hint="eastAsia" w:ascii="宋体" w:hAnsi="宋体"/>
                <w:b w:val="0"/>
                <w:szCs w:val="21"/>
              </w:rPr>
              <w:t>用雾状水、砂土灭火。切勿将水流直接射至熔融物，以免引起严重的流淌火灾或引起剧烈的沸溅。</w:t>
            </w:r>
          </w:p>
          <w:p w14:paraId="58DD4EB0">
            <w:pPr>
              <w:adjustRightInd w:val="0"/>
              <w:snapToGrid w:val="0"/>
              <w:rPr>
                <w:rFonts w:ascii="宋体" w:hAnsi="宋体"/>
                <w:b w:val="0"/>
                <w:szCs w:val="21"/>
              </w:rPr>
            </w:pPr>
            <w:r>
              <w:rPr>
                <w:rFonts w:hint="eastAsia" w:ascii="宋体" w:hAnsi="宋体"/>
                <w:b w:val="0"/>
                <w:szCs w:val="21"/>
              </w:rPr>
              <w:t>皮肤接触：立即脱去被污染的衣着，用大量流动清水冲洗，至少15分钟。就医。</w:t>
            </w:r>
          </w:p>
          <w:p w14:paraId="1AE501CF">
            <w:pPr>
              <w:adjustRightInd w:val="0"/>
              <w:snapToGrid w:val="0"/>
              <w:rPr>
                <w:rFonts w:ascii="宋体" w:hAnsi="宋体"/>
                <w:b w:val="0"/>
                <w:szCs w:val="21"/>
              </w:rPr>
            </w:pPr>
            <w:r>
              <w:rPr>
                <w:rFonts w:hint="eastAsia" w:ascii="宋体" w:hAnsi="宋体"/>
                <w:b w:val="0"/>
                <w:szCs w:val="21"/>
              </w:rPr>
              <w:t>眼睛接触：立即提起眼睑，用大量流动清水或生理盐水彻底冲洗至少15分钟。就医。</w:t>
            </w:r>
          </w:p>
          <w:p w14:paraId="37E2FB5A">
            <w:pPr>
              <w:adjustRightInd w:val="0"/>
              <w:snapToGrid w:val="0"/>
              <w:rPr>
                <w:rFonts w:ascii="宋体" w:hAnsi="宋体"/>
                <w:b w:val="0"/>
                <w:szCs w:val="21"/>
              </w:rPr>
            </w:pPr>
            <w:r>
              <w:rPr>
                <w:rFonts w:hint="eastAsia" w:ascii="宋体" w:hAnsi="宋体"/>
                <w:b w:val="0"/>
                <w:szCs w:val="21"/>
              </w:rPr>
              <w:t>吸    入：迅速脱离现场至空气新鲜处。保持呼吸道通畅。如呼吸困难，给输氧。如呼吸停止，立即进行人工呼吸。就医。</w:t>
            </w:r>
          </w:p>
          <w:p w14:paraId="7D6A578F">
            <w:pPr>
              <w:adjustRightInd w:val="0"/>
              <w:snapToGrid w:val="0"/>
              <w:rPr>
                <w:rFonts w:ascii="宋体" w:hAnsi="宋体"/>
                <w:b w:val="0"/>
                <w:szCs w:val="21"/>
              </w:rPr>
            </w:pPr>
            <w:r>
              <w:rPr>
                <w:rFonts w:hint="eastAsia" w:ascii="宋体" w:hAnsi="宋体"/>
                <w:b w:val="0"/>
                <w:szCs w:val="21"/>
              </w:rPr>
              <w:t>食    入：误服者用水漱口，给饮牛奶或蛋清。就医</w:t>
            </w:r>
          </w:p>
        </w:tc>
      </w:tr>
      <w:tr w14:paraId="31D36C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8" w:type="pct"/>
            <w:vAlign w:val="center"/>
          </w:tcPr>
          <w:p w14:paraId="30CB1B31">
            <w:pPr>
              <w:jc w:val="center"/>
              <w:rPr>
                <w:rFonts w:ascii="宋体" w:hAnsi="宋体"/>
                <w:b w:val="0"/>
                <w:szCs w:val="21"/>
              </w:rPr>
            </w:pPr>
            <w:r>
              <w:rPr>
                <w:rFonts w:hint="eastAsia" w:ascii="宋体" w:hAnsi="宋体"/>
                <w:b w:val="0"/>
                <w:szCs w:val="21"/>
              </w:rPr>
              <w:t>防护</w:t>
            </w:r>
          </w:p>
        </w:tc>
        <w:tc>
          <w:tcPr>
            <w:tcW w:w="4452" w:type="pct"/>
          </w:tcPr>
          <w:p w14:paraId="594D32B4">
            <w:pPr>
              <w:adjustRightInd w:val="0"/>
              <w:snapToGrid w:val="0"/>
              <w:rPr>
                <w:rFonts w:ascii="宋体" w:hAnsi="宋体"/>
                <w:b w:val="0"/>
                <w:szCs w:val="21"/>
              </w:rPr>
            </w:pPr>
            <w:r>
              <w:rPr>
                <w:rFonts w:ascii="宋体" w:hAnsi="宋体"/>
                <w:b w:val="0"/>
                <w:szCs w:val="21"/>
              </w:rPr>
              <w:t>生产过程密闭，加强通风。提供安全淋浴和洗眼设备。可能接触其粉尘时，建议佩戴头罩型电动送风过滤式防尘呼吸器。呼吸系统防护中已作防护。穿聚乙烯防毒服。戴氯丁橡胶手套。工作现场禁止吸烟、进食和饮水。工作完毕，淋浴更衣。保持良好的卫生习惯。</w:t>
            </w:r>
          </w:p>
        </w:tc>
      </w:tr>
      <w:tr w14:paraId="4F434C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8" w:type="pct"/>
            <w:vAlign w:val="center"/>
          </w:tcPr>
          <w:p w14:paraId="388D7EC8">
            <w:pPr>
              <w:jc w:val="center"/>
              <w:rPr>
                <w:rFonts w:ascii="宋体" w:hAnsi="宋体"/>
                <w:b w:val="0"/>
                <w:szCs w:val="21"/>
              </w:rPr>
            </w:pPr>
            <w:r>
              <w:rPr>
                <w:rFonts w:hint="eastAsia" w:ascii="宋体" w:hAnsi="宋体"/>
                <w:b w:val="0"/>
                <w:szCs w:val="21"/>
              </w:rPr>
              <w:t>泄 露</w:t>
            </w:r>
          </w:p>
          <w:p w14:paraId="4B802A75">
            <w:pPr>
              <w:jc w:val="center"/>
              <w:rPr>
                <w:rFonts w:ascii="宋体" w:hAnsi="宋体"/>
                <w:b w:val="0"/>
                <w:szCs w:val="21"/>
              </w:rPr>
            </w:pPr>
            <w:r>
              <w:rPr>
                <w:rFonts w:ascii="宋体" w:hAnsi="宋体"/>
                <w:b w:val="0"/>
                <w:szCs w:val="21"/>
              </w:rPr>
              <w:t>处</w:t>
            </w:r>
            <w:r>
              <w:rPr>
                <w:rFonts w:hint="eastAsia" w:ascii="宋体" w:hAnsi="宋体"/>
                <w:b w:val="0"/>
                <w:szCs w:val="21"/>
              </w:rPr>
              <w:t xml:space="preserve"> </w:t>
            </w:r>
            <w:r>
              <w:rPr>
                <w:rFonts w:ascii="宋体" w:hAnsi="宋体"/>
                <w:b w:val="0"/>
                <w:szCs w:val="21"/>
              </w:rPr>
              <w:t>理</w:t>
            </w:r>
          </w:p>
        </w:tc>
        <w:tc>
          <w:tcPr>
            <w:tcW w:w="4452" w:type="pct"/>
          </w:tcPr>
          <w:p w14:paraId="7994229B">
            <w:pPr>
              <w:adjustRightInd w:val="0"/>
              <w:snapToGrid w:val="0"/>
              <w:rPr>
                <w:rFonts w:ascii="宋体" w:hAnsi="宋体"/>
                <w:b w:val="0"/>
                <w:szCs w:val="21"/>
              </w:rPr>
            </w:pPr>
            <w:r>
              <w:rPr>
                <w:rFonts w:ascii="宋体" w:hAnsi="宋体"/>
                <w:b w:val="0"/>
                <w:szCs w:val="21"/>
              </w:rPr>
              <w:t>隔离泄漏污染区，限制出入。建议应急处理人员戴防尘面具（全面罩），穿防毒服。不要直接接触泄漏物。勿使泄漏物与有机物、还原剂、易燃物接触。小量泄漏：用大量水冲洗，洗水稀释后放入废水系统。大量泄漏：用塑料布、帆布覆盖。然后收集回收或运至废物处理场所处置。</w:t>
            </w:r>
          </w:p>
        </w:tc>
      </w:tr>
      <w:tr w14:paraId="228618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8" w:type="pct"/>
            <w:vAlign w:val="center"/>
          </w:tcPr>
          <w:p w14:paraId="28BBE51F">
            <w:pPr>
              <w:jc w:val="center"/>
              <w:rPr>
                <w:rFonts w:ascii="宋体" w:hAnsi="宋体"/>
                <w:b w:val="0"/>
                <w:szCs w:val="21"/>
              </w:rPr>
            </w:pPr>
            <w:r>
              <w:rPr>
                <w:rFonts w:ascii="宋体" w:hAnsi="宋体"/>
                <w:b w:val="0"/>
                <w:szCs w:val="21"/>
              </w:rPr>
              <w:t>储</w:t>
            </w:r>
            <w:r>
              <w:rPr>
                <w:rFonts w:hint="eastAsia" w:ascii="宋体" w:hAnsi="宋体"/>
                <w:b w:val="0"/>
                <w:szCs w:val="21"/>
              </w:rPr>
              <w:t xml:space="preserve"> </w:t>
            </w:r>
            <w:r>
              <w:rPr>
                <w:rFonts w:ascii="宋体" w:hAnsi="宋体"/>
                <w:b w:val="0"/>
                <w:szCs w:val="21"/>
              </w:rPr>
              <w:t>运</w:t>
            </w:r>
          </w:p>
        </w:tc>
        <w:tc>
          <w:tcPr>
            <w:tcW w:w="4452" w:type="pct"/>
          </w:tcPr>
          <w:p w14:paraId="085167A2">
            <w:pPr>
              <w:adjustRightInd w:val="0"/>
              <w:snapToGrid w:val="0"/>
              <w:rPr>
                <w:rFonts w:ascii="宋体" w:hAnsi="宋体"/>
                <w:b w:val="0"/>
                <w:szCs w:val="21"/>
              </w:rPr>
            </w:pPr>
            <w:r>
              <w:rPr>
                <w:rFonts w:hint="eastAsia" w:ascii="宋体" w:hAnsi="宋体"/>
                <w:b w:val="0"/>
                <w:szCs w:val="21"/>
              </w:rPr>
              <w:t>储存于阴凉、干燥、通风良好的</w:t>
            </w:r>
            <w:r>
              <w:rPr>
                <w:rFonts w:ascii="宋体" w:hAnsi="宋体"/>
                <w:b w:val="0"/>
                <w:szCs w:val="21"/>
              </w:rPr>
              <w:t>库房</w:t>
            </w:r>
            <w:r>
              <w:rPr>
                <w:rFonts w:hint="eastAsia" w:ascii="宋体" w:hAnsi="宋体"/>
                <w:b w:val="0"/>
                <w:szCs w:val="21"/>
              </w:rPr>
              <w:t>。远离火种、热源。</w:t>
            </w:r>
            <w:r>
              <w:rPr>
                <w:rFonts w:ascii="宋体" w:hAnsi="宋体"/>
                <w:b w:val="0"/>
                <w:szCs w:val="21"/>
              </w:rPr>
              <w:t>库温不超过30</w:t>
            </w:r>
            <w:r>
              <w:rPr>
                <w:rFonts w:hint="eastAsia" w:ascii="宋体" w:hAnsi="宋体"/>
                <w:b w:val="0"/>
                <w:szCs w:val="21"/>
              </w:rPr>
              <w:t>℃</w:t>
            </w:r>
            <w:r>
              <w:rPr>
                <w:rFonts w:ascii="宋体" w:hAnsi="宋体"/>
                <w:b w:val="0"/>
                <w:szCs w:val="21"/>
              </w:rPr>
              <w:t>，相对湿度不超过80％。</w:t>
            </w:r>
            <w:r>
              <w:rPr>
                <w:rFonts w:hint="eastAsia" w:ascii="宋体" w:hAnsi="宋体"/>
                <w:b w:val="0"/>
                <w:szCs w:val="21"/>
              </w:rPr>
              <w:t>应与易燃或可燃物、还原剂、</w:t>
            </w:r>
            <w:r>
              <w:rPr>
                <w:rFonts w:ascii="宋体" w:hAnsi="宋体"/>
                <w:b w:val="0"/>
                <w:szCs w:val="21"/>
              </w:rPr>
              <w:t>酸类、活性金属粉末</w:t>
            </w:r>
            <w:r>
              <w:rPr>
                <w:rFonts w:hint="eastAsia" w:ascii="宋体" w:hAnsi="宋体"/>
                <w:b w:val="0"/>
                <w:szCs w:val="21"/>
              </w:rPr>
              <w:t>、硫、磷等分开存放。切忌混储混运。搬运时要轻装轻卸，防止包装及容器损坏。</w:t>
            </w:r>
            <w:r>
              <w:rPr>
                <w:rFonts w:ascii="宋体" w:hAnsi="宋体"/>
                <w:b w:val="0"/>
                <w:szCs w:val="21"/>
              </w:rPr>
              <w:t>储区应备有合适的材料收容泄漏物。</w:t>
            </w:r>
          </w:p>
          <w:p w14:paraId="0285500D">
            <w:pPr>
              <w:adjustRightInd w:val="0"/>
              <w:snapToGrid w:val="0"/>
              <w:rPr>
                <w:rFonts w:ascii="宋体" w:hAnsi="宋体"/>
                <w:b w:val="0"/>
                <w:szCs w:val="21"/>
              </w:rPr>
            </w:pPr>
            <w:r>
              <w:rPr>
                <w:rFonts w:ascii="宋体" w:hAnsi="宋体"/>
                <w:b w:val="0"/>
                <w:szCs w:val="21"/>
              </w:rPr>
              <w:t>运输时单独装运，运输过程中要确保容器不泄漏、不倒塌、不坠落、不损坏。运输时运输车辆应配备相应品种和数量的消防器材。严禁与酸类、易燃物、有机物、还原剂、自燃物品、遇湿易燃物品等并车混运。运输时车速不宜过快，不得强行超车。运输车辆装卸前后，应彻底清扫、洗净，严禁混入有机物、易燃物等杂质。</w:t>
            </w:r>
          </w:p>
        </w:tc>
      </w:tr>
    </w:tbl>
    <w:p w14:paraId="4967880D">
      <w:pPr>
        <w:rPr>
          <w:rFonts w:ascii="宋体" w:hAnsi="宋体"/>
          <w:snapToGrid w:val="0"/>
          <w:sz w:val="28"/>
          <w:szCs w:val="28"/>
        </w:rPr>
      </w:pPr>
      <w:r>
        <w:rPr>
          <w:rFonts w:ascii="宋体" w:hAnsi="宋体"/>
          <w:snapToGrid w:val="0"/>
          <w:sz w:val="28"/>
          <w:szCs w:val="28"/>
        </w:rPr>
        <w:br w:type="page"/>
      </w:r>
    </w:p>
    <w:p w14:paraId="2619158B">
      <w:pPr>
        <w:spacing w:before="120" w:beforeLines="50" w:line="360" w:lineRule="auto"/>
        <w:ind w:firstLine="562" w:firstLineChars="200"/>
        <w:rPr>
          <w:rFonts w:ascii="宋体" w:hAnsi="宋体"/>
          <w:snapToGrid w:val="0"/>
          <w:sz w:val="28"/>
          <w:szCs w:val="28"/>
        </w:rPr>
      </w:pPr>
      <w:r>
        <w:rPr>
          <w:rFonts w:hint="eastAsia" w:ascii="宋体" w:hAnsi="宋体"/>
          <w:snapToGrid w:val="0"/>
          <w:sz w:val="28"/>
          <w:szCs w:val="28"/>
        </w:rPr>
        <w:t>4）硝酸钡</w:t>
      </w:r>
    </w:p>
    <w:p w14:paraId="3FEF9C81">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硝酸钡物性参数及对其危险的应对措施列于表3.3-5。</w:t>
      </w:r>
    </w:p>
    <w:p w14:paraId="48776CDD">
      <w:pPr>
        <w:jc w:val="center"/>
        <w:rPr>
          <w:rFonts w:ascii="黑体" w:hAnsi="宋体" w:eastAsia="黑体"/>
          <w:b w:val="0"/>
          <w:sz w:val="24"/>
        </w:rPr>
      </w:pPr>
      <w:r>
        <w:rPr>
          <w:rFonts w:hint="eastAsia" w:ascii="黑体" w:hAnsi="宋体" w:eastAsia="黑体"/>
          <w:b w:val="0"/>
          <w:sz w:val="24"/>
        </w:rPr>
        <w:t>表3.3-5硝酸钡的物性参数及对危险的应对措施</w:t>
      </w:r>
    </w:p>
    <w:tbl>
      <w:tblPr>
        <w:tblStyle w:val="88"/>
        <w:tblW w:w="504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28"/>
        <w:gridCol w:w="8349"/>
      </w:tblGrid>
      <w:tr w14:paraId="64681E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548" w:type="pct"/>
            <w:vAlign w:val="center"/>
          </w:tcPr>
          <w:p w14:paraId="19919B1A">
            <w:pPr>
              <w:jc w:val="center"/>
              <w:rPr>
                <w:rFonts w:ascii="宋体" w:hAnsi="宋体"/>
                <w:b w:val="0"/>
              </w:rPr>
            </w:pPr>
            <w:r>
              <w:rPr>
                <w:rFonts w:hint="eastAsia" w:ascii="宋体" w:hAnsi="宋体"/>
                <w:b w:val="0"/>
              </w:rPr>
              <w:t>标 识</w:t>
            </w:r>
          </w:p>
        </w:tc>
        <w:tc>
          <w:tcPr>
            <w:tcW w:w="4451" w:type="pct"/>
          </w:tcPr>
          <w:p w14:paraId="4CC71114">
            <w:pPr>
              <w:adjustRightInd w:val="0"/>
              <w:snapToGrid w:val="0"/>
              <w:rPr>
                <w:rFonts w:ascii="宋体" w:hAnsi="宋体"/>
                <w:b w:val="0"/>
                <w:szCs w:val="21"/>
              </w:rPr>
            </w:pPr>
            <w:r>
              <w:rPr>
                <w:rFonts w:hint="eastAsia" w:ascii="宋体" w:hAnsi="宋体"/>
                <w:b w:val="0"/>
                <w:szCs w:val="21"/>
              </w:rPr>
              <w:t>中文名称：硝酸钡                         英文名：</w:t>
            </w:r>
            <w:r>
              <w:rPr>
                <w:rFonts w:ascii="宋体" w:hAnsi="宋体"/>
                <w:b w:val="0"/>
                <w:szCs w:val="21"/>
              </w:rPr>
              <w:t>barium nitrate</w:t>
            </w:r>
          </w:p>
          <w:p w14:paraId="49E2BAE2">
            <w:pPr>
              <w:adjustRightInd w:val="0"/>
              <w:snapToGrid w:val="0"/>
              <w:rPr>
                <w:rFonts w:ascii="宋体" w:hAnsi="宋体"/>
                <w:b w:val="0"/>
                <w:szCs w:val="21"/>
              </w:rPr>
            </w:pPr>
            <w:r>
              <w:rPr>
                <w:rFonts w:hint="eastAsia" w:ascii="宋体" w:hAnsi="宋体"/>
                <w:b w:val="0"/>
                <w:szCs w:val="21"/>
              </w:rPr>
              <w:t>分 子 式：Ba（NO</w:t>
            </w:r>
            <w:r>
              <w:rPr>
                <w:rFonts w:hint="eastAsia" w:ascii="宋体" w:hAnsi="宋体"/>
                <w:b w:val="0"/>
                <w:szCs w:val="21"/>
                <w:vertAlign w:val="subscript"/>
              </w:rPr>
              <w:t>3</w:t>
            </w:r>
            <w:r>
              <w:rPr>
                <w:rFonts w:hint="eastAsia" w:ascii="宋体" w:hAnsi="宋体"/>
                <w:b w:val="0"/>
                <w:szCs w:val="21"/>
              </w:rPr>
              <w:t>）</w:t>
            </w:r>
            <w:r>
              <w:rPr>
                <w:rFonts w:hint="eastAsia" w:ascii="宋体" w:hAnsi="宋体"/>
                <w:b w:val="0"/>
                <w:szCs w:val="21"/>
                <w:vertAlign w:val="subscript"/>
              </w:rPr>
              <w:t>2</w:t>
            </w:r>
            <w:r>
              <w:rPr>
                <w:rFonts w:hint="eastAsia" w:ascii="宋体" w:hAnsi="宋体"/>
                <w:b w:val="0"/>
                <w:szCs w:val="21"/>
              </w:rPr>
              <w:t xml:space="preserve">；                    分子量：261.34；    </w:t>
            </w:r>
          </w:p>
          <w:p w14:paraId="59E72FC6">
            <w:pPr>
              <w:adjustRightInd w:val="0"/>
              <w:snapToGrid w:val="0"/>
              <w:rPr>
                <w:rFonts w:ascii="宋体" w:hAnsi="宋体"/>
                <w:b w:val="0"/>
                <w:szCs w:val="21"/>
              </w:rPr>
            </w:pPr>
            <w:r>
              <w:rPr>
                <w:rFonts w:hint="eastAsia" w:ascii="宋体" w:hAnsi="宋体"/>
                <w:b w:val="0"/>
                <w:szCs w:val="21"/>
              </w:rPr>
              <w:t>危险化学品目录序号：2288；               UN编号：1446；</w:t>
            </w:r>
            <w:r>
              <w:rPr>
                <w:rFonts w:ascii="宋体" w:hAnsi="宋体"/>
                <w:b w:val="0"/>
                <w:szCs w:val="21"/>
              </w:rPr>
              <w:t xml:space="preserve"> </w:t>
            </w:r>
            <w:r>
              <w:rPr>
                <w:rFonts w:hint="eastAsia" w:ascii="宋体" w:hAnsi="宋体"/>
                <w:b w:val="0"/>
                <w:szCs w:val="21"/>
              </w:rPr>
              <w:t xml:space="preserve">  </w:t>
            </w:r>
          </w:p>
          <w:p w14:paraId="522BEB36">
            <w:pPr>
              <w:adjustRightInd w:val="0"/>
              <w:snapToGrid w:val="0"/>
              <w:rPr>
                <w:rFonts w:ascii="宋体" w:hAnsi="宋体"/>
                <w:b w:val="0"/>
                <w:szCs w:val="21"/>
              </w:rPr>
            </w:pPr>
            <w:r>
              <w:rPr>
                <w:rFonts w:ascii="宋体" w:hAnsi="宋体"/>
                <w:b w:val="0"/>
                <w:szCs w:val="21"/>
              </w:rPr>
              <w:t>CAS</w:t>
            </w:r>
            <w:r>
              <w:rPr>
                <w:rFonts w:hint="eastAsia" w:ascii="宋体" w:hAnsi="宋体"/>
                <w:b w:val="0"/>
                <w:szCs w:val="21"/>
              </w:rPr>
              <w:t>号：10022-31-8</w:t>
            </w:r>
          </w:p>
        </w:tc>
      </w:tr>
      <w:tr w14:paraId="49E84A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71" w:hRule="atLeast"/>
          <w:jc w:val="center"/>
        </w:trPr>
        <w:tc>
          <w:tcPr>
            <w:tcW w:w="548" w:type="pct"/>
            <w:vAlign w:val="center"/>
          </w:tcPr>
          <w:p w14:paraId="00045BA4">
            <w:pPr>
              <w:jc w:val="center"/>
              <w:rPr>
                <w:rFonts w:ascii="宋体" w:hAnsi="宋体"/>
                <w:b w:val="0"/>
              </w:rPr>
            </w:pPr>
            <w:r>
              <w:rPr>
                <w:rFonts w:ascii="宋体" w:hAnsi="宋体"/>
                <w:b w:val="0"/>
              </w:rPr>
              <w:t>理</w:t>
            </w:r>
            <w:r>
              <w:rPr>
                <w:rFonts w:hint="eastAsia" w:ascii="宋体" w:hAnsi="宋体"/>
                <w:b w:val="0"/>
              </w:rPr>
              <w:t xml:space="preserve"> </w:t>
            </w:r>
            <w:r>
              <w:rPr>
                <w:rFonts w:ascii="宋体" w:hAnsi="宋体"/>
                <w:b w:val="0"/>
              </w:rPr>
              <w:t>化</w:t>
            </w:r>
          </w:p>
          <w:p w14:paraId="53E0656C">
            <w:pPr>
              <w:jc w:val="center"/>
              <w:rPr>
                <w:rFonts w:ascii="宋体" w:hAnsi="宋体"/>
                <w:b w:val="0"/>
              </w:rPr>
            </w:pPr>
            <w:r>
              <w:rPr>
                <w:rFonts w:hint="eastAsia" w:ascii="宋体" w:hAnsi="宋体"/>
                <w:b w:val="0"/>
              </w:rPr>
              <w:t>性 质</w:t>
            </w:r>
          </w:p>
        </w:tc>
        <w:tc>
          <w:tcPr>
            <w:tcW w:w="4451" w:type="pct"/>
          </w:tcPr>
          <w:p w14:paraId="1095C01C">
            <w:pPr>
              <w:adjustRightInd w:val="0"/>
              <w:snapToGrid w:val="0"/>
              <w:rPr>
                <w:rFonts w:ascii="宋体" w:hAnsi="宋体"/>
                <w:b w:val="0"/>
                <w:szCs w:val="21"/>
              </w:rPr>
            </w:pPr>
            <w:r>
              <w:rPr>
                <w:rFonts w:ascii="宋体" w:hAnsi="宋体"/>
                <w:b w:val="0"/>
                <w:szCs w:val="21"/>
              </w:rPr>
              <w:t>外观性状：无色或白色有光泽的立方结晶，微具吸湿性</w:t>
            </w:r>
            <w:r>
              <w:rPr>
                <w:rFonts w:hint="eastAsia" w:ascii="宋体" w:hAnsi="宋体"/>
                <w:b w:val="0"/>
                <w:szCs w:val="21"/>
              </w:rPr>
              <w:t>。    熔    点（℃）：</w:t>
            </w:r>
            <w:r>
              <w:rPr>
                <w:rFonts w:ascii="宋体" w:hAnsi="宋体"/>
                <w:b w:val="0"/>
                <w:szCs w:val="21"/>
              </w:rPr>
              <w:t>592</w:t>
            </w:r>
            <w:r>
              <w:rPr>
                <w:rFonts w:hint="eastAsia" w:ascii="宋体" w:hAnsi="宋体"/>
                <w:b w:val="0"/>
                <w:szCs w:val="21"/>
              </w:rPr>
              <w:t>；</w:t>
            </w:r>
          </w:p>
          <w:p w14:paraId="1310E747">
            <w:pPr>
              <w:adjustRightInd w:val="0"/>
              <w:snapToGrid w:val="0"/>
              <w:rPr>
                <w:rFonts w:ascii="宋体" w:hAnsi="宋体"/>
                <w:b w:val="0"/>
                <w:szCs w:val="21"/>
              </w:rPr>
            </w:pPr>
            <w:r>
              <w:rPr>
                <w:rFonts w:hint="eastAsia" w:ascii="宋体" w:hAnsi="宋体"/>
                <w:b w:val="0"/>
                <w:szCs w:val="21"/>
              </w:rPr>
              <w:t>相对密度（g/cm</w:t>
            </w:r>
            <w:r>
              <w:rPr>
                <w:rFonts w:hint="eastAsia" w:ascii="宋体" w:hAnsi="宋体"/>
                <w:b w:val="0"/>
                <w:szCs w:val="21"/>
                <w:vertAlign w:val="superscript"/>
              </w:rPr>
              <w:t>3）</w:t>
            </w:r>
            <w:r>
              <w:rPr>
                <w:rFonts w:hint="eastAsia" w:ascii="宋体" w:hAnsi="宋体"/>
                <w:b w:val="0"/>
                <w:szCs w:val="21"/>
              </w:rPr>
              <w:t>：</w:t>
            </w:r>
            <w:r>
              <w:rPr>
                <w:rFonts w:ascii="宋体" w:hAnsi="宋体"/>
                <w:b w:val="0"/>
                <w:szCs w:val="21"/>
              </w:rPr>
              <w:t>3.24</w:t>
            </w:r>
            <w:r>
              <w:rPr>
                <w:rFonts w:hint="eastAsia" w:ascii="宋体" w:hAnsi="宋体"/>
                <w:b w:val="0"/>
                <w:szCs w:val="21"/>
              </w:rPr>
              <w:t>（水=1）；                        沸    点（℃）：</w:t>
            </w:r>
            <w:r>
              <w:rPr>
                <w:rFonts w:ascii="宋体" w:hAnsi="宋体"/>
                <w:b w:val="0"/>
                <w:szCs w:val="21"/>
              </w:rPr>
              <w:t>分解</w:t>
            </w:r>
          </w:p>
          <w:p w14:paraId="462F9540">
            <w:pPr>
              <w:adjustRightInd w:val="0"/>
              <w:snapToGrid w:val="0"/>
              <w:rPr>
                <w:rFonts w:ascii="宋体" w:hAnsi="宋体"/>
                <w:b w:val="0"/>
                <w:szCs w:val="21"/>
              </w:rPr>
            </w:pPr>
            <w:r>
              <w:rPr>
                <w:rFonts w:hint="eastAsia" w:ascii="宋体" w:hAnsi="宋体"/>
                <w:b w:val="0"/>
                <w:szCs w:val="21"/>
              </w:rPr>
              <w:t>溶 解 性：</w:t>
            </w:r>
            <w:r>
              <w:rPr>
                <w:rFonts w:ascii="宋体" w:hAnsi="宋体"/>
                <w:b w:val="0"/>
                <w:szCs w:val="21"/>
              </w:rPr>
              <w:t>溶于水、浓硫酸，不溶于醇、浓硝酸</w:t>
            </w:r>
            <w:r>
              <w:rPr>
                <w:rFonts w:hint="eastAsia" w:ascii="宋体" w:hAnsi="宋体"/>
                <w:b w:val="0"/>
                <w:szCs w:val="21"/>
              </w:rPr>
              <w:t>。</w:t>
            </w:r>
          </w:p>
          <w:p w14:paraId="7CFA1C6D">
            <w:pPr>
              <w:adjustRightInd w:val="0"/>
              <w:snapToGrid w:val="0"/>
              <w:rPr>
                <w:rFonts w:ascii="宋体" w:hAnsi="宋体"/>
                <w:b w:val="0"/>
                <w:szCs w:val="21"/>
              </w:rPr>
            </w:pPr>
            <w:r>
              <w:rPr>
                <w:rFonts w:hint="eastAsia" w:ascii="宋体" w:hAnsi="宋体"/>
                <w:b w:val="0"/>
                <w:szCs w:val="21"/>
              </w:rPr>
              <w:t>禁 忌 物：</w:t>
            </w:r>
            <w:r>
              <w:rPr>
                <w:rFonts w:ascii="宋体" w:hAnsi="宋体"/>
                <w:b w:val="0"/>
                <w:szCs w:val="21"/>
              </w:rPr>
              <w:t>酸类、碱、酸酐、易燃或可燃物、强还原剂</w:t>
            </w:r>
          </w:p>
        </w:tc>
      </w:tr>
      <w:tr w14:paraId="537FDF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13" w:hRule="atLeast"/>
          <w:jc w:val="center"/>
        </w:trPr>
        <w:tc>
          <w:tcPr>
            <w:tcW w:w="548" w:type="pct"/>
            <w:vAlign w:val="center"/>
          </w:tcPr>
          <w:p w14:paraId="454FA7B4">
            <w:pPr>
              <w:jc w:val="center"/>
              <w:rPr>
                <w:rFonts w:ascii="宋体" w:hAnsi="宋体"/>
                <w:b w:val="0"/>
              </w:rPr>
            </w:pPr>
            <w:r>
              <w:rPr>
                <w:rFonts w:hint="eastAsia" w:ascii="宋体" w:hAnsi="宋体"/>
                <w:b w:val="0"/>
              </w:rPr>
              <w:t>危险有害特性</w:t>
            </w:r>
          </w:p>
        </w:tc>
        <w:tc>
          <w:tcPr>
            <w:tcW w:w="4451" w:type="pct"/>
          </w:tcPr>
          <w:p w14:paraId="4F510878">
            <w:pPr>
              <w:adjustRightInd w:val="0"/>
              <w:snapToGrid w:val="0"/>
              <w:rPr>
                <w:rFonts w:ascii="宋体" w:hAnsi="宋体"/>
                <w:b w:val="0"/>
                <w:szCs w:val="21"/>
              </w:rPr>
            </w:pPr>
            <w:r>
              <w:rPr>
                <w:rFonts w:hint="eastAsia" w:ascii="宋体" w:hAnsi="宋体"/>
                <w:b w:val="0"/>
                <w:szCs w:val="21"/>
              </w:rPr>
              <w:t>燃烧爆炸性：燃 烧 性：</w:t>
            </w:r>
            <w:r>
              <w:rPr>
                <w:rFonts w:ascii="宋体" w:hAnsi="宋体"/>
                <w:b w:val="0"/>
                <w:szCs w:val="21"/>
              </w:rPr>
              <w:t>助燃</w:t>
            </w:r>
            <w:r>
              <w:rPr>
                <w:rFonts w:hint="eastAsia" w:ascii="宋体" w:hAnsi="宋体"/>
                <w:b w:val="0"/>
                <w:szCs w:val="21"/>
              </w:rPr>
              <w:t xml:space="preserve">           稳 定 性：稳定          </w:t>
            </w:r>
          </w:p>
          <w:p w14:paraId="38C6D2A7">
            <w:pPr>
              <w:adjustRightInd w:val="0"/>
              <w:snapToGrid w:val="0"/>
              <w:ind w:firstLine="420" w:firstLineChars="200"/>
              <w:rPr>
                <w:rFonts w:ascii="宋体" w:hAnsi="宋体"/>
                <w:b w:val="0"/>
                <w:szCs w:val="21"/>
              </w:rPr>
            </w:pPr>
            <w:r>
              <w:rPr>
                <w:rFonts w:ascii="宋体" w:hAnsi="宋体"/>
                <w:b w:val="0"/>
                <w:szCs w:val="21"/>
              </w:rPr>
              <w:t>本品</w:t>
            </w:r>
            <w:r>
              <w:rPr>
                <w:rFonts w:hint="eastAsia" w:ascii="宋体" w:hAnsi="宋体"/>
                <w:b w:val="0"/>
                <w:szCs w:val="21"/>
              </w:rPr>
              <w:t>为</w:t>
            </w:r>
            <w:r>
              <w:rPr>
                <w:rFonts w:ascii="宋体" w:hAnsi="宋体"/>
                <w:b w:val="0"/>
                <w:szCs w:val="21"/>
              </w:rPr>
              <w:t>强氧化剂。遇可燃物着火时，能助长火势。与还原剂、有机物、易燃物如硫、磷或金属粉末等混合可形成爆炸性混合物。燃烧分解时, 放出有毒的氮氧化物气体</w:t>
            </w:r>
            <w:r>
              <w:rPr>
                <w:rFonts w:hint="eastAsia" w:ascii="宋体" w:hAnsi="宋体"/>
                <w:b w:val="0"/>
                <w:szCs w:val="21"/>
              </w:rPr>
              <w:t>。</w:t>
            </w:r>
          </w:p>
          <w:p w14:paraId="473B1C02">
            <w:pPr>
              <w:adjustRightInd w:val="0"/>
              <w:snapToGrid w:val="0"/>
              <w:rPr>
                <w:rFonts w:ascii="宋体" w:hAnsi="宋体"/>
                <w:b w:val="0"/>
                <w:szCs w:val="21"/>
              </w:rPr>
            </w:pPr>
            <w:r>
              <w:rPr>
                <w:rFonts w:hint="eastAsia" w:ascii="宋体" w:hAnsi="宋体"/>
                <w:b w:val="0"/>
                <w:szCs w:val="21"/>
              </w:rPr>
              <w:t>毒    性：</w:t>
            </w:r>
            <w:r>
              <w:rPr>
                <w:rFonts w:ascii="宋体" w:hAnsi="宋体"/>
                <w:b w:val="0"/>
                <w:szCs w:val="21"/>
              </w:rPr>
              <w:t>高毒。</w:t>
            </w:r>
          </w:p>
          <w:p w14:paraId="32915E81">
            <w:pPr>
              <w:adjustRightInd w:val="0"/>
              <w:snapToGrid w:val="0"/>
              <w:rPr>
                <w:rFonts w:ascii="宋体" w:hAnsi="宋体"/>
                <w:b w:val="0"/>
                <w:szCs w:val="21"/>
              </w:rPr>
            </w:pPr>
            <w:r>
              <w:rPr>
                <w:rFonts w:ascii="宋体" w:hAnsi="宋体"/>
                <w:b w:val="0"/>
                <w:szCs w:val="21"/>
              </w:rPr>
              <w:t>刺激性：家兔经眼：100mg/24 小时，中度刺激。家兔经皮：500mg/24小时，轻度刺激。</w:t>
            </w:r>
          </w:p>
          <w:p w14:paraId="23BE7AAD">
            <w:pPr>
              <w:adjustRightInd w:val="0"/>
              <w:snapToGrid w:val="0"/>
              <w:rPr>
                <w:rFonts w:ascii="宋体" w:hAnsi="宋体"/>
                <w:b w:val="0"/>
                <w:szCs w:val="21"/>
              </w:rPr>
            </w:pPr>
            <w:r>
              <w:rPr>
                <w:rFonts w:hint="eastAsia" w:ascii="宋体" w:hAnsi="宋体"/>
                <w:b w:val="0"/>
                <w:szCs w:val="21"/>
              </w:rPr>
              <w:t>健康危害：吸入、食入、经皮吸收。</w:t>
            </w:r>
            <w:r>
              <w:rPr>
                <w:rFonts w:ascii="宋体" w:hAnsi="宋体"/>
                <w:b w:val="0"/>
                <w:szCs w:val="21"/>
              </w:rPr>
              <w:t>误服后表现为恶心、呕吐、腹痛、脉缓、头痛等。严重中毒出现进行性肌麻痹、心律紊乱、血压降低、血钾明显降低等。可死于心律紊乱和呼吸肌麻痹。肾脏可能受损。大量吸入本品粉尘亦可引起中毒，但消化道反应较轻。长期接触可致口腔炎、鼻炎、结膜炎、腹泻、心动过速、脱发等</w:t>
            </w:r>
            <w:r>
              <w:rPr>
                <w:rFonts w:hint="eastAsia" w:ascii="宋体" w:hAnsi="宋体"/>
                <w:b w:val="0"/>
                <w:szCs w:val="21"/>
              </w:rPr>
              <w:t>。</w:t>
            </w:r>
          </w:p>
          <w:p w14:paraId="3BD7F16F">
            <w:pPr>
              <w:adjustRightInd w:val="0"/>
              <w:snapToGrid w:val="0"/>
              <w:rPr>
                <w:rFonts w:ascii="宋体" w:hAnsi="宋体"/>
                <w:b w:val="0"/>
                <w:szCs w:val="21"/>
              </w:rPr>
            </w:pPr>
            <w:r>
              <w:rPr>
                <w:rFonts w:ascii="宋体" w:hAnsi="宋体"/>
                <w:b w:val="0"/>
                <w:szCs w:val="21"/>
              </w:rPr>
              <w:t>其它有害作用：该物质对环境可能有危害，在地下水中有蓄积作用。</w:t>
            </w:r>
          </w:p>
        </w:tc>
      </w:tr>
      <w:tr w14:paraId="464FFC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42" w:hRule="atLeast"/>
          <w:jc w:val="center"/>
        </w:trPr>
        <w:tc>
          <w:tcPr>
            <w:tcW w:w="548" w:type="pct"/>
            <w:vAlign w:val="center"/>
          </w:tcPr>
          <w:p w14:paraId="6610E318">
            <w:pPr>
              <w:jc w:val="center"/>
              <w:rPr>
                <w:rFonts w:ascii="宋体" w:hAnsi="宋体"/>
                <w:b w:val="0"/>
              </w:rPr>
            </w:pPr>
            <w:r>
              <w:rPr>
                <w:rFonts w:hint="eastAsia" w:ascii="宋体" w:hAnsi="宋体"/>
                <w:b w:val="0"/>
              </w:rPr>
              <w:t>急救</w:t>
            </w:r>
          </w:p>
        </w:tc>
        <w:tc>
          <w:tcPr>
            <w:tcW w:w="4451" w:type="pct"/>
          </w:tcPr>
          <w:p w14:paraId="474FAF1F">
            <w:pPr>
              <w:adjustRightInd w:val="0"/>
              <w:snapToGrid w:val="0"/>
              <w:rPr>
                <w:rFonts w:ascii="宋体" w:hAnsi="宋体"/>
                <w:b w:val="0"/>
                <w:szCs w:val="21"/>
              </w:rPr>
            </w:pPr>
            <w:r>
              <w:rPr>
                <w:rFonts w:ascii="宋体" w:hAnsi="宋体"/>
                <w:b w:val="0"/>
                <w:szCs w:val="21"/>
              </w:rPr>
              <w:t>消防措施：消防人员佩戴防毒面具、全身消防服，在上风向灭火。雾状水、砂土。切勿将水流直接射至熔融物，以免引起严重的流淌火灾或引起剧烈的沸溅</w:t>
            </w:r>
            <w:r>
              <w:rPr>
                <w:rFonts w:hint="eastAsia" w:ascii="宋体" w:hAnsi="宋体"/>
                <w:b w:val="0"/>
                <w:szCs w:val="21"/>
              </w:rPr>
              <w:t>。</w:t>
            </w:r>
          </w:p>
          <w:p w14:paraId="75C5A7A3">
            <w:pPr>
              <w:adjustRightInd w:val="0"/>
              <w:snapToGrid w:val="0"/>
              <w:rPr>
                <w:rFonts w:ascii="宋体" w:hAnsi="宋体"/>
                <w:b w:val="0"/>
                <w:szCs w:val="21"/>
              </w:rPr>
            </w:pPr>
            <w:r>
              <w:rPr>
                <w:rFonts w:hint="eastAsia" w:ascii="宋体" w:hAnsi="宋体"/>
                <w:b w:val="0"/>
                <w:szCs w:val="21"/>
              </w:rPr>
              <w:t>皮肤接触：</w:t>
            </w:r>
            <w:r>
              <w:rPr>
                <w:rFonts w:ascii="宋体" w:hAnsi="宋体"/>
                <w:b w:val="0"/>
                <w:szCs w:val="21"/>
              </w:rPr>
              <w:t>脱去污染的衣着，用肥皂水和清水彻底冲洗皮肤。</w:t>
            </w:r>
          </w:p>
          <w:p w14:paraId="5588415A">
            <w:pPr>
              <w:adjustRightInd w:val="0"/>
              <w:snapToGrid w:val="0"/>
              <w:rPr>
                <w:rFonts w:ascii="宋体" w:hAnsi="宋体"/>
                <w:b w:val="0"/>
                <w:szCs w:val="21"/>
              </w:rPr>
            </w:pPr>
            <w:r>
              <w:rPr>
                <w:rFonts w:ascii="宋体" w:hAnsi="宋体"/>
                <w:b w:val="0"/>
                <w:szCs w:val="21"/>
              </w:rPr>
              <w:t>眼睛接触：提起眼睑，用流动清水或生理盐水冲洗。就医。</w:t>
            </w:r>
          </w:p>
          <w:p w14:paraId="0CEE542D">
            <w:pPr>
              <w:adjustRightInd w:val="0"/>
              <w:snapToGrid w:val="0"/>
              <w:rPr>
                <w:rFonts w:ascii="宋体" w:hAnsi="宋体"/>
                <w:b w:val="0"/>
                <w:szCs w:val="21"/>
              </w:rPr>
            </w:pPr>
            <w:r>
              <w:rPr>
                <w:rFonts w:hint="eastAsia" w:ascii="宋体" w:hAnsi="宋体"/>
                <w:b w:val="0"/>
                <w:szCs w:val="21"/>
              </w:rPr>
              <w:t>吸    入：</w:t>
            </w:r>
            <w:r>
              <w:rPr>
                <w:rFonts w:ascii="宋体" w:hAnsi="宋体"/>
                <w:b w:val="0"/>
                <w:szCs w:val="21"/>
              </w:rPr>
              <w:t>迅速脱离现场至空气新鲜处。保持呼吸道通畅。如呼吸困难，给输氧。如呼吸停止，立即进行人工呼吸。就医。</w:t>
            </w:r>
          </w:p>
          <w:p w14:paraId="5A173F20">
            <w:pPr>
              <w:adjustRightInd w:val="0"/>
              <w:snapToGrid w:val="0"/>
              <w:rPr>
                <w:rFonts w:ascii="宋体" w:hAnsi="宋体"/>
                <w:b w:val="0"/>
                <w:szCs w:val="21"/>
              </w:rPr>
            </w:pPr>
            <w:r>
              <w:rPr>
                <w:rFonts w:hint="eastAsia" w:ascii="宋体" w:hAnsi="宋体"/>
                <w:b w:val="0"/>
                <w:szCs w:val="21"/>
              </w:rPr>
              <w:t>食    入：</w:t>
            </w:r>
            <w:r>
              <w:rPr>
                <w:rFonts w:ascii="宋体" w:hAnsi="宋体"/>
                <w:b w:val="0"/>
                <w:szCs w:val="21"/>
              </w:rPr>
              <w:t>饮足量温水，催吐。用2％～5％硫酸钠溶液洗胃，导泻。就医。</w:t>
            </w:r>
          </w:p>
        </w:tc>
      </w:tr>
      <w:tr w14:paraId="78871B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81" w:hRule="atLeast"/>
          <w:jc w:val="center"/>
        </w:trPr>
        <w:tc>
          <w:tcPr>
            <w:tcW w:w="548" w:type="pct"/>
            <w:vAlign w:val="center"/>
          </w:tcPr>
          <w:p w14:paraId="0307FFC7">
            <w:pPr>
              <w:jc w:val="center"/>
              <w:rPr>
                <w:rFonts w:ascii="宋体" w:hAnsi="宋体"/>
                <w:b w:val="0"/>
              </w:rPr>
            </w:pPr>
            <w:r>
              <w:rPr>
                <w:rFonts w:hint="eastAsia" w:ascii="宋体" w:hAnsi="宋体"/>
                <w:b w:val="0"/>
              </w:rPr>
              <w:t>防护</w:t>
            </w:r>
          </w:p>
        </w:tc>
        <w:tc>
          <w:tcPr>
            <w:tcW w:w="4451" w:type="pct"/>
          </w:tcPr>
          <w:p w14:paraId="042C6681">
            <w:pPr>
              <w:adjustRightInd w:val="0"/>
              <w:snapToGrid w:val="0"/>
              <w:rPr>
                <w:rFonts w:ascii="宋体" w:hAnsi="宋体"/>
                <w:b w:val="0"/>
                <w:szCs w:val="21"/>
              </w:rPr>
            </w:pPr>
            <w:r>
              <w:rPr>
                <w:rFonts w:ascii="宋体" w:hAnsi="宋体"/>
                <w:b w:val="0"/>
                <w:szCs w:val="21"/>
              </w:rPr>
              <w:t xml:space="preserve">生产过程密闭，加强通风。提供安全淋浴和洗眼设备。可能接触其粉尘时，建议佩戴自吸过滤式防尘口罩。戴安全防护眼镜。穿聚乙烯防毒服。戴氯丁橡胶手套。 </w:t>
            </w:r>
          </w:p>
          <w:p w14:paraId="2F1237F6">
            <w:pPr>
              <w:adjustRightInd w:val="0"/>
              <w:snapToGrid w:val="0"/>
              <w:rPr>
                <w:rFonts w:ascii="宋体" w:hAnsi="宋体"/>
                <w:b w:val="0"/>
                <w:szCs w:val="21"/>
              </w:rPr>
            </w:pPr>
            <w:r>
              <w:rPr>
                <w:rFonts w:ascii="宋体" w:hAnsi="宋体"/>
                <w:b w:val="0"/>
                <w:szCs w:val="21"/>
              </w:rPr>
              <w:t>工作现场禁止吸烟、进食和饮水。工作完毕，淋浴更衣。保持良好的卫生习惯。</w:t>
            </w:r>
          </w:p>
        </w:tc>
      </w:tr>
      <w:tr w14:paraId="2A4706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81" w:hRule="atLeast"/>
          <w:jc w:val="center"/>
        </w:trPr>
        <w:tc>
          <w:tcPr>
            <w:tcW w:w="548" w:type="pct"/>
            <w:vAlign w:val="center"/>
          </w:tcPr>
          <w:p w14:paraId="195FF2BE">
            <w:pPr>
              <w:jc w:val="center"/>
              <w:rPr>
                <w:rFonts w:ascii="宋体" w:hAnsi="宋体"/>
                <w:b w:val="0"/>
              </w:rPr>
            </w:pPr>
            <w:r>
              <w:rPr>
                <w:rFonts w:hint="eastAsia" w:ascii="宋体" w:hAnsi="宋体"/>
                <w:b w:val="0"/>
              </w:rPr>
              <w:t>泄 露</w:t>
            </w:r>
          </w:p>
          <w:p w14:paraId="7DF304D4">
            <w:pPr>
              <w:jc w:val="center"/>
              <w:rPr>
                <w:rFonts w:ascii="宋体" w:hAnsi="宋体"/>
                <w:b w:val="0"/>
              </w:rPr>
            </w:pPr>
            <w:r>
              <w:rPr>
                <w:rFonts w:ascii="宋体" w:hAnsi="宋体"/>
                <w:b w:val="0"/>
              </w:rPr>
              <w:t>处</w:t>
            </w:r>
            <w:r>
              <w:rPr>
                <w:rFonts w:hint="eastAsia" w:ascii="宋体" w:hAnsi="宋体"/>
                <w:b w:val="0"/>
              </w:rPr>
              <w:t xml:space="preserve"> </w:t>
            </w:r>
            <w:r>
              <w:rPr>
                <w:rFonts w:ascii="宋体" w:hAnsi="宋体"/>
                <w:b w:val="0"/>
              </w:rPr>
              <w:t>理</w:t>
            </w:r>
          </w:p>
        </w:tc>
        <w:tc>
          <w:tcPr>
            <w:tcW w:w="4451" w:type="pct"/>
          </w:tcPr>
          <w:p w14:paraId="260F2371">
            <w:pPr>
              <w:adjustRightInd w:val="0"/>
              <w:snapToGrid w:val="0"/>
              <w:rPr>
                <w:rFonts w:ascii="宋体" w:hAnsi="宋体"/>
                <w:b w:val="0"/>
                <w:szCs w:val="21"/>
              </w:rPr>
            </w:pPr>
            <w:r>
              <w:rPr>
                <w:rFonts w:ascii="宋体" w:hAnsi="宋体"/>
                <w:b w:val="0"/>
                <w:szCs w:val="21"/>
              </w:rPr>
              <w:t>隔离泄漏污染区，限制出入。建议应急处理人员戴防尘面具（全面罩），穿防毒服。不要直接接触泄漏物。勿使泄漏物与有机物、还原剂、易燃物接触。小量泄漏：小心扫起，置于袋中转移至安全场所。大量泄漏：收集回收或运至废物处理场所处置。</w:t>
            </w:r>
          </w:p>
        </w:tc>
      </w:tr>
      <w:tr w14:paraId="578C89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74" w:hRule="atLeast"/>
          <w:jc w:val="center"/>
        </w:trPr>
        <w:tc>
          <w:tcPr>
            <w:tcW w:w="548" w:type="pct"/>
            <w:vAlign w:val="center"/>
          </w:tcPr>
          <w:p w14:paraId="3914374B">
            <w:pPr>
              <w:jc w:val="center"/>
              <w:rPr>
                <w:rFonts w:ascii="宋体" w:hAnsi="宋体"/>
                <w:b w:val="0"/>
              </w:rPr>
            </w:pPr>
            <w:r>
              <w:rPr>
                <w:rFonts w:ascii="宋体" w:hAnsi="宋体"/>
                <w:b w:val="0"/>
              </w:rPr>
              <w:t>储</w:t>
            </w:r>
            <w:r>
              <w:rPr>
                <w:rFonts w:hint="eastAsia" w:ascii="宋体" w:hAnsi="宋体"/>
                <w:b w:val="0"/>
              </w:rPr>
              <w:t xml:space="preserve"> </w:t>
            </w:r>
            <w:r>
              <w:rPr>
                <w:rFonts w:ascii="宋体" w:hAnsi="宋体"/>
                <w:b w:val="0"/>
              </w:rPr>
              <w:t>运</w:t>
            </w:r>
          </w:p>
        </w:tc>
        <w:tc>
          <w:tcPr>
            <w:tcW w:w="4451" w:type="pct"/>
          </w:tcPr>
          <w:p w14:paraId="47EFAFEC">
            <w:pPr>
              <w:adjustRightInd w:val="0"/>
              <w:snapToGrid w:val="0"/>
              <w:rPr>
                <w:rFonts w:ascii="宋体" w:hAnsi="宋体"/>
                <w:b w:val="0"/>
                <w:szCs w:val="21"/>
              </w:rPr>
            </w:pPr>
            <w:r>
              <w:rPr>
                <w:rFonts w:hint="eastAsia" w:ascii="宋体" w:hAnsi="宋体"/>
                <w:b w:val="0"/>
                <w:szCs w:val="21"/>
              </w:rPr>
              <w:t>储存于阴凉、干燥、通风良好的</w:t>
            </w:r>
            <w:r>
              <w:rPr>
                <w:rFonts w:ascii="宋体" w:hAnsi="宋体"/>
                <w:b w:val="0"/>
                <w:szCs w:val="21"/>
              </w:rPr>
              <w:t>库房</w:t>
            </w:r>
            <w:r>
              <w:rPr>
                <w:rFonts w:hint="eastAsia" w:ascii="宋体" w:hAnsi="宋体"/>
                <w:b w:val="0"/>
                <w:szCs w:val="21"/>
              </w:rPr>
              <w:t>。远离火种、热源。应与易燃或可燃物、还原剂、硫、磷、</w:t>
            </w:r>
            <w:r>
              <w:rPr>
                <w:rFonts w:ascii="宋体" w:hAnsi="宋体"/>
                <w:b w:val="0"/>
                <w:szCs w:val="21"/>
              </w:rPr>
              <w:t>酸类、碱类、食用化学品</w:t>
            </w:r>
            <w:r>
              <w:rPr>
                <w:rFonts w:hint="eastAsia" w:ascii="宋体" w:hAnsi="宋体"/>
                <w:b w:val="0"/>
                <w:szCs w:val="21"/>
              </w:rPr>
              <w:t>等分开存放。切忌混储混运。</w:t>
            </w:r>
            <w:r>
              <w:rPr>
                <w:rFonts w:ascii="宋体" w:hAnsi="宋体"/>
                <w:b w:val="0"/>
                <w:szCs w:val="21"/>
              </w:rPr>
              <w:t>储区应备有合适的材料收容泄漏物。</w:t>
            </w:r>
          </w:p>
          <w:p w14:paraId="22781CA3">
            <w:pPr>
              <w:adjustRightInd w:val="0"/>
              <w:snapToGrid w:val="0"/>
              <w:rPr>
                <w:rFonts w:ascii="宋体" w:hAnsi="宋体"/>
                <w:b w:val="0"/>
                <w:szCs w:val="21"/>
              </w:rPr>
            </w:pPr>
            <w:r>
              <w:rPr>
                <w:rFonts w:ascii="宋体" w:hAnsi="宋体"/>
                <w:b w:val="0"/>
                <w:szCs w:val="21"/>
              </w:rPr>
              <w:t>运输时单独装运，运输过程中要确保容器不泄漏、不倒塌、不坠落、不损坏。运输时运输车辆应配备相应品种和数量的消防器材。严禁与酸类、易燃物、有机物、还原剂、自燃物品、遇湿易燃物品等并车混运。运输时车速不宜过快，不得强行超车。运输车辆装卸前后，应彻底清扫、洗净，严禁混入有机物、易燃物等杂质。</w:t>
            </w:r>
          </w:p>
        </w:tc>
      </w:tr>
    </w:tbl>
    <w:p w14:paraId="463AD68E">
      <w:pPr>
        <w:rPr>
          <w:rFonts w:ascii="宋体" w:hAnsi="宋体"/>
          <w:snapToGrid w:val="0"/>
          <w:sz w:val="28"/>
          <w:szCs w:val="28"/>
        </w:rPr>
      </w:pPr>
      <w:bookmarkStart w:id="210" w:name="_Toc109360861"/>
      <w:r>
        <w:rPr>
          <w:rFonts w:ascii="宋体" w:hAnsi="宋体"/>
          <w:snapToGrid w:val="0"/>
          <w:sz w:val="28"/>
          <w:szCs w:val="28"/>
        </w:rPr>
        <w:br w:type="page"/>
      </w:r>
    </w:p>
    <w:p w14:paraId="41208EB6">
      <w:pPr>
        <w:spacing w:before="120" w:beforeLines="50" w:line="360" w:lineRule="auto"/>
        <w:ind w:firstLine="562" w:firstLineChars="200"/>
        <w:rPr>
          <w:rFonts w:ascii="宋体" w:hAnsi="宋体"/>
          <w:snapToGrid w:val="0"/>
          <w:sz w:val="28"/>
          <w:szCs w:val="28"/>
        </w:rPr>
      </w:pPr>
      <w:r>
        <w:rPr>
          <w:rFonts w:hint="eastAsia" w:ascii="宋体" w:hAnsi="宋体"/>
          <w:snapToGrid w:val="0"/>
          <w:sz w:val="28"/>
          <w:szCs w:val="28"/>
        </w:rPr>
        <w:t>5）氧化铜</w:t>
      </w:r>
      <w:bookmarkEnd w:id="210"/>
    </w:p>
    <w:p w14:paraId="7DCE8CD4">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氧化铜物性参数及对其危险的应对措施列于表3.3-6。</w:t>
      </w:r>
    </w:p>
    <w:p w14:paraId="0C5E17D7">
      <w:pPr>
        <w:jc w:val="center"/>
        <w:rPr>
          <w:rFonts w:ascii="黑体" w:hAnsi="宋体" w:eastAsia="黑体"/>
          <w:b w:val="0"/>
          <w:sz w:val="24"/>
        </w:rPr>
      </w:pPr>
      <w:r>
        <w:rPr>
          <w:rFonts w:hint="eastAsia" w:ascii="黑体" w:hAnsi="宋体" w:eastAsia="黑体"/>
          <w:b w:val="0"/>
          <w:sz w:val="24"/>
        </w:rPr>
        <w:t>表3.3-6 氧化铜的物性参数及对危险的应对措施</w:t>
      </w:r>
    </w:p>
    <w:tbl>
      <w:tblPr>
        <w:tblStyle w:val="88"/>
        <w:tblW w:w="906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067"/>
      </w:tblGrid>
      <w:tr w14:paraId="736B9C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dxa"/>
            <w:vAlign w:val="center"/>
          </w:tcPr>
          <w:p w14:paraId="793E71A3">
            <w:pPr>
              <w:spacing w:line="250" w:lineRule="exact"/>
              <w:jc w:val="center"/>
              <w:rPr>
                <w:rFonts w:ascii="宋体" w:hAnsi="宋体"/>
                <w:b w:val="0"/>
              </w:rPr>
            </w:pPr>
            <w:r>
              <w:rPr>
                <w:rFonts w:hint="eastAsia" w:ascii="宋体" w:hAnsi="宋体"/>
                <w:b w:val="0"/>
              </w:rPr>
              <w:t>标 识</w:t>
            </w:r>
          </w:p>
        </w:tc>
        <w:tc>
          <w:tcPr>
            <w:tcW w:w="8067" w:type="dxa"/>
          </w:tcPr>
          <w:p w14:paraId="42F9D61D">
            <w:pPr>
              <w:adjustRightInd w:val="0"/>
              <w:snapToGrid w:val="0"/>
              <w:spacing w:line="250" w:lineRule="exact"/>
              <w:rPr>
                <w:rFonts w:ascii="宋体" w:hAnsi="宋体"/>
                <w:b w:val="0"/>
                <w:szCs w:val="21"/>
              </w:rPr>
            </w:pPr>
            <w:r>
              <w:rPr>
                <w:rFonts w:hint="eastAsia" w:ascii="宋体" w:hAnsi="宋体"/>
                <w:b w:val="0"/>
                <w:szCs w:val="21"/>
              </w:rPr>
              <w:t>中文名称：氧化铜                   英文名：</w:t>
            </w:r>
            <w:r>
              <w:rPr>
                <w:rFonts w:ascii="宋体" w:hAnsi="宋体"/>
                <w:b w:val="0"/>
                <w:szCs w:val="21"/>
              </w:rPr>
              <w:t>copper monoxide</w:t>
            </w:r>
          </w:p>
          <w:p w14:paraId="0BA824F8">
            <w:pPr>
              <w:adjustRightInd w:val="0"/>
              <w:snapToGrid w:val="0"/>
              <w:spacing w:line="250" w:lineRule="exact"/>
              <w:rPr>
                <w:rFonts w:ascii="宋体" w:hAnsi="宋体"/>
                <w:b w:val="0"/>
                <w:szCs w:val="21"/>
              </w:rPr>
            </w:pPr>
            <w:r>
              <w:rPr>
                <w:rFonts w:hint="eastAsia" w:ascii="宋体" w:hAnsi="宋体"/>
                <w:b w:val="0"/>
                <w:szCs w:val="21"/>
              </w:rPr>
              <w:t xml:space="preserve">分 子 式：CuO；                    分子量：79.54；    </w:t>
            </w:r>
          </w:p>
          <w:p w14:paraId="367575B2">
            <w:pPr>
              <w:adjustRightInd w:val="0"/>
              <w:snapToGrid w:val="0"/>
              <w:spacing w:line="250" w:lineRule="exact"/>
              <w:rPr>
                <w:rFonts w:ascii="宋体" w:hAnsi="宋体"/>
                <w:b w:val="0"/>
                <w:szCs w:val="21"/>
              </w:rPr>
            </w:pPr>
            <w:r>
              <w:rPr>
                <w:rFonts w:ascii="宋体" w:hAnsi="宋体"/>
                <w:b w:val="0"/>
                <w:szCs w:val="21"/>
              </w:rPr>
              <w:t>CAS</w:t>
            </w:r>
            <w:r>
              <w:rPr>
                <w:rFonts w:hint="eastAsia" w:ascii="宋体" w:hAnsi="宋体"/>
                <w:b w:val="0"/>
                <w:szCs w:val="21"/>
              </w:rPr>
              <w:t>号：1317-38-0</w:t>
            </w:r>
          </w:p>
        </w:tc>
      </w:tr>
      <w:tr w14:paraId="16B654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dxa"/>
            <w:vAlign w:val="center"/>
          </w:tcPr>
          <w:p w14:paraId="1875F582">
            <w:pPr>
              <w:spacing w:line="250" w:lineRule="exact"/>
              <w:jc w:val="center"/>
              <w:rPr>
                <w:rFonts w:ascii="宋体" w:hAnsi="宋体"/>
                <w:b w:val="0"/>
              </w:rPr>
            </w:pPr>
            <w:r>
              <w:rPr>
                <w:rFonts w:ascii="宋体" w:hAnsi="宋体"/>
                <w:b w:val="0"/>
              </w:rPr>
              <w:t>理</w:t>
            </w:r>
            <w:r>
              <w:rPr>
                <w:rFonts w:hint="eastAsia" w:ascii="宋体" w:hAnsi="宋体"/>
                <w:b w:val="0"/>
              </w:rPr>
              <w:t xml:space="preserve"> </w:t>
            </w:r>
            <w:r>
              <w:rPr>
                <w:rFonts w:ascii="宋体" w:hAnsi="宋体"/>
                <w:b w:val="0"/>
              </w:rPr>
              <w:t>化</w:t>
            </w:r>
          </w:p>
          <w:p w14:paraId="031220C8">
            <w:pPr>
              <w:spacing w:line="250" w:lineRule="exact"/>
              <w:jc w:val="center"/>
              <w:rPr>
                <w:rFonts w:ascii="宋体" w:hAnsi="宋体"/>
                <w:b w:val="0"/>
              </w:rPr>
            </w:pPr>
            <w:r>
              <w:rPr>
                <w:rFonts w:hint="eastAsia" w:ascii="宋体" w:hAnsi="宋体"/>
                <w:b w:val="0"/>
              </w:rPr>
              <w:t>性 质</w:t>
            </w:r>
          </w:p>
        </w:tc>
        <w:tc>
          <w:tcPr>
            <w:tcW w:w="8067" w:type="dxa"/>
          </w:tcPr>
          <w:p w14:paraId="6307CB39">
            <w:pPr>
              <w:adjustRightInd w:val="0"/>
              <w:snapToGrid w:val="0"/>
              <w:spacing w:line="250" w:lineRule="exact"/>
              <w:rPr>
                <w:rFonts w:ascii="宋体" w:hAnsi="宋体"/>
                <w:b w:val="0"/>
                <w:szCs w:val="21"/>
              </w:rPr>
            </w:pPr>
            <w:r>
              <w:rPr>
                <w:rFonts w:ascii="宋体" w:hAnsi="宋体"/>
                <w:b w:val="0"/>
                <w:szCs w:val="21"/>
              </w:rPr>
              <w:t>外观性状：黑褐色粉末</w:t>
            </w:r>
            <w:r>
              <w:rPr>
                <w:rFonts w:hint="eastAsia" w:ascii="宋体" w:hAnsi="宋体"/>
                <w:b w:val="0"/>
                <w:szCs w:val="21"/>
              </w:rPr>
              <w:t>。             相对密度（g/cm</w:t>
            </w:r>
            <w:r>
              <w:rPr>
                <w:rFonts w:hint="eastAsia" w:ascii="宋体" w:hAnsi="宋体"/>
                <w:b w:val="0"/>
                <w:szCs w:val="21"/>
                <w:vertAlign w:val="superscript"/>
              </w:rPr>
              <w:t>3</w:t>
            </w:r>
            <w:r>
              <w:rPr>
                <w:rFonts w:hint="eastAsia" w:ascii="宋体" w:hAnsi="宋体"/>
                <w:b w:val="0"/>
                <w:szCs w:val="21"/>
              </w:rPr>
              <w:t>）：</w:t>
            </w:r>
            <w:r>
              <w:rPr>
                <w:rFonts w:ascii="宋体" w:hAnsi="宋体"/>
                <w:b w:val="0"/>
                <w:szCs w:val="21"/>
              </w:rPr>
              <w:t>6.32(粉末)</w:t>
            </w:r>
            <w:r>
              <w:rPr>
                <w:rFonts w:hint="eastAsia" w:ascii="宋体" w:hAnsi="宋体"/>
                <w:b w:val="0"/>
                <w:szCs w:val="21"/>
              </w:rPr>
              <w:t>（水=1）；</w:t>
            </w:r>
          </w:p>
          <w:p w14:paraId="3923AC6B">
            <w:pPr>
              <w:adjustRightInd w:val="0"/>
              <w:snapToGrid w:val="0"/>
              <w:spacing w:line="250" w:lineRule="exact"/>
              <w:rPr>
                <w:rFonts w:ascii="宋体" w:hAnsi="宋体"/>
                <w:b w:val="0"/>
                <w:szCs w:val="21"/>
              </w:rPr>
            </w:pPr>
            <w:r>
              <w:rPr>
                <w:rFonts w:hint="eastAsia" w:ascii="宋体" w:hAnsi="宋体"/>
                <w:b w:val="0"/>
                <w:szCs w:val="21"/>
              </w:rPr>
              <w:t>熔    点（℃）：</w:t>
            </w:r>
            <w:r>
              <w:rPr>
                <w:rFonts w:ascii="宋体" w:hAnsi="宋体"/>
                <w:b w:val="0"/>
                <w:szCs w:val="21"/>
              </w:rPr>
              <w:t>1026</w:t>
            </w:r>
            <w:r>
              <w:rPr>
                <w:rFonts w:hint="eastAsia" w:ascii="宋体" w:hAnsi="宋体"/>
                <w:b w:val="0"/>
                <w:szCs w:val="21"/>
              </w:rPr>
              <w:t>；              溶 解 性：</w:t>
            </w:r>
            <w:r>
              <w:rPr>
                <w:rFonts w:ascii="宋体" w:hAnsi="宋体"/>
                <w:b w:val="0"/>
                <w:szCs w:val="21"/>
              </w:rPr>
              <w:t>不溶于水，溶于稀酸，不溶于乙醇</w:t>
            </w:r>
            <w:r>
              <w:rPr>
                <w:rFonts w:hint="eastAsia" w:ascii="宋体" w:hAnsi="宋体"/>
                <w:b w:val="0"/>
                <w:szCs w:val="21"/>
              </w:rPr>
              <w:t>。</w:t>
            </w:r>
          </w:p>
          <w:p w14:paraId="79BCF06C">
            <w:pPr>
              <w:adjustRightInd w:val="0"/>
              <w:snapToGrid w:val="0"/>
              <w:spacing w:line="250" w:lineRule="exact"/>
              <w:rPr>
                <w:rFonts w:ascii="宋体" w:hAnsi="宋体"/>
                <w:b w:val="0"/>
                <w:szCs w:val="21"/>
              </w:rPr>
            </w:pPr>
            <w:r>
              <w:rPr>
                <w:rFonts w:hint="eastAsia" w:ascii="宋体" w:hAnsi="宋体"/>
                <w:b w:val="0"/>
                <w:szCs w:val="21"/>
              </w:rPr>
              <w:t>禁 忌 物：</w:t>
            </w:r>
            <w:r>
              <w:rPr>
                <w:rFonts w:ascii="宋体" w:hAnsi="宋体"/>
                <w:b w:val="0"/>
                <w:szCs w:val="21"/>
              </w:rPr>
              <w:t>强还原剂、铝、碱金属</w:t>
            </w:r>
          </w:p>
        </w:tc>
      </w:tr>
      <w:tr w14:paraId="434BAC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dxa"/>
            <w:vAlign w:val="center"/>
          </w:tcPr>
          <w:p w14:paraId="28A2A744">
            <w:pPr>
              <w:spacing w:line="250" w:lineRule="exact"/>
              <w:jc w:val="center"/>
              <w:rPr>
                <w:rFonts w:ascii="宋体" w:hAnsi="宋体"/>
                <w:b w:val="0"/>
              </w:rPr>
            </w:pPr>
            <w:r>
              <w:rPr>
                <w:rFonts w:hint="eastAsia" w:ascii="宋体" w:hAnsi="宋体"/>
                <w:b w:val="0"/>
              </w:rPr>
              <w:t>危险有害特性</w:t>
            </w:r>
          </w:p>
        </w:tc>
        <w:tc>
          <w:tcPr>
            <w:tcW w:w="8067" w:type="dxa"/>
          </w:tcPr>
          <w:p w14:paraId="399A4E2E">
            <w:pPr>
              <w:adjustRightInd w:val="0"/>
              <w:snapToGrid w:val="0"/>
              <w:spacing w:line="250" w:lineRule="exact"/>
              <w:rPr>
                <w:rFonts w:ascii="宋体" w:hAnsi="宋体"/>
                <w:b w:val="0"/>
                <w:szCs w:val="21"/>
              </w:rPr>
            </w:pPr>
            <w:r>
              <w:rPr>
                <w:rFonts w:hint="eastAsia" w:ascii="宋体" w:hAnsi="宋体"/>
                <w:b w:val="0"/>
                <w:szCs w:val="21"/>
              </w:rPr>
              <w:t xml:space="preserve">燃烧爆炸性：燃 烧 性：不燃         稳 定 性：稳定         </w:t>
            </w:r>
          </w:p>
          <w:p w14:paraId="304074B3">
            <w:pPr>
              <w:adjustRightInd w:val="0"/>
              <w:snapToGrid w:val="0"/>
              <w:spacing w:line="250" w:lineRule="exact"/>
              <w:rPr>
                <w:rFonts w:ascii="宋体" w:hAnsi="宋体"/>
                <w:b w:val="0"/>
                <w:szCs w:val="21"/>
              </w:rPr>
            </w:pPr>
            <w:r>
              <w:rPr>
                <w:rFonts w:hint="eastAsia" w:ascii="宋体" w:hAnsi="宋体"/>
                <w:b w:val="0"/>
                <w:szCs w:val="21"/>
              </w:rPr>
              <w:t xml:space="preserve">   </w:t>
            </w:r>
            <w:r>
              <w:rPr>
                <w:rFonts w:ascii="宋体" w:hAnsi="宋体"/>
                <w:b w:val="0"/>
                <w:szCs w:val="21"/>
              </w:rPr>
              <w:t>本品不燃。未有特殊的燃烧爆炸特性</w:t>
            </w:r>
            <w:r>
              <w:rPr>
                <w:rFonts w:hint="eastAsia" w:ascii="宋体" w:hAnsi="宋体"/>
                <w:b w:val="0"/>
                <w:szCs w:val="21"/>
              </w:rPr>
              <w:t xml:space="preserve">。 </w:t>
            </w:r>
          </w:p>
          <w:p w14:paraId="6C613964">
            <w:pPr>
              <w:adjustRightInd w:val="0"/>
              <w:snapToGrid w:val="0"/>
              <w:spacing w:line="250" w:lineRule="exact"/>
              <w:rPr>
                <w:rFonts w:ascii="宋体" w:hAnsi="宋体"/>
                <w:b w:val="0"/>
                <w:szCs w:val="21"/>
              </w:rPr>
            </w:pPr>
            <w:r>
              <w:rPr>
                <w:rFonts w:hint="eastAsia" w:ascii="宋体" w:hAnsi="宋体"/>
                <w:b w:val="0"/>
                <w:szCs w:val="21"/>
              </w:rPr>
              <w:t>毒    性：</w:t>
            </w:r>
            <w:r>
              <w:rPr>
                <w:rFonts w:ascii="宋体" w:hAnsi="宋体"/>
                <w:b w:val="0"/>
                <w:szCs w:val="21"/>
              </w:rPr>
              <w:t>有毒</w:t>
            </w:r>
          </w:p>
          <w:p w14:paraId="186E9730">
            <w:pPr>
              <w:adjustRightInd w:val="0"/>
              <w:snapToGrid w:val="0"/>
              <w:spacing w:line="250" w:lineRule="exact"/>
              <w:rPr>
                <w:rFonts w:ascii="宋体" w:hAnsi="宋体"/>
                <w:b w:val="0"/>
                <w:szCs w:val="21"/>
              </w:rPr>
            </w:pPr>
            <w:r>
              <w:rPr>
                <w:rFonts w:hint="eastAsia" w:ascii="宋体" w:hAnsi="宋体"/>
                <w:b w:val="0"/>
                <w:szCs w:val="21"/>
              </w:rPr>
              <w:t>健康危害：</w:t>
            </w:r>
            <w:r>
              <w:rPr>
                <w:rFonts w:ascii="宋体" w:hAnsi="宋体"/>
                <w:b w:val="0"/>
                <w:szCs w:val="21"/>
              </w:rPr>
              <w:t>具刺激性</w:t>
            </w:r>
            <w:r>
              <w:rPr>
                <w:rFonts w:hint="eastAsia" w:ascii="宋体" w:hAnsi="宋体"/>
                <w:b w:val="0"/>
                <w:szCs w:val="21"/>
              </w:rPr>
              <w:t>。可吸入、食入、经皮吸收。</w:t>
            </w:r>
            <w:r>
              <w:rPr>
                <w:rFonts w:ascii="宋体" w:hAnsi="宋体"/>
                <w:b w:val="0"/>
                <w:szCs w:val="21"/>
              </w:rPr>
              <w:t>吸入大量氧化铜烟雾可引起金属烟热，出现寒战、体温升高，同时可伴有呼吸道刺激症状。长期接触，可见呼吸道及眼结膜刺激、鼻衄、鼻粘膜出血点或溃疡，甚至鼻中隔穿孔以及皮炎，可出现胃肠道症状。有报道，长期吸入尚可引起肺部纤维组织增生</w:t>
            </w:r>
            <w:r>
              <w:rPr>
                <w:rFonts w:hint="eastAsia" w:ascii="宋体" w:hAnsi="宋体"/>
                <w:b w:val="0"/>
                <w:szCs w:val="21"/>
              </w:rPr>
              <w:t xml:space="preserve">。 </w:t>
            </w:r>
          </w:p>
        </w:tc>
      </w:tr>
      <w:tr w14:paraId="51935B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dxa"/>
            <w:vAlign w:val="center"/>
          </w:tcPr>
          <w:p w14:paraId="2309A45C">
            <w:pPr>
              <w:spacing w:line="250" w:lineRule="exact"/>
              <w:jc w:val="center"/>
              <w:rPr>
                <w:rFonts w:ascii="宋体" w:hAnsi="宋体"/>
                <w:b w:val="0"/>
              </w:rPr>
            </w:pPr>
            <w:r>
              <w:rPr>
                <w:rFonts w:hint="eastAsia" w:ascii="宋体" w:hAnsi="宋体"/>
                <w:b w:val="0"/>
              </w:rPr>
              <w:t>急救</w:t>
            </w:r>
          </w:p>
        </w:tc>
        <w:tc>
          <w:tcPr>
            <w:tcW w:w="8067" w:type="dxa"/>
          </w:tcPr>
          <w:p w14:paraId="3957AC04">
            <w:pPr>
              <w:adjustRightInd w:val="0"/>
              <w:snapToGrid w:val="0"/>
              <w:spacing w:line="250" w:lineRule="exact"/>
              <w:rPr>
                <w:rFonts w:ascii="宋体" w:hAnsi="宋体"/>
                <w:b w:val="0"/>
                <w:szCs w:val="21"/>
              </w:rPr>
            </w:pPr>
            <w:r>
              <w:rPr>
                <w:rFonts w:ascii="宋体" w:hAnsi="宋体"/>
                <w:b w:val="0"/>
                <w:szCs w:val="21"/>
              </w:rPr>
              <w:t>消防措施：消防人员必须穿全身防火防毒服，在上风向灭火。灭火时尽可能将容器从火场移至空旷处</w:t>
            </w:r>
            <w:r>
              <w:rPr>
                <w:rFonts w:hint="eastAsia" w:ascii="宋体" w:hAnsi="宋体"/>
                <w:b w:val="0"/>
                <w:szCs w:val="21"/>
              </w:rPr>
              <w:t>。</w:t>
            </w:r>
          </w:p>
          <w:p w14:paraId="7F57075F">
            <w:pPr>
              <w:adjustRightInd w:val="0"/>
              <w:snapToGrid w:val="0"/>
              <w:spacing w:line="250" w:lineRule="exact"/>
              <w:rPr>
                <w:rFonts w:ascii="宋体" w:hAnsi="宋体"/>
                <w:b w:val="0"/>
                <w:szCs w:val="21"/>
              </w:rPr>
            </w:pPr>
            <w:r>
              <w:rPr>
                <w:rFonts w:hint="eastAsia" w:ascii="宋体" w:hAnsi="宋体"/>
                <w:b w:val="0"/>
                <w:szCs w:val="21"/>
              </w:rPr>
              <w:t>皮肤接触：</w:t>
            </w:r>
            <w:r>
              <w:rPr>
                <w:rFonts w:ascii="宋体" w:hAnsi="宋体"/>
                <w:b w:val="0"/>
                <w:szCs w:val="21"/>
              </w:rPr>
              <w:t>脱去污染的衣着，用流动清水冲洗。</w:t>
            </w:r>
          </w:p>
          <w:p w14:paraId="406DF9C9">
            <w:pPr>
              <w:adjustRightInd w:val="0"/>
              <w:snapToGrid w:val="0"/>
              <w:spacing w:line="250" w:lineRule="exact"/>
              <w:rPr>
                <w:rFonts w:ascii="宋体" w:hAnsi="宋体"/>
                <w:b w:val="0"/>
                <w:szCs w:val="21"/>
              </w:rPr>
            </w:pPr>
            <w:r>
              <w:rPr>
                <w:rFonts w:ascii="宋体" w:hAnsi="宋体"/>
                <w:b w:val="0"/>
                <w:szCs w:val="21"/>
              </w:rPr>
              <w:t>眼睛接触：提起眼睑，用流动清水或生理盐水冲洗。就医。</w:t>
            </w:r>
          </w:p>
          <w:p w14:paraId="7DEF6D26">
            <w:pPr>
              <w:adjustRightInd w:val="0"/>
              <w:snapToGrid w:val="0"/>
              <w:spacing w:line="250" w:lineRule="exact"/>
              <w:rPr>
                <w:rFonts w:ascii="宋体" w:hAnsi="宋体"/>
                <w:b w:val="0"/>
                <w:szCs w:val="21"/>
              </w:rPr>
            </w:pPr>
            <w:r>
              <w:rPr>
                <w:rFonts w:hint="eastAsia" w:ascii="宋体" w:hAnsi="宋体"/>
                <w:b w:val="0"/>
                <w:szCs w:val="21"/>
              </w:rPr>
              <w:t>吸    入：</w:t>
            </w:r>
            <w:r>
              <w:rPr>
                <w:rFonts w:ascii="宋体" w:hAnsi="宋体"/>
                <w:b w:val="0"/>
                <w:szCs w:val="21"/>
              </w:rPr>
              <w:t>脱离现场至空气新鲜处。如呼吸困难，给输氧。就医。</w:t>
            </w:r>
            <w:r>
              <w:rPr>
                <w:rFonts w:hint="eastAsia" w:ascii="宋体" w:hAnsi="宋体"/>
                <w:b w:val="0"/>
                <w:szCs w:val="21"/>
              </w:rPr>
              <w:t xml:space="preserve"> </w:t>
            </w:r>
          </w:p>
          <w:p w14:paraId="0CEDE7BA">
            <w:pPr>
              <w:adjustRightInd w:val="0"/>
              <w:snapToGrid w:val="0"/>
              <w:spacing w:line="250" w:lineRule="exact"/>
              <w:rPr>
                <w:rFonts w:ascii="宋体" w:hAnsi="宋体"/>
                <w:b w:val="0"/>
                <w:szCs w:val="21"/>
              </w:rPr>
            </w:pPr>
            <w:r>
              <w:rPr>
                <w:rFonts w:hint="eastAsia" w:ascii="宋体" w:hAnsi="宋体"/>
                <w:b w:val="0"/>
                <w:szCs w:val="21"/>
              </w:rPr>
              <w:t>食    入：</w:t>
            </w:r>
            <w:r>
              <w:rPr>
                <w:rFonts w:ascii="宋体" w:hAnsi="宋体"/>
                <w:b w:val="0"/>
                <w:szCs w:val="21"/>
              </w:rPr>
              <w:t>饮足量温水，催吐。就医。</w:t>
            </w:r>
          </w:p>
        </w:tc>
      </w:tr>
      <w:tr w14:paraId="58DDDE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dxa"/>
            <w:vAlign w:val="center"/>
          </w:tcPr>
          <w:p w14:paraId="5DB0E2D1">
            <w:pPr>
              <w:spacing w:line="250" w:lineRule="exact"/>
              <w:jc w:val="center"/>
              <w:rPr>
                <w:rFonts w:ascii="宋体" w:hAnsi="宋体"/>
                <w:b w:val="0"/>
              </w:rPr>
            </w:pPr>
            <w:r>
              <w:rPr>
                <w:rFonts w:hint="eastAsia" w:ascii="宋体" w:hAnsi="宋体"/>
                <w:b w:val="0"/>
              </w:rPr>
              <w:t>防护</w:t>
            </w:r>
          </w:p>
        </w:tc>
        <w:tc>
          <w:tcPr>
            <w:tcW w:w="8067" w:type="dxa"/>
          </w:tcPr>
          <w:p w14:paraId="76D96A26">
            <w:pPr>
              <w:adjustRightInd w:val="0"/>
              <w:snapToGrid w:val="0"/>
              <w:spacing w:line="250" w:lineRule="exact"/>
              <w:rPr>
                <w:rFonts w:ascii="宋体" w:hAnsi="宋体"/>
                <w:b w:val="0"/>
                <w:szCs w:val="21"/>
              </w:rPr>
            </w:pPr>
            <w:r>
              <w:rPr>
                <w:rFonts w:ascii="宋体" w:hAnsi="宋体"/>
                <w:b w:val="0"/>
                <w:szCs w:val="21"/>
              </w:rPr>
              <w:t>密闭操作，局部排风。空气中粉尘浓度超标时，必须佩戴自吸过滤式防尘口罩。紧急事态抢救或撤离时，应该佩戴空气呼吸器。戴化学安全防护眼镜。穿防毒物渗透工作服。戴橡胶手套。及时换洗工作服。注意个人清洁卫生。</w:t>
            </w:r>
          </w:p>
        </w:tc>
      </w:tr>
      <w:tr w14:paraId="39E8D4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dxa"/>
            <w:vAlign w:val="center"/>
          </w:tcPr>
          <w:p w14:paraId="6DFC7B7D">
            <w:pPr>
              <w:spacing w:line="250" w:lineRule="exact"/>
              <w:jc w:val="center"/>
              <w:rPr>
                <w:rFonts w:ascii="宋体" w:hAnsi="宋体"/>
                <w:b w:val="0"/>
              </w:rPr>
            </w:pPr>
            <w:r>
              <w:rPr>
                <w:rFonts w:hint="eastAsia" w:ascii="宋体" w:hAnsi="宋体"/>
                <w:b w:val="0"/>
              </w:rPr>
              <w:t>泄 露</w:t>
            </w:r>
          </w:p>
          <w:p w14:paraId="58BF9D8B">
            <w:pPr>
              <w:spacing w:line="250" w:lineRule="exact"/>
              <w:jc w:val="center"/>
              <w:rPr>
                <w:rFonts w:ascii="宋体" w:hAnsi="宋体"/>
                <w:b w:val="0"/>
              </w:rPr>
            </w:pPr>
            <w:r>
              <w:rPr>
                <w:rFonts w:ascii="宋体" w:hAnsi="宋体"/>
                <w:b w:val="0"/>
              </w:rPr>
              <w:t>处</w:t>
            </w:r>
            <w:r>
              <w:rPr>
                <w:rFonts w:hint="eastAsia" w:ascii="宋体" w:hAnsi="宋体"/>
                <w:b w:val="0"/>
              </w:rPr>
              <w:t xml:space="preserve"> </w:t>
            </w:r>
            <w:r>
              <w:rPr>
                <w:rFonts w:ascii="宋体" w:hAnsi="宋体"/>
                <w:b w:val="0"/>
              </w:rPr>
              <w:t>理</w:t>
            </w:r>
          </w:p>
        </w:tc>
        <w:tc>
          <w:tcPr>
            <w:tcW w:w="8067" w:type="dxa"/>
          </w:tcPr>
          <w:p w14:paraId="63F9CCFC">
            <w:pPr>
              <w:adjustRightInd w:val="0"/>
              <w:snapToGrid w:val="0"/>
              <w:spacing w:line="250" w:lineRule="exact"/>
              <w:rPr>
                <w:rFonts w:ascii="宋体" w:hAnsi="宋体"/>
                <w:b w:val="0"/>
                <w:szCs w:val="21"/>
              </w:rPr>
            </w:pPr>
            <w:r>
              <w:rPr>
                <w:rFonts w:ascii="宋体" w:hAnsi="宋体"/>
                <w:b w:val="0"/>
                <w:szCs w:val="21"/>
              </w:rPr>
              <w:t>隔离泄漏污染区，限制出入。建议应急处理人员戴防尘面具（全面罩），穿防毒服。避免扬尘，小心扫起，置于袋中转移至安全场所。若大量泄漏，用塑料布、帆布覆盖。收集回收或运至废物处理场所处置。</w:t>
            </w:r>
          </w:p>
        </w:tc>
      </w:tr>
      <w:tr w14:paraId="08F4B9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dxa"/>
            <w:vAlign w:val="center"/>
          </w:tcPr>
          <w:p w14:paraId="6689CE99">
            <w:pPr>
              <w:spacing w:line="250" w:lineRule="exact"/>
              <w:jc w:val="center"/>
              <w:rPr>
                <w:rFonts w:ascii="宋体" w:hAnsi="宋体"/>
                <w:b w:val="0"/>
              </w:rPr>
            </w:pPr>
            <w:r>
              <w:rPr>
                <w:rFonts w:ascii="宋体" w:hAnsi="宋体"/>
                <w:b w:val="0"/>
              </w:rPr>
              <w:t>储</w:t>
            </w:r>
            <w:r>
              <w:rPr>
                <w:rFonts w:hint="eastAsia" w:ascii="宋体" w:hAnsi="宋体"/>
                <w:b w:val="0"/>
              </w:rPr>
              <w:t xml:space="preserve"> </w:t>
            </w:r>
            <w:r>
              <w:rPr>
                <w:rFonts w:ascii="宋体" w:hAnsi="宋体"/>
                <w:b w:val="0"/>
              </w:rPr>
              <w:t>运</w:t>
            </w:r>
          </w:p>
        </w:tc>
        <w:tc>
          <w:tcPr>
            <w:tcW w:w="8067" w:type="dxa"/>
          </w:tcPr>
          <w:p w14:paraId="0324C0B3">
            <w:pPr>
              <w:adjustRightInd w:val="0"/>
              <w:snapToGrid w:val="0"/>
              <w:spacing w:line="250" w:lineRule="exact"/>
              <w:rPr>
                <w:rFonts w:ascii="宋体" w:hAnsi="宋体"/>
                <w:b w:val="0"/>
                <w:szCs w:val="21"/>
              </w:rPr>
            </w:pPr>
            <w:r>
              <w:rPr>
                <w:rFonts w:ascii="宋体" w:hAnsi="宋体"/>
                <w:b w:val="0"/>
                <w:szCs w:val="21"/>
              </w:rPr>
              <w:t>储存于阴凉、通风的库房。远离火种、热源。应与还原剂、碱金属、食用化学品分开存放，切忌混储。搬运时轻装轻卸，防止包装破损。配备泄漏应急处理设备。倒空的容器可能残留有害物。运输过程中要确保容器不泄漏、不倒塌、不坠落、不损坏。严禁与还原剂、碱金属、食用化学品等混装混运。运输途中应防曝晒、雨淋，防高温。车辆运输完毕应进行彻底清扫。</w:t>
            </w:r>
          </w:p>
        </w:tc>
      </w:tr>
    </w:tbl>
    <w:p w14:paraId="6EDECCDD">
      <w:pPr>
        <w:spacing w:before="120" w:beforeLines="50" w:line="360" w:lineRule="auto"/>
        <w:outlineLvl w:val="2"/>
        <w:rPr>
          <w:rFonts w:ascii="黑体" w:hAnsi="黑体" w:eastAsia="黑体"/>
          <w:b w:val="0"/>
          <w:sz w:val="30"/>
          <w:szCs w:val="30"/>
        </w:rPr>
      </w:pPr>
      <w:bookmarkStart w:id="211" w:name="_Toc202015904"/>
      <w:bookmarkStart w:id="212" w:name="_Toc188265299"/>
      <w:bookmarkStart w:id="213" w:name="_Toc145275191"/>
      <w:bookmarkStart w:id="214" w:name="_Toc335902398"/>
      <w:bookmarkStart w:id="215" w:name="_Toc294247646"/>
      <w:bookmarkStart w:id="216" w:name="_Toc173077657"/>
      <w:bookmarkStart w:id="217" w:name="_Toc148036986"/>
      <w:bookmarkStart w:id="218" w:name="_Toc58861985"/>
      <w:bookmarkStart w:id="219" w:name="_Toc271898748"/>
      <w:bookmarkStart w:id="220" w:name="_Toc294247810"/>
      <w:bookmarkStart w:id="221" w:name="_Toc58946817"/>
      <w:bookmarkStart w:id="222" w:name="_Toc181194064"/>
      <w:bookmarkStart w:id="223" w:name="_Toc60129100"/>
      <w:r>
        <w:rPr>
          <w:rFonts w:ascii="黑体" w:hAnsi="黑体" w:eastAsia="黑体"/>
          <w:b w:val="0"/>
          <w:sz w:val="30"/>
          <w:szCs w:val="30"/>
        </w:rPr>
        <w:t>3.3.2</w:t>
      </w:r>
      <w:r>
        <w:rPr>
          <w:rFonts w:hint="eastAsia" w:ascii="黑体" w:hAnsi="黑体" w:eastAsia="黑体"/>
          <w:b w:val="0"/>
          <w:sz w:val="30"/>
          <w:szCs w:val="30"/>
        </w:rPr>
        <w:t>还原剂</w:t>
      </w:r>
      <w:bookmarkEnd w:id="211"/>
      <w:bookmarkEnd w:id="212"/>
      <w:r>
        <w:rPr>
          <w:rFonts w:hint="eastAsia" w:ascii="黑体" w:hAnsi="黑体" w:eastAsia="黑体"/>
          <w:b w:val="0"/>
          <w:sz w:val="30"/>
          <w:szCs w:val="30"/>
        </w:rPr>
        <w:t>（可燃物）</w:t>
      </w:r>
      <w:bookmarkEnd w:id="213"/>
      <w:bookmarkEnd w:id="214"/>
      <w:bookmarkEnd w:id="215"/>
      <w:bookmarkEnd w:id="216"/>
      <w:bookmarkEnd w:id="217"/>
      <w:bookmarkEnd w:id="218"/>
      <w:bookmarkEnd w:id="219"/>
      <w:bookmarkEnd w:id="220"/>
      <w:bookmarkEnd w:id="221"/>
      <w:bookmarkEnd w:id="222"/>
      <w:bookmarkEnd w:id="223"/>
    </w:p>
    <w:p w14:paraId="51471802">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还原剂是烟火药剂的能源组分，燃烧热的大小影响烟花爆竹的燃放效果，也影响事故危害的轻重程度。还原剂运输、储存、使用中最重要的危险、有害因素是粉尘燃烧爆炸。仓库通风和在库外使用是最重要的两条安全措施。当然分库存储，严禁违反规定混存，包装严密，码堆合理等也是必须遵守的。该企业使用的各还原剂的特性表如下表3.3-</w:t>
      </w:r>
      <w:r>
        <w:rPr>
          <w:rFonts w:ascii="宋体" w:hAnsi="宋体"/>
          <w:b w:val="0"/>
          <w:snapToGrid w:val="0"/>
          <w:sz w:val="28"/>
          <w:szCs w:val="28"/>
        </w:rPr>
        <w:t>8</w:t>
      </w:r>
      <w:r>
        <w:rPr>
          <w:rFonts w:hint="eastAsia" w:ascii="宋体" w:hAnsi="宋体"/>
          <w:b w:val="0"/>
          <w:snapToGrid w:val="0"/>
          <w:sz w:val="28"/>
          <w:szCs w:val="28"/>
        </w:rPr>
        <w:t>，其物性参数及应对措施分述如下文。</w:t>
      </w:r>
    </w:p>
    <w:p w14:paraId="2CFBA65F">
      <w:pPr>
        <w:rPr>
          <w:rFonts w:ascii="黑体" w:hAnsi="宋体" w:eastAsia="黑体"/>
          <w:b w:val="0"/>
          <w:sz w:val="24"/>
        </w:rPr>
      </w:pPr>
      <w:r>
        <w:rPr>
          <w:rFonts w:hint="eastAsia" w:ascii="黑体" w:hAnsi="宋体" w:eastAsia="黑体"/>
          <w:b w:val="0"/>
          <w:sz w:val="24"/>
        </w:rPr>
        <w:br w:type="page"/>
      </w:r>
    </w:p>
    <w:p w14:paraId="4B306B11">
      <w:pPr>
        <w:jc w:val="center"/>
        <w:rPr>
          <w:rFonts w:ascii="黑体" w:hAnsi="宋体" w:eastAsia="黑体"/>
          <w:b w:val="0"/>
          <w:sz w:val="24"/>
        </w:rPr>
      </w:pPr>
      <w:r>
        <w:rPr>
          <w:rFonts w:hint="eastAsia" w:ascii="黑体" w:hAnsi="宋体" w:eastAsia="黑体"/>
          <w:b w:val="0"/>
          <w:sz w:val="24"/>
        </w:rPr>
        <w:t>表3.3-7</w:t>
      </w:r>
      <w:r>
        <w:rPr>
          <w:rFonts w:ascii="黑体" w:hAnsi="宋体" w:eastAsia="黑体"/>
          <w:b w:val="0"/>
          <w:sz w:val="24"/>
        </w:rPr>
        <w:t xml:space="preserve"> </w:t>
      </w:r>
      <w:r>
        <w:rPr>
          <w:rFonts w:hint="eastAsia" w:ascii="黑体" w:hAnsi="宋体" w:eastAsia="黑体"/>
          <w:b w:val="0"/>
          <w:sz w:val="24"/>
        </w:rPr>
        <w:t xml:space="preserve"> 还原剂特性表</w:t>
      </w:r>
    </w:p>
    <w:tbl>
      <w:tblPr>
        <w:tblStyle w:val="88"/>
        <w:tblW w:w="5254" w:type="pct"/>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74"/>
        <w:gridCol w:w="1005"/>
        <w:gridCol w:w="980"/>
        <w:gridCol w:w="1275"/>
        <w:gridCol w:w="956"/>
        <w:gridCol w:w="773"/>
        <w:gridCol w:w="4197"/>
      </w:tblGrid>
      <w:tr w14:paraId="2EC91B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294" w:type="pct"/>
            <w:tcBorders>
              <w:top w:val="single" w:color="auto" w:sz="12" w:space="0"/>
            </w:tcBorders>
            <w:vAlign w:val="center"/>
          </w:tcPr>
          <w:p w14:paraId="2DA940E7">
            <w:pPr>
              <w:spacing w:line="240" w:lineRule="exact"/>
              <w:jc w:val="center"/>
              <w:rPr>
                <w:rFonts w:ascii="宋体" w:hAnsi="宋体"/>
                <w:bCs/>
                <w:szCs w:val="21"/>
              </w:rPr>
            </w:pPr>
            <w:bookmarkStart w:id="224" w:name="_Toc202015905"/>
            <w:bookmarkStart w:id="225" w:name="_Toc188265300"/>
            <w:r>
              <w:rPr>
                <w:rFonts w:hint="eastAsia" w:ascii="宋体" w:hAnsi="宋体"/>
                <w:bCs/>
                <w:szCs w:val="21"/>
              </w:rPr>
              <w:t>序号</w:t>
            </w:r>
          </w:p>
        </w:tc>
        <w:tc>
          <w:tcPr>
            <w:tcW w:w="515" w:type="pct"/>
            <w:tcBorders>
              <w:top w:val="single" w:color="auto" w:sz="12" w:space="0"/>
            </w:tcBorders>
            <w:vAlign w:val="center"/>
          </w:tcPr>
          <w:p w14:paraId="5388F53A">
            <w:pPr>
              <w:spacing w:line="240" w:lineRule="exact"/>
              <w:jc w:val="center"/>
              <w:rPr>
                <w:rFonts w:ascii="宋体" w:hAnsi="宋体"/>
                <w:bCs/>
                <w:szCs w:val="21"/>
              </w:rPr>
            </w:pPr>
            <w:r>
              <w:rPr>
                <w:rFonts w:hint="eastAsia" w:ascii="宋体" w:hAnsi="宋体"/>
                <w:bCs/>
                <w:szCs w:val="21"/>
              </w:rPr>
              <w:t>物质</w:t>
            </w:r>
          </w:p>
          <w:p w14:paraId="4CF076FC">
            <w:pPr>
              <w:spacing w:line="240" w:lineRule="exact"/>
              <w:jc w:val="center"/>
              <w:rPr>
                <w:rFonts w:ascii="宋体" w:hAnsi="宋体"/>
                <w:bCs/>
                <w:szCs w:val="21"/>
              </w:rPr>
            </w:pPr>
            <w:r>
              <w:rPr>
                <w:rFonts w:hint="eastAsia" w:ascii="宋体" w:hAnsi="宋体"/>
                <w:bCs/>
                <w:szCs w:val="21"/>
              </w:rPr>
              <w:t>名称</w:t>
            </w:r>
          </w:p>
        </w:tc>
        <w:tc>
          <w:tcPr>
            <w:tcW w:w="502" w:type="pct"/>
            <w:tcBorders>
              <w:top w:val="single" w:color="auto" w:sz="12" w:space="0"/>
            </w:tcBorders>
            <w:vAlign w:val="center"/>
          </w:tcPr>
          <w:p w14:paraId="319674F2">
            <w:pPr>
              <w:spacing w:line="240" w:lineRule="exact"/>
              <w:jc w:val="center"/>
              <w:rPr>
                <w:rFonts w:ascii="宋体" w:hAnsi="宋体"/>
                <w:bCs/>
                <w:szCs w:val="21"/>
              </w:rPr>
            </w:pPr>
            <w:r>
              <w:rPr>
                <w:rFonts w:hint="eastAsia" w:ascii="宋体" w:hAnsi="宋体"/>
                <w:bCs/>
                <w:kern w:val="0"/>
                <w:szCs w:val="21"/>
              </w:rPr>
              <w:t>危险化学品目录序号</w:t>
            </w:r>
          </w:p>
        </w:tc>
        <w:tc>
          <w:tcPr>
            <w:tcW w:w="653" w:type="pct"/>
            <w:tcBorders>
              <w:top w:val="single" w:color="auto" w:sz="12" w:space="0"/>
            </w:tcBorders>
            <w:vAlign w:val="center"/>
          </w:tcPr>
          <w:p w14:paraId="46823ADF">
            <w:pPr>
              <w:spacing w:line="240" w:lineRule="exact"/>
              <w:jc w:val="center"/>
              <w:rPr>
                <w:rFonts w:ascii="宋体" w:hAnsi="宋体"/>
                <w:bCs/>
                <w:szCs w:val="21"/>
              </w:rPr>
            </w:pPr>
            <w:r>
              <w:rPr>
                <w:rFonts w:ascii="宋体" w:hAnsi="宋体"/>
                <w:bCs/>
                <w:szCs w:val="21"/>
              </w:rPr>
              <w:t>CAS</w:t>
            </w:r>
            <w:r>
              <w:rPr>
                <w:rFonts w:hint="eastAsia" w:ascii="宋体" w:hAnsi="宋体"/>
                <w:bCs/>
                <w:szCs w:val="21"/>
              </w:rPr>
              <w:t>号</w:t>
            </w:r>
          </w:p>
        </w:tc>
        <w:tc>
          <w:tcPr>
            <w:tcW w:w="490" w:type="pct"/>
            <w:tcBorders>
              <w:top w:val="single" w:color="auto" w:sz="12" w:space="0"/>
            </w:tcBorders>
            <w:vAlign w:val="center"/>
          </w:tcPr>
          <w:p w14:paraId="1E694A27">
            <w:pPr>
              <w:spacing w:line="240" w:lineRule="exact"/>
              <w:jc w:val="center"/>
              <w:rPr>
                <w:rFonts w:ascii="宋体" w:hAnsi="宋体"/>
                <w:bCs/>
                <w:szCs w:val="21"/>
              </w:rPr>
            </w:pPr>
            <w:r>
              <w:rPr>
                <w:rFonts w:hint="eastAsia" w:ascii="宋体" w:hAnsi="宋体"/>
                <w:bCs/>
                <w:szCs w:val="21"/>
              </w:rPr>
              <w:t>闪点</w:t>
            </w:r>
          </w:p>
        </w:tc>
        <w:tc>
          <w:tcPr>
            <w:tcW w:w="396" w:type="pct"/>
            <w:tcBorders>
              <w:top w:val="single" w:color="auto" w:sz="12" w:space="0"/>
            </w:tcBorders>
            <w:vAlign w:val="center"/>
          </w:tcPr>
          <w:p w14:paraId="71660618">
            <w:pPr>
              <w:spacing w:line="240" w:lineRule="exact"/>
              <w:jc w:val="center"/>
              <w:rPr>
                <w:rFonts w:ascii="宋体" w:hAnsi="宋体"/>
                <w:bCs/>
                <w:szCs w:val="21"/>
              </w:rPr>
            </w:pPr>
            <w:r>
              <w:rPr>
                <w:rFonts w:hint="eastAsia" w:ascii="宋体" w:hAnsi="宋体"/>
                <w:bCs/>
                <w:szCs w:val="21"/>
              </w:rPr>
              <w:t>火险等级</w:t>
            </w:r>
          </w:p>
        </w:tc>
        <w:tc>
          <w:tcPr>
            <w:tcW w:w="2150" w:type="pct"/>
            <w:tcBorders>
              <w:top w:val="single" w:color="auto" w:sz="12" w:space="0"/>
            </w:tcBorders>
            <w:vAlign w:val="center"/>
          </w:tcPr>
          <w:p w14:paraId="45C9E81B">
            <w:pPr>
              <w:spacing w:line="240" w:lineRule="exact"/>
              <w:jc w:val="center"/>
              <w:rPr>
                <w:rFonts w:ascii="宋体" w:hAnsi="宋体"/>
                <w:bCs/>
                <w:szCs w:val="21"/>
              </w:rPr>
            </w:pPr>
            <w:r>
              <w:rPr>
                <w:rFonts w:hint="eastAsia" w:ascii="宋体" w:hAnsi="宋体"/>
                <w:bCs/>
                <w:kern w:val="0"/>
                <w:szCs w:val="21"/>
              </w:rPr>
              <w:t>主要危害特性</w:t>
            </w:r>
          </w:p>
        </w:tc>
      </w:tr>
      <w:tr w14:paraId="525139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vAlign w:val="center"/>
          </w:tcPr>
          <w:p w14:paraId="183C5357">
            <w:pPr>
              <w:spacing w:line="240" w:lineRule="exact"/>
              <w:jc w:val="center"/>
              <w:rPr>
                <w:rFonts w:ascii="宋体" w:hAnsi="宋体"/>
                <w:b w:val="0"/>
                <w:szCs w:val="21"/>
              </w:rPr>
            </w:pPr>
            <w:r>
              <w:rPr>
                <w:rFonts w:ascii="宋体" w:hAnsi="宋体"/>
                <w:b w:val="0"/>
                <w:szCs w:val="21"/>
              </w:rPr>
              <w:t>1</w:t>
            </w:r>
          </w:p>
        </w:tc>
        <w:tc>
          <w:tcPr>
            <w:tcW w:w="515" w:type="pct"/>
            <w:vAlign w:val="center"/>
          </w:tcPr>
          <w:p w14:paraId="4EB9EE17">
            <w:pPr>
              <w:spacing w:line="240" w:lineRule="exact"/>
              <w:jc w:val="center"/>
              <w:rPr>
                <w:rFonts w:ascii="宋体" w:hAnsi="宋体"/>
                <w:b w:val="0"/>
                <w:szCs w:val="21"/>
              </w:rPr>
            </w:pPr>
            <w:r>
              <w:rPr>
                <w:rFonts w:hint="eastAsia" w:ascii="宋体" w:hAnsi="宋体"/>
                <w:b w:val="0"/>
                <w:szCs w:val="21"/>
              </w:rPr>
              <w:t>硫磺</w:t>
            </w:r>
          </w:p>
        </w:tc>
        <w:tc>
          <w:tcPr>
            <w:tcW w:w="502" w:type="pct"/>
            <w:vAlign w:val="center"/>
          </w:tcPr>
          <w:p w14:paraId="155CCCB9">
            <w:pPr>
              <w:spacing w:line="240" w:lineRule="exact"/>
              <w:jc w:val="center"/>
              <w:rPr>
                <w:rFonts w:ascii="宋体" w:hAnsi="宋体"/>
                <w:b w:val="0"/>
                <w:szCs w:val="21"/>
              </w:rPr>
            </w:pPr>
            <w:r>
              <w:rPr>
                <w:rFonts w:ascii="宋体" w:hAnsi="宋体"/>
                <w:b w:val="0"/>
                <w:szCs w:val="21"/>
              </w:rPr>
              <w:t>803</w:t>
            </w:r>
          </w:p>
        </w:tc>
        <w:tc>
          <w:tcPr>
            <w:tcW w:w="653" w:type="pct"/>
            <w:vAlign w:val="center"/>
          </w:tcPr>
          <w:p w14:paraId="0563D663">
            <w:pPr>
              <w:spacing w:line="240" w:lineRule="exact"/>
              <w:jc w:val="center"/>
              <w:rPr>
                <w:rFonts w:ascii="宋体" w:hAnsi="宋体"/>
                <w:b w:val="0"/>
                <w:szCs w:val="21"/>
              </w:rPr>
            </w:pPr>
            <w:r>
              <w:rPr>
                <w:rFonts w:ascii="宋体" w:hAnsi="宋体"/>
                <w:b w:val="0"/>
                <w:szCs w:val="21"/>
              </w:rPr>
              <w:t>7704-34-9</w:t>
            </w:r>
          </w:p>
        </w:tc>
        <w:tc>
          <w:tcPr>
            <w:tcW w:w="490" w:type="pct"/>
            <w:vAlign w:val="center"/>
          </w:tcPr>
          <w:p w14:paraId="640A8842">
            <w:pPr>
              <w:spacing w:line="240" w:lineRule="exact"/>
              <w:jc w:val="center"/>
              <w:rPr>
                <w:rFonts w:ascii="宋体" w:hAnsi="宋体"/>
                <w:b w:val="0"/>
                <w:szCs w:val="21"/>
              </w:rPr>
            </w:pPr>
            <w:r>
              <w:rPr>
                <w:rFonts w:ascii="宋体" w:hAnsi="宋体"/>
                <w:b w:val="0"/>
                <w:szCs w:val="21"/>
              </w:rPr>
              <w:t>207.2</w:t>
            </w:r>
            <w:r>
              <w:rPr>
                <w:rFonts w:ascii="宋体" w:hAnsi="宋体"/>
                <w:b w:val="0"/>
                <w:szCs w:val="21"/>
                <w:vertAlign w:val="superscript"/>
              </w:rPr>
              <w:t>0</w:t>
            </w:r>
            <w:r>
              <w:rPr>
                <w:rFonts w:ascii="宋体" w:hAnsi="宋体"/>
                <w:b w:val="0"/>
                <w:szCs w:val="21"/>
              </w:rPr>
              <w:t>(</w:t>
            </w:r>
            <w:r>
              <w:rPr>
                <w:rFonts w:hint="eastAsia" w:ascii="宋体" w:hAnsi="宋体"/>
                <w:b w:val="0"/>
                <w:szCs w:val="21"/>
              </w:rPr>
              <w:t>闭式</w:t>
            </w:r>
            <w:r>
              <w:rPr>
                <w:rFonts w:ascii="宋体" w:hAnsi="宋体"/>
                <w:b w:val="0"/>
                <w:szCs w:val="21"/>
              </w:rPr>
              <w:t>)</w:t>
            </w:r>
          </w:p>
        </w:tc>
        <w:tc>
          <w:tcPr>
            <w:tcW w:w="396" w:type="pct"/>
            <w:vAlign w:val="center"/>
          </w:tcPr>
          <w:p w14:paraId="7DE385DC">
            <w:pPr>
              <w:spacing w:line="240" w:lineRule="exact"/>
              <w:jc w:val="center"/>
              <w:rPr>
                <w:rFonts w:ascii="宋体" w:hAnsi="宋体"/>
                <w:b w:val="0"/>
                <w:szCs w:val="21"/>
              </w:rPr>
            </w:pPr>
            <w:r>
              <w:rPr>
                <w:rFonts w:hint="eastAsia" w:ascii="宋体" w:hAnsi="宋体"/>
                <w:b w:val="0"/>
                <w:szCs w:val="21"/>
              </w:rPr>
              <w:t>乙类</w:t>
            </w:r>
          </w:p>
        </w:tc>
        <w:tc>
          <w:tcPr>
            <w:tcW w:w="2150" w:type="pct"/>
            <w:vAlign w:val="center"/>
          </w:tcPr>
          <w:p w14:paraId="60213BED">
            <w:pPr>
              <w:spacing w:line="240" w:lineRule="exact"/>
              <w:rPr>
                <w:rFonts w:ascii="宋体" w:hAnsi="宋体"/>
                <w:b w:val="0"/>
                <w:szCs w:val="21"/>
              </w:rPr>
            </w:pPr>
            <w:r>
              <w:rPr>
                <w:rFonts w:hint="eastAsia" w:ascii="宋体" w:hAnsi="宋体"/>
                <w:b w:val="0"/>
                <w:szCs w:val="21"/>
              </w:rPr>
              <w:t>与氯酸钾的混合物为敏感度很高的爆炸性物质，稍经撞击、摩擦就会爆炸。本品为热和电的不良导体，在使用、储运过程中易产生静电荷，可导致硫尘起火。</w:t>
            </w:r>
          </w:p>
        </w:tc>
      </w:tr>
      <w:tr w14:paraId="527877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vAlign w:val="center"/>
          </w:tcPr>
          <w:p w14:paraId="4B2D6276">
            <w:pPr>
              <w:spacing w:line="240" w:lineRule="exact"/>
              <w:jc w:val="center"/>
              <w:rPr>
                <w:rFonts w:ascii="宋体" w:hAnsi="宋体"/>
                <w:b w:val="0"/>
                <w:szCs w:val="21"/>
              </w:rPr>
            </w:pPr>
            <w:r>
              <w:rPr>
                <w:rFonts w:ascii="宋体" w:hAnsi="宋体"/>
                <w:b w:val="0"/>
                <w:szCs w:val="21"/>
              </w:rPr>
              <w:t>2</w:t>
            </w:r>
          </w:p>
        </w:tc>
        <w:tc>
          <w:tcPr>
            <w:tcW w:w="515" w:type="pct"/>
            <w:vAlign w:val="center"/>
          </w:tcPr>
          <w:p w14:paraId="709EB5EC">
            <w:pPr>
              <w:spacing w:line="240" w:lineRule="exact"/>
              <w:jc w:val="center"/>
              <w:rPr>
                <w:rFonts w:ascii="宋体" w:hAnsi="宋体"/>
                <w:b w:val="0"/>
                <w:szCs w:val="21"/>
              </w:rPr>
            </w:pPr>
            <w:r>
              <w:rPr>
                <w:rFonts w:hint="eastAsia" w:ascii="宋体" w:hAnsi="宋体"/>
                <w:b w:val="0"/>
                <w:szCs w:val="21"/>
              </w:rPr>
              <w:t>铝粉</w:t>
            </w:r>
          </w:p>
        </w:tc>
        <w:tc>
          <w:tcPr>
            <w:tcW w:w="502" w:type="pct"/>
            <w:vAlign w:val="center"/>
          </w:tcPr>
          <w:p w14:paraId="0126C8F9">
            <w:pPr>
              <w:spacing w:line="240" w:lineRule="exact"/>
              <w:jc w:val="center"/>
              <w:rPr>
                <w:rFonts w:ascii="宋体" w:hAnsi="宋体"/>
                <w:b w:val="0"/>
                <w:szCs w:val="21"/>
              </w:rPr>
            </w:pPr>
            <w:r>
              <w:rPr>
                <w:rFonts w:ascii="宋体" w:hAnsi="宋体"/>
                <w:b w:val="0"/>
                <w:szCs w:val="21"/>
              </w:rPr>
              <w:t>1377</w:t>
            </w:r>
          </w:p>
        </w:tc>
        <w:tc>
          <w:tcPr>
            <w:tcW w:w="653" w:type="pct"/>
            <w:vAlign w:val="center"/>
          </w:tcPr>
          <w:p w14:paraId="3691951B">
            <w:pPr>
              <w:spacing w:line="240" w:lineRule="exact"/>
              <w:jc w:val="center"/>
              <w:rPr>
                <w:rFonts w:ascii="宋体" w:hAnsi="宋体"/>
                <w:b w:val="0"/>
                <w:szCs w:val="21"/>
              </w:rPr>
            </w:pPr>
            <w:r>
              <w:rPr>
                <w:rFonts w:ascii="宋体" w:hAnsi="宋体"/>
                <w:b w:val="0"/>
                <w:szCs w:val="21"/>
              </w:rPr>
              <w:t>7429-90-5</w:t>
            </w:r>
          </w:p>
        </w:tc>
        <w:tc>
          <w:tcPr>
            <w:tcW w:w="490" w:type="pct"/>
            <w:vAlign w:val="center"/>
          </w:tcPr>
          <w:p w14:paraId="5738D348">
            <w:pPr>
              <w:spacing w:line="240" w:lineRule="exact"/>
              <w:jc w:val="center"/>
              <w:rPr>
                <w:rFonts w:ascii="宋体" w:hAnsi="宋体"/>
                <w:b w:val="0"/>
                <w:szCs w:val="21"/>
              </w:rPr>
            </w:pPr>
            <w:r>
              <w:rPr>
                <w:rFonts w:hint="eastAsia" w:ascii="宋体" w:hAnsi="宋体"/>
                <w:b w:val="0"/>
                <w:szCs w:val="21"/>
              </w:rPr>
              <w:t>无意义</w:t>
            </w:r>
          </w:p>
        </w:tc>
        <w:tc>
          <w:tcPr>
            <w:tcW w:w="396" w:type="pct"/>
            <w:vAlign w:val="center"/>
          </w:tcPr>
          <w:p w14:paraId="25E91ACF">
            <w:pPr>
              <w:spacing w:line="240" w:lineRule="exact"/>
              <w:jc w:val="center"/>
              <w:rPr>
                <w:rFonts w:ascii="宋体" w:hAnsi="宋体"/>
                <w:b w:val="0"/>
                <w:szCs w:val="21"/>
              </w:rPr>
            </w:pPr>
            <w:r>
              <w:rPr>
                <w:rFonts w:hint="eastAsia" w:ascii="宋体" w:hAnsi="宋体"/>
                <w:b w:val="0"/>
                <w:szCs w:val="21"/>
              </w:rPr>
              <w:t>乙类</w:t>
            </w:r>
          </w:p>
        </w:tc>
        <w:tc>
          <w:tcPr>
            <w:tcW w:w="2150" w:type="pct"/>
            <w:vAlign w:val="center"/>
          </w:tcPr>
          <w:p w14:paraId="0FBDFF58">
            <w:pPr>
              <w:spacing w:line="240" w:lineRule="exact"/>
              <w:rPr>
                <w:rFonts w:ascii="宋体" w:hAnsi="宋体"/>
                <w:b w:val="0"/>
                <w:szCs w:val="21"/>
              </w:rPr>
            </w:pPr>
            <w:r>
              <w:rPr>
                <w:rFonts w:hint="eastAsia" w:ascii="宋体" w:hAnsi="宋体"/>
                <w:b w:val="0"/>
                <w:szCs w:val="21"/>
              </w:rPr>
              <w:t>遇湿易燃，粉尘爆炸，具刺激性，长期吸入可致铝尘肺。</w:t>
            </w:r>
          </w:p>
        </w:tc>
      </w:tr>
      <w:tr w14:paraId="247948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tcBorders>
              <w:bottom w:val="single" w:color="auto" w:sz="12" w:space="0"/>
            </w:tcBorders>
            <w:vAlign w:val="center"/>
          </w:tcPr>
          <w:p w14:paraId="3079DF5C">
            <w:pPr>
              <w:spacing w:line="240" w:lineRule="exact"/>
              <w:jc w:val="center"/>
              <w:rPr>
                <w:rFonts w:ascii="宋体" w:hAnsi="宋体"/>
                <w:b w:val="0"/>
                <w:szCs w:val="21"/>
              </w:rPr>
            </w:pPr>
            <w:r>
              <w:rPr>
                <w:rFonts w:ascii="宋体" w:hAnsi="宋体"/>
                <w:b w:val="0"/>
                <w:szCs w:val="21"/>
              </w:rPr>
              <w:t>3</w:t>
            </w:r>
          </w:p>
        </w:tc>
        <w:tc>
          <w:tcPr>
            <w:tcW w:w="515" w:type="pct"/>
            <w:tcBorders>
              <w:bottom w:val="single" w:color="auto" w:sz="12" w:space="0"/>
            </w:tcBorders>
            <w:vAlign w:val="center"/>
          </w:tcPr>
          <w:p w14:paraId="1DC3EC35">
            <w:pPr>
              <w:spacing w:line="240" w:lineRule="exact"/>
              <w:jc w:val="center"/>
              <w:rPr>
                <w:rFonts w:ascii="宋体" w:hAnsi="宋体"/>
                <w:b w:val="0"/>
                <w:szCs w:val="21"/>
              </w:rPr>
            </w:pPr>
            <w:r>
              <w:rPr>
                <w:rFonts w:hint="eastAsia" w:ascii="宋体" w:hAnsi="宋体"/>
                <w:b w:val="0"/>
                <w:szCs w:val="21"/>
              </w:rPr>
              <w:t>木炭</w:t>
            </w:r>
          </w:p>
        </w:tc>
        <w:tc>
          <w:tcPr>
            <w:tcW w:w="502" w:type="pct"/>
            <w:tcBorders>
              <w:bottom w:val="single" w:color="auto" w:sz="12" w:space="0"/>
            </w:tcBorders>
            <w:vAlign w:val="center"/>
          </w:tcPr>
          <w:p w14:paraId="6EEDEAFC">
            <w:pPr>
              <w:spacing w:line="240" w:lineRule="exact"/>
              <w:jc w:val="center"/>
              <w:rPr>
                <w:rFonts w:ascii="宋体" w:hAnsi="宋体"/>
                <w:b w:val="0"/>
                <w:szCs w:val="21"/>
              </w:rPr>
            </w:pPr>
            <w:r>
              <w:rPr>
                <w:rFonts w:ascii="宋体" w:hAnsi="宋体"/>
                <w:b w:val="0"/>
                <w:szCs w:val="21"/>
              </w:rPr>
              <w:t>--</w:t>
            </w:r>
          </w:p>
        </w:tc>
        <w:tc>
          <w:tcPr>
            <w:tcW w:w="653" w:type="pct"/>
            <w:tcBorders>
              <w:bottom w:val="single" w:color="auto" w:sz="12" w:space="0"/>
            </w:tcBorders>
            <w:vAlign w:val="center"/>
          </w:tcPr>
          <w:p w14:paraId="5D7A074B">
            <w:pPr>
              <w:spacing w:line="240" w:lineRule="exact"/>
              <w:jc w:val="center"/>
              <w:rPr>
                <w:rFonts w:ascii="宋体" w:hAnsi="宋体"/>
                <w:b w:val="0"/>
                <w:szCs w:val="21"/>
              </w:rPr>
            </w:pPr>
            <w:r>
              <w:rPr>
                <w:rFonts w:ascii="宋体" w:hAnsi="宋体"/>
                <w:b w:val="0"/>
                <w:szCs w:val="21"/>
              </w:rPr>
              <w:t>--</w:t>
            </w:r>
          </w:p>
        </w:tc>
        <w:tc>
          <w:tcPr>
            <w:tcW w:w="490" w:type="pct"/>
            <w:tcBorders>
              <w:bottom w:val="single" w:color="auto" w:sz="12" w:space="0"/>
            </w:tcBorders>
            <w:vAlign w:val="center"/>
          </w:tcPr>
          <w:p w14:paraId="35993B07">
            <w:pPr>
              <w:spacing w:line="240" w:lineRule="exact"/>
              <w:jc w:val="center"/>
              <w:rPr>
                <w:rFonts w:ascii="宋体" w:hAnsi="宋体"/>
                <w:b w:val="0"/>
                <w:szCs w:val="21"/>
              </w:rPr>
            </w:pPr>
            <w:r>
              <w:rPr>
                <w:rFonts w:hint="eastAsia" w:ascii="宋体" w:hAnsi="宋体"/>
                <w:b w:val="0"/>
                <w:szCs w:val="21"/>
              </w:rPr>
              <w:t>无意义</w:t>
            </w:r>
          </w:p>
        </w:tc>
        <w:tc>
          <w:tcPr>
            <w:tcW w:w="396" w:type="pct"/>
            <w:tcBorders>
              <w:bottom w:val="single" w:color="auto" w:sz="12" w:space="0"/>
            </w:tcBorders>
            <w:vAlign w:val="center"/>
          </w:tcPr>
          <w:p w14:paraId="66CBB913">
            <w:pPr>
              <w:spacing w:line="240" w:lineRule="exact"/>
              <w:jc w:val="center"/>
              <w:rPr>
                <w:rFonts w:ascii="宋体" w:hAnsi="宋体"/>
                <w:b w:val="0"/>
                <w:szCs w:val="21"/>
              </w:rPr>
            </w:pPr>
            <w:r>
              <w:rPr>
                <w:rFonts w:ascii="宋体" w:hAnsi="宋体"/>
                <w:b w:val="0"/>
                <w:szCs w:val="21"/>
              </w:rPr>
              <w:t>--</w:t>
            </w:r>
          </w:p>
        </w:tc>
        <w:tc>
          <w:tcPr>
            <w:tcW w:w="2150" w:type="pct"/>
            <w:tcBorders>
              <w:bottom w:val="single" w:color="auto" w:sz="12" w:space="0"/>
            </w:tcBorders>
            <w:vAlign w:val="center"/>
          </w:tcPr>
          <w:p w14:paraId="39BA21B7">
            <w:pPr>
              <w:spacing w:line="240" w:lineRule="exact"/>
              <w:rPr>
                <w:rFonts w:ascii="宋体" w:hAnsi="宋体"/>
                <w:b w:val="0"/>
                <w:szCs w:val="21"/>
              </w:rPr>
            </w:pPr>
            <w:r>
              <w:rPr>
                <w:rFonts w:hint="eastAsia" w:ascii="宋体" w:hAnsi="宋体"/>
                <w:b w:val="0"/>
                <w:szCs w:val="21"/>
              </w:rPr>
              <w:t>本品为可燃剂，常温下化学性质稳定，高温时化学活泼性高。粉尘接触明火有轻度的爆炸性。在空气中易缓慢地发热和自燃。有时从原料中夹杂无机物，对皮肤、粘膜及呼吸道有一定的刺激。</w:t>
            </w:r>
          </w:p>
        </w:tc>
      </w:tr>
    </w:tbl>
    <w:p w14:paraId="4CDF94F0">
      <w:pPr>
        <w:spacing w:before="120" w:beforeLines="50" w:line="360" w:lineRule="auto"/>
        <w:ind w:firstLine="562" w:firstLineChars="200"/>
        <w:rPr>
          <w:rFonts w:ascii="宋体" w:hAnsi="宋体"/>
          <w:snapToGrid w:val="0"/>
          <w:sz w:val="28"/>
          <w:szCs w:val="28"/>
        </w:rPr>
      </w:pPr>
      <w:r>
        <w:rPr>
          <w:rFonts w:hint="eastAsia" w:ascii="宋体" w:hAnsi="宋体"/>
          <w:snapToGrid w:val="0"/>
          <w:sz w:val="28"/>
          <w:szCs w:val="28"/>
        </w:rPr>
        <w:t>1）硫磺</w:t>
      </w:r>
      <w:bookmarkEnd w:id="224"/>
      <w:bookmarkEnd w:id="225"/>
    </w:p>
    <w:p w14:paraId="22DB702E">
      <w:pPr>
        <w:spacing w:line="360" w:lineRule="auto"/>
        <w:ind w:firstLine="560" w:firstLineChars="200"/>
        <w:rPr>
          <w:rFonts w:ascii="黑体" w:hAnsi="宋体" w:eastAsia="黑体"/>
          <w:b w:val="0"/>
          <w:sz w:val="24"/>
        </w:rPr>
      </w:pPr>
      <w:r>
        <w:rPr>
          <w:rFonts w:hint="eastAsia" w:ascii="宋体" w:hAnsi="宋体"/>
          <w:b w:val="0"/>
          <w:snapToGrid w:val="0"/>
          <w:sz w:val="28"/>
          <w:szCs w:val="28"/>
        </w:rPr>
        <w:t>硫磺是活泼元素，属易燃、自燃物品，物性参数及对其危险的应对措施列于表3.3-8。</w:t>
      </w:r>
    </w:p>
    <w:p w14:paraId="66F1B3A4">
      <w:pPr>
        <w:jc w:val="center"/>
        <w:rPr>
          <w:rFonts w:ascii="黑体" w:hAnsi="宋体" w:eastAsia="黑体"/>
          <w:b w:val="0"/>
          <w:sz w:val="24"/>
        </w:rPr>
      </w:pPr>
      <w:r>
        <w:rPr>
          <w:rFonts w:hint="eastAsia" w:ascii="黑体" w:hAnsi="宋体" w:eastAsia="黑体"/>
          <w:b w:val="0"/>
          <w:sz w:val="24"/>
        </w:rPr>
        <w:t>表3.3-8 硫磺的物性参数及对危险的应对措施</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8270"/>
      </w:tblGrid>
      <w:tr w14:paraId="4D8FED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548" w:type="pct"/>
            <w:vAlign w:val="center"/>
          </w:tcPr>
          <w:p w14:paraId="590A6C59">
            <w:pPr>
              <w:adjustRightInd w:val="0"/>
              <w:snapToGrid w:val="0"/>
              <w:spacing w:line="240" w:lineRule="exact"/>
              <w:jc w:val="center"/>
              <w:rPr>
                <w:rFonts w:ascii="宋体" w:hAnsi="宋体"/>
                <w:b w:val="0"/>
                <w:bCs/>
                <w:szCs w:val="21"/>
              </w:rPr>
            </w:pPr>
            <w:r>
              <w:rPr>
                <w:rFonts w:hint="eastAsia" w:ascii="宋体" w:hAnsi="宋体"/>
                <w:b w:val="0"/>
                <w:bCs/>
                <w:szCs w:val="21"/>
              </w:rPr>
              <w:t>标 识</w:t>
            </w:r>
          </w:p>
        </w:tc>
        <w:tc>
          <w:tcPr>
            <w:tcW w:w="4452" w:type="pct"/>
          </w:tcPr>
          <w:p w14:paraId="194325E9">
            <w:pPr>
              <w:adjustRightInd w:val="0"/>
              <w:snapToGrid w:val="0"/>
              <w:spacing w:line="240" w:lineRule="exact"/>
              <w:rPr>
                <w:rFonts w:ascii="宋体" w:hAnsi="宋体"/>
                <w:b w:val="0"/>
                <w:szCs w:val="21"/>
              </w:rPr>
            </w:pPr>
            <w:r>
              <w:rPr>
                <w:rFonts w:hint="eastAsia" w:ascii="宋体" w:hAnsi="宋体"/>
                <w:b w:val="0"/>
                <w:szCs w:val="21"/>
              </w:rPr>
              <w:t>中文名称：硫磺,硫磺块,硫磺粉                  英文名：Sulfur</w:t>
            </w:r>
          </w:p>
          <w:p w14:paraId="24C6B581">
            <w:pPr>
              <w:adjustRightInd w:val="0"/>
              <w:snapToGrid w:val="0"/>
              <w:spacing w:line="240" w:lineRule="exact"/>
              <w:rPr>
                <w:rFonts w:ascii="宋体" w:hAnsi="宋体"/>
                <w:b w:val="0"/>
                <w:szCs w:val="21"/>
              </w:rPr>
            </w:pPr>
            <w:r>
              <w:rPr>
                <w:rFonts w:hint="eastAsia" w:ascii="宋体" w:hAnsi="宋体"/>
                <w:b w:val="0"/>
                <w:szCs w:val="21"/>
              </w:rPr>
              <w:t xml:space="preserve">分 子 式：S；                                 分子量：32.06；    </w:t>
            </w:r>
          </w:p>
          <w:p w14:paraId="1DFDE2F0">
            <w:pPr>
              <w:adjustRightInd w:val="0"/>
              <w:snapToGrid w:val="0"/>
              <w:spacing w:line="240" w:lineRule="exact"/>
              <w:rPr>
                <w:rFonts w:ascii="宋体" w:hAnsi="宋体"/>
                <w:b w:val="0"/>
                <w:szCs w:val="21"/>
              </w:rPr>
            </w:pPr>
            <w:r>
              <w:rPr>
                <w:rFonts w:hint="eastAsia" w:ascii="宋体" w:hAnsi="宋体"/>
                <w:b w:val="0"/>
                <w:szCs w:val="21"/>
              </w:rPr>
              <w:t>危险化学品目录：1290；                        UN编号：1350；</w:t>
            </w:r>
            <w:r>
              <w:rPr>
                <w:rFonts w:ascii="宋体" w:hAnsi="宋体"/>
                <w:b w:val="0"/>
                <w:szCs w:val="21"/>
              </w:rPr>
              <w:t xml:space="preserve"> </w:t>
            </w:r>
            <w:r>
              <w:rPr>
                <w:rFonts w:hint="eastAsia" w:ascii="宋体" w:hAnsi="宋体"/>
                <w:b w:val="0"/>
                <w:szCs w:val="21"/>
              </w:rPr>
              <w:t xml:space="preserve">  </w:t>
            </w:r>
          </w:p>
        </w:tc>
      </w:tr>
      <w:tr w14:paraId="58DBFB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548" w:type="pct"/>
            <w:vAlign w:val="center"/>
          </w:tcPr>
          <w:p w14:paraId="7FF96A81">
            <w:pPr>
              <w:adjustRightInd w:val="0"/>
              <w:snapToGrid w:val="0"/>
              <w:spacing w:line="240" w:lineRule="exact"/>
              <w:jc w:val="center"/>
              <w:rPr>
                <w:rFonts w:ascii="宋体" w:hAnsi="宋体"/>
                <w:b w:val="0"/>
                <w:bCs/>
                <w:szCs w:val="21"/>
              </w:rPr>
            </w:pPr>
            <w:r>
              <w:rPr>
                <w:rFonts w:ascii="宋体" w:hAnsi="宋体"/>
                <w:b w:val="0"/>
                <w:bCs/>
                <w:szCs w:val="21"/>
              </w:rPr>
              <w:t>理</w:t>
            </w:r>
            <w:r>
              <w:rPr>
                <w:rFonts w:hint="eastAsia" w:ascii="宋体" w:hAnsi="宋体"/>
                <w:b w:val="0"/>
                <w:bCs/>
                <w:szCs w:val="21"/>
              </w:rPr>
              <w:t xml:space="preserve"> </w:t>
            </w:r>
            <w:r>
              <w:rPr>
                <w:rFonts w:ascii="宋体" w:hAnsi="宋体"/>
                <w:b w:val="0"/>
                <w:bCs/>
                <w:szCs w:val="21"/>
              </w:rPr>
              <w:t>化</w:t>
            </w:r>
          </w:p>
          <w:p w14:paraId="6076502F">
            <w:pPr>
              <w:adjustRightInd w:val="0"/>
              <w:snapToGrid w:val="0"/>
              <w:spacing w:line="240" w:lineRule="exact"/>
              <w:jc w:val="center"/>
              <w:rPr>
                <w:rFonts w:ascii="宋体" w:hAnsi="宋体"/>
                <w:b w:val="0"/>
                <w:bCs/>
                <w:szCs w:val="21"/>
              </w:rPr>
            </w:pPr>
            <w:r>
              <w:rPr>
                <w:rFonts w:hint="eastAsia" w:ascii="宋体" w:hAnsi="宋体"/>
                <w:b w:val="0"/>
                <w:bCs/>
                <w:szCs w:val="21"/>
              </w:rPr>
              <w:t>性 质</w:t>
            </w:r>
          </w:p>
        </w:tc>
        <w:tc>
          <w:tcPr>
            <w:tcW w:w="4452" w:type="pct"/>
          </w:tcPr>
          <w:p w14:paraId="78869307">
            <w:pPr>
              <w:adjustRightInd w:val="0"/>
              <w:snapToGrid w:val="0"/>
              <w:spacing w:line="240" w:lineRule="exact"/>
              <w:rPr>
                <w:rFonts w:ascii="宋体" w:hAnsi="宋体"/>
                <w:b w:val="0"/>
                <w:szCs w:val="21"/>
              </w:rPr>
            </w:pPr>
            <w:r>
              <w:rPr>
                <w:rFonts w:ascii="宋体" w:hAnsi="宋体"/>
                <w:b w:val="0"/>
                <w:szCs w:val="21"/>
              </w:rPr>
              <w:t>外观性状：</w:t>
            </w:r>
            <w:r>
              <w:rPr>
                <w:rFonts w:hint="eastAsia" w:ascii="宋体" w:hAnsi="宋体"/>
                <w:b w:val="0"/>
                <w:szCs w:val="21"/>
              </w:rPr>
              <w:t>淡黄色脆性结晶或粉末，有特殊臭味。    相对密度（g/cm</w:t>
            </w:r>
            <w:r>
              <w:rPr>
                <w:rFonts w:hint="eastAsia" w:ascii="宋体" w:hAnsi="宋体"/>
                <w:b w:val="0"/>
                <w:szCs w:val="21"/>
                <w:vertAlign w:val="superscript"/>
              </w:rPr>
              <w:t>3</w:t>
            </w:r>
            <w:r>
              <w:rPr>
                <w:rFonts w:hint="eastAsia" w:ascii="宋体" w:hAnsi="宋体"/>
                <w:b w:val="0"/>
                <w:szCs w:val="21"/>
              </w:rPr>
              <w:t>）：2.0（水=1）；</w:t>
            </w:r>
          </w:p>
          <w:p w14:paraId="6EB61662">
            <w:pPr>
              <w:adjustRightInd w:val="0"/>
              <w:snapToGrid w:val="0"/>
              <w:spacing w:line="240" w:lineRule="exact"/>
              <w:rPr>
                <w:rFonts w:ascii="宋体" w:hAnsi="宋体"/>
                <w:b w:val="0"/>
                <w:szCs w:val="21"/>
              </w:rPr>
            </w:pPr>
            <w:r>
              <w:rPr>
                <w:rFonts w:hint="eastAsia" w:ascii="宋体" w:hAnsi="宋体"/>
                <w:b w:val="0"/>
                <w:szCs w:val="21"/>
              </w:rPr>
              <w:t xml:space="preserve">熔    点（℃）：119；                            沸    点（℃）：444.6   </w:t>
            </w:r>
          </w:p>
          <w:p w14:paraId="17CF4514">
            <w:pPr>
              <w:adjustRightInd w:val="0"/>
              <w:snapToGrid w:val="0"/>
              <w:spacing w:line="240" w:lineRule="exact"/>
              <w:rPr>
                <w:rFonts w:ascii="宋体" w:hAnsi="宋体"/>
                <w:b w:val="0"/>
                <w:szCs w:val="21"/>
              </w:rPr>
            </w:pPr>
            <w:r>
              <w:rPr>
                <w:rFonts w:hint="eastAsia" w:ascii="宋体" w:hAnsi="宋体"/>
                <w:b w:val="0"/>
                <w:szCs w:val="21"/>
              </w:rPr>
              <w:t>临界温度（℃）：1040                             临界压力(Mpa)：11.75</w:t>
            </w:r>
          </w:p>
          <w:p w14:paraId="117ABB95">
            <w:pPr>
              <w:adjustRightInd w:val="0"/>
              <w:snapToGrid w:val="0"/>
              <w:spacing w:line="240" w:lineRule="exact"/>
              <w:rPr>
                <w:rFonts w:ascii="宋体" w:hAnsi="宋体"/>
                <w:b w:val="0"/>
                <w:szCs w:val="21"/>
              </w:rPr>
            </w:pPr>
            <w:r>
              <w:rPr>
                <w:rFonts w:hint="eastAsia" w:ascii="宋体" w:hAnsi="宋体"/>
                <w:b w:val="0"/>
                <w:szCs w:val="21"/>
              </w:rPr>
              <w:t xml:space="preserve">饱和蒸汽压（kPa）：0.13(183.8℃)                 最小引燃能量（mJ）：15 </w:t>
            </w:r>
          </w:p>
          <w:p w14:paraId="2D722A2C">
            <w:pPr>
              <w:adjustRightInd w:val="0"/>
              <w:snapToGrid w:val="0"/>
              <w:spacing w:line="240" w:lineRule="exact"/>
              <w:rPr>
                <w:rFonts w:ascii="宋体" w:hAnsi="宋体"/>
                <w:b w:val="0"/>
                <w:szCs w:val="21"/>
              </w:rPr>
            </w:pPr>
            <w:r>
              <w:rPr>
                <w:rFonts w:hint="eastAsia" w:ascii="宋体" w:hAnsi="宋体"/>
                <w:b w:val="0"/>
                <w:szCs w:val="21"/>
              </w:rPr>
              <w:t>最大爆炸压力：0.415 M</w:t>
            </w:r>
            <w:r>
              <w:rPr>
                <w:rFonts w:ascii="宋体" w:hAnsi="宋体"/>
                <w:b w:val="0"/>
                <w:szCs w:val="21"/>
              </w:rPr>
              <w:t>p</w:t>
            </w:r>
            <w:r>
              <w:rPr>
                <w:rFonts w:hint="eastAsia" w:ascii="宋体" w:hAnsi="宋体"/>
                <w:b w:val="0"/>
                <w:szCs w:val="21"/>
              </w:rPr>
              <w:t>a                         禁 忌 物：强氧化剂</w:t>
            </w:r>
          </w:p>
          <w:p w14:paraId="0301C854">
            <w:pPr>
              <w:adjustRightInd w:val="0"/>
              <w:snapToGrid w:val="0"/>
              <w:spacing w:line="240" w:lineRule="exact"/>
              <w:rPr>
                <w:rFonts w:ascii="宋体" w:hAnsi="宋体"/>
                <w:b w:val="0"/>
                <w:szCs w:val="21"/>
              </w:rPr>
            </w:pPr>
            <w:r>
              <w:rPr>
                <w:rFonts w:hint="eastAsia" w:ascii="宋体" w:hAnsi="宋体"/>
                <w:b w:val="0"/>
                <w:szCs w:val="21"/>
              </w:rPr>
              <w:t>溶 解 性：不溶于水，微溶于乙醇、醚，易溶于二硫化碳。</w:t>
            </w:r>
          </w:p>
        </w:tc>
      </w:tr>
      <w:tr w14:paraId="53B573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548" w:type="pct"/>
            <w:vAlign w:val="center"/>
          </w:tcPr>
          <w:p w14:paraId="6AF03EDF">
            <w:pPr>
              <w:adjustRightInd w:val="0"/>
              <w:snapToGrid w:val="0"/>
              <w:spacing w:line="240" w:lineRule="exact"/>
              <w:jc w:val="center"/>
              <w:rPr>
                <w:rFonts w:ascii="宋体" w:hAnsi="宋体"/>
                <w:b w:val="0"/>
                <w:bCs/>
                <w:szCs w:val="21"/>
              </w:rPr>
            </w:pPr>
            <w:r>
              <w:rPr>
                <w:rFonts w:hint="eastAsia" w:ascii="宋体" w:hAnsi="宋体"/>
                <w:b w:val="0"/>
                <w:bCs/>
                <w:szCs w:val="21"/>
              </w:rPr>
              <w:t>危险有害特性</w:t>
            </w:r>
          </w:p>
        </w:tc>
        <w:tc>
          <w:tcPr>
            <w:tcW w:w="4452" w:type="pct"/>
          </w:tcPr>
          <w:p w14:paraId="69EDB31B">
            <w:pPr>
              <w:adjustRightInd w:val="0"/>
              <w:snapToGrid w:val="0"/>
              <w:spacing w:line="240" w:lineRule="exact"/>
              <w:rPr>
                <w:rFonts w:ascii="宋体" w:hAnsi="宋体"/>
                <w:b w:val="0"/>
                <w:szCs w:val="21"/>
              </w:rPr>
            </w:pPr>
            <w:r>
              <w:rPr>
                <w:rFonts w:hint="eastAsia" w:ascii="宋体" w:hAnsi="宋体"/>
                <w:b w:val="0"/>
                <w:szCs w:val="21"/>
              </w:rPr>
              <w:t>燃烧爆炸性：燃 烧 性：易燃              闪    点（℃）：207.2(闭式)</w:t>
            </w:r>
          </w:p>
          <w:p w14:paraId="2BF7EA63">
            <w:pPr>
              <w:adjustRightInd w:val="0"/>
              <w:snapToGrid w:val="0"/>
              <w:spacing w:line="240" w:lineRule="exact"/>
              <w:rPr>
                <w:rFonts w:ascii="宋体" w:hAnsi="宋体"/>
                <w:b w:val="0"/>
                <w:szCs w:val="21"/>
              </w:rPr>
            </w:pPr>
            <w:r>
              <w:rPr>
                <w:rFonts w:hint="eastAsia" w:ascii="宋体" w:hAnsi="宋体"/>
                <w:b w:val="0"/>
                <w:szCs w:val="21"/>
              </w:rPr>
              <w:t>引燃温度（℃）：232                      爆炸下限（mg/m</w:t>
            </w:r>
            <w:r>
              <w:rPr>
                <w:rFonts w:hint="eastAsia" w:ascii="宋体" w:hAnsi="宋体"/>
                <w:b w:val="0"/>
                <w:szCs w:val="21"/>
                <w:vertAlign w:val="superscript"/>
              </w:rPr>
              <w:t>3</w:t>
            </w:r>
            <w:r>
              <w:rPr>
                <w:rFonts w:hint="eastAsia" w:ascii="宋体" w:hAnsi="宋体"/>
                <w:b w:val="0"/>
                <w:szCs w:val="21"/>
              </w:rPr>
              <w:t xml:space="preserve">）：35 </w:t>
            </w:r>
          </w:p>
          <w:p w14:paraId="01DF9D93">
            <w:pPr>
              <w:adjustRightInd w:val="0"/>
              <w:snapToGrid w:val="0"/>
              <w:spacing w:line="240" w:lineRule="exact"/>
              <w:rPr>
                <w:rFonts w:ascii="宋体" w:hAnsi="宋体"/>
                <w:b w:val="0"/>
                <w:szCs w:val="21"/>
              </w:rPr>
            </w:pPr>
            <w:r>
              <w:rPr>
                <w:rFonts w:hint="eastAsia" w:ascii="宋体" w:hAnsi="宋体"/>
                <w:b w:val="0"/>
                <w:szCs w:val="21"/>
              </w:rPr>
              <w:t xml:space="preserve">稳 定 性：常温下稳定 </w:t>
            </w:r>
          </w:p>
          <w:p w14:paraId="65A78BDB">
            <w:pPr>
              <w:adjustRightInd w:val="0"/>
              <w:snapToGrid w:val="0"/>
              <w:spacing w:line="240" w:lineRule="exact"/>
              <w:rPr>
                <w:rFonts w:ascii="宋体" w:hAnsi="宋体"/>
                <w:b w:val="0"/>
                <w:szCs w:val="21"/>
              </w:rPr>
            </w:pPr>
            <w:r>
              <w:rPr>
                <w:rFonts w:hint="eastAsia" w:ascii="宋体" w:hAnsi="宋体"/>
                <w:b w:val="0"/>
                <w:szCs w:val="21"/>
              </w:rPr>
              <w:t xml:space="preserve">   本品在正常情况下燃速缓慢,</w:t>
            </w:r>
            <w:r>
              <w:rPr>
                <w:rFonts w:ascii="宋体" w:hAnsi="宋体"/>
                <w:b w:val="0"/>
                <w:szCs w:val="21"/>
              </w:rPr>
              <w:t xml:space="preserve"> 在空气中燃烧生成二氧化硫，</w:t>
            </w:r>
            <w:r>
              <w:rPr>
                <w:rFonts w:hint="eastAsia" w:ascii="宋体" w:hAnsi="宋体"/>
                <w:b w:val="0"/>
                <w:szCs w:val="21"/>
              </w:rPr>
              <w:t>如与氧化剂混合,燃烧大大加快。</w:t>
            </w:r>
            <w:r>
              <w:rPr>
                <w:rFonts w:ascii="宋体" w:hAnsi="宋体"/>
                <w:b w:val="0"/>
                <w:szCs w:val="21"/>
              </w:rPr>
              <w:t>硫磺</w:t>
            </w:r>
            <w:r>
              <w:rPr>
                <w:rFonts w:hint="eastAsia" w:ascii="宋体" w:hAnsi="宋体"/>
                <w:b w:val="0"/>
                <w:szCs w:val="21"/>
              </w:rPr>
              <w:t>。与卤素、金属粉末等接触剧烈反应。与氯酸钾的混合物为敏感度很高的爆炸性物质，稍经撞击、摩擦就会爆炸。本品为热和电的不良导体，在使用、储运过程中易产生静电荷，可导致硫尘起火。其粉尘或蒸气与空气或氧化剂混合形成爆炸性混合物。当空气中含硫磺粉尘7mg/l时，遇明火就会引起爆炸。</w:t>
            </w:r>
            <w:r>
              <w:rPr>
                <w:rFonts w:ascii="宋体" w:hAnsi="宋体"/>
                <w:b w:val="0"/>
                <w:szCs w:val="21"/>
              </w:rPr>
              <w:t xml:space="preserve">  </w:t>
            </w:r>
          </w:p>
          <w:p w14:paraId="7EAA7F9A">
            <w:pPr>
              <w:adjustRightInd w:val="0"/>
              <w:snapToGrid w:val="0"/>
              <w:spacing w:line="240" w:lineRule="exact"/>
              <w:rPr>
                <w:rFonts w:ascii="宋体" w:hAnsi="宋体"/>
                <w:b w:val="0"/>
                <w:szCs w:val="21"/>
              </w:rPr>
            </w:pPr>
            <w:r>
              <w:rPr>
                <w:rFonts w:hint="eastAsia" w:ascii="宋体" w:hAnsi="宋体"/>
                <w:b w:val="0"/>
                <w:szCs w:val="21"/>
              </w:rPr>
              <w:t>健康危害：可吸入、食入、经皮吸收。因其能在肠内部分转化为硫化氢而被吸收，故大量口服可导致硫化氢中毒。急性硫化氢中毒的全身毒作用表现为中枢神经系统症状，有头痛、头晕、乏力、呕吐、共济失调、昏迷等。本品可引起眼结膜炎、皮肤湿疹。对皮肤有弱刺激性。生产中长期吸入硫粉尘一般无明显毒性作用。</w:t>
            </w:r>
          </w:p>
        </w:tc>
      </w:tr>
      <w:tr w14:paraId="18F795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548" w:type="pct"/>
            <w:vAlign w:val="center"/>
          </w:tcPr>
          <w:p w14:paraId="7F76CE50">
            <w:pPr>
              <w:adjustRightInd w:val="0"/>
              <w:snapToGrid w:val="0"/>
              <w:spacing w:line="240" w:lineRule="exact"/>
              <w:jc w:val="center"/>
              <w:rPr>
                <w:rFonts w:ascii="宋体" w:hAnsi="宋体"/>
                <w:b w:val="0"/>
                <w:bCs/>
                <w:szCs w:val="21"/>
              </w:rPr>
            </w:pPr>
            <w:r>
              <w:rPr>
                <w:rFonts w:hint="eastAsia" w:ascii="宋体" w:hAnsi="宋体"/>
                <w:b w:val="0"/>
                <w:bCs/>
                <w:szCs w:val="21"/>
              </w:rPr>
              <w:t>急救</w:t>
            </w:r>
          </w:p>
        </w:tc>
        <w:tc>
          <w:tcPr>
            <w:tcW w:w="4452" w:type="pct"/>
            <w:vAlign w:val="center"/>
          </w:tcPr>
          <w:p w14:paraId="55CDF09B">
            <w:pPr>
              <w:adjustRightInd w:val="0"/>
              <w:snapToGrid w:val="0"/>
              <w:spacing w:line="240" w:lineRule="exact"/>
              <w:rPr>
                <w:rFonts w:ascii="宋体" w:hAnsi="宋体"/>
                <w:b w:val="0"/>
                <w:szCs w:val="21"/>
              </w:rPr>
            </w:pPr>
            <w:r>
              <w:rPr>
                <w:rFonts w:ascii="宋体" w:hAnsi="宋体"/>
                <w:b w:val="0"/>
                <w:szCs w:val="21"/>
              </w:rPr>
              <w:t>消防措施：</w:t>
            </w:r>
            <w:r>
              <w:rPr>
                <w:rFonts w:hint="eastAsia" w:ascii="宋体" w:hAnsi="宋体"/>
                <w:b w:val="0"/>
                <w:szCs w:val="21"/>
              </w:rPr>
              <w:t>遇小火用砂土闷熄。遇大火可用雾状水、泡沫灭火。</w:t>
            </w:r>
          </w:p>
        </w:tc>
      </w:tr>
      <w:tr w14:paraId="2F0F1A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548" w:type="pct"/>
            <w:vAlign w:val="center"/>
          </w:tcPr>
          <w:p w14:paraId="4A2AAF7A">
            <w:pPr>
              <w:adjustRightInd w:val="0"/>
              <w:snapToGrid w:val="0"/>
              <w:spacing w:line="240" w:lineRule="exact"/>
              <w:jc w:val="center"/>
              <w:rPr>
                <w:rFonts w:ascii="宋体" w:hAnsi="宋体"/>
                <w:b w:val="0"/>
                <w:bCs/>
                <w:szCs w:val="21"/>
              </w:rPr>
            </w:pPr>
            <w:r>
              <w:rPr>
                <w:rFonts w:hint="eastAsia" w:ascii="宋体" w:hAnsi="宋体"/>
                <w:b w:val="0"/>
                <w:bCs/>
                <w:szCs w:val="21"/>
              </w:rPr>
              <w:t>防护</w:t>
            </w:r>
          </w:p>
        </w:tc>
        <w:tc>
          <w:tcPr>
            <w:tcW w:w="4452" w:type="pct"/>
            <w:vAlign w:val="center"/>
          </w:tcPr>
          <w:p w14:paraId="2EE4AB99">
            <w:pPr>
              <w:adjustRightInd w:val="0"/>
              <w:snapToGrid w:val="0"/>
              <w:spacing w:line="240" w:lineRule="exact"/>
              <w:rPr>
                <w:rFonts w:ascii="宋体" w:hAnsi="宋体"/>
                <w:b w:val="0"/>
                <w:szCs w:val="21"/>
              </w:rPr>
            </w:pPr>
            <w:r>
              <w:rPr>
                <w:rFonts w:hint="eastAsia" w:ascii="宋体" w:hAnsi="宋体"/>
                <w:b w:val="0"/>
                <w:szCs w:val="21"/>
              </w:rPr>
              <w:t>有粉尘时应穿戴好劳动护品。</w:t>
            </w:r>
          </w:p>
        </w:tc>
      </w:tr>
      <w:tr w14:paraId="792615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00" w:hRule="atLeast"/>
          <w:jc w:val="center"/>
        </w:trPr>
        <w:tc>
          <w:tcPr>
            <w:tcW w:w="548" w:type="pct"/>
            <w:vAlign w:val="center"/>
          </w:tcPr>
          <w:p w14:paraId="4D3093CF">
            <w:pPr>
              <w:adjustRightInd w:val="0"/>
              <w:snapToGrid w:val="0"/>
              <w:spacing w:line="240" w:lineRule="exact"/>
              <w:jc w:val="center"/>
              <w:rPr>
                <w:rFonts w:ascii="宋体" w:hAnsi="宋体"/>
                <w:b w:val="0"/>
                <w:bCs/>
                <w:szCs w:val="21"/>
              </w:rPr>
            </w:pPr>
            <w:r>
              <w:rPr>
                <w:rFonts w:hint="eastAsia" w:ascii="宋体" w:hAnsi="宋体"/>
                <w:b w:val="0"/>
                <w:bCs/>
                <w:szCs w:val="21"/>
              </w:rPr>
              <w:t>泄 露</w:t>
            </w:r>
          </w:p>
          <w:p w14:paraId="77F51586">
            <w:pPr>
              <w:adjustRightInd w:val="0"/>
              <w:snapToGrid w:val="0"/>
              <w:spacing w:line="240" w:lineRule="exact"/>
              <w:jc w:val="center"/>
              <w:rPr>
                <w:rFonts w:ascii="宋体" w:hAnsi="宋体"/>
                <w:b w:val="0"/>
                <w:bCs/>
                <w:szCs w:val="21"/>
              </w:rPr>
            </w:pPr>
            <w:r>
              <w:rPr>
                <w:rFonts w:ascii="宋体" w:hAnsi="宋体"/>
                <w:b w:val="0"/>
                <w:bCs/>
                <w:szCs w:val="21"/>
              </w:rPr>
              <w:t>处</w:t>
            </w:r>
            <w:r>
              <w:rPr>
                <w:rFonts w:hint="eastAsia" w:ascii="宋体" w:hAnsi="宋体"/>
                <w:b w:val="0"/>
                <w:bCs/>
                <w:szCs w:val="21"/>
              </w:rPr>
              <w:t xml:space="preserve"> </w:t>
            </w:r>
            <w:r>
              <w:rPr>
                <w:rFonts w:ascii="宋体" w:hAnsi="宋体"/>
                <w:b w:val="0"/>
                <w:bCs/>
                <w:szCs w:val="21"/>
              </w:rPr>
              <w:t>理</w:t>
            </w:r>
          </w:p>
        </w:tc>
        <w:tc>
          <w:tcPr>
            <w:tcW w:w="4452" w:type="pct"/>
            <w:vAlign w:val="center"/>
          </w:tcPr>
          <w:p w14:paraId="454BB9B1">
            <w:pPr>
              <w:adjustRightInd w:val="0"/>
              <w:snapToGrid w:val="0"/>
              <w:spacing w:line="240" w:lineRule="exact"/>
              <w:rPr>
                <w:rFonts w:ascii="宋体" w:hAnsi="宋体"/>
                <w:b w:val="0"/>
                <w:szCs w:val="21"/>
              </w:rPr>
            </w:pPr>
            <w:r>
              <w:rPr>
                <w:rFonts w:ascii="宋体" w:hAnsi="宋体"/>
                <w:b w:val="0"/>
                <w:szCs w:val="21"/>
              </w:rPr>
              <w:t>隔离泄漏污染区，限制出入。切断火源。建议应急处理人员戴防尘面具（全面罩），穿一般作业工作服。不要直接接触泄漏物。小量泄漏：避免扬尘，用洁净的铲子收集于干燥、洁净、有盖的容器中，转移至安全场所。大量泄漏：用塑料布、帆布覆盖。使用无火花工具收集回收或运至废物处理场所处置。</w:t>
            </w:r>
          </w:p>
        </w:tc>
      </w:tr>
      <w:tr w14:paraId="65195D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548" w:type="pct"/>
            <w:vAlign w:val="center"/>
          </w:tcPr>
          <w:p w14:paraId="5183A0E7">
            <w:pPr>
              <w:adjustRightInd w:val="0"/>
              <w:snapToGrid w:val="0"/>
              <w:spacing w:line="240" w:lineRule="exact"/>
              <w:jc w:val="center"/>
              <w:rPr>
                <w:rFonts w:ascii="宋体" w:hAnsi="宋体"/>
                <w:b w:val="0"/>
                <w:bCs/>
                <w:szCs w:val="21"/>
              </w:rPr>
            </w:pPr>
            <w:r>
              <w:rPr>
                <w:rFonts w:ascii="宋体" w:hAnsi="宋体"/>
                <w:b w:val="0"/>
                <w:bCs/>
                <w:szCs w:val="21"/>
              </w:rPr>
              <w:t>储</w:t>
            </w:r>
            <w:r>
              <w:rPr>
                <w:rFonts w:hint="eastAsia" w:ascii="宋体" w:hAnsi="宋体"/>
                <w:b w:val="0"/>
                <w:bCs/>
                <w:szCs w:val="21"/>
              </w:rPr>
              <w:t xml:space="preserve"> </w:t>
            </w:r>
            <w:r>
              <w:rPr>
                <w:rFonts w:ascii="宋体" w:hAnsi="宋体"/>
                <w:b w:val="0"/>
                <w:bCs/>
                <w:szCs w:val="21"/>
              </w:rPr>
              <w:t>运</w:t>
            </w:r>
          </w:p>
        </w:tc>
        <w:tc>
          <w:tcPr>
            <w:tcW w:w="4452" w:type="pct"/>
          </w:tcPr>
          <w:p w14:paraId="2ECDFA9B">
            <w:pPr>
              <w:adjustRightInd w:val="0"/>
              <w:snapToGrid w:val="0"/>
              <w:spacing w:line="240" w:lineRule="exact"/>
              <w:rPr>
                <w:rFonts w:ascii="宋体" w:hAnsi="宋体"/>
                <w:b w:val="0"/>
                <w:szCs w:val="21"/>
              </w:rPr>
            </w:pPr>
            <w:r>
              <w:rPr>
                <w:rFonts w:hint="eastAsia" w:ascii="宋体" w:hAnsi="宋体"/>
                <w:b w:val="0"/>
                <w:szCs w:val="21"/>
              </w:rPr>
              <w:t>储存于阴凉、通风、干燥的库房内。隔绝火种、远离热源。包装必须密封。切忌与氧化剂和磷等物品混储混运。搬运时要轻装轻卸，防止包装及容器损坏。</w:t>
            </w:r>
          </w:p>
        </w:tc>
      </w:tr>
    </w:tbl>
    <w:p w14:paraId="7BB4214A">
      <w:pPr>
        <w:rPr>
          <w:rFonts w:ascii="宋体" w:hAnsi="宋体"/>
          <w:snapToGrid w:val="0"/>
          <w:sz w:val="28"/>
          <w:szCs w:val="28"/>
        </w:rPr>
      </w:pPr>
      <w:bookmarkStart w:id="226" w:name="_Toc188265303"/>
      <w:bookmarkStart w:id="227" w:name="_Toc202015906"/>
      <w:r>
        <w:rPr>
          <w:rFonts w:hint="eastAsia" w:ascii="宋体" w:hAnsi="宋体"/>
          <w:snapToGrid w:val="0"/>
          <w:sz w:val="28"/>
          <w:szCs w:val="28"/>
        </w:rPr>
        <w:br w:type="page"/>
      </w:r>
    </w:p>
    <w:p w14:paraId="154AD439">
      <w:pPr>
        <w:spacing w:before="120" w:beforeLines="50" w:line="360" w:lineRule="auto"/>
        <w:ind w:firstLine="562" w:firstLineChars="200"/>
        <w:rPr>
          <w:rFonts w:ascii="宋体" w:hAnsi="宋体"/>
          <w:snapToGrid w:val="0"/>
          <w:sz w:val="28"/>
          <w:szCs w:val="28"/>
        </w:rPr>
      </w:pPr>
      <w:r>
        <w:rPr>
          <w:rFonts w:hint="eastAsia" w:ascii="宋体" w:hAnsi="宋体"/>
          <w:snapToGrid w:val="0"/>
          <w:sz w:val="28"/>
          <w:szCs w:val="28"/>
        </w:rPr>
        <w:t>2）铝粉</w:t>
      </w:r>
    </w:p>
    <w:p w14:paraId="421BB197">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铝粉属二级易燃品，物性参数及对其危险的应对措施列于表3.3-9。</w:t>
      </w:r>
    </w:p>
    <w:p w14:paraId="33FC1A56">
      <w:pPr>
        <w:jc w:val="center"/>
        <w:rPr>
          <w:rFonts w:ascii="黑体" w:hAnsi="宋体" w:eastAsia="黑体"/>
          <w:b w:val="0"/>
          <w:sz w:val="24"/>
        </w:rPr>
      </w:pPr>
      <w:r>
        <w:rPr>
          <w:rFonts w:hint="eastAsia" w:ascii="黑体" w:hAnsi="宋体" w:eastAsia="黑体"/>
          <w:b w:val="0"/>
          <w:sz w:val="24"/>
        </w:rPr>
        <w:t>表3.3-9 铝粉的物性参数及对危险的应对措施</w:t>
      </w:r>
    </w:p>
    <w:tbl>
      <w:tblPr>
        <w:tblStyle w:val="8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8270"/>
      </w:tblGrid>
      <w:tr w14:paraId="11F4B0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48" w:type="pct"/>
            <w:vAlign w:val="center"/>
          </w:tcPr>
          <w:p w14:paraId="7D17C266">
            <w:pPr>
              <w:adjustRightInd w:val="0"/>
              <w:snapToGrid w:val="0"/>
              <w:spacing w:line="240" w:lineRule="exact"/>
              <w:jc w:val="center"/>
              <w:rPr>
                <w:rFonts w:ascii="宋体" w:hAnsi="宋体"/>
                <w:b w:val="0"/>
                <w:bCs/>
                <w:szCs w:val="21"/>
              </w:rPr>
            </w:pPr>
            <w:r>
              <w:rPr>
                <w:rFonts w:hint="eastAsia" w:ascii="宋体" w:hAnsi="宋体"/>
                <w:b w:val="0"/>
                <w:bCs/>
                <w:szCs w:val="21"/>
              </w:rPr>
              <w:t>标 识</w:t>
            </w:r>
          </w:p>
        </w:tc>
        <w:tc>
          <w:tcPr>
            <w:tcW w:w="4452" w:type="pct"/>
          </w:tcPr>
          <w:p w14:paraId="6A116A27">
            <w:pPr>
              <w:adjustRightInd w:val="0"/>
              <w:snapToGrid w:val="0"/>
              <w:spacing w:line="240" w:lineRule="exact"/>
              <w:rPr>
                <w:rFonts w:ascii="宋体" w:hAnsi="宋体"/>
                <w:b w:val="0"/>
                <w:szCs w:val="21"/>
              </w:rPr>
            </w:pPr>
            <w:r>
              <w:rPr>
                <w:rFonts w:hint="eastAsia" w:ascii="宋体" w:hAnsi="宋体"/>
                <w:b w:val="0"/>
                <w:szCs w:val="21"/>
              </w:rPr>
              <w:t>中文名称：铝粉，银粉 ，铝银粉               英文名：</w:t>
            </w:r>
            <w:r>
              <w:rPr>
                <w:rFonts w:ascii="宋体" w:hAnsi="宋体"/>
                <w:b w:val="0"/>
                <w:szCs w:val="21"/>
              </w:rPr>
              <w:t>aluminium powder</w:t>
            </w:r>
          </w:p>
          <w:p w14:paraId="7AD08C28">
            <w:pPr>
              <w:adjustRightInd w:val="0"/>
              <w:snapToGrid w:val="0"/>
              <w:spacing w:line="240" w:lineRule="exact"/>
              <w:rPr>
                <w:rFonts w:ascii="宋体" w:hAnsi="宋体"/>
                <w:b w:val="0"/>
                <w:szCs w:val="21"/>
              </w:rPr>
            </w:pPr>
            <w:r>
              <w:rPr>
                <w:rFonts w:hint="eastAsia" w:ascii="宋体" w:hAnsi="宋体"/>
                <w:b w:val="0"/>
                <w:szCs w:val="21"/>
              </w:rPr>
              <w:t xml:space="preserve">分 子 式：Al；                              分子量：26.97；    </w:t>
            </w:r>
          </w:p>
          <w:p w14:paraId="3D9DADF1">
            <w:pPr>
              <w:adjustRightInd w:val="0"/>
              <w:snapToGrid w:val="0"/>
              <w:spacing w:line="240" w:lineRule="exact"/>
              <w:rPr>
                <w:rFonts w:ascii="宋体" w:hAnsi="宋体"/>
                <w:b w:val="0"/>
                <w:szCs w:val="21"/>
              </w:rPr>
            </w:pPr>
            <w:r>
              <w:rPr>
                <w:rFonts w:hint="eastAsia" w:ascii="宋体" w:hAnsi="宋体"/>
                <w:b w:val="0"/>
                <w:szCs w:val="21"/>
              </w:rPr>
              <w:t>危险化学品目录：1377；                      UN编号：</w:t>
            </w:r>
            <w:r>
              <w:rPr>
                <w:rFonts w:ascii="宋体" w:hAnsi="宋体"/>
                <w:b w:val="0"/>
                <w:szCs w:val="21"/>
              </w:rPr>
              <w:t>1396</w:t>
            </w:r>
            <w:r>
              <w:rPr>
                <w:rFonts w:hint="eastAsia" w:ascii="宋体" w:hAnsi="宋体"/>
                <w:b w:val="0"/>
                <w:szCs w:val="21"/>
              </w:rPr>
              <w:t>；</w:t>
            </w:r>
            <w:r>
              <w:rPr>
                <w:rFonts w:ascii="宋体" w:hAnsi="宋体"/>
                <w:b w:val="0"/>
                <w:szCs w:val="21"/>
              </w:rPr>
              <w:t xml:space="preserve"> </w:t>
            </w:r>
            <w:r>
              <w:rPr>
                <w:rFonts w:hint="eastAsia" w:ascii="宋体" w:hAnsi="宋体"/>
                <w:b w:val="0"/>
                <w:szCs w:val="21"/>
              </w:rPr>
              <w:t xml:space="preserve">  </w:t>
            </w:r>
          </w:p>
          <w:p w14:paraId="5C5F7937">
            <w:pPr>
              <w:adjustRightInd w:val="0"/>
              <w:snapToGrid w:val="0"/>
              <w:spacing w:line="240" w:lineRule="exact"/>
              <w:rPr>
                <w:rFonts w:ascii="宋体" w:hAnsi="宋体"/>
                <w:b w:val="0"/>
                <w:szCs w:val="21"/>
              </w:rPr>
            </w:pPr>
            <w:r>
              <w:rPr>
                <w:rFonts w:ascii="宋体" w:hAnsi="宋体"/>
                <w:b w:val="0"/>
                <w:szCs w:val="21"/>
              </w:rPr>
              <w:t>CAS</w:t>
            </w:r>
            <w:r>
              <w:rPr>
                <w:rFonts w:hint="eastAsia" w:ascii="宋体" w:hAnsi="宋体"/>
                <w:b w:val="0"/>
                <w:szCs w:val="21"/>
              </w:rPr>
              <w:t>号：7429-90-5</w:t>
            </w:r>
          </w:p>
        </w:tc>
      </w:tr>
      <w:tr w14:paraId="163473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48" w:type="pct"/>
            <w:vAlign w:val="center"/>
          </w:tcPr>
          <w:p w14:paraId="4BC22F51">
            <w:pPr>
              <w:adjustRightInd w:val="0"/>
              <w:snapToGrid w:val="0"/>
              <w:spacing w:line="240" w:lineRule="exact"/>
              <w:jc w:val="center"/>
              <w:rPr>
                <w:rFonts w:ascii="宋体" w:hAnsi="宋体"/>
                <w:b w:val="0"/>
                <w:bCs/>
                <w:szCs w:val="21"/>
              </w:rPr>
            </w:pPr>
            <w:r>
              <w:rPr>
                <w:rFonts w:ascii="宋体" w:hAnsi="宋体"/>
                <w:b w:val="0"/>
                <w:bCs/>
                <w:szCs w:val="21"/>
              </w:rPr>
              <w:t>理</w:t>
            </w:r>
            <w:r>
              <w:rPr>
                <w:rFonts w:hint="eastAsia" w:ascii="宋体" w:hAnsi="宋体"/>
                <w:b w:val="0"/>
                <w:bCs/>
                <w:szCs w:val="21"/>
              </w:rPr>
              <w:t xml:space="preserve"> </w:t>
            </w:r>
            <w:r>
              <w:rPr>
                <w:rFonts w:ascii="宋体" w:hAnsi="宋体"/>
                <w:b w:val="0"/>
                <w:bCs/>
                <w:szCs w:val="21"/>
              </w:rPr>
              <w:t>化</w:t>
            </w:r>
          </w:p>
          <w:p w14:paraId="65E9FEC4">
            <w:pPr>
              <w:adjustRightInd w:val="0"/>
              <w:snapToGrid w:val="0"/>
              <w:spacing w:line="240" w:lineRule="exact"/>
              <w:jc w:val="center"/>
              <w:rPr>
                <w:rFonts w:ascii="宋体" w:hAnsi="宋体"/>
                <w:b w:val="0"/>
                <w:bCs/>
                <w:szCs w:val="21"/>
              </w:rPr>
            </w:pPr>
            <w:r>
              <w:rPr>
                <w:rFonts w:hint="eastAsia" w:ascii="宋体" w:hAnsi="宋体"/>
                <w:b w:val="0"/>
                <w:bCs/>
                <w:szCs w:val="21"/>
              </w:rPr>
              <w:t>性 质</w:t>
            </w:r>
          </w:p>
        </w:tc>
        <w:tc>
          <w:tcPr>
            <w:tcW w:w="4452" w:type="pct"/>
          </w:tcPr>
          <w:p w14:paraId="279CB992">
            <w:pPr>
              <w:adjustRightInd w:val="0"/>
              <w:snapToGrid w:val="0"/>
              <w:spacing w:line="240" w:lineRule="exact"/>
              <w:rPr>
                <w:rFonts w:ascii="宋体" w:hAnsi="宋体"/>
                <w:b w:val="0"/>
                <w:szCs w:val="21"/>
              </w:rPr>
            </w:pPr>
            <w:r>
              <w:rPr>
                <w:rFonts w:ascii="宋体" w:hAnsi="宋体"/>
                <w:b w:val="0"/>
                <w:szCs w:val="21"/>
              </w:rPr>
              <w:t>外观性状：银白色粉末</w:t>
            </w:r>
            <w:r>
              <w:rPr>
                <w:rFonts w:hint="eastAsia" w:ascii="宋体" w:hAnsi="宋体"/>
                <w:b w:val="0"/>
                <w:szCs w:val="21"/>
              </w:rPr>
              <w:t>。                 相对密度（g/cm</w:t>
            </w:r>
            <w:r>
              <w:rPr>
                <w:rFonts w:hint="eastAsia" w:ascii="宋体" w:hAnsi="宋体"/>
                <w:b w:val="0"/>
                <w:szCs w:val="21"/>
                <w:vertAlign w:val="superscript"/>
              </w:rPr>
              <w:t>3</w:t>
            </w:r>
            <w:r>
              <w:rPr>
                <w:rFonts w:hint="eastAsia" w:ascii="宋体" w:hAnsi="宋体"/>
                <w:b w:val="0"/>
                <w:szCs w:val="21"/>
              </w:rPr>
              <w:t>）：</w:t>
            </w:r>
            <w:r>
              <w:rPr>
                <w:rFonts w:ascii="宋体" w:hAnsi="宋体"/>
                <w:b w:val="0"/>
                <w:szCs w:val="21"/>
              </w:rPr>
              <w:t>2.7</w:t>
            </w:r>
            <w:r>
              <w:rPr>
                <w:rFonts w:hint="eastAsia" w:ascii="宋体" w:hAnsi="宋体"/>
                <w:b w:val="0"/>
                <w:szCs w:val="21"/>
              </w:rPr>
              <w:t>2（水=1）；</w:t>
            </w:r>
          </w:p>
          <w:p w14:paraId="6364DA44">
            <w:pPr>
              <w:adjustRightInd w:val="0"/>
              <w:snapToGrid w:val="0"/>
              <w:spacing w:line="240" w:lineRule="exact"/>
              <w:rPr>
                <w:rFonts w:ascii="宋体" w:hAnsi="宋体"/>
                <w:b w:val="0"/>
                <w:szCs w:val="21"/>
              </w:rPr>
            </w:pPr>
            <w:r>
              <w:rPr>
                <w:rFonts w:hint="eastAsia" w:ascii="宋体" w:hAnsi="宋体"/>
                <w:b w:val="0"/>
                <w:szCs w:val="21"/>
              </w:rPr>
              <w:t>熔    点（℃）：</w:t>
            </w:r>
            <w:r>
              <w:rPr>
                <w:rFonts w:ascii="宋体" w:hAnsi="宋体"/>
                <w:b w:val="0"/>
                <w:szCs w:val="21"/>
              </w:rPr>
              <w:t>660</w:t>
            </w:r>
            <w:r>
              <w:rPr>
                <w:rFonts w:hint="eastAsia" w:ascii="宋体" w:hAnsi="宋体"/>
                <w:b w:val="0"/>
                <w:szCs w:val="21"/>
              </w:rPr>
              <w:t>；                   沸    点（℃）：</w:t>
            </w:r>
            <w:r>
              <w:rPr>
                <w:rFonts w:ascii="宋体" w:hAnsi="宋体"/>
                <w:b w:val="0"/>
                <w:szCs w:val="21"/>
              </w:rPr>
              <w:t>2056</w:t>
            </w:r>
            <w:r>
              <w:rPr>
                <w:rFonts w:hint="eastAsia" w:ascii="宋体" w:hAnsi="宋体"/>
                <w:b w:val="0"/>
                <w:szCs w:val="21"/>
              </w:rPr>
              <w:t xml:space="preserve">   </w:t>
            </w:r>
          </w:p>
          <w:p w14:paraId="36F3AC5B">
            <w:pPr>
              <w:adjustRightInd w:val="0"/>
              <w:snapToGrid w:val="0"/>
              <w:spacing w:line="240" w:lineRule="exact"/>
              <w:rPr>
                <w:rFonts w:ascii="宋体" w:hAnsi="宋体"/>
                <w:b w:val="0"/>
                <w:szCs w:val="21"/>
              </w:rPr>
            </w:pPr>
            <w:r>
              <w:rPr>
                <w:rFonts w:hint="eastAsia" w:ascii="宋体" w:hAnsi="宋体"/>
                <w:b w:val="0"/>
                <w:szCs w:val="21"/>
              </w:rPr>
              <w:t>发火点（℃）：&gt;800(粉末在空气中)        燃烧热（kJ</w:t>
            </w:r>
            <w:r>
              <w:rPr>
                <w:rFonts w:ascii="宋体" w:hAnsi="宋体"/>
                <w:b w:val="0"/>
                <w:szCs w:val="21"/>
              </w:rPr>
              <w:t>.</w:t>
            </w:r>
            <w:r>
              <w:rPr>
                <w:rFonts w:hint="eastAsia" w:ascii="宋体" w:hAnsi="宋体"/>
                <w:b w:val="0"/>
                <w:szCs w:val="21"/>
              </w:rPr>
              <w:t>mol-1）：</w:t>
            </w:r>
            <w:r>
              <w:rPr>
                <w:rFonts w:ascii="宋体" w:hAnsi="宋体"/>
                <w:b w:val="0"/>
                <w:szCs w:val="21"/>
              </w:rPr>
              <w:t>822.9</w:t>
            </w:r>
          </w:p>
          <w:p w14:paraId="17EAA9D7">
            <w:pPr>
              <w:adjustRightInd w:val="0"/>
              <w:snapToGrid w:val="0"/>
              <w:spacing w:line="240" w:lineRule="exact"/>
              <w:rPr>
                <w:rFonts w:ascii="宋体" w:hAnsi="宋体"/>
                <w:b w:val="0"/>
                <w:szCs w:val="21"/>
              </w:rPr>
            </w:pPr>
            <w:r>
              <w:rPr>
                <w:rFonts w:hint="eastAsia" w:ascii="宋体" w:hAnsi="宋体"/>
                <w:b w:val="0"/>
                <w:szCs w:val="21"/>
              </w:rPr>
              <w:t>饱和蒸汽压（kPa）：</w:t>
            </w:r>
            <w:r>
              <w:rPr>
                <w:rFonts w:ascii="宋体" w:hAnsi="宋体"/>
                <w:b w:val="0"/>
                <w:szCs w:val="21"/>
              </w:rPr>
              <w:t>0.13</w:t>
            </w:r>
            <w:r>
              <w:rPr>
                <w:rFonts w:hint="eastAsia" w:ascii="宋体" w:hAnsi="宋体"/>
                <w:b w:val="0"/>
                <w:szCs w:val="21"/>
              </w:rPr>
              <w:t>3                最小引燃能量（mJ）：20</w:t>
            </w:r>
          </w:p>
          <w:p w14:paraId="0964ACA5">
            <w:pPr>
              <w:adjustRightInd w:val="0"/>
              <w:snapToGrid w:val="0"/>
              <w:spacing w:line="240" w:lineRule="exact"/>
              <w:rPr>
                <w:rFonts w:ascii="宋体" w:hAnsi="宋体"/>
                <w:b w:val="0"/>
                <w:szCs w:val="21"/>
              </w:rPr>
            </w:pPr>
            <w:r>
              <w:rPr>
                <w:rFonts w:hint="eastAsia" w:ascii="宋体" w:hAnsi="宋体"/>
                <w:b w:val="0"/>
                <w:szCs w:val="21"/>
              </w:rPr>
              <w:t>最大爆炸压力（kg/cm</w:t>
            </w:r>
            <w:r>
              <w:rPr>
                <w:rFonts w:hint="eastAsia" w:ascii="宋体" w:hAnsi="宋体"/>
                <w:b w:val="0"/>
                <w:szCs w:val="21"/>
                <w:vertAlign w:val="superscript"/>
              </w:rPr>
              <w:t>2</w:t>
            </w:r>
            <w:r>
              <w:rPr>
                <w:rFonts w:hint="eastAsia" w:ascii="宋体" w:hAnsi="宋体"/>
                <w:b w:val="0"/>
                <w:szCs w:val="21"/>
              </w:rPr>
              <w:t xml:space="preserve">）：6.1                 </w:t>
            </w:r>
          </w:p>
          <w:p w14:paraId="5EB6FD9D">
            <w:pPr>
              <w:adjustRightInd w:val="0"/>
              <w:snapToGrid w:val="0"/>
              <w:spacing w:line="240" w:lineRule="exact"/>
              <w:rPr>
                <w:rFonts w:ascii="宋体" w:hAnsi="宋体"/>
                <w:b w:val="0"/>
                <w:szCs w:val="21"/>
              </w:rPr>
            </w:pPr>
            <w:r>
              <w:rPr>
                <w:rFonts w:hint="eastAsia" w:ascii="宋体" w:hAnsi="宋体"/>
                <w:b w:val="0"/>
                <w:szCs w:val="21"/>
              </w:rPr>
              <w:t>溶 解 性：</w:t>
            </w:r>
            <w:r>
              <w:rPr>
                <w:rFonts w:ascii="宋体" w:hAnsi="宋体"/>
                <w:b w:val="0"/>
                <w:szCs w:val="21"/>
              </w:rPr>
              <w:t>不溶于水，溶于碱、盐酸、硫酸。</w:t>
            </w:r>
          </w:p>
          <w:p w14:paraId="7C9690DE">
            <w:pPr>
              <w:adjustRightInd w:val="0"/>
              <w:snapToGrid w:val="0"/>
              <w:spacing w:line="240" w:lineRule="exact"/>
              <w:rPr>
                <w:rFonts w:ascii="宋体" w:hAnsi="宋体"/>
                <w:b w:val="0"/>
                <w:szCs w:val="21"/>
              </w:rPr>
            </w:pPr>
            <w:r>
              <w:rPr>
                <w:rFonts w:hint="eastAsia" w:ascii="宋体" w:hAnsi="宋体"/>
                <w:b w:val="0"/>
                <w:szCs w:val="21"/>
              </w:rPr>
              <w:t>禁 忌 物：</w:t>
            </w:r>
            <w:r>
              <w:rPr>
                <w:rFonts w:ascii="宋体" w:hAnsi="宋体"/>
                <w:b w:val="0"/>
                <w:szCs w:val="21"/>
              </w:rPr>
              <w:t>酸类、酰基氯、强氧化剂、卤素、氧</w:t>
            </w:r>
          </w:p>
        </w:tc>
      </w:tr>
      <w:tr w14:paraId="13A702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48" w:type="pct"/>
            <w:vAlign w:val="center"/>
          </w:tcPr>
          <w:p w14:paraId="616F92CE">
            <w:pPr>
              <w:adjustRightInd w:val="0"/>
              <w:snapToGrid w:val="0"/>
              <w:spacing w:line="240" w:lineRule="exact"/>
              <w:jc w:val="center"/>
              <w:rPr>
                <w:rFonts w:ascii="宋体" w:hAnsi="宋体"/>
                <w:b w:val="0"/>
                <w:bCs/>
                <w:szCs w:val="21"/>
              </w:rPr>
            </w:pPr>
            <w:r>
              <w:rPr>
                <w:rFonts w:hint="eastAsia" w:ascii="宋体" w:hAnsi="宋体"/>
                <w:b w:val="0"/>
                <w:bCs/>
                <w:szCs w:val="21"/>
              </w:rPr>
              <w:t>危险有害特性</w:t>
            </w:r>
          </w:p>
        </w:tc>
        <w:tc>
          <w:tcPr>
            <w:tcW w:w="4452" w:type="pct"/>
          </w:tcPr>
          <w:p w14:paraId="3D680A07">
            <w:pPr>
              <w:adjustRightInd w:val="0"/>
              <w:snapToGrid w:val="0"/>
              <w:spacing w:line="240" w:lineRule="exact"/>
              <w:rPr>
                <w:rFonts w:ascii="宋体" w:hAnsi="宋体"/>
                <w:b w:val="0"/>
                <w:szCs w:val="21"/>
              </w:rPr>
            </w:pPr>
            <w:r>
              <w:rPr>
                <w:rFonts w:hint="eastAsia" w:ascii="宋体" w:hAnsi="宋体"/>
                <w:b w:val="0"/>
                <w:szCs w:val="21"/>
              </w:rPr>
              <w:t>燃烧爆炸性：燃 烧 性：</w:t>
            </w:r>
            <w:r>
              <w:rPr>
                <w:rFonts w:ascii="宋体" w:hAnsi="宋体"/>
                <w:b w:val="0"/>
                <w:szCs w:val="21"/>
              </w:rPr>
              <w:t>易燃</w:t>
            </w:r>
            <w:r>
              <w:rPr>
                <w:rFonts w:hint="eastAsia" w:ascii="宋体" w:hAnsi="宋体"/>
                <w:b w:val="0"/>
                <w:szCs w:val="21"/>
              </w:rPr>
              <w:t xml:space="preserve">                引燃温度（℃）：</w:t>
            </w:r>
            <w:r>
              <w:rPr>
                <w:rFonts w:ascii="宋体" w:hAnsi="宋体"/>
                <w:b w:val="0"/>
                <w:szCs w:val="21"/>
              </w:rPr>
              <w:t>645</w:t>
            </w:r>
          </w:p>
          <w:p w14:paraId="1639B2E3">
            <w:pPr>
              <w:adjustRightInd w:val="0"/>
              <w:snapToGrid w:val="0"/>
              <w:spacing w:line="240" w:lineRule="exact"/>
              <w:rPr>
                <w:rFonts w:ascii="宋体" w:hAnsi="宋体"/>
                <w:b w:val="0"/>
                <w:szCs w:val="21"/>
              </w:rPr>
            </w:pPr>
            <w:r>
              <w:rPr>
                <w:rFonts w:hint="eastAsia" w:ascii="宋体" w:hAnsi="宋体"/>
                <w:b w:val="0"/>
                <w:szCs w:val="21"/>
              </w:rPr>
              <w:t>爆炸极限（g/m</w:t>
            </w:r>
            <w:r>
              <w:rPr>
                <w:rFonts w:hint="eastAsia" w:ascii="宋体" w:hAnsi="宋体"/>
                <w:b w:val="0"/>
                <w:szCs w:val="21"/>
                <w:vertAlign w:val="superscript"/>
              </w:rPr>
              <w:t>3</w:t>
            </w:r>
            <w:r>
              <w:rPr>
                <w:rFonts w:hint="eastAsia" w:ascii="宋体" w:hAnsi="宋体"/>
                <w:b w:val="0"/>
                <w:szCs w:val="21"/>
              </w:rPr>
              <w:t>）：25</w:t>
            </w:r>
            <w:r>
              <w:rPr>
                <w:rFonts w:ascii="宋体" w:hAnsi="宋体"/>
                <w:b w:val="0"/>
                <w:szCs w:val="21"/>
              </w:rPr>
              <w:t>～</w:t>
            </w:r>
            <w:r>
              <w:rPr>
                <w:rFonts w:hint="eastAsia" w:ascii="宋体" w:hAnsi="宋体"/>
                <w:b w:val="0"/>
                <w:szCs w:val="21"/>
              </w:rPr>
              <w:t>4</w:t>
            </w:r>
            <w:r>
              <w:rPr>
                <w:rFonts w:ascii="宋体" w:hAnsi="宋体"/>
                <w:b w:val="0"/>
                <w:szCs w:val="21"/>
              </w:rPr>
              <w:t>0</w:t>
            </w:r>
            <w:r>
              <w:rPr>
                <w:rFonts w:hint="eastAsia" w:ascii="宋体" w:hAnsi="宋体"/>
                <w:b w:val="0"/>
                <w:szCs w:val="21"/>
              </w:rPr>
              <w:t xml:space="preserve">                    稳 定 性：稳定  </w:t>
            </w:r>
          </w:p>
          <w:p w14:paraId="662A9680">
            <w:pPr>
              <w:adjustRightInd w:val="0"/>
              <w:snapToGrid w:val="0"/>
              <w:spacing w:line="240" w:lineRule="exact"/>
              <w:rPr>
                <w:rFonts w:ascii="宋体" w:hAnsi="宋体"/>
                <w:b w:val="0"/>
                <w:szCs w:val="21"/>
              </w:rPr>
            </w:pPr>
            <w:r>
              <w:rPr>
                <w:rFonts w:hint="eastAsia" w:ascii="宋体" w:hAnsi="宋体"/>
                <w:b w:val="0"/>
                <w:szCs w:val="21"/>
              </w:rPr>
              <w:t>燃烧温度（℃）：3000</w:t>
            </w:r>
          </w:p>
          <w:p w14:paraId="7CA528CA">
            <w:pPr>
              <w:adjustRightInd w:val="0"/>
              <w:snapToGrid w:val="0"/>
              <w:spacing w:line="240" w:lineRule="exact"/>
              <w:ind w:firstLine="420" w:firstLineChars="200"/>
              <w:rPr>
                <w:rFonts w:ascii="宋体" w:hAnsi="宋体"/>
                <w:b w:val="0"/>
                <w:szCs w:val="21"/>
              </w:rPr>
            </w:pPr>
            <w:r>
              <w:rPr>
                <w:rFonts w:ascii="宋体" w:hAnsi="宋体"/>
                <w:b w:val="0"/>
                <w:szCs w:val="21"/>
              </w:rPr>
              <w:t>本品遇湿易燃，具刺激性。遇潮湿、水</w:t>
            </w:r>
            <w:r>
              <w:rPr>
                <w:rFonts w:hint="eastAsia" w:ascii="宋体" w:hAnsi="宋体"/>
                <w:b w:val="0"/>
                <w:szCs w:val="21"/>
              </w:rPr>
              <w:t>、水</w:t>
            </w:r>
            <w:r>
              <w:rPr>
                <w:rFonts w:ascii="宋体" w:hAnsi="宋体"/>
                <w:b w:val="0"/>
                <w:szCs w:val="21"/>
              </w:rPr>
              <w:t>蒸气</w:t>
            </w:r>
            <w:r>
              <w:rPr>
                <w:rFonts w:hint="eastAsia" w:ascii="宋体" w:hAnsi="宋体"/>
                <w:b w:val="0"/>
                <w:szCs w:val="21"/>
              </w:rPr>
              <w:t>会发生化学反应，放出氢气并产生大量热量，积热</w:t>
            </w:r>
            <w:r>
              <w:rPr>
                <w:rFonts w:ascii="宋体" w:hAnsi="宋体"/>
                <w:b w:val="0"/>
                <w:szCs w:val="21"/>
              </w:rPr>
              <w:t>能自燃</w:t>
            </w:r>
            <w:r>
              <w:rPr>
                <w:rFonts w:hint="eastAsia" w:ascii="宋体" w:hAnsi="宋体"/>
                <w:b w:val="0"/>
                <w:szCs w:val="21"/>
              </w:rPr>
              <w:t>自爆</w:t>
            </w:r>
            <w:r>
              <w:rPr>
                <w:rFonts w:ascii="宋体" w:hAnsi="宋体"/>
                <w:b w:val="0"/>
                <w:szCs w:val="21"/>
              </w:rPr>
              <w:t>。与氧化剂混合能形成爆炸性混合物。与氟、氯等接触会发生剧烈的化学反应。与酸类或与强碱接触能产生氢气，引起燃烧爆炸。</w:t>
            </w:r>
            <w:r>
              <w:rPr>
                <w:rFonts w:hint="eastAsia" w:ascii="宋体" w:hAnsi="宋体"/>
                <w:b w:val="0"/>
                <w:szCs w:val="21"/>
              </w:rPr>
              <w:t>其</w:t>
            </w:r>
            <w:r>
              <w:rPr>
                <w:rFonts w:ascii="宋体" w:hAnsi="宋体"/>
                <w:b w:val="0"/>
                <w:szCs w:val="21"/>
              </w:rPr>
              <w:t>与空气可形成爆炸性混合物, 当达到一定浓度时</w:t>
            </w:r>
            <w:r>
              <w:rPr>
                <w:rFonts w:hint="eastAsia" w:ascii="宋体" w:hAnsi="宋体"/>
                <w:b w:val="0"/>
                <w:szCs w:val="21"/>
              </w:rPr>
              <w:t>（每千克空气中含40mg以上）</w:t>
            </w:r>
            <w:r>
              <w:rPr>
                <w:rFonts w:ascii="宋体" w:hAnsi="宋体"/>
                <w:b w:val="0"/>
                <w:szCs w:val="21"/>
              </w:rPr>
              <w:t>, 遇火星会发生爆炸。</w:t>
            </w:r>
            <w:r>
              <w:rPr>
                <w:rFonts w:hint="eastAsia" w:ascii="宋体" w:hAnsi="宋体"/>
                <w:b w:val="0"/>
                <w:szCs w:val="21"/>
              </w:rPr>
              <w:t xml:space="preserve"> </w:t>
            </w:r>
            <w:r>
              <w:rPr>
                <w:rFonts w:ascii="宋体" w:hAnsi="宋体"/>
                <w:b w:val="0"/>
                <w:szCs w:val="21"/>
              </w:rPr>
              <w:t xml:space="preserve"> </w:t>
            </w:r>
          </w:p>
          <w:p w14:paraId="59DBD463">
            <w:pPr>
              <w:adjustRightInd w:val="0"/>
              <w:snapToGrid w:val="0"/>
              <w:spacing w:line="240" w:lineRule="exact"/>
              <w:ind w:firstLine="396" w:firstLineChars="200"/>
              <w:rPr>
                <w:rFonts w:ascii="宋体" w:hAnsi="宋体"/>
                <w:b w:val="0"/>
                <w:spacing w:val="-6"/>
                <w:szCs w:val="21"/>
              </w:rPr>
            </w:pPr>
            <w:r>
              <w:rPr>
                <w:rFonts w:hint="eastAsia" w:ascii="宋体" w:hAnsi="宋体"/>
                <w:b w:val="0"/>
                <w:spacing w:val="-6"/>
                <w:szCs w:val="21"/>
              </w:rPr>
              <w:t>健康危害：</w:t>
            </w:r>
            <w:r>
              <w:rPr>
                <w:rFonts w:ascii="宋体" w:hAnsi="宋体"/>
                <w:b w:val="0"/>
                <w:spacing w:val="-6"/>
                <w:szCs w:val="21"/>
              </w:rPr>
              <w:t>长期吸入可致铝尘肺</w:t>
            </w:r>
            <w:r>
              <w:rPr>
                <w:rFonts w:hint="eastAsia" w:ascii="宋体" w:hAnsi="宋体"/>
                <w:b w:val="0"/>
                <w:spacing w:val="-6"/>
                <w:szCs w:val="21"/>
              </w:rPr>
              <w:t>，大量吸入可导致知觉麻痹</w:t>
            </w:r>
            <w:r>
              <w:rPr>
                <w:rFonts w:ascii="宋体" w:hAnsi="宋体"/>
                <w:b w:val="0"/>
                <w:spacing w:val="-6"/>
                <w:szCs w:val="21"/>
              </w:rPr>
              <w:t>。表现为消瘦、极易疲劳、呼吸困难、咳嗽、咳痰等。溅入眼内，可发生局灶性</w:t>
            </w:r>
            <w:r>
              <w:rPr>
                <w:rFonts w:hint="eastAsia" w:ascii="宋体" w:hAnsi="宋体"/>
                <w:b w:val="0"/>
                <w:spacing w:val="-6"/>
                <w:szCs w:val="21"/>
              </w:rPr>
              <w:t>力</w:t>
            </w:r>
            <w:r>
              <w:rPr>
                <w:rFonts w:ascii="宋体" w:hAnsi="宋体"/>
                <w:b w:val="0"/>
                <w:spacing w:val="-6"/>
                <w:szCs w:val="21"/>
              </w:rPr>
              <w:t>坏死，角膜色素沉着，晶体膜改变及玻璃体混浊。对鼻、口、性器官粘膜有刺激性，甚至发生溃疡。可引起痤疮、湿疹、皮炎。</w:t>
            </w:r>
          </w:p>
        </w:tc>
      </w:tr>
      <w:tr w14:paraId="664BAC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48" w:type="pct"/>
            <w:vAlign w:val="center"/>
          </w:tcPr>
          <w:p w14:paraId="08791D53">
            <w:pPr>
              <w:adjustRightInd w:val="0"/>
              <w:snapToGrid w:val="0"/>
              <w:spacing w:line="240" w:lineRule="exact"/>
              <w:jc w:val="center"/>
              <w:rPr>
                <w:rFonts w:ascii="宋体" w:hAnsi="宋体"/>
                <w:b w:val="0"/>
                <w:bCs/>
                <w:szCs w:val="21"/>
              </w:rPr>
            </w:pPr>
            <w:r>
              <w:rPr>
                <w:rFonts w:hint="eastAsia" w:ascii="宋体" w:hAnsi="宋体"/>
                <w:b w:val="0"/>
                <w:bCs/>
                <w:szCs w:val="21"/>
              </w:rPr>
              <w:t>急救</w:t>
            </w:r>
          </w:p>
        </w:tc>
        <w:tc>
          <w:tcPr>
            <w:tcW w:w="4452" w:type="pct"/>
          </w:tcPr>
          <w:p w14:paraId="1F2964E9">
            <w:pPr>
              <w:adjustRightInd w:val="0"/>
              <w:snapToGrid w:val="0"/>
              <w:spacing w:line="240" w:lineRule="exact"/>
              <w:rPr>
                <w:rFonts w:ascii="宋体" w:hAnsi="宋体"/>
                <w:b w:val="0"/>
                <w:szCs w:val="21"/>
              </w:rPr>
            </w:pPr>
            <w:r>
              <w:rPr>
                <w:rFonts w:ascii="宋体" w:hAnsi="宋体"/>
                <w:b w:val="0"/>
                <w:szCs w:val="21"/>
              </w:rPr>
              <w:t>消防措施：干砂、石粉</w:t>
            </w:r>
            <w:r>
              <w:rPr>
                <w:rFonts w:hint="eastAsia" w:ascii="宋体" w:hAnsi="宋体"/>
                <w:b w:val="0"/>
                <w:szCs w:val="21"/>
              </w:rPr>
              <w:t>。</w:t>
            </w:r>
            <w:r>
              <w:rPr>
                <w:rFonts w:ascii="宋体" w:hAnsi="宋体"/>
                <w:b w:val="0"/>
                <w:szCs w:val="21"/>
              </w:rPr>
              <w:t>严禁用水、</w:t>
            </w:r>
            <w:r>
              <w:rPr>
                <w:rFonts w:hint="eastAsia" w:ascii="宋体" w:hAnsi="宋体"/>
                <w:b w:val="0"/>
                <w:szCs w:val="21"/>
              </w:rPr>
              <w:t>四氯化碳</w:t>
            </w:r>
            <w:r>
              <w:rPr>
                <w:rFonts w:ascii="宋体" w:hAnsi="宋体"/>
                <w:b w:val="0"/>
                <w:szCs w:val="21"/>
              </w:rPr>
              <w:t>、二氧化碳</w:t>
            </w:r>
            <w:r>
              <w:rPr>
                <w:rFonts w:hint="eastAsia" w:ascii="宋体" w:hAnsi="宋体"/>
                <w:b w:val="0"/>
                <w:szCs w:val="21"/>
              </w:rPr>
              <w:t>，也不能用压力喷射的干粉灭火器</w:t>
            </w:r>
            <w:r>
              <w:rPr>
                <w:rFonts w:ascii="宋体" w:hAnsi="宋体"/>
                <w:b w:val="0"/>
                <w:szCs w:val="21"/>
              </w:rPr>
              <w:t>。</w:t>
            </w:r>
          </w:p>
          <w:p w14:paraId="6385A7AE">
            <w:pPr>
              <w:spacing w:line="240" w:lineRule="exact"/>
              <w:rPr>
                <w:rFonts w:ascii="宋体" w:hAnsi="宋体"/>
                <w:b w:val="0"/>
                <w:szCs w:val="21"/>
              </w:rPr>
            </w:pPr>
            <w:r>
              <w:rPr>
                <w:rFonts w:hint="eastAsia" w:ascii="宋体" w:hAnsi="宋体"/>
                <w:b w:val="0"/>
                <w:szCs w:val="21"/>
              </w:rPr>
              <w:t xml:space="preserve">急救措施：脱离现场至空气新鲜处 </w:t>
            </w:r>
          </w:p>
        </w:tc>
      </w:tr>
      <w:tr w14:paraId="76E853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48" w:type="pct"/>
            <w:vAlign w:val="center"/>
          </w:tcPr>
          <w:p w14:paraId="393B789C">
            <w:pPr>
              <w:adjustRightInd w:val="0"/>
              <w:snapToGrid w:val="0"/>
              <w:spacing w:line="240" w:lineRule="exact"/>
              <w:jc w:val="center"/>
              <w:rPr>
                <w:rFonts w:ascii="宋体" w:hAnsi="宋体"/>
                <w:b w:val="0"/>
                <w:bCs/>
                <w:szCs w:val="21"/>
              </w:rPr>
            </w:pPr>
            <w:r>
              <w:rPr>
                <w:rFonts w:hint="eastAsia" w:ascii="宋体" w:hAnsi="宋体"/>
                <w:b w:val="0"/>
                <w:bCs/>
                <w:szCs w:val="21"/>
              </w:rPr>
              <w:t>泄 露</w:t>
            </w:r>
          </w:p>
          <w:p w14:paraId="0CC5A477">
            <w:pPr>
              <w:adjustRightInd w:val="0"/>
              <w:snapToGrid w:val="0"/>
              <w:spacing w:line="240" w:lineRule="exact"/>
              <w:jc w:val="center"/>
              <w:rPr>
                <w:rFonts w:ascii="宋体" w:hAnsi="宋体"/>
                <w:b w:val="0"/>
                <w:bCs/>
                <w:szCs w:val="21"/>
              </w:rPr>
            </w:pPr>
            <w:r>
              <w:rPr>
                <w:rFonts w:ascii="宋体" w:hAnsi="宋体"/>
                <w:b w:val="0"/>
                <w:bCs/>
                <w:szCs w:val="21"/>
              </w:rPr>
              <w:t>处</w:t>
            </w:r>
            <w:r>
              <w:rPr>
                <w:rFonts w:hint="eastAsia" w:ascii="宋体" w:hAnsi="宋体"/>
                <w:b w:val="0"/>
                <w:bCs/>
                <w:szCs w:val="21"/>
              </w:rPr>
              <w:t xml:space="preserve"> </w:t>
            </w:r>
            <w:r>
              <w:rPr>
                <w:rFonts w:ascii="宋体" w:hAnsi="宋体"/>
                <w:b w:val="0"/>
                <w:bCs/>
                <w:szCs w:val="21"/>
              </w:rPr>
              <w:t>理</w:t>
            </w:r>
          </w:p>
        </w:tc>
        <w:tc>
          <w:tcPr>
            <w:tcW w:w="4452" w:type="pct"/>
          </w:tcPr>
          <w:p w14:paraId="240262EB">
            <w:pPr>
              <w:adjustRightInd w:val="0"/>
              <w:snapToGrid w:val="0"/>
              <w:spacing w:line="240" w:lineRule="exact"/>
              <w:rPr>
                <w:rFonts w:ascii="宋体" w:hAnsi="宋体"/>
                <w:b w:val="0"/>
                <w:szCs w:val="21"/>
              </w:rPr>
            </w:pPr>
            <w:r>
              <w:rPr>
                <w:rFonts w:ascii="宋体" w:hAnsi="宋体"/>
                <w:b w:val="0"/>
                <w:szCs w:val="21"/>
              </w:rPr>
              <w:t>隔离泄漏污染区，限制出入。切断火源。建议应急处理人员戴自给正压式呼吸器，穿防静电工作服。不要直接接触泄漏物。</w:t>
            </w:r>
          </w:p>
        </w:tc>
      </w:tr>
      <w:tr w14:paraId="0578D5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48" w:type="pct"/>
            <w:vAlign w:val="center"/>
          </w:tcPr>
          <w:p w14:paraId="22DC96BF">
            <w:pPr>
              <w:adjustRightInd w:val="0"/>
              <w:snapToGrid w:val="0"/>
              <w:spacing w:line="240" w:lineRule="exact"/>
              <w:jc w:val="center"/>
              <w:rPr>
                <w:rFonts w:ascii="宋体" w:hAnsi="宋体"/>
                <w:b w:val="0"/>
                <w:bCs/>
                <w:szCs w:val="21"/>
              </w:rPr>
            </w:pPr>
            <w:r>
              <w:rPr>
                <w:rFonts w:ascii="宋体" w:hAnsi="宋体"/>
                <w:b w:val="0"/>
                <w:bCs/>
                <w:szCs w:val="21"/>
              </w:rPr>
              <w:t>储</w:t>
            </w:r>
            <w:r>
              <w:rPr>
                <w:rFonts w:hint="eastAsia" w:ascii="宋体" w:hAnsi="宋体"/>
                <w:b w:val="0"/>
                <w:bCs/>
                <w:szCs w:val="21"/>
              </w:rPr>
              <w:t xml:space="preserve"> </w:t>
            </w:r>
            <w:r>
              <w:rPr>
                <w:rFonts w:ascii="宋体" w:hAnsi="宋体"/>
                <w:b w:val="0"/>
                <w:bCs/>
                <w:szCs w:val="21"/>
              </w:rPr>
              <w:t>运</w:t>
            </w:r>
          </w:p>
        </w:tc>
        <w:tc>
          <w:tcPr>
            <w:tcW w:w="4452" w:type="pct"/>
            <w:vAlign w:val="center"/>
          </w:tcPr>
          <w:p w14:paraId="3E50A7D5">
            <w:pPr>
              <w:adjustRightInd w:val="0"/>
              <w:snapToGrid w:val="0"/>
              <w:spacing w:line="240" w:lineRule="exact"/>
              <w:rPr>
                <w:rFonts w:ascii="宋体" w:hAnsi="宋体"/>
                <w:b w:val="0"/>
                <w:szCs w:val="21"/>
              </w:rPr>
            </w:pPr>
            <w:r>
              <w:rPr>
                <w:rFonts w:hint="eastAsia" w:ascii="宋体" w:hAnsi="宋体"/>
                <w:b w:val="0"/>
                <w:szCs w:val="21"/>
              </w:rPr>
              <w:t>储存于阴凉、通风、干燥的库房，远离火种、热源，防止阳光直射；要与氧化剂及酸碱分开存放；雨天不得运输，搬运时应轻装轻卸，防止损害和泄漏。</w:t>
            </w:r>
          </w:p>
        </w:tc>
      </w:tr>
    </w:tbl>
    <w:p w14:paraId="6AE7CC76">
      <w:pPr>
        <w:spacing w:before="120" w:beforeLines="50" w:line="360" w:lineRule="auto"/>
        <w:ind w:firstLine="562" w:firstLineChars="200"/>
        <w:rPr>
          <w:rFonts w:ascii="宋体" w:hAnsi="宋体"/>
          <w:snapToGrid w:val="0"/>
          <w:sz w:val="28"/>
          <w:szCs w:val="28"/>
        </w:rPr>
      </w:pPr>
      <w:r>
        <w:rPr>
          <w:rFonts w:ascii="宋体" w:hAnsi="宋体"/>
          <w:snapToGrid w:val="0"/>
          <w:sz w:val="28"/>
          <w:szCs w:val="28"/>
        </w:rPr>
        <w:t>3</w:t>
      </w:r>
      <w:r>
        <w:rPr>
          <w:rFonts w:hint="eastAsia" w:ascii="宋体" w:hAnsi="宋体"/>
          <w:snapToGrid w:val="0"/>
          <w:sz w:val="28"/>
          <w:szCs w:val="28"/>
        </w:rPr>
        <w:t>）木炭</w:t>
      </w:r>
      <w:bookmarkEnd w:id="226"/>
      <w:bookmarkEnd w:id="227"/>
    </w:p>
    <w:p w14:paraId="15A7633B">
      <w:pPr>
        <w:spacing w:line="360" w:lineRule="auto"/>
        <w:ind w:firstLine="560" w:firstLineChars="200"/>
        <w:rPr>
          <w:rFonts w:ascii="宋体" w:hAnsi="宋体"/>
          <w:b w:val="0"/>
          <w:snapToGrid w:val="0"/>
          <w:sz w:val="28"/>
          <w:szCs w:val="28"/>
        </w:rPr>
      </w:pPr>
      <w:bookmarkStart w:id="228" w:name="_Toc109360865"/>
      <w:r>
        <w:rPr>
          <w:rFonts w:hint="eastAsia" w:ascii="宋体" w:hAnsi="宋体"/>
          <w:b w:val="0"/>
          <w:snapToGrid w:val="0"/>
          <w:sz w:val="28"/>
          <w:szCs w:val="28"/>
        </w:rPr>
        <w:t>木炭物性参数及对其危险的应对措施列于表3.3-</w:t>
      </w:r>
      <w:r>
        <w:rPr>
          <w:rFonts w:ascii="宋体" w:hAnsi="宋体"/>
          <w:b w:val="0"/>
          <w:snapToGrid w:val="0"/>
          <w:sz w:val="28"/>
          <w:szCs w:val="28"/>
        </w:rPr>
        <w:t>1</w:t>
      </w:r>
      <w:r>
        <w:rPr>
          <w:rFonts w:hint="eastAsia" w:ascii="宋体" w:hAnsi="宋体"/>
          <w:b w:val="0"/>
          <w:snapToGrid w:val="0"/>
          <w:sz w:val="28"/>
          <w:szCs w:val="28"/>
        </w:rPr>
        <w:t>0。</w:t>
      </w:r>
    </w:p>
    <w:p w14:paraId="3223F995">
      <w:pPr>
        <w:jc w:val="center"/>
        <w:rPr>
          <w:rFonts w:ascii="黑体" w:hAnsi="宋体" w:eastAsia="黑体"/>
          <w:b w:val="0"/>
          <w:sz w:val="24"/>
        </w:rPr>
      </w:pPr>
      <w:r>
        <w:rPr>
          <w:rFonts w:hint="eastAsia" w:ascii="黑体" w:hAnsi="宋体" w:eastAsia="黑体"/>
          <w:b w:val="0"/>
          <w:sz w:val="24"/>
        </w:rPr>
        <w:t>表3.3-</w:t>
      </w:r>
      <w:r>
        <w:rPr>
          <w:rFonts w:ascii="黑体" w:hAnsi="宋体" w:eastAsia="黑体"/>
          <w:b w:val="0"/>
          <w:sz w:val="24"/>
        </w:rPr>
        <w:t>1</w:t>
      </w:r>
      <w:r>
        <w:rPr>
          <w:rFonts w:hint="eastAsia" w:ascii="黑体" w:hAnsi="宋体" w:eastAsia="黑体"/>
          <w:b w:val="0"/>
          <w:sz w:val="24"/>
        </w:rPr>
        <w:t>0 木炭的物性参数及对危险的应对措施</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8270"/>
      </w:tblGrid>
      <w:tr w14:paraId="0929C5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8" w:type="pct"/>
            <w:vAlign w:val="center"/>
          </w:tcPr>
          <w:p w14:paraId="5777F4FC">
            <w:pPr>
              <w:spacing w:line="240" w:lineRule="exact"/>
              <w:jc w:val="center"/>
              <w:rPr>
                <w:rFonts w:ascii="宋体" w:hAnsi="宋体"/>
                <w:b w:val="0"/>
              </w:rPr>
            </w:pPr>
            <w:r>
              <w:rPr>
                <w:rFonts w:hint="eastAsia" w:ascii="宋体" w:hAnsi="宋体"/>
                <w:b w:val="0"/>
              </w:rPr>
              <w:t>标 识</w:t>
            </w:r>
          </w:p>
        </w:tc>
        <w:tc>
          <w:tcPr>
            <w:tcW w:w="4452" w:type="pct"/>
            <w:vAlign w:val="center"/>
          </w:tcPr>
          <w:p w14:paraId="23285F33">
            <w:pPr>
              <w:adjustRightInd w:val="0"/>
              <w:snapToGrid w:val="0"/>
              <w:spacing w:line="240" w:lineRule="exact"/>
              <w:rPr>
                <w:rFonts w:ascii="宋体" w:hAnsi="宋体"/>
                <w:b w:val="0"/>
                <w:szCs w:val="21"/>
              </w:rPr>
            </w:pPr>
            <w:r>
              <w:rPr>
                <w:rFonts w:hint="eastAsia" w:ascii="宋体" w:hAnsi="宋体"/>
                <w:b w:val="0"/>
                <w:szCs w:val="21"/>
              </w:rPr>
              <w:t xml:space="preserve">中文名称：木炭                                  </w:t>
            </w:r>
            <w:r>
              <w:rPr>
                <w:rFonts w:ascii="宋体" w:hAnsi="宋体"/>
                <w:b w:val="0"/>
                <w:szCs w:val="21"/>
              </w:rPr>
              <w:t>分子</w:t>
            </w:r>
            <w:r>
              <w:rPr>
                <w:rFonts w:hint="eastAsia" w:ascii="宋体" w:hAnsi="宋体"/>
                <w:b w:val="0"/>
                <w:szCs w:val="21"/>
              </w:rPr>
              <w:t>代表</w:t>
            </w:r>
            <w:r>
              <w:rPr>
                <w:rFonts w:ascii="宋体" w:hAnsi="宋体"/>
                <w:b w:val="0"/>
                <w:szCs w:val="21"/>
              </w:rPr>
              <w:t>式</w:t>
            </w:r>
            <w:r>
              <w:rPr>
                <w:rFonts w:hint="eastAsia" w:ascii="宋体" w:hAnsi="宋体"/>
                <w:b w:val="0"/>
                <w:szCs w:val="21"/>
              </w:rPr>
              <w:t xml:space="preserve">：C    </w:t>
            </w:r>
          </w:p>
          <w:p w14:paraId="7556FCAE">
            <w:pPr>
              <w:adjustRightInd w:val="0"/>
              <w:snapToGrid w:val="0"/>
              <w:spacing w:line="240" w:lineRule="exact"/>
              <w:rPr>
                <w:rFonts w:ascii="宋体" w:hAnsi="宋体"/>
                <w:b w:val="0"/>
                <w:szCs w:val="21"/>
              </w:rPr>
            </w:pPr>
            <w:r>
              <w:rPr>
                <w:rFonts w:hint="eastAsia" w:ascii="宋体" w:hAnsi="宋体"/>
                <w:b w:val="0"/>
                <w:szCs w:val="21"/>
              </w:rPr>
              <w:t>分子量：12；                                    UN编号：1361；</w:t>
            </w:r>
          </w:p>
        </w:tc>
      </w:tr>
      <w:tr w14:paraId="22F9D4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8" w:type="pct"/>
            <w:vAlign w:val="center"/>
          </w:tcPr>
          <w:p w14:paraId="173E1791">
            <w:pPr>
              <w:spacing w:line="240" w:lineRule="exact"/>
              <w:jc w:val="center"/>
              <w:rPr>
                <w:rFonts w:ascii="宋体" w:hAnsi="宋体"/>
                <w:b w:val="0"/>
              </w:rPr>
            </w:pPr>
            <w:r>
              <w:rPr>
                <w:rFonts w:ascii="宋体" w:hAnsi="宋体"/>
                <w:b w:val="0"/>
              </w:rPr>
              <w:t>理</w:t>
            </w:r>
            <w:r>
              <w:rPr>
                <w:rFonts w:hint="eastAsia" w:ascii="宋体" w:hAnsi="宋体"/>
                <w:b w:val="0"/>
              </w:rPr>
              <w:t xml:space="preserve"> </w:t>
            </w:r>
            <w:r>
              <w:rPr>
                <w:rFonts w:ascii="宋体" w:hAnsi="宋体"/>
                <w:b w:val="0"/>
              </w:rPr>
              <w:t>化</w:t>
            </w:r>
          </w:p>
          <w:p w14:paraId="257F3C9E">
            <w:pPr>
              <w:spacing w:line="240" w:lineRule="exact"/>
              <w:jc w:val="center"/>
              <w:rPr>
                <w:rFonts w:ascii="宋体" w:hAnsi="宋体"/>
                <w:b w:val="0"/>
              </w:rPr>
            </w:pPr>
            <w:r>
              <w:rPr>
                <w:rFonts w:hint="eastAsia" w:ascii="宋体" w:hAnsi="宋体"/>
                <w:b w:val="0"/>
              </w:rPr>
              <w:t>性 质</w:t>
            </w:r>
          </w:p>
        </w:tc>
        <w:tc>
          <w:tcPr>
            <w:tcW w:w="4452" w:type="pct"/>
            <w:vAlign w:val="center"/>
          </w:tcPr>
          <w:p w14:paraId="3407481F">
            <w:pPr>
              <w:adjustRightInd w:val="0"/>
              <w:snapToGrid w:val="0"/>
              <w:spacing w:line="240" w:lineRule="exact"/>
              <w:rPr>
                <w:rFonts w:ascii="宋体" w:hAnsi="宋体"/>
                <w:b w:val="0"/>
                <w:szCs w:val="21"/>
              </w:rPr>
            </w:pPr>
            <w:r>
              <w:rPr>
                <w:rFonts w:ascii="宋体" w:hAnsi="宋体"/>
                <w:b w:val="0"/>
                <w:szCs w:val="21"/>
              </w:rPr>
              <w:t>外观性状：</w:t>
            </w:r>
            <w:r>
              <w:rPr>
                <w:rFonts w:hint="eastAsia" w:ascii="宋体" w:hAnsi="宋体"/>
                <w:b w:val="0"/>
                <w:szCs w:val="21"/>
              </w:rPr>
              <w:t>黑色粉末或颗粒二种。内部呈极多的孔状物质。</w:t>
            </w:r>
          </w:p>
          <w:p w14:paraId="4CD5C34F">
            <w:pPr>
              <w:adjustRightInd w:val="0"/>
              <w:snapToGrid w:val="0"/>
              <w:spacing w:line="240" w:lineRule="exact"/>
              <w:rPr>
                <w:rFonts w:ascii="宋体" w:hAnsi="宋体"/>
                <w:b w:val="0"/>
                <w:szCs w:val="21"/>
              </w:rPr>
            </w:pPr>
            <w:r>
              <w:rPr>
                <w:rFonts w:hint="eastAsia" w:ascii="宋体" w:hAnsi="宋体"/>
                <w:b w:val="0"/>
                <w:szCs w:val="21"/>
              </w:rPr>
              <w:t>相对密度（g/cm</w:t>
            </w:r>
            <w:r>
              <w:rPr>
                <w:rFonts w:hint="eastAsia" w:ascii="宋体" w:hAnsi="宋体"/>
                <w:b w:val="0"/>
                <w:szCs w:val="21"/>
                <w:vertAlign w:val="superscript"/>
              </w:rPr>
              <w:t>3</w:t>
            </w:r>
            <w:r>
              <w:rPr>
                <w:rFonts w:hint="eastAsia" w:ascii="宋体" w:hAnsi="宋体"/>
                <w:b w:val="0"/>
                <w:szCs w:val="21"/>
              </w:rPr>
              <w:t>）：0</w:t>
            </w:r>
            <w:r>
              <w:rPr>
                <w:rFonts w:ascii="宋体" w:hAnsi="宋体"/>
                <w:b w:val="0"/>
                <w:szCs w:val="21"/>
              </w:rPr>
              <w:t>.</w:t>
            </w:r>
            <w:r>
              <w:rPr>
                <w:rFonts w:hint="eastAsia" w:ascii="宋体" w:hAnsi="宋体"/>
                <w:b w:val="0"/>
                <w:szCs w:val="21"/>
              </w:rPr>
              <w:t>08～0.45（视原材料来源和制造方法不同各异）；</w:t>
            </w:r>
          </w:p>
          <w:p w14:paraId="79718E54">
            <w:pPr>
              <w:adjustRightInd w:val="0"/>
              <w:snapToGrid w:val="0"/>
              <w:spacing w:line="240" w:lineRule="exact"/>
              <w:rPr>
                <w:rFonts w:ascii="宋体" w:hAnsi="宋体"/>
                <w:b w:val="0"/>
                <w:szCs w:val="21"/>
              </w:rPr>
            </w:pPr>
            <w:r>
              <w:rPr>
                <w:rFonts w:hint="eastAsia" w:ascii="宋体" w:hAnsi="宋体"/>
                <w:b w:val="0"/>
                <w:szCs w:val="21"/>
              </w:rPr>
              <w:t xml:space="preserve">熔    点（℃）：&gt;3500；                 沸    点（℃）：&gt;4000   </w:t>
            </w:r>
          </w:p>
          <w:p w14:paraId="7666CFA4">
            <w:pPr>
              <w:adjustRightInd w:val="0"/>
              <w:snapToGrid w:val="0"/>
              <w:spacing w:line="240" w:lineRule="exact"/>
              <w:rPr>
                <w:rFonts w:ascii="宋体" w:hAnsi="宋体"/>
                <w:b w:val="0"/>
                <w:szCs w:val="21"/>
              </w:rPr>
            </w:pPr>
            <w:r>
              <w:rPr>
                <w:rFonts w:hint="eastAsia" w:ascii="宋体" w:hAnsi="宋体"/>
                <w:b w:val="0"/>
                <w:szCs w:val="21"/>
              </w:rPr>
              <w:t xml:space="preserve">溶 解 性：不溶于水和任何溶剂。 </w:t>
            </w:r>
          </w:p>
        </w:tc>
      </w:tr>
      <w:tr w14:paraId="505A82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8" w:type="pct"/>
            <w:vAlign w:val="center"/>
          </w:tcPr>
          <w:p w14:paraId="71E170E6">
            <w:pPr>
              <w:spacing w:line="240" w:lineRule="exact"/>
              <w:jc w:val="center"/>
              <w:rPr>
                <w:rFonts w:ascii="宋体" w:hAnsi="宋体"/>
                <w:b w:val="0"/>
              </w:rPr>
            </w:pPr>
            <w:r>
              <w:rPr>
                <w:rFonts w:hint="eastAsia" w:ascii="宋体" w:hAnsi="宋体"/>
                <w:b w:val="0"/>
              </w:rPr>
              <w:t>危险有害特性</w:t>
            </w:r>
          </w:p>
        </w:tc>
        <w:tc>
          <w:tcPr>
            <w:tcW w:w="4452" w:type="pct"/>
            <w:vAlign w:val="center"/>
          </w:tcPr>
          <w:p w14:paraId="354A9960">
            <w:pPr>
              <w:adjustRightInd w:val="0"/>
              <w:snapToGrid w:val="0"/>
              <w:spacing w:line="240" w:lineRule="exact"/>
              <w:rPr>
                <w:rFonts w:ascii="宋体" w:hAnsi="宋体"/>
                <w:b w:val="0"/>
                <w:szCs w:val="21"/>
              </w:rPr>
            </w:pPr>
            <w:r>
              <w:rPr>
                <w:rFonts w:hint="eastAsia" w:ascii="宋体" w:hAnsi="宋体"/>
                <w:b w:val="0"/>
                <w:szCs w:val="21"/>
              </w:rPr>
              <w:t>燃烧爆炸性：本品为可燃剂，常温下化学性质稳定，高温时化学活泼性高。粉尘接触明火有轻度的爆炸性。在空气中易缓慢地发热和自燃。</w:t>
            </w:r>
          </w:p>
          <w:p w14:paraId="1A9034AC">
            <w:pPr>
              <w:adjustRightInd w:val="0"/>
              <w:snapToGrid w:val="0"/>
              <w:spacing w:line="240" w:lineRule="exact"/>
              <w:rPr>
                <w:rFonts w:ascii="宋体" w:hAnsi="宋体"/>
                <w:b w:val="0"/>
                <w:szCs w:val="21"/>
              </w:rPr>
            </w:pPr>
            <w:r>
              <w:rPr>
                <w:rFonts w:hint="eastAsia" w:ascii="宋体" w:hAnsi="宋体"/>
                <w:b w:val="0"/>
                <w:szCs w:val="21"/>
              </w:rPr>
              <w:t>健康危害：属基本无毒物质。但有时从原料中夹杂无机物，对皮肤、粘膜及呼吸道有一定的刺激。</w:t>
            </w:r>
          </w:p>
        </w:tc>
      </w:tr>
      <w:tr w14:paraId="58527B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8" w:type="pct"/>
            <w:vAlign w:val="center"/>
          </w:tcPr>
          <w:p w14:paraId="23FD62F8">
            <w:pPr>
              <w:spacing w:line="240" w:lineRule="exact"/>
              <w:jc w:val="center"/>
              <w:rPr>
                <w:rFonts w:ascii="宋体" w:hAnsi="宋体"/>
                <w:b w:val="0"/>
              </w:rPr>
            </w:pPr>
            <w:r>
              <w:rPr>
                <w:rFonts w:hint="eastAsia" w:ascii="宋体" w:hAnsi="宋体"/>
                <w:b w:val="0"/>
              </w:rPr>
              <w:t>急救</w:t>
            </w:r>
          </w:p>
        </w:tc>
        <w:tc>
          <w:tcPr>
            <w:tcW w:w="4452" w:type="pct"/>
            <w:vAlign w:val="center"/>
          </w:tcPr>
          <w:p w14:paraId="303298F2">
            <w:pPr>
              <w:adjustRightInd w:val="0"/>
              <w:snapToGrid w:val="0"/>
              <w:spacing w:line="240" w:lineRule="exact"/>
              <w:rPr>
                <w:rFonts w:ascii="宋体" w:hAnsi="宋体"/>
                <w:b w:val="0"/>
                <w:szCs w:val="21"/>
              </w:rPr>
            </w:pPr>
            <w:r>
              <w:rPr>
                <w:rFonts w:ascii="宋体" w:hAnsi="宋体"/>
                <w:b w:val="0"/>
                <w:szCs w:val="21"/>
              </w:rPr>
              <w:t>消防措施：失火时</w:t>
            </w:r>
            <w:r>
              <w:rPr>
                <w:rFonts w:hint="eastAsia" w:ascii="宋体" w:hAnsi="宋体"/>
                <w:b w:val="0"/>
                <w:szCs w:val="21"/>
              </w:rPr>
              <w:t>可</w:t>
            </w:r>
            <w:r>
              <w:rPr>
                <w:rFonts w:ascii="宋体" w:hAnsi="宋体"/>
                <w:b w:val="0"/>
                <w:szCs w:val="21"/>
              </w:rPr>
              <w:t>用</w:t>
            </w:r>
            <w:r>
              <w:rPr>
                <w:rFonts w:hint="eastAsia" w:ascii="宋体" w:hAnsi="宋体"/>
                <w:b w:val="0"/>
                <w:szCs w:val="21"/>
              </w:rPr>
              <w:t>水、</w:t>
            </w:r>
            <w:r>
              <w:rPr>
                <w:rFonts w:ascii="宋体" w:hAnsi="宋体"/>
                <w:b w:val="0"/>
                <w:szCs w:val="21"/>
              </w:rPr>
              <w:t>砂土</w:t>
            </w:r>
            <w:r>
              <w:rPr>
                <w:rFonts w:hint="eastAsia" w:ascii="宋体" w:hAnsi="宋体"/>
                <w:b w:val="0"/>
                <w:szCs w:val="21"/>
              </w:rPr>
              <w:t>、各类灭火器</w:t>
            </w:r>
            <w:r>
              <w:rPr>
                <w:rFonts w:ascii="宋体" w:hAnsi="宋体"/>
                <w:b w:val="0"/>
                <w:szCs w:val="21"/>
              </w:rPr>
              <w:t>扑救。</w:t>
            </w:r>
          </w:p>
        </w:tc>
      </w:tr>
      <w:tr w14:paraId="6F7347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8" w:type="pct"/>
            <w:vAlign w:val="center"/>
          </w:tcPr>
          <w:p w14:paraId="079DC3EC">
            <w:pPr>
              <w:spacing w:line="240" w:lineRule="exact"/>
              <w:jc w:val="center"/>
              <w:rPr>
                <w:rFonts w:ascii="宋体" w:hAnsi="宋体"/>
                <w:b w:val="0"/>
              </w:rPr>
            </w:pPr>
            <w:r>
              <w:rPr>
                <w:rFonts w:hint="eastAsia" w:ascii="宋体" w:hAnsi="宋体"/>
                <w:b w:val="0"/>
              </w:rPr>
              <w:t>防护</w:t>
            </w:r>
          </w:p>
        </w:tc>
        <w:tc>
          <w:tcPr>
            <w:tcW w:w="4452" w:type="pct"/>
            <w:vAlign w:val="center"/>
          </w:tcPr>
          <w:p w14:paraId="1E1BCEF8">
            <w:pPr>
              <w:adjustRightInd w:val="0"/>
              <w:snapToGrid w:val="0"/>
              <w:spacing w:line="240" w:lineRule="exact"/>
              <w:rPr>
                <w:rFonts w:ascii="宋体" w:hAnsi="宋体"/>
                <w:b w:val="0"/>
                <w:szCs w:val="21"/>
              </w:rPr>
            </w:pPr>
            <w:r>
              <w:rPr>
                <w:rFonts w:hint="eastAsia" w:ascii="宋体" w:hAnsi="宋体"/>
                <w:b w:val="0"/>
                <w:szCs w:val="21"/>
              </w:rPr>
              <w:t>有粉尘时应穿戴好劳动护品。</w:t>
            </w:r>
          </w:p>
        </w:tc>
      </w:tr>
      <w:tr w14:paraId="4A0B4D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8" w:type="pct"/>
            <w:vAlign w:val="center"/>
          </w:tcPr>
          <w:p w14:paraId="440D5360">
            <w:pPr>
              <w:spacing w:line="240" w:lineRule="exact"/>
              <w:jc w:val="center"/>
              <w:rPr>
                <w:rFonts w:ascii="宋体" w:hAnsi="宋体"/>
                <w:b w:val="0"/>
              </w:rPr>
            </w:pPr>
            <w:r>
              <w:rPr>
                <w:rFonts w:ascii="宋体" w:hAnsi="宋体"/>
                <w:b w:val="0"/>
              </w:rPr>
              <w:t>储</w:t>
            </w:r>
            <w:r>
              <w:rPr>
                <w:rFonts w:hint="eastAsia" w:ascii="宋体" w:hAnsi="宋体"/>
                <w:b w:val="0"/>
              </w:rPr>
              <w:t xml:space="preserve"> </w:t>
            </w:r>
            <w:r>
              <w:rPr>
                <w:rFonts w:ascii="宋体" w:hAnsi="宋体"/>
                <w:b w:val="0"/>
              </w:rPr>
              <w:t>运</w:t>
            </w:r>
          </w:p>
        </w:tc>
        <w:tc>
          <w:tcPr>
            <w:tcW w:w="4452" w:type="pct"/>
            <w:vAlign w:val="center"/>
          </w:tcPr>
          <w:p w14:paraId="25C8D9A4">
            <w:pPr>
              <w:adjustRightInd w:val="0"/>
              <w:snapToGrid w:val="0"/>
              <w:spacing w:line="240" w:lineRule="exact"/>
              <w:rPr>
                <w:rFonts w:ascii="宋体" w:hAnsi="宋体"/>
                <w:b w:val="0"/>
                <w:szCs w:val="21"/>
              </w:rPr>
            </w:pPr>
            <w:r>
              <w:rPr>
                <w:rFonts w:hint="eastAsia" w:ascii="宋体" w:hAnsi="宋体"/>
                <w:b w:val="0"/>
                <w:szCs w:val="21"/>
              </w:rPr>
              <w:t>储存于干燥、通风的库房。远离火种、热源。不可与氧化剂共储混运。防止受潮，以避免受潮后积热不散可能发生自燃。如抽查发现有发热现象应及时倒垛散热，防止发生事故。</w:t>
            </w:r>
          </w:p>
        </w:tc>
      </w:tr>
      <w:bookmarkEnd w:id="228"/>
    </w:tbl>
    <w:p w14:paraId="63D1EFF2">
      <w:pPr>
        <w:spacing w:before="120" w:beforeLines="50" w:line="360" w:lineRule="auto"/>
        <w:ind w:firstLine="562" w:firstLineChars="200"/>
        <w:rPr>
          <w:rFonts w:ascii="宋体" w:hAnsi="宋体"/>
          <w:snapToGrid w:val="0"/>
          <w:sz w:val="28"/>
          <w:szCs w:val="28"/>
          <w:lang w:val="en-GB"/>
        </w:rPr>
      </w:pPr>
      <w:bookmarkStart w:id="229" w:name="_Toc109360866"/>
      <w:bookmarkStart w:id="230" w:name="_Toc58861986"/>
      <w:bookmarkStart w:id="231" w:name="_Toc148036987"/>
      <w:bookmarkStart w:id="232" w:name="_Toc294247647"/>
      <w:bookmarkStart w:id="233" w:name="_Toc173077658"/>
      <w:bookmarkStart w:id="234" w:name="_Toc181194065"/>
      <w:bookmarkStart w:id="235" w:name="_Toc60129101"/>
      <w:bookmarkStart w:id="236" w:name="_Toc335902399"/>
      <w:bookmarkStart w:id="237" w:name="_Toc294247811"/>
      <w:bookmarkStart w:id="238" w:name="_Toc271898749"/>
      <w:bookmarkStart w:id="239" w:name="_Toc58946818"/>
      <w:bookmarkStart w:id="240" w:name="_Toc145275192"/>
      <w:r>
        <w:rPr>
          <w:rFonts w:hint="eastAsia" w:ascii="宋体" w:hAnsi="宋体"/>
          <w:snapToGrid w:val="0"/>
          <w:sz w:val="28"/>
          <w:szCs w:val="28"/>
          <w:lang w:val="en-GB"/>
        </w:rPr>
        <w:t>4）镁铝合金粉</w:t>
      </w:r>
      <w:bookmarkEnd w:id="229"/>
    </w:p>
    <w:p w14:paraId="75690B59">
      <w:pPr>
        <w:spacing w:line="360" w:lineRule="auto"/>
        <w:ind w:firstLine="560" w:firstLineChars="200"/>
        <w:rPr>
          <w:rFonts w:ascii="宋体" w:hAnsi="宋体"/>
          <w:b w:val="0"/>
          <w:snapToGrid w:val="0"/>
          <w:sz w:val="28"/>
          <w:szCs w:val="28"/>
          <w:lang w:val="en-GB"/>
        </w:rPr>
      </w:pPr>
      <w:r>
        <w:rPr>
          <w:rFonts w:hint="eastAsia" w:ascii="宋体" w:hAnsi="宋体"/>
          <w:b w:val="0"/>
          <w:snapToGrid w:val="0"/>
          <w:sz w:val="28"/>
          <w:szCs w:val="28"/>
          <w:lang w:val="en-GB"/>
        </w:rPr>
        <w:t>镁铝合金物性参数及对其危险的应对措施列于表3</w:t>
      </w:r>
      <w:r>
        <w:rPr>
          <w:rFonts w:hint="eastAsia" w:ascii="宋体" w:hAnsi="宋体"/>
          <w:b w:val="0"/>
          <w:snapToGrid w:val="0"/>
          <w:sz w:val="28"/>
          <w:szCs w:val="28"/>
        </w:rPr>
        <w:t>.3</w:t>
      </w:r>
      <w:r>
        <w:rPr>
          <w:rFonts w:hint="eastAsia" w:ascii="宋体" w:hAnsi="宋体"/>
          <w:b w:val="0"/>
          <w:snapToGrid w:val="0"/>
          <w:sz w:val="28"/>
          <w:szCs w:val="28"/>
          <w:lang w:val="en-GB"/>
        </w:rPr>
        <w:t>-</w:t>
      </w:r>
      <w:r>
        <w:rPr>
          <w:rFonts w:hint="eastAsia" w:ascii="宋体" w:hAnsi="宋体"/>
          <w:b w:val="0"/>
          <w:snapToGrid w:val="0"/>
          <w:sz w:val="28"/>
          <w:szCs w:val="28"/>
        </w:rPr>
        <w:t>11</w:t>
      </w:r>
      <w:r>
        <w:rPr>
          <w:rFonts w:hint="eastAsia" w:ascii="宋体" w:hAnsi="宋体"/>
          <w:b w:val="0"/>
          <w:snapToGrid w:val="0"/>
          <w:sz w:val="28"/>
          <w:szCs w:val="28"/>
          <w:lang w:val="en-GB"/>
        </w:rPr>
        <w:t>。</w:t>
      </w:r>
    </w:p>
    <w:p w14:paraId="32335E72">
      <w:pPr>
        <w:jc w:val="center"/>
        <w:rPr>
          <w:rFonts w:ascii="黑体" w:hAnsi="宋体" w:eastAsia="黑体"/>
          <w:b w:val="0"/>
          <w:sz w:val="24"/>
        </w:rPr>
      </w:pPr>
      <w:r>
        <w:rPr>
          <w:rFonts w:hint="eastAsia" w:ascii="黑体" w:hAnsi="宋体" w:eastAsia="黑体"/>
          <w:b w:val="0"/>
          <w:sz w:val="24"/>
        </w:rPr>
        <w:t>表3.3-11      镁铝合金的物性参数及对危险的应对措施</w:t>
      </w:r>
    </w:p>
    <w:tbl>
      <w:tblPr>
        <w:tblStyle w:val="88"/>
        <w:tblW w:w="928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8268"/>
      </w:tblGrid>
      <w:tr w14:paraId="569183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1018" w:type="dxa"/>
            <w:vAlign w:val="center"/>
          </w:tcPr>
          <w:p w14:paraId="66300C55">
            <w:pPr>
              <w:jc w:val="center"/>
              <w:rPr>
                <w:rFonts w:ascii="宋体" w:hAnsi="宋体"/>
                <w:b w:val="0"/>
                <w:color w:val="000000"/>
              </w:rPr>
            </w:pPr>
            <w:r>
              <w:rPr>
                <w:rFonts w:hint="eastAsia" w:ascii="宋体" w:hAnsi="宋体"/>
                <w:b w:val="0"/>
                <w:color w:val="000000"/>
              </w:rPr>
              <w:t>标 识</w:t>
            </w:r>
          </w:p>
        </w:tc>
        <w:tc>
          <w:tcPr>
            <w:tcW w:w="8268" w:type="dxa"/>
            <w:vAlign w:val="center"/>
          </w:tcPr>
          <w:p w14:paraId="6A9B5C44">
            <w:pPr>
              <w:adjustRightInd w:val="0"/>
              <w:snapToGrid w:val="0"/>
              <w:rPr>
                <w:rFonts w:ascii="宋体" w:hAnsi="宋体"/>
                <w:b w:val="0"/>
                <w:color w:val="000000"/>
                <w:szCs w:val="21"/>
              </w:rPr>
            </w:pPr>
            <w:r>
              <w:rPr>
                <w:rFonts w:hint="eastAsia" w:ascii="宋体" w:hAnsi="宋体"/>
                <w:b w:val="0"/>
                <w:color w:val="000000"/>
                <w:szCs w:val="21"/>
              </w:rPr>
              <w:t>中文名称：镁铝合金 ，铝镁合金             英文名：Magnesium Aluminium Powder</w:t>
            </w:r>
          </w:p>
          <w:p w14:paraId="21D6A7C7">
            <w:pPr>
              <w:adjustRightInd w:val="0"/>
              <w:snapToGrid w:val="0"/>
              <w:rPr>
                <w:rFonts w:ascii="宋体" w:hAnsi="宋体"/>
                <w:b w:val="0"/>
                <w:color w:val="000000"/>
                <w:szCs w:val="21"/>
              </w:rPr>
            </w:pPr>
            <w:r>
              <w:rPr>
                <w:rFonts w:hint="eastAsia" w:ascii="宋体" w:hAnsi="宋体"/>
                <w:b w:val="0"/>
                <w:color w:val="000000"/>
                <w:szCs w:val="21"/>
              </w:rPr>
              <w:t>分 子 式：Mg</w:t>
            </w:r>
            <w:r>
              <w:rPr>
                <w:rFonts w:hint="eastAsia" w:ascii="宋体" w:hAnsi="宋体"/>
                <w:b w:val="0"/>
                <w:color w:val="000000"/>
                <w:szCs w:val="21"/>
                <w:vertAlign w:val="subscript"/>
              </w:rPr>
              <w:t>4</w:t>
            </w:r>
            <w:r>
              <w:rPr>
                <w:rFonts w:hint="eastAsia" w:ascii="宋体" w:hAnsi="宋体"/>
                <w:b w:val="0"/>
                <w:color w:val="000000"/>
                <w:szCs w:val="21"/>
              </w:rPr>
              <w:t>Al</w:t>
            </w:r>
            <w:r>
              <w:rPr>
                <w:rFonts w:hint="eastAsia" w:ascii="宋体" w:hAnsi="宋体"/>
                <w:b w:val="0"/>
                <w:color w:val="000000"/>
                <w:szCs w:val="21"/>
                <w:vertAlign w:val="subscript"/>
              </w:rPr>
              <w:t>3</w:t>
            </w:r>
            <w:r>
              <w:rPr>
                <w:rFonts w:hint="eastAsia" w:ascii="宋体" w:hAnsi="宋体"/>
                <w:b w:val="0"/>
                <w:color w:val="000000"/>
                <w:szCs w:val="21"/>
              </w:rPr>
              <w:t xml:space="preserve">；                         分子量：178.22；    </w:t>
            </w:r>
          </w:p>
          <w:p w14:paraId="25F19BCE">
            <w:pPr>
              <w:adjustRightInd w:val="0"/>
              <w:snapToGrid w:val="0"/>
              <w:rPr>
                <w:rFonts w:ascii="宋体" w:hAnsi="宋体"/>
                <w:b w:val="0"/>
                <w:color w:val="000000"/>
                <w:szCs w:val="21"/>
              </w:rPr>
            </w:pPr>
            <w:r>
              <w:rPr>
                <w:rFonts w:hint="eastAsia" w:ascii="宋体" w:hAnsi="宋体"/>
                <w:b w:val="0"/>
                <w:color w:val="000000"/>
                <w:szCs w:val="21"/>
              </w:rPr>
              <w:t xml:space="preserve">危险货物编号：43012；                </w:t>
            </w:r>
          </w:p>
        </w:tc>
      </w:tr>
      <w:tr w14:paraId="47B175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1018" w:type="dxa"/>
            <w:vAlign w:val="center"/>
          </w:tcPr>
          <w:p w14:paraId="17B1EB30">
            <w:pPr>
              <w:jc w:val="center"/>
              <w:rPr>
                <w:rFonts w:ascii="宋体" w:hAnsi="宋体"/>
                <w:b w:val="0"/>
                <w:color w:val="000000"/>
              </w:rPr>
            </w:pPr>
            <w:r>
              <w:rPr>
                <w:rFonts w:ascii="宋体" w:hAnsi="宋体"/>
                <w:b w:val="0"/>
                <w:color w:val="000000"/>
              </w:rPr>
              <w:t>理</w:t>
            </w:r>
            <w:r>
              <w:rPr>
                <w:rFonts w:hint="eastAsia" w:ascii="宋体" w:hAnsi="宋体"/>
                <w:b w:val="0"/>
                <w:color w:val="000000"/>
              </w:rPr>
              <w:t xml:space="preserve"> </w:t>
            </w:r>
            <w:r>
              <w:rPr>
                <w:rFonts w:ascii="宋体" w:hAnsi="宋体"/>
                <w:b w:val="0"/>
                <w:color w:val="000000"/>
              </w:rPr>
              <w:t>化</w:t>
            </w:r>
          </w:p>
          <w:p w14:paraId="5E70FC1B">
            <w:pPr>
              <w:jc w:val="center"/>
              <w:rPr>
                <w:rFonts w:ascii="宋体" w:hAnsi="宋体"/>
                <w:b w:val="0"/>
                <w:color w:val="000000"/>
              </w:rPr>
            </w:pPr>
            <w:r>
              <w:rPr>
                <w:rFonts w:hint="eastAsia" w:ascii="宋体" w:hAnsi="宋体"/>
                <w:b w:val="0"/>
                <w:color w:val="000000"/>
              </w:rPr>
              <w:t>性 质</w:t>
            </w:r>
          </w:p>
        </w:tc>
        <w:tc>
          <w:tcPr>
            <w:tcW w:w="8268" w:type="dxa"/>
            <w:vAlign w:val="center"/>
          </w:tcPr>
          <w:p w14:paraId="18599E9D">
            <w:pPr>
              <w:adjustRightInd w:val="0"/>
              <w:snapToGrid w:val="0"/>
              <w:rPr>
                <w:rFonts w:ascii="宋体" w:hAnsi="宋体"/>
                <w:b w:val="0"/>
                <w:color w:val="000000"/>
                <w:szCs w:val="21"/>
              </w:rPr>
            </w:pPr>
            <w:r>
              <w:rPr>
                <w:rFonts w:ascii="宋体" w:hAnsi="宋体"/>
                <w:b w:val="0"/>
                <w:color w:val="000000"/>
                <w:szCs w:val="21"/>
              </w:rPr>
              <w:t>外观性状：</w:t>
            </w:r>
            <w:r>
              <w:rPr>
                <w:rFonts w:hint="eastAsia" w:ascii="宋体" w:hAnsi="宋体"/>
                <w:b w:val="0"/>
                <w:color w:val="000000"/>
                <w:szCs w:val="21"/>
              </w:rPr>
              <w:t>灰白色粉末。               相对密度（g/cm</w:t>
            </w:r>
            <w:r>
              <w:rPr>
                <w:rFonts w:hint="eastAsia" w:ascii="宋体" w:hAnsi="宋体"/>
                <w:b w:val="0"/>
                <w:color w:val="000000"/>
                <w:szCs w:val="21"/>
                <w:vertAlign w:val="superscript"/>
              </w:rPr>
              <w:t>3</w:t>
            </w:r>
            <w:r>
              <w:rPr>
                <w:rFonts w:hint="eastAsia" w:ascii="宋体" w:hAnsi="宋体"/>
                <w:b w:val="0"/>
                <w:color w:val="000000"/>
                <w:szCs w:val="21"/>
              </w:rPr>
              <w:t>）：2.15（水=1）；</w:t>
            </w:r>
          </w:p>
          <w:p w14:paraId="1EFE80A8">
            <w:pPr>
              <w:adjustRightInd w:val="0"/>
              <w:snapToGrid w:val="0"/>
              <w:rPr>
                <w:rFonts w:ascii="宋体" w:hAnsi="宋体"/>
                <w:b w:val="0"/>
                <w:color w:val="000000"/>
                <w:szCs w:val="21"/>
              </w:rPr>
            </w:pPr>
            <w:r>
              <w:rPr>
                <w:rFonts w:hint="eastAsia" w:ascii="宋体" w:hAnsi="宋体"/>
                <w:b w:val="0"/>
                <w:color w:val="000000"/>
                <w:szCs w:val="21"/>
              </w:rPr>
              <w:t>熔    点（℃）：463；                 燃烧热（kj/g）：204</w:t>
            </w:r>
          </w:p>
          <w:p w14:paraId="26821D63">
            <w:pPr>
              <w:adjustRightInd w:val="0"/>
              <w:snapToGrid w:val="0"/>
              <w:rPr>
                <w:rFonts w:ascii="宋体" w:hAnsi="宋体"/>
                <w:b w:val="0"/>
                <w:color w:val="000000"/>
                <w:szCs w:val="21"/>
              </w:rPr>
            </w:pPr>
            <w:r>
              <w:rPr>
                <w:rFonts w:hint="eastAsia" w:ascii="宋体" w:hAnsi="宋体"/>
                <w:b w:val="0"/>
                <w:color w:val="000000"/>
                <w:szCs w:val="21"/>
              </w:rPr>
              <w:t>溶 解 性：溶于酸。                   燃烧温度（℃）： 2000</w:t>
            </w:r>
            <w:r>
              <w:rPr>
                <w:rFonts w:ascii="宋体" w:hAnsi="宋体"/>
                <w:b w:val="0"/>
                <w:color w:val="000000"/>
                <w:szCs w:val="21"/>
              </w:rPr>
              <w:t>～</w:t>
            </w:r>
            <w:r>
              <w:rPr>
                <w:rFonts w:hint="eastAsia" w:ascii="宋体" w:hAnsi="宋体"/>
                <w:b w:val="0"/>
                <w:color w:val="000000"/>
                <w:szCs w:val="21"/>
              </w:rPr>
              <w:t>3000℃</w:t>
            </w:r>
          </w:p>
          <w:p w14:paraId="36B59137">
            <w:pPr>
              <w:adjustRightInd w:val="0"/>
              <w:snapToGrid w:val="0"/>
              <w:rPr>
                <w:rFonts w:ascii="宋体" w:hAnsi="宋体"/>
                <w:b w:val="0"/>
                <w:color w:val="000000"/>
                <w:szCs w:val="21"/>
              </w:rPr>
            </w:pPr>
            <w:r>
              <w:rPr>
                <w:rFonts w:hint="eastAsia" w:ascii="宋体" w:hAnsi="宋体"/>
                <w:b w:val="0"/>
                <w:color w:val="000000"/>
                <w:szCs w:val="21"/>
              </w:rPr>
              <w:t>禁 忌 物：强氧化剂</w:t>
            </w:r>
          </w:p>
        </w:tc>
      </w:tr>
      <w:tr w14:paraId="4A6B05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829" w:hRule="atLeast"/>
        </w:trPr>
        <w:tc>
          <w:tcPr>
            <w:tcW w:w="1018" w:type="dxa"/>
            <w:vAlign w:val="center"/>
          </w:tcPr>
          <w:p w14:paraId="5809FC5D">
            <w:pPr>
              <w:jc w:val="center"/>
              <w:rPr>
                <w:rFonts w:ascii="宋体" w:hAnsi="宋体"/>
                <w:b w:val="0"/>
                <w:color w:val="000000"/>
              </w:rPr>
            </w:pPr>
            <w:r>
              <w:rPr>
                <w:rFonts w:hint="eastAsia" w:ascii="宋体" w:hAnsi="宋体"/>
                <w:b w:val="0"/>
                <w:color w:val="000000"/>
              </w:rPr>
              <w:t>危险有害特性</w:t>
            </w:r>
          </w:p>
        </w:tc>
        <w:tc>
          <w:tcPr>
            <w:tcW w:w="8268" w:type="dxa"/>
            <w:vAlign w:val="center"/>
          </w:tcPr>
          <w:p w14:paraId="03EF6E92">
            <w:pPr>
              <w:adjustRightInd w:val="0"/>
              <w:snapToGrid w:val="0"/>
              <w:rPr>
                <w:rFonts w:ascii="宋体" w:hAnsi="宋体"/>
                <w:b w:val="0"/>
                <w:color w:val="000000"/>
                <w:szCs w:val="21"/>
              </w:rPr>
            </w:pPr>
            <w:r>
              <w:rPr>
                <w:rFonts w:hint="eastAsia" w:ascii="宋体" w:hAnsi="宋体"/>
                <w:b w:val="0"/>
                <w:color w:val="000000"/>
                <w:szCs w:val="21"/>
              </w:rPr>
              <w:t xml:space="preserve">燃烧爆炸性：燃 烧 性：易燃          稳 定 性：稳定 </w:t>
            </w:r>
          </w:p>
          <w:p w14:paraId="15871AA4">
            <w:pPr>
              <w:adjustRightInd w:val="0"/>
              <w:snapToGrid w:val="0"/>
              <w:ind w:firstLine="420" w:firstLineChars="200"/>
              <w:rPr>
                <w:rFonts w:ascii="宋体" w:hAnsi="宋体"/>
                <w:b w:val="0"/>
                <w:color w:val="000000"/>
                <w:szCs w:val="21"/>
              </w:rPr>
            </w:pPr>
            <w:r>
              <w:rPr>
                <w:rFonts w:hint="eastAsia" w:ascii="宋体" w:hAnsi="宋体"/>
                <w:b w:val="0"/>
                <w:color w:val="000000"/>
                <w:szCs w:val="21"/>
              </w:rPr>
              <w:t>镁铝合金粉尘与空气混合，易形成爆炸性粉尘。有吸湿性，受潮或与水作用后，放出氢气，同时产生大量的热，若不及时散热会引起自燃自爆。</w:t>
            </w:r>
          </w:p>
          <w:p w14:paraId="16F589E0">
            <w:pPr>
              <w:adjustRightInd w:val="0"/>
              <w:snapToGrid w:val="0"/>
              <w:rPr>
                <w:rFonts w:ascii="宋体" w:hAnsi="宋体"/>
                <w:b w:val="0"/>
                <w:color w:val="000000"/>
                <w:szCs w:val="21"/>
              </w:rPr>
            </w:pPr>
            <w:r>
              <w:rPr>
                <w:rFonts w:hint="eastAsia" w:ascii="宋体" w:hAnsi="宋体"/>
                <w:b w:val="0"/>
                <w:color w:val="000000"/>
                <w:szCs w:val="21"/>
              </w:rPr>
              <w:t>健康危害：粉尘对人体有害，长期吸入导致尘肺病。表现为消瘦、极易疲劳、呼吸困难、咳嗽、咳痰等。溅入眼内，可发生局灶性坏死，角膜色素沉着，晶体膜改变及玻璃体混浊。对鼻、口、性器官粘膜有刺激性，甚至发生溃疡。可引起痤疮、湿疹、皮炎</w:t>
            </w:r>
          </w:p>
        </w:tc>
      </w:tr>
      <w:tr w14:paraId="0297EC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19" w:hRule="atLeast"/>
        </w:trPr>
        <w:tc>
          <w:tcPr>
            <w:tcW w:w="1018" w:type="dxa"/>
            <w:vAlign w:val="center"/>
          </w:tcPr>
          <w:p w14:paraId="21E23E88">
            <w:pPr>
              <w:jc w:val="center"/>
              <w:rPr>
                <w:rFonts w:ascii="宋体" w:hAnsi="宋体"/>
                <w:b w:val="0"/>
                <w:color w:val="000000"/>
              </w:rPr>
            </w:pPr>
            <w:r>
              <w:rPr>
                <w:rFonts w:hint="eastAsia" w:ascii="宋体" w:hAnsi="宋体"/>
                <w:b w:val="0"/>
                <w:color w:val="000000"/>
              </w:rPr>
              <w:t>急救</w:t>
            </w:r>
          </w:p>
        </w:tc>
        <w:tc>
          <w:tcPr>
            <w:tcW w:w="8268" w:type="dxa"/>
            <w:vAlign w:val="center"/>
          </w:tcPr>
          <w:p w14:paraId="38F0BDCD">
            <w:pPr>
              <w:adjustRightInd w:val="0"/>
              <w:snapToGrid w:val="0"/>
              <w:rPr>
                <w:rFonts w:ascii="宋体" w:hAnsi="宋体"/>
                <w:b w:val="0"/>
                <w:color w:val="000000"/>
                <w:szCs w:val="21"/>
              </w:rPr>
            </w:pPr>
            <w:r>
              <w:rPr>
                <w:rFonts w:ascii="宋体" w:hAnsi="宋体"/>
                <w:b w:val="0"/>
                <w:color w:val="000000"/>
                <w:szCs w:val="21"/>
              </w:rPr>
              <w:t>消防措施：</w:t>
            </w:r>
            <w:r>
              <w:rPr>
                <w:rFonts w:hint="eastAsia" w:ascii="宋体" w:hAnsi="宋体"/>
                <w:b w:val="0"/>
                <w:color w:val="000000"/>
                <w:szCs w:val="21"/>
              </w:rPr>
              <w:t>用干砂、石粉闷熄，严禁用水、泡沫、二氧化碳、四氯化碳扑救。</w:t>
            </w:r>
          </w:p>
          <w:p w14:paraId="2EA98F12">
            <w:pPr>
              <w:adjustRightInd w:val="0"/>
              <w:snapToGrid w:val="0"/>
              <w:rPr>
                <w:rFonts w:ascii="宋体" w:hAnsi="宋体"/>
                <w:b w:val="0"/>
                <w:color w:val="000000"/>
                <w:szCs w:val="21"/>
              </w:rPr>
            </w:pPr>
            <w:r>
              <w:rPr>
                <w:rFonts w:hint="eastAsia" w:ascii="宋体" w:hAnsi="宋体"/>
                <w:b w:val="0"/>
                <w:color w:val="000000"/>
                <w:szCs w:val="21"/>
              </w:rPr>
              <w:t xml:space="preserve">急救措施：脱离现场至空气新鲜处 </w:t>
            </w:r>
          </w:p>
        </w:tc>
      </w:tr>
      <w:tr w14:paraId="3FAE15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56" w:hRule="atLeast"/>
        </w:trPr>
        <w:tc>
          <w:tcPr>
            <w:tcW w:w="1018" w:type="dxa"/>
            <w:vAlign w:val="center"/>
          </w:tcPr>
          <w:p w14:paraId="123A5F0D">
            <w:pPr>
              <w:jc w:val="center"/>
              <w:rPr>
                <w:rFonts w:ascii="宋体" w:hAnsi="宋体"/>
                <w:b w:val="0"/>
                <w:color w:val="000000"/>
              </w:rPr>
            </w:pPr>
            <w:r>
              <w:rPr>
                <w:rFonts w:hint="eastAsia" w:ascii="宋体" w:hAnsi="宋体"/>
                <w:b w:val="0"/>
                <w:color w:val="000000"/>
              </w:rPr>
              <w:t>泄 露</w:t>
            </w:r>
          </w:p>
          <w:p w14:paraId="17B3F57B">
            <w:pPr>
              <w:jc w:val="center"/>
              <w:rPr>
                <w:rFonts w:ascii="宋体" w:hAnsi="宋体"/>
                <w:b w:val="0"/>
                <w:color w:val="000000"/>
              </w:rPr>
            </w:pPr>
            <w:r>
              <w:rPr>
                <w:rFonts w:ascii="宋体" w:hAnsi="宋体"/>
                <w:b w:val="0"/>
                <w:color w:val="000000"/>
              </w:rPr>
              <w:t>处</w:t>
            </w:r>
            <w:r>
              <w:rPr>
                <w:rFonts w:hint="eastAsia" w:ascii="宋体" w:hAnsi="宋体"/>
                <w:b w:val="0"/>
                <w:color w:val="000000"/>
              </w:rPr>
              <w:t xml:space="preserve"> </w:t>
            </w:r>
            <w:r>
              <w:rPr>
                <w:rFonts w:ascii="宋体" w:hAnsi="宋体"/>
                <w:b w:val="0"/>
                <w:color w:val="000000"/>
              </w:rPr>
              <w:t>理</w:t>
            </w:r>
          </w:p>
        </w:tc>
        <w:tc>
          <w:tcPr>
            <w:tcW w:w="8268" w:type="dxa"/>
            <w:vAlign w:val="center"/>
          </w:tcPr>
          <w:p w14:paraId="0B48526E">
            <w:pPr>
              <w:adjustRightInd w:val="0"/>
              <w:snapToGrid w:val="0"/>
              <w:rPr>
                <w:rFonts w:ascii="宋体" w:hAnsi="宋体"/>
                <w:b w:val="0"/>
                <w:color w:val="000000"/>
                <w:szCs w:val="21"/>
              </w:rPr>
            </w:pPr>
            <w:r>
              <w:rPr>
                <w:rFonts w:hint="eastAsia" w:ascii="宋体" w:hAnsi="宋体"/>
                <w:b w:val="0"/>
                <w:color w:val="000000"/>
                <w:szCs w:val="21"/>
              </w:rPr>
              <w:t>隔离泄漏污染区，限制出入。切断火源。建议应急处理人员戴自给正压式呼吸器，穿防静电工作服。不要直接接触泄漏物。小量泄漏：避免扬尘，用洁净的铲子收集于干燥、洁净、有盖的容器中。转移回收。大量泄漏：用塑料布、帆布覆盖。使用无火花工具转移回收。或在安全有保证情况下就地焚烧。</w:t>
            </w:r>
          </w:p>
        </w:tc>
      </w:tr>
      <w:tr w14:paraId="690143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1018" w:type="dxa"/>
            <w:vAlign w:val="center"/>
          </w:tcPr>
          <w:p w14:paraId="6AABBA2F">
            <w:pPr>
              <w:jc w:val="center"/>
              <w:rPr>
                <w:rFonts w:ascii="宋体" w:hAnsi="宋体"/>
                <w:b w:val="0"/>
                <w:color w:val="000000"/>
              </w:rPr>
            </w:pPr>
            <w:r>
              <w:rPr>
                <w:rFonts w:ascii="宋体" w:hAnsi="宋体"/>
                <w:b w:val="0"/>
                <w:color w:val="000000"/>
              </w:rPr>
              <w:t>储</w:t>
            </w:r>
            <w:r>
              <w:rPr>
                <w:rFonts w:hint="eastAsia" w:ascii="宋体" w:hAnsi="宋体"/>
                <w:b w:val="0"/>
                <w:color w:val="000000"/>
              </w:rPr>
              <w:t xml:space="preserve"> </w:t>
            </w:r>
            <w:r>
              <w:rPr>
                <w:rFonts w:ascii="宋体" w:hAnsi="宋体"/>
                <w:b w:val="0"/>
                <w:color w:val="000000"/>
              </w:rPr>
              <w:t>运</w:t>
            </w:r>
          </w:p>
        </w:tc>
        <w:tc>
          <w:tcPr>
            <w:tcW w:w="8268" w:type="dxa"/>
            <w:vAlign w:val="center"/>
          </w:tcPr>
          <w:p w14:paraId="5CE7C0B1">
            <w:pPr>
              <w:adjustRightInd w:val="0"/>
              <w:snapToGrid w:val="0"/>
              <w:rPr>
                <w:rFonts w:ascii="宋体" w:hAnsi="宋体"/>
                <w:b w:val="0"/>
                <w:color w:val="000000"/>
                <w:szCs w:val="21"/>
              </w:rPr>
            </w:pPr>
            <w:r>
              <w:rPr>
                <w:rFonts w:hint="eastAsia" w:ascii="宋体" w:hAnsi="宋体"/>
                <w:b w:val="0"/>
                <w:color w:val="000000"/>
                <w:szCs w:val="21"/>
              </w:rPr>
              <w:t>应贮存于地势高、干燥的库房内，库内相对湿度保持在80%以下，可与其他遇水燃烧的金属或粉末同库贮存，应与易燃液体、酸类、强酸、氧化剂及其他含水物品分库贮存。雨天不得运输，搬运时应轻装轻卸，防止损害和泄漏。</w:t>
            </w:r>
          </w:p>
        </w:tc>
      </w:tr>
    </w:tbl>
    <w:p w14:paraId="4420F97F">
      <w:pPr>
        <w:spacing w:before="120" w:beforeLines="50" w:line="360" w:lineRule="auto"/>
        <w:outlineLvl w:val="2"/>
        <w:rPr>
          <w:rFonts w:ascii="黑体" w:hAnsi="黑体" w:eastAsia="黑体"/>
          <w:b w:val="0"/>
          <w:sz w:val="30"/>
          <w:szCs w:val="30"/>
        </w:rPr>
      </w:pPr>
      <w:r>
        <w:rPr>
          <w:rFonts w:hint="eastAsia" w:ascii="黑体" w:hAnsi="黑体" w:eastAsia="黑体"/>
          <w:b w:val="0"/>
          <w:sz w:val="30"/>
          <w:szCs w:val="30"/>
        </w:rPr>
        <w:t>3.</w:t>
      </w:r>
      <w:r>
        <w:rPr>
          <w:rFonts w:ascii="黑体" w:hAnsi="黑体" w:eastAsia="黑体"/>
          <w:b w:val="0"/>
          <w:sz w:val="30"/>
          <w:szCs w:val="30"/>
        </w:rPr>
        <w:t>3</w:t>
      </w:r>
      <w:r>
        <w:rPr>
          <w:rFonts w:hint="eastAsia" w:ascii="黑体" w:hAnsi="黑体" w:eastAsia="黑体"/>
          <w:b w:val="0"/>
          <w:sz w:val="30"/>
          <w:szCs w:val="30"/>
        </w:rPr>
        <w:t>.3其他原料</w:t>
      </w:r>
      <w:bookmarkEnd w:id="230"/>
      <w:bookmarkEnd w:id="231"/>
      <w:bookmarkEnd w:id="232"/>
      <w:bookmarkEnd w:id="233"/>
      <w:bookmarkEnd w:id="234"/>
      <w:bookmarkEnd w:id="235"/>
      <w:bookmarkEnd w:id="236"/>
      <w:bookmarkEnd w:id="237"/>
      <w:bookmarkEnd w:id="238"/>
      <w:bookmarkEnd w:id="239"/>
      <w:bookmarkEnd w:id="240"/>
    </w:p>
    <w:p w14:paraId="50720A63">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在烟花生产过程中，还要使用着色物、粘合剂及特殊效应物、纸张等物品，上述常用物品的危险特性分述如下文。</w:t>
      </w:r>
    </w:p>
    <w:p w14:paraId="7A7A7599">
      <w:pPr>
        <w:spacing w:line="360" w:lineRule="auto"/>
        <w:ind w:firstLine="562" w:firstLineChars="200"/>
        <w:rPr>
          <w:rFonts w:ascii="宋体" w:hAnsi="宋体"/>
          <w:snapToGrid w:val="0"/>
          <w:sz w:val="28"/>
          <w:szCs w:val="28"/>
          <w:lang w:val="en-GB"/>
        </w:rPr>
      </w:pPr>
      <w:bookmarkStart w:id="241" w:name="_Toc109360872"/>
      <w:r>
        <w:rPr>
          <w:rFonts w:hint="eastAsia" w:ascii="宋体" w:hAnsi="宋体"/>
          <w:snapToGrid w:val="0"/>
          <w:sz w:val="28"/>
          <w:szCs w:val="28"/>
          <w:lang w:val="en-GB"/>
        </w:rPr>
        <w:t>1）酚醛树脂</w:t>
      </w:r>
    </w:p>
    <w:p w14:paraId="79A569FE">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酚醛树脂的物性参数及主要危害特性列于表3.3-12。</w:t>
      </w:r>
    </w:p>
    <w:p w14:paraId="55695E05">
      <w:pPr>
        <w:widowControl/>
        <w:jc w:val="center"/>
        <w:rPr>
          <w:rFonts w:ascii="黑体" w:hAnsi="宋体" w:eastAsia="黑体"/>
          <w:b w:val="0"/>
          <w:sz w:val="24"/>
        </w:rPr>
      </w:pPr>
      <w:r>
        <w:rPr>
          <w:rFonts w:hint="eastAsia" w:ascii="黑体" w:hAnsi="宋体" w:eastAsia="黑体"/>
          <w:b w:val="0"/>
          <w:sz w:val="24"/>
        </w:rPr>
        <w:t>表3.3-12       酚醛树脂的物性参数及对危险的应对措施</w:t>
      </w:r>
    </w:p>
    <w:tbl>
      <w:tblPr>
        <w:tblStyle w:val="88"/>
        <w:tblW w:w="928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8268"/>
      </w:tblGrid>
      <w:tr w14:paraId="301E07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018" w:type="dxa"/>
            <w:vAlign w:val="center"/>
          </w:tcPr>
          <w:p w14:paraId="6DE833CD">
            <w:pPr>
              <w:jc w:val="center"/>
              <w:rPr>
                <w:rFonts w:ascii="宋体" w:hAnsi="宋体"/>
                <w:b w:val="0"/>
                <w:color w:val="000000"/>
                <w:szCs w:val="21"/>
              </w:rPr>
            </w:pPr>
            <w:r>
              <w:rPr>
                <w:rFonts w:hint="eastAsia" w:ascii="宋体" w:hAnsi="宋体"/>
                <w:b w:val="0"/>
                <w:color w:val="000000"/>
                <w:szCs w:val="21"/>
              </w:rPr>
              <w:t>标 识</w:t>
            </w:r>
          </w:p>
        </w:tc>
        <w:tc>
          <w:tcPr>
            <w:tcW w:w="8268" w:type="dxa"/>
            <w:vAlign w:val="center"/>
          </w:tcPr>
          <w:p w14:paraId="6B97F87A">
            <w:pPr>
              <w:rPr>
                <w:rFonts w:ascii="宋体" w:hAnsi="宋体"/>
                <w:b w:val="0"/>
                <w:color w:val="000000"/>
                <w:szCs w:val="21"/>
              </w:rPr>
            </w:pPr>
            <w:r>
              <w:rPr>
                <w:rFonts w:hint="eastAsia" w:ascii="宋体" w:hAnsi="宋体"/>
                <w:b w:val="0"/>
                <w:color w:val="000000"/>
                <w:szCs w:val="21"/>
              </w:rPr>
              <w:t>中文名称：酚醛树脂        英文名：</w:t>
            </w:r>
            <w:r>
              <w:rPr>
                <w:rFonts w:ascii="宋体" w:hAnsi="宋体"/>
                <w:b w:val="0"/>
                <w:color w:val="000000"/>
                <w:szCs w:val="21"/>
              </w:rPr>
              <w:t>phenolic resin</w:t>
            </w:r>
            <w:r>
              <w:rPr>
                <w:rFonts w:hint="eastAsia" w:ascii="宋体" w:hAnsi="宋体"/>
                <w:b w:val="0"/>
                <w:color w:val="000000"/>
                <w:szCs w:val="21"/>
              </w:rPr>
              <w:t xml:space="preserve">      UN编号：</w:t>
            </w:r>
            <w:r>
              <w:rPr>
                <w:rFonts w:ascii="宋体" w:hAnsi="宋体"/>
                <w:b w:val="0"/>
                <w:color w:val="000000"/>
                <w:szCs w:val="21"/>
              </w:rPr>
              <w:t>1866</w:t>
            </w:r>
            <w:r>
              <w:rPr>
                <w:rFonts w:hint="eastAsia" w:ascii="宋体" w:hAnsi="宋体"/>
                <w:b w:val="0"/>
                <w:color w:val="000000"/>
                <w:szCs w:val="21"/>
              </w:rPr>
              <w:t>；</w:t>
            </w:r>
          </w:p>
          <w:p w14:paraId="3E09951D">
            <w:pPr>
              <w:rPr>
                <w:rFonts w:ascii="宋体" w:hAnsi="宋体"/>
                <w:b w:val="0"/>
                <w:color w:val="000000"/>
                <w:szCs w:val="21"/>
              </w:rPr>
            </w:pPr>
            <w:r>
              <w:rPr>
                <w:rFonts w:hint="eastAsia" w:ascii="宋体" w:hAnsi="宋体"/>
                <w:b w:val="0"/>
                <w:color w:val="000000"/>
                <w:szCs w:val="21"/>
              </w:rPr>
              <w:t>平均分子量：600</w:t>
            </w:r>
            <w:r>
              <w:rPr>
                <w:rFonts w:ascii="宋体" w:hAnsi="宋体"/>
                <w:b w:val="0"/>
                <w:color w:val="000000"/>
                <w:szCs w:val="21"/>
              </w:rPr>
              <w:t>～</w:t>
            </w:r>
            <w:r>
              <w:rPr>
                <w:rFonts w:hint="eastAsia" w:ascii="宋体" w:hAnsi="宋体"/>
                <w:b w:val="0"/>
                <w:color w:val="000000"/>
                <w:szCs w:val="21"/>
              </w:rPr>
              <w:t xml:space="preserve">800                      </w:t>
            </w:r>
            <w:r>
              <w:rPr>
                <w:rFonts w:ascii="宋体" w:hAnsi="宋体"/>
                <w:b w:val="0"/>
                <w:color w:val="000000"/>
                <w:szCs w:val="21"/>
              </w:rPr>
              <w:t xml:space="preserve"> </w:t>
            </w:r>
            <w:r>
              <w:rPr>
                <w:rFonts w:hint="eastAsia" w:ascii="宋体" w:hAnsi="宋体"/>
                <w:b w:val="0"/>
                <w:color w:val="000000"/>
                <w:szCs w:val="21"/>
              </w:rPr>
              <w:t xml:space="preserve">  </w:t>
            </w:r>
          </w:p>
        </w:tc>
      </w:tr>
      <w:tr w14:paraId="6FDD5D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11" w:hRule="atLeast"/>
          <w:jc w:val="center"/>
        </w:trPr>
        <w:tc>
          <w:tcPr>
            <w:tcW w:w="1018" w:type="dxa"/>
            <w:vAlign w:val="center"/>
          </w:tcPr>
          <w:p w14:paraId="6F15D18B">
            <w:pPr>
              <w:jc w:val="center"/>
              <w:rPr>
                <w:rFonts w:ascii="宋体" w:hAnsi="宋体"/>
                <w:b w:val="0"/>
                <w:color w:val="000000"/>
                <w:szCs w:val="21"/>
              </w:rPr>
            </w:pPr>
            <w:r>
              <w:rPr>
                <w:rFonts w:ascii="宋体" w:hAnsi="宋体"/>
                <w:b w:val="0"/>
                <w:color w:val="000000"/>
                <w:szCs w:val="21"/>
              </w:rPr>
              <w:t>理</w:t>
            </w:r>
            <w:r>
              <w:rPr>
                <w:rFonts w:hint="eastAsia" w:ascii="宋体" w:hAnsi="宋体"/>
                <w:b w:val="0"/>
                <w:color w:val="000000"/>
                <w:szCs w:val="21"/>
              </w:rPr>
              <w:t xml:space="preserve"> </w:t>
            </w:r>
            <w:r>
              <w:rPr>
                <w:rFonts w:ascii="宋体" w:hAnsi="宋体"/>
                <w:b w:val="0"/>
                <w:color w:val="000000"/>
                <w:szCs w:val="21"/>
              </w:rPr>
              <w:t>化</w:t>
            </w:r>
          </w:p>
          <w:p w14:paraId="335DBF7D">
            <w:pPr>
              <w:jc w:val="center"/>
              <w:rPr>
                <w:rFonts w:ascii="宋体" w:hAnsi="宋体"/>
                <w:b w:val="0"/>
                <w:color w:val="000000"/>
                <w:szCs w:val="21"/>
              </w:rPr>
            </w:pPr>
            <w:r>
              <w:rPr>
                <w:rFonts w:hint="eastAsia" w:ascii="宋体" w:hAnsi="宋体"/>
                <w:b w:val="0"/>
                <w:color w:val="000000"/>
                <w:szCs w:val="21"/>
              </w:rPr>
              <w:t>性 质</w:t>
            </w:r>
          </w:p>
        </w:tc>
        <w:tc>
          <w:tcPr>
            <w:tcW w:w="8268" w:type="dxa"/>
            <w:vAlign w:val="center"/>
          </w:tcPr>
          <w:p w14:paraId="784BBC4F">
            <w:pPr>
              <w:rPr>
                <w:rFonts w:ascii="宋体" w:hAnsi="宋体"/>
                <w:b w:val="0"/>
                <w:color w:val="000000"/>
                <w:szCs w:val="21"/>
              </w:rPr>
            </w:pPr>
            <w:r>
              <w:rPr>
                <w:rFonts w:ascii="宋体" w:hAnsi="宋体"/>
                <w:b w:val="0"/>
                <w:color w:val="000000"/>
                <w:szCs w:val="21"/>
              </w:rPr>
              <w:t>外观性状：根据化学结构和分子量大小的不同, 有液体或固体之分</w:t>
            </w:r>
            <w:r>
              <w:rPr>
                <w:rFonts w:hint="eastAsia" w:ascii="宋体" w:hAnsi="宋体"/>
                <w:b w:val="0"/>
                <w:color w:val="000000"/>
                <w:szCs w:val="21"/>
              </w:rPr>
              <w:t>。</w:t>
            </w:r>
          </w:p>
          <w:p w14:paraId="6AB394FB">
            <w:pPr>
              <w:rPr>
                <w:rFonts w:ascii="宋体" w:hAnsi="宋体"/>
                <w:b w:val="0"/>
                <w:color w:val="000000"/>
                <w:szCs w:val="21"/>
              </w:rPr>
            </w:pPr>
            <w:r>
              <w:rPr>
                <w:rFonts w:hint="eastAsia" w:ascii="宋体" w:hAnsi="宋体"/>
                <w:b w:val="0"/>
                <w:color w:val="000000"/>
                <w:szCs w:val="21"/>
              </w:rPr>
              <w:t>相对密度（g/cm</w:t>
            </w:r>
            <w:r>
              <w:rPr>
                <w:rFonts w:hint="eastAsia" w:ascii="宋体" w:hAnsi="宋体"/>
                <w:b w:val="0"/>
                <w:color w:val="000000"/>
                <w:szCs w:val="21"/>
                <w:vertAlign w:val="superscript"/>
              </w:rPr>
              <w:t>3</w:t>
            </w:r>
            <w:r>
              <w:rPr>
                <w:rFonts w:hint="eastAsia" w:ascii="宋体" w:hAnsi="宋体"/>
                <w:b w:val="0"/>
                <w:color w:val="000000"/>
                <w:szCs w:val="21"/>
              </w:rPr>
              <w:t>）：1.25～1.30（水=1）；</w:t>
            </w:r>
          </w:p>
          <w:p w14:paraId="3658B8D8">
            <w:pPr>
              <w:ind w:left="1050" w:hanging="1050" w:hangingChars="500"/>
              <w:rPr>
                <w:rFonts w:ascii="宋体" w:hAnsi="宋体"/>
                <w:b w:val="0"/>
                <w:color w:val="000000"/>
                <w:szCs w:val="21"/>
              </w:rPr>
            </w:pPr>
            <w:r>
              <w:rPr>
                <w:rFonts w:hint="eastAsia" w:ascii="宋体" w:hAnsi="宋体"/>
                <w:b w:val="0"/>
                <w:color w:val="000000"/>
                <w:szCs w:val="21"/>
              </w:rPr>
              <w:t>溶 解 性：低分子量的溶于水，中等分子量的能溶于有机溶剂，高分子量的是固体，不溶于水，溶于甲醇、乙醇。</w:t>
            </w:r>
          </w:p>
          <w:p w14:paraId="682A340B">
            <w:pPr>
              <w:rPr>
                <w:rFonts w:ascii="宋体" w:hAnsi="宋体"/>
                <w:b w:val="0"/>
                <w:color w:val="000000"/>
                <w:szCs w:val="21"/>
              </w:rPr>
            </w:pPr>
            <w:r>
              <w:rPr>
                <w:rFonts w:hint="eastAsia" w:ascii="宋体" w:hAnsi="宋体"/>
                <w:b w:val="0"/>
                <w:color w:val="000000"/>
                <w:szCs w:val="21"/>
              </w:rPr>
              <w:t>最小引燃能量(mJ)：</w:t>
            </w:r>
            <w:r>
              <w:rPr>
                <w:rFonts w:ascii="宋体" w:hAnsi="宋体"/>
                <w:b w:val="0"/>
                <w:color w:val="000000"/>
                <w:szCs w:val="21"/>
              </w:rPr>
              <w:t>10</w:t>
            </w:r>
            <w:r>
              <w:rPr>
                <w:rFonts w:hint="eastAsia" w:ascii="宋体" w:hAnsi="宋体"/>
                <w:b w:val="0"/>
                <w:color w:val="000000"/>
                <w:szCs w:val="21"/>
              </w:rPr>
              <w:t xml:space="preserve">      最大爆炸压力(M</w:t>
            </w:r>
            <w:r>
              <w:rPr>
                <w:rFonts w:ascii="宋体" w:hAnsi="宋体"/>
                <w:b w:val="0"/>
                <w:color w:val="000000"/>
                <w:szCs w:val="21"/>
              </w:rPr>
              <w:t>p</w:t>
            </w:r>
            <w:r>
              <w:rPr>
                <w:rFonts w:hint="eastAsia" w:ascii="宋体" w:hAnsi="宋体"/>
                <w:b w:val="0"/>
                <w:color w:val="000000"/>
                <w:szCs w:val="21"/>
              </w:rPr>
              <w:t>a)：</w:t>
            </w:r>
            <w:r>
              <w:rPr>
                <w:rFonts w:ascii="宋体" w:hAnsi="宋体"/>
                <w:b w:val="0"/>
                <w:color w:val="000000"/>
                <w:szCs w:val="21"/>
              </w:rPr>
              <w:t>0.420</w:t>
            </w:r>
            <w:r>
              <w:rPr>
                <w:rFonts w:hint="eastAsia" w:ascii="宋体" w:hAnsi="宋体"/>
                <w:b w:val="0"/>
                <w:color w:val="000000"/>
                <w:szCs w:val="21"/>
              </w:rPr>
              <w:t xml:space="preserve">    禁 忌 物：</w:t>
            </w:r>
            <w:r>
              <w:rPr>
                <w:rFonts w:ascii="宋体" w:hAnsi="宋体"/>
                <w:b w:val="0"/>
                <w:color w:val="000000"/>
                <w:szCs w:val="21"/>
              </w:rPr>
              <w:t>强氧化剂</w:t>
            </w:r>
          </w:p>
        </w:tc>
      </w:tr>
      <w:tr w14:paraId="00F39E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34" w:hRule="atLeast"/>
          <w:jc w:val="center"/>
        </w:trPr>
        <w:tc>
          <w:tcPr>
            <w:tcW w:w="1018" w:type="dxa"/>
            <w:vAlign w:val="center"/>
          </w:tcPr>
          <w:p w14:paraId="4CC8734F">
            <w:pPr>
              <w:jc w:val="center"/>
              <w:rPr>
                <w:rFonts w:ascii="宋体" w:hAnsi="宋体"/>
                <w:b w:val="0"/>
                <w:color w:val="000000"/>
                <w:szCs w:val="21"/>
              </w:rPr>
            </w:pPr>
            <w:r>
              <w:rPr>
                <w:rFonts w:hint="eastAsia" w:ascii="宋体" w:hAnsi="宋体"/>
                <w:b w:val="0"/>
                <w:color w:val="000000"/>
                <w:szCs w:val="21"/>
              </w:rPr>
              <w:t>危险有害特性</w:t>
            </w:r>
          </w:p>
        </w:tc>
        <w:tc>
          <w:tcPr>
            <w:tcW w:w="8268" w:type="dxa"/>
            <w:vAlign w:val="center"/>
          </w:tcPr>
          <w:p w14:paraId="7D1E6D69">
            <w:pPr>
              <w:ind w:left="1260" w:hanging="1260" w:hangingChars="600"/>
              <w:rPr>
                <w:rFonts w:ascii="宋体" w:hAnsi="宋体"/>
                <w:b w:val="0"/>
                <w:color w:val="000000"/>
                <w:szCs w:val="21"/>
              </w:rPr>
            </w:pPr>
            <w:r>
              <w:rPr>
                <w:rFonts w:hint="eastAsia" w:ascii="宋体" w:hAnsi="宋体"/>
                <w:b w:val="0"/>
                <w:color w:val="000000"/>
                <w:szCs w:val="21"/>
              </w:rPr>
              <w:t>燃烧爆炸性：燃 烧 性：易燃           引燃温度：</w:t>
            </w:r>
            <w:r>
              <w:rPr>
                <w:rFonts w:ascii="宋体" w:hAnsi="宋体"/>
                <w:b w:val="0"/>
                <w:color w:val="000000"/>
                <w:szCs w:val="21"/>
              </w:rPr>
              <w:t>420</w:t>
            </w:r>
            <w:r>
              <w:rPr>
                <w:rFonts w:hint="eastAsia" w:ascii="宋体" w:hAnsi="宋体"/>
                <w:b w:val="0"/>
                <w:color w:val="000000"/>
                <w:szCs w:val="21"/>
              </w:rPr>
              <w:t>℃</w:t>
            </w:r>
            <w:r>
              <w:rPr>
                <w:rFonts w:ascii="宋体" w:hAnsi="宋体"/>
                <w:b w:val="0"/>
                <w:color w:val="000000"/>
                <w:szCs w:val="21"/>
              </w:rPr>
              <w:t>(粉云)</w:t>
            </w:r>
          </w:p>
          <w:p w14:paraId="4AD52107">
            <w:pPr>
              <w:rPr>
                <w:rFonts w:ascii="宋体" w:hAnsi="宋体"/>
                <w:b w:val="0"/>
                <w:color w:val="000000"/>
                <w:szCs w:val="21"/>
              </w:rPr>
            </w:pPr>
            <w:r>
              <w:rPr>
                <w:rFonts w:hint="eastAsia" w:ascii="宋体" w:hAnsi="宋体"/>
                <w:b w:val="0"/>
                <w:color w:val="000000"/>
                <w:szCs w:val="21"/>
              </w:rPr>
              <w:t>爆炸下限：</w:t>
            </w:r>
            <w:r>
              <w:rPr>
                <w:rFonts w:ascii="宋体" w:hAnsi="宋体"/>
                <w:b w:val="0"/>
                <w:color w:val="000000"/>
                <w:szCs w:val="21"/>
              </w:rPr>
              <w:t>20</w:t>
            </w:r>
            <w:r>
              <w:rPr>
                <w:rFonts w:hint="eastAsia" w:ascii="宋体" w:hAnsi="宋体"/>
                <w:b w:val="0"/>
                <w:color w:val="000000"/>
                <w:szCs w:val="21"/>
              </w:rPr>
              <w:t xml:space="preserve"> mg/.m</w:t>
            </w:r>
            <w:r>
              <w:rPr>
                <w:rFonts w:hint="eastAsia" w:ascii="宋体" w:hAnsi="宋体"/>
                <w:b w:val="0"/>
                <w:color w:val="000000"/>
                <w:szCs w:val="21"/>
                <w:vertAlign w:val="superscript"/>
              </w:rPr>
              <w:t>3</w:t>
            </w:r>
            <w:r>
              <w:rPr>
                <w:rFonts w:hint="eastAsia" w:ascii="宋体" w:hAnsi="宋体"/>
                <w:b w:val="0"/>
                <w:color w:val="000000"/>
                <w:szCs w:val="21"/>
              </w:rPr>
              <w:t xml:space="preserve">            稳 定 性：稳定</w:t>
            </w:r>
          </w:p>
          <w:p w14:paraId="4CF5C5F5">
            <w:pPr>
              <w:rPr>
                <w:rFonts w:ascii="宋体" w:hAnsi="宋体"/>
                <w:b w:val="0"/>
                <w:color w:val="000000"/>
                <w:szCs w:val="21"/>
              </w:rPr>
            </w:pPr>
            <w:r>
              <w:rPr>
                <w:rFonts w:ascii="宋体" w:hAnsi="宋体"/>
                <w:b w:val="0"/>
                <w:color w:val="000000"/>
                <w:szCs w:val="21"/>
              </w:rPr>
              <w:t>遇明火、高热能燃烧</w:t>
            </w:r>
            <w:r>
              <w:rPr>
                <w:rFonts w:hint="eastAsia" w:ascii="宋体" w:hAnsi="宋体"/>
                <w:b w:val="0"/>
                <w:color w:val="000000"/>
                <w:szCs w:val="21"/>
              </w:rPr>
              <w:t>，燃烧分解产物为</w:t>
            </w:r>
            <w:r>
              <w:rPr>
                <w:rFonts w:ascii="宋体" w:hAnsi="宋体"/>
                <w:b w:val="0"/>
                <w:color w:val="000000"/>
                <w:szCs w:val="21"/>
              </w:rPr>
              <w:t>一氧化碳、二氧化碳。受高热分解放出有毒气体。</w:t>
            </w:r>
          </w:p>
          <w:p w14:paraId="25D50296">
            <w:pPr>
              <w:ind w:left="2"/>
              <w:rPr>
                <w:rFonts w:ascii="宋体" w:hAnsi="宋体"/>
                <w:b w:val="0"/>
                <w:color w:val="000000"/>
                <w:szCs w:val="21"/>
              </w:rPr>
            </w:pPr>
            <w:r>
              <w:rPr>
                <w:rFonts w:hint="eastAsia" w:ascii="宋体" w:hAnsi="宋体"/>
                <w:b w:val="0"/>
                <w:color w:val="000000"/>
                <w:szCs w:val="21"/>
              </w:rPr>
              <w:t>健康危害：</w:t>
            </w:r>
            <w:r>
              <w:rPr>
                <w:rFonts w:ascii="宋体" w:hAnsi="宋体"/>
                <w:b w:val="0"/>
                <w:color w:val="000000"/>
                <w:szCs w:val="21"/>
              </w:rPr>
              <w:t>本品具刺激性。接触加工或使用本品过程中所形成的粉尘，可引起头痛、嗜睡、呼吸道粘膜刺激症状、喘息性支气管炎和皮肤病，还可发生肾脏损害。空气环境分析发现苯酚、甲醛和氨</w:t>
            </w:r>
            <w:r>
              <w:rPr>
                <w:rFonts w:hint="eastAsia" w:ascii="宋体" w:hAnsi="宋体"/>
                <w:b w:val="0"/>
                <w:color w:val="000000"/>
                <w:szCs w:val="21"/>
              </w:rPr>
              <w:t>等有害物质</w:t>
            </w:r>
            <w:r>
              <w:rPr>
                <w:rFonts w:ascii="宋体" w:hAnsi="宋体"/>
                <w:b w:val="0"/>
                <w:color w:val="000000"/>
                <w:szCs w:val="21"/>
              </w:rPr>
              <w:t>。</w:t>
            </w:r>
          </w:p>
        </w:tc>
      </w:tr>
      <w:tr w14:paraId="1E3E3A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06" w:hRule="atLeast"/>
          <w:jc w:val="center"/>
        </w:trPr>
        <w:tc>
          <w:tcPr>
            <w:tcW w:w="1018" w:type="dxa"/>
            <w:vAlign w:val="center"/>
          </w:tcPr>
          <w:p w14:paraId="79DA8186">
            <w:pPr>
              <w:jc w:val="center"/>
              <w:rPr>
                <w:rFonts w:ascii="宋体" w:hAnsi="宋体"/>
                <w:b w:val="0"/>
                <w:color w:val="000000"/>
                <w:szCs w:val="21"/>
              </w:rPr>
            </w:pPr>
            <w:r>
              <w:rPr>
                <w:rFonts w:hint="eastAsia" w:ascii="宋体" w:hAnsi="宋体"/>
                <w:b w:val="0"/>
                <w:color w:val="000000"/>
                <w:szCs w:val="21"/>
              </w:rPr>
              <w:t>急救</w:t>
            </w:r>
          </w:p>
        </w:tc>
        <w:tc>
          <w:tcPr>
            <w:tcW w:w="8268" w:type="dxa"/>
            <w:vAlign w:val="center"/>
          </w:tcPr>
          <w:p w14:paraId="588564D7">
            <w:pPr>
              <w:ind w:left="1050" w:hanging="1050" w:hangingChars="500"/>
              <w:rPr>
                <w:rFonts w:ascii="宋体" w:hAnsi="宋体"/>
                <w:b w:val="0"/>
                <w:color w:val="000000"/>
                <w:szCs w:val="21"/>
              </w:rPr>
            </w:pPr>
            <w:r>
              <w:rPr>
                <w:rFonts w:ascii="宋体" w:hAnsi="宋体"/>
                <w:b w:val="0"/>
                <w:color w:val="000000"/>
                <w:szCs w:val="21"/>
              </w:rPr>
              <w:t>消防措施：灭火剂</w:t>
            </w:r>
            <w:r>
              <w:rPr>
                <w:rFonts w:hint="eastAsia" w:ascii="宋体" w:hAnsi="宋体"/>
                <w:b w:val="0"/>
                <w:color w:val="000000"/>
                <w:szCs w:val="21"/>
              </w:rPr>
              <w:t>为</w:t>
            </w:r>
            <w:r>
              <w:rPr>
                <w:rFonts w:ascii="宋体" w:hAnsi="宋体"/>
                <w:b w:val="0"/>
                <w:color w:val="000000"/>
                <w:szCs w:val="21"/>
              </w:rPr>
              <w:t>雾状水、泡沫、二氧化碳、干粉、砂土</w:t>
            </w:r>
            <w:r>
              <w:rPr>
                <w:rFonts w:hint="eastAsia" w:ascii="宋体" w:hAnsi="宋体"/>
                <w:b w:val="0"/>
                <w:color w:val="000000"/>
                <w:szCs w:val="21"/>
              </w:rPr>
              <w:t>。</w:t>
            </w:r>
            <w:r>
              <w:rPr>
                <w:rFonts w:ascii="宋体" w:hAnsi="宋体"/>
                <w:b w:val="0"/>
                <w:color w:val="000000"/>
                <w:szCs w:val="21"/>
              </w:rPr>
              <w:t>喷水冷却容器，可能的话将容器从火场移至空旷处。</w:t>
            </w:r>
          </w:p>
          <w:p w14:paraId="0B131357">
            <w:pPr>
              <w:rPr>
                <w:rFonts w:ascii="宋体" w:hAnsi="宋体"/>
                <w:b w:val="0"/>
                <w:color w:val="000000"/>
                <w:szCs w:val="21"/>
              </w:rPr>
            </w:pPr>
            <w:r>
              <w:rPr>
                <w:rFonts w:hint="eastAsia" w:ascii="宋体" w:hAnsi="宋体"/>
                <w:b w:val="0"/>
                <w:color w:val="000000"/>
                <w:szCs w:val="21"/>
              </w:rPr>
              <w:t>皮肤接触：脱去被污染的衣着，用肥皂水和清水彻底冲洗皮肤。</w:t>
            </w:r>
          </w:p>
          <w:p w14:paraId="320E7009">
            <w:pPr>
              <w:rPr>
                <w:rFonts w:ascii="宋体" w:hAnsi="宋体"/>
                <w:b w:val="0"/>
                <w:color w:val="000000"/>
                <w:szCs w:val="21"/>
              </w:rPr>
            </w:pPr>
            <w:r>
              <w:rPr>
                <w:rFonts w:hint="eastAsia" w:ascii="宋体" w:hAnsi="宋体"/>
                <w:b w:val="0"/>
                <w:color w:val="000000"/>
                <w:szCs w:val="21"/>
              </w:rPr>
              <w:t>眼睛接触：提起眼睑，用流动清水或生理盐水冲洗。就医。</w:t>
            </w:r>
          </w:p>
          <w:p w14:paraId="7E1C959E">
            <w:pPr>
              <w:ind w:left="1037" w:hanging="1037" w:hangingChars="494"/>
              <w:rPr>
                <w:rFonts w:ascii="宋体" w:hAnsi="宋体"/>
                <w:b w:val="0"/>
                <w:color w:val="000000"/>
                <w:szCs w:val="21"/>
              </w:rPr>
            </w:pPr>
            <w:r>
              <w:rPr>
                <w:rFonts w:hint="eastAsia" w:ascii="宋体" w:hAnsi="宋体"/>
                <w:b w:val="0"/>
                <w:color w:val="000000"/>
                <w:szCs w:val="21"/>
              </w:rPr>
              <w:t>吸    入：迅速脱离现场至空气新鲜处。保持呼吸道通畅。如呼吸困难，给输氧。如呼吸停止，立即进行人工呼吸。就医。</w:t>
            </w:r>
          </w:p>
          <w:p w14:paraId="2A690082">
            <w:pPr>
              <w:ind w:left="1050" w:hanging="1050" w:hangingChars="500"/>
              <w:rPr>
                <w:rFonts w:ascii="宋体" w:hAnsi="宋体"/>
                <w:b w:val="0"/>
                <w:color w:val="000000"/>
                <w:szCs w:val="21"/>
              </w:rPr>
            </w:pPr>
            <w:r>
              <w:rPr>
                <w:rFonts w:hint="eastAsia" w:ascii="宋体" w:hAnsi="宋体"/>
                <w:b w:val="0"/>
                <w:color w:val="000000"/>
                <w:szCs w:val="21"/>
              </w:rPr>
              <w:t>食    入：饮足量温水，催吐。就医。</w:t>
            </w:r>
          </w:p>
        </w:tc>
      </w:tr>
      <w:tr w14:paraId="19603D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14" w:hRule="atLeast"/>
          <w:jc w:val="center"/>
        </w:trPr>
        <w:tc>
          <w:tcPr>
            <w:tcW w:w="1018" w:type="dxa"/>
            <w:vAlign w:val="center"/>
          </w:tcPr>
          <w:p w14:paraId="3FF2C876">
            <w:pPr>
              <w:jc w:val="center"/>
              <w:rPr>
                <w:rFonts w:ascii="宋体" w:hAnsi="宋体"/>
                <w:b w:val="0"/>
                <w:color w:val="000000"/>
                <w:szCs w:val="21"/>
              </w:rPr>
            </w:pPr>
            <w:r>
              <w:rPr>
                <w:rFonts w:hint="eastAsia" w:ascii="宋体" w:hAnsi="宋体"/>
                <w:b w:val="0"/>
                <w:color w:val="000000"/>
                <w:szCs w:val="21"/>
              </w:rPr>
              <w:t>泄 露</w:t>
            </w:r>
          </w:p>
          <w:p w14:paraId="2B4F3F7F">
            <w:pPr>
              <w:jc w:val="center"/>
              <w:rPr>
                <w:rFonts w:ascii="宋体" w:hAnsi="宋体"/>
                <w:b w:val="0"/>
                <w:color w:val="000000"/>
                <w:szCs w:val="21"/>
              </w:rPr>
            </w:pPr>
            <w:r>
              <w:rPr>
                <w:rFonts w:ascii="宋体" w:hAnsi="宋体"/>
                <w:b w:val="0"/>
                <w:color w:val="000000"/>
                <w:szCs w:val="21"/>
              </w:rPr>
              <w:t>处</w:t>
            </w:r>
            <w:r>
              <w:rPr>
                <w:rFonts w:hint="eastAsia" w:ascii="宋体" w:hAnsi="宋体"/>
                <w:b w:val="0"/>
                <w:color w:val="000000"/>
                <w:szCs w:val="21"/>
              </w:rPr>
              <w:t xml:space="preserve"> </w:t>
            </w:r>
            <w:r>
              <w:rPr>
                <w:rFonts w:ascii="宋体" w:hAnsi="宋体"/>
                <w:b w:val="0"/>
                <w:color w:val="000000"/>
                <w:szCs w:val="21"/>
              </w:rPr>
              <w:t>理</w:t>
            </w:r>
          </w:p>
        </w:tc>
        <w:tc>
          <w:tcPr>
            <w:tcW w:w="8268" w:type="dxa"/>
            <w:vAlign w:val="center"/>
          </w:tcPr>
          <w:p w14:paraId="77249093">
            <w:pPr>
              <w:rPr>
                <w:rFonts w:ascii="宋体" w:hAnsi="宋体"/>
                <w:b w:val="0"/>
                <w:color w:val="000000"/>
                <w:szCs w:val="21"/>
              </w:rPr>
            </w:pPr>
            <w:r>
              <w:rPr>
                <w:rFonts w:ascii="宋体" w:hAnsi="宋体"/>
                <w:b w:val="0"/>
                <w:color w:val="000000"/>
                <w:szCs w:val="21"/>
              </w:rPr>
              <w:t>迅速撤离泄漏污染区人员至安全区，并进行隔离，严格限制出入。切断火源。建议应急处理人员戴自给正压式呼吸器，穿防静电工作服。若是液体。尽可能切断泄漏源。防止流入下水道、排洪沟等限制性空间。小量泄漏用干燥的砂土或类似物质吸收。大量泄漏</w:t>
            </w:r>
            <w:r>
              <w:rPr>
                <w:rFonts w:hint="eastAsia" w:ascii="宋体" w:hAnsi="宋体"/>
                <w:b w:val="0"/>
                <w:color w:val="000000"/>
                <w:szCs w:val="21"/>
              </w:rPr>
              <w:t>可</w:t>
            </w:r>
            <w:r>
              <w:rPr>
                <w:rFonts w:ascii="宋体" w:hAnsi="宋体"/>
                <w:b w:val="0"/>
                <w:color w:val="000000"/>
                <w:szCs w:val="21"/>
              </w:rPr>
              <w:t>构筑围堤或挖坑收容。用泡沫覆盖，降低蒸气灾害。用防爆泵转移至槽车或专用收集器内，回收或运至废物处理场所处置。若是固体，收集于干燥、洁净、有盖容器中。然后在专用废弃场所深层掩埋。若大量泄漏，收集回收或运至废物处理场所处置。</w:t>
            </w:r>
          </w:p>
        </w:tc>
      </w:tr>
      <w:tr w14:paraId="2E84FC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1018" w:type="dxa"/>
            <w:vAlign w:val="center"/>
          </w:tcPr>
          <w:p w14:paraId="026E728C">
            <w:pPr>
              <w:jc w:val="center"/>
              <w:rPr>
                <w:rFonts w:ascii="宋体" w:hAnsi="宋体"/>
                <w:b w:val="0"/>
                <w:color w:val="000000"/>
                <w:szCs w:val="21"/>
              </w:rPr>
            </w:pPr>
            <w:r>
              <w:rPr>
                <w:rFonts w:ascii="宋体" w:hAnsi="宋体"/>
                <w:b w:val="0"/>
                <w:color w:val="000000"/>
                <w:szCs w:val="21"/>
              </w:rPr>
              <w:t>储</w:t>
            </w:r>
            <w:r>
              <w:rPr>
                <w:rFonts w:hint="eastAsia" w:ascii="宋体" w:hAnsi="宋体"/>
                <w:b w:val="0"/>
                <w:color w:val="000000"/>
                <w:szCs w:val="21"/>
              </w:rPr>
              <w:t xml:space="preserve"> </w:t>
            </w:r>
            <w:r>
              <w:rPr>
                <w:rFonts w:ascii="宋体" w:hAnsi="宋体"/>
                <w:b w:val="0"/>
                <w:color w:val="000000"/>
                <w:szCs w:val="21"/>
              </w:rPr>
              <w:t>运</w:t>
            </w:r>
          </w:p>
        </w:tc>
        <w:tc>
          <w:tcPr>
            <w:tcW w:w="8268" w:type="dxa"/>
            <w:vAlign w:val="center"/>
          </w:tcPr>
          <w:p w14:paraId="4379C79A">
            <w:pPr>
              <w:rPr>
                <w:rFonts w:ascii="宋体" w:hAnsi="宋体"/>
                <w:b w:val="0"/>
                <w:color w:val="000000"/>
                <w:szCs w:val="21"/>
              </w:rPr>
            </w:pPr>
            <w:r>
              <w:rPr>
                <w:rFonts w:hint="eastAsia" w:ascii="宋体" w:hAnsi="宋体"/>
                <w:b w:val="0"/>
                <w:color w:val="000000"/>
                <w:szCs w:val="21"/>
              </w:rPr>
              <w:t>储存于阴凉、通风仓间内。远离火种、热源，防止阳光直射。密封包装，切勿受潮。应与氧化剂、酸类分开存放。搬运时要轻装轻卸，防止包装及容器损坏。</w:t>
            </w:r>
          </w:p>
        </w:tc>
      </w:tr>
    </w:tbl>
    <w:p w14:paraId="4AF4C296">
      <w:pPr>
        <w:numPr>
          <w:ilvl w:val="0"/>
          <w:numId w:val="16"/>
        </w:numPr>
        <w:spacing w:line="360" w:lineRule="auto"/>
        <w:ind w:firstLine="562" w:firstLineChars="200"/>
        <w:rPr>
          <w:rFonts w:ascii="宋体" w:hAnsi="宋体"/>
          <w:snapToGrid w:val="0"/>
          <w:sz w:val="28"/>
          <w:szCs w:val="28"/>
          <w:lang w:val="en-GB"/>
        </w:rPr>
      </w:pPr>
      <w:bookmarkStart w:id="242" w:name="_Toc109360873"/>
      <w:r>
        <w:rPr>
          <w:rFonts w:hint="eastAsia" w:ascii="宋体" w:hAnsi="宋体"/>
          <w:snapToGrid w:val="0"/>
          <w:sz w:val="28"/>
          <w:szCs w:val="28"/>
          <w:lang w:val="en-GB"/>
        </w:rPr>
        <w:t>聚氯乙烯</w:t>
      </w:r>
      <w:bookmarkEnd w:id="242"/>
    </w:p>
    <w:p w14:paraId="2956042C">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聚氯乙烯的物性参数及主要危害特性列于表3.3-13。</w:t>
      </w:r>
    </w:p>
    <w:p w14:paraId="18B06E7F">
      <w:pPr>
        <w:widowControl/>
        <w:jc w:val="center"/>
        <w:rPr>
          <w:rFonts w:ascii="黑体" w:hAnsi="宋体" w:eastAsia="黑体"/>
          <w:b w:val="0"/>
          <w:sz w:val="24"/>
        </w:rPr>
      </w:pPr>
      <w:r>
        <w:rPr>
          <w:rFonts w:hint="eastAsia" w:ascii="黑体" w:hAnsi="宋体" w:eastAsia="黑体"/>
          <w:b w:val="0"/>
          <w:sz w:val="24"/>
        </w:rPr>
        <w:t>表3.3-13     聚氯乙烯的物性参数及对危险的应对措施</w:t>
      </w:r>
    </w:p>
    <w:tbl>
      <w:tblPr>
        <w:tblStyle w:val="88"/>
        <w:tblW w:w="928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8268"/>
      </w:tblGrid>
      <w:tr w14:paraId="088B28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018" w:type="dxa"/>
            <w:vAlign w:val="center"/>
          </w:tcPr>
          <w:p w14:paraId="32227610">
            <w:pPr>
              <w:jc w:val="center"/>
              <w:rPr>
                <w:rFonts w:ascii="宋体" w:hAnsi="宋体"/>
                <w:b w:val="0"/>
                <w:color w:val="000000"/>
                <w:szCs w:val="21"/>
              </w:rPr>
            </w:pPr>
            <w:r>
              <w:rPr>
                <w:rFonts w:hint="eastAsia" w:ascii="宋体" w:hAnsi="宋体"/>
                <w:b w:val="0"/>
                <w:color w:val="000000"/>
                <w:szCs w:val="21"/>
              </w:rPr>
              <w:t>标 识</w:t>
            </w:r>
          </w:p>
        </w:tc>
        <w:tc>
          <w:tcPr>
            <w:tcW w:w="8268" w:type="dxa"/>
          </w:tcPr>
          <w:p w14:paraId="6EC65C5B">
            <w:pPr>
              <w:rPr>
                <w:rFonts w:ascii="宋体" w:hAnsi="宋体"/>
                <w:b w:val="0"/>
                <w:color w:val="000000"/>
                <w:szCs w:val="21"/>
              </w:rPr>
            </w:pPr>
            <w:r>
              <w:rPr>
                <w:rFonts w:hint="eastAsia" w:ascii="宋体" w:hAnsi="宋体"/>
                <w:b w:val="0"/>
                <w:color w:val="000000"/>
                <w:szCs w:val="21"/>
              </w:rPr>
              <w:t>中文名称：聚氯乙烯                    英文名：</w:t>
            </w:r>
            <w:r>
              <w:rPr>
                <w:rFonts w:ascii="宋体" w:hAnsi="宋体"/>
                <w:b w:val="0"/>
                <w:color w:val="000000"/>
                <w:szCs w:val="21"/>
              </w:rPr>
              <w:t>polyvinyl chloride</w:t>
            </w:r>
            <w:r>
              <w:rPr>
                <w:rFonts w:hint="eastAsia" w:ascii="宋体" w:hAnsi="宋体"/>
                <w:b w:val="0"/>
                <w:color w:val="000000"/>
                <w:szCs w:val="21"/>
              </w:rPr>
              <w:t>（PVC）</w:t>
            </w:r>
          </w:p>
          <w:p w14:paraId="229D58AF">
            <w:pPr>
              <w:rPr>
                <w:rFonts w:ascii="宋体" w:hAnsi="宋体"/>
                <w:b w:val="0"/>
                <w:color w:val="000000"/>
                <w:szCs w:val="21"/>
              </w:rPr>
            </w:pPr>
            <w:r>
              <w:rPr>
                <w:rFonts w:hint="eastAsia" w:ascii="宋体" w:hAnsi="宋体"/>
                <w:b w:val="0"/>
                <w:color w:val="000000"/>
                <w:szCs w:val="21"/>
              </w:rPr>
              <w:t xml:space="preserve">化学式：（-CH2-CHCl-）n                分子量：可变，约25000；；    </w:t>
            </w:r>
          </w:p>
          <w:p w14:paraId="5516DC20">
            <w:pPr>
              <w:rPr>
                <w:rFonts w:ascii="宋体" w:hAnsi="宋体"/>
                <w:b w:val="0"/>
                <w:color w:val="000000"/>
                <w:szCs w:val="21"/>
              </w:rPr>
            </w:pPr>
            <w:r>
              <w:rPr>
                <w:rFonts w:ascii="宋体" w:hAnsi="宋体"/>
                <w:b w:val="0"/>
                <w:color w:val="000000"/>
                <w:szCs w:val="21"/>
              </w:rPr>
              <w:t>CAS</w:t>
            </w:r>
            <w:r>
              <w:rPr>
                <w:rFonts w:hint="eastAsia" w:ascii="宋体" w:hAnsi="宋体"/>
                <w:b w:val="0"/>
                <w:color w:val="000000"/>
                <w:szCs w:val="21"/>
              </w:rPr>
              <w:t>号：9002-86-2</w:t>
            </w:r>
          </w:p>
        </w:tc>
      </w:tr>
      <w:tr w14:paraId="3978B7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1018" w:type="dxa"/>
            <w:vAlign w:val="center"/>
          </w:tcPr>
          <w:p w14:paraId="53D8F271">
            <w:pPr>
              <w:jc w:val="center"/>
              <w:rPr>
                <w:rFonts w:ascii="宋体" w:hAnsi="宋体"/>
                <w:b w:val="0"/>
                <w:color w:val="000000"/>
                <w:szCs w:val="21"/>
              </w:rPr>
            </w:pPr>
            <w:r>
              <w:rPr>
                <w:rFonts w:ascii="宋体" w:hAnsi="宋体"/>
                <w:b w:val="0"/>
                <w:color w:val="000000"/>
                <w:szCs w:val="21"/>
              </w:rPr>
              <w:t>理</w:t>
            </w:r>
            <w:r>
              <w:rPr>
                <w:rFonts w:hint="eastAsia" w:ascii="宋体" w:hAnsi="宋体"/>
                <w:b w:val="0"/>
                <w:color w:val="000000"/>
                <w:szCs w:val="21"/>
              </w:rPr>
              <w:t xml:space="preserve"> </w:t>
            </w:r>
            <w:r>
              <w:rPr>
                <w:rFonts w:ascii="宋体" w:hAnsi="宋体"/>
                <w:b w:val="0"/>
                <w:color w:val="000000"/>
                <w:szCs w:val="21"/>
              </w:rPr>
              <w:t>化</w:t>
            </w:r>
          </w:p>
          <w:p w14:paraId="0643630F">
            <w:pPr>
              <w:jc w:val="center"/>
              <w:rPr>
                <w:rFonts w:ascii="宋体" w:hAnsi="宋体"/>
                <w:b w:val="0"/>
                <w:color w:val="000000"/>
                <w:szCs w:val="21"/>
              </w:rPr>
            </w:pPr>
            <w:r>
              <w:rPr>
                <w:rFonts w:hint="eastAsia" w:ascii="宋体" w:hAnsi="宋体"/>
                <w:b w:val="0"/>
                <w:color w:val="000000"/>
                <w:szCs w:val="21"/>
              </w:rPr>
              <w:t>性 质</w:t>
            </w:r>
          </w:p>
        </w:tc>
        <w:tc>
          <w:tcPr>
            <w:tcW w:w="8268" w:type="dxa"/>
          </w:tcPr>
          <w:p w14:paraId="7AA372AC">
            <w:pPr>
              <w:rPr>
                <w:rFonts w:ascii="宋体" w:hAnsi="宋体"/>
                <w:b w:val="0"/>
                <w:color w:val="000000"/>
                <w:szCs w:val="21"/>
              </w:rPr>
            </w:pPr>
            <w:r>
              <w:rPr>
                <w:rFonts w:ascii="宋体" w:hAnsi="宋体"/>
                <w:b w:val="0"/>
                <w:color w:val="000000"/>
                <w:szCs w:val="21"/>
              </w:rPr>
              <w:t>外观性状：白色或淡黄色粉末</w:t>
            </w:r>
            <w:r>
              <w:rPr>
                <w:rFonts w:hint="eastAsia" w:ascii="宋体" w:hAnsi="宋体"/>
                <w:b w:val="0"/>
                <w:color w:val="000000"/>
                <w:szCs w:val="21"/>
              </w:rPr>
              <w:t>。。      相对密度（g/cm</w:t>
            </w:r>
            <w:r>
              <w:rPr>
                <w:rFonts w:hint="eastAsia" w:ascii="宋体" w:hAnsi="宋体"/>
                <w:b w:val="0"/>
                <w:color w:val="000000"/>
                <w:szCs w:val="21"/>
                <w:vertAlign w:val="superscript"/>
              </w:rPr>
              <w:t>3</w:t>
            </w:r>
            <w:r>
              <w:rPr>
                <w:rFonts w:hint="eastAsia" w:ascii="宋体" w:hAnsi="宋体"/>
                <w:b w:val="0"/>
                <w:color w:val="000000"/>
                <w:szCs w:val="21"/>
              </w:rPr>
              <w:t>）：（水=1）；</w:t>
            </w:r>
          </w:p>
          <w:p w14:paraId="5CA0F3E1">
            <w:pPr>
              <w:rPr>
                <w:rFonts w:ascii="宋体" w:hAnsi="宋体"/>
                <w:b w:val="0"/>
                <w:color w:val="000000"/>
                <w:szCs w:val="21"/>
              </w:rPr>
            </w:pPr>
            <w:r>
              <w:rPr>
                <w:rFonts w:hint="eastAsia" w:ascii="宋体" w:hAnsi="宋体"/>
                <w:b w:val="0"/>
                <w:color w:val="000000"/>
                <w:szCs w:val="21"/>
              </w:rPr>
              <w:t>熔    点（℃）：212；               溶 解 性：</w:t>
            </w:r>
            <w:r>
              <w:rPr>
                <w:rFonts w:ascii="宋体" w:hAnsi="宋体"/>
                <w:b w:val="0"/>
                <w:color w:val="000000"/>
                <w:szCs w:val="21"/>
              </w:rPr>
              <w:t>不溶于多数有机溶剂</w:t>
            </w:r>
            <w:r>
              <w:rPr>
                <w:rFonts w:hint="eastAsia" w:ascii="宋体" w:hAnsi="宋体"/>
                <w:b w:val="0"/>
                <w:color w:val="000000"/>
                <w:szCs w:val="21"/>
              </w:rPr>
              <w:t>。。</w:t>
            </w:r>
          </w:p>
          <w:p w14:paraId="7EC2A8CE">
            <w:pPr>
              <w:rPr>
                <w:rFonts w:ascii="宋体" w:hAnsi="宋体"/>
                <w:b w:val="0"/>
                <w:color w:val="000000"/>
                <w:szCs w:val="21"/>
              </w:rPr>
            </w:pPr>
            <w:r>
              <w:rPr>
                <w:rFonts w:hint="eastAsia" w:ascii="宋体" w:hAnsi="宋体"/>
                <w:b w:val="0"/>
                <w:color w:val="000000"/>
                <w:szCs w:val="21"/>
              </w:rPr>
              <w:t>最小引燃能量：</w:t>
            </w:r>
            <w:r>
              <w:rPr>
                <w:rFonts w:ascii="宋体" w:hAnsi="宋体"/>
                <w:b w:val="0"/>
                <w:color w:val="000000"/>
                <w:szCs w:val="21"/>
              </w:rPr>
              <w:t>10</w:t>
            </w:r>
            <w:r>
              <w:rPr>
                <w:rFonts w:hint="eastAsia" w:ascii="宋体" w:hAnsi="宋体"/>
                <w:b w:val="0"/>
                <w:color w:val="000000"/>
                <w:szCs w:val="21"/>
              </w:rPr>
              <w:t xml:space="preserve"> mJ                最大爆炸压力：</w:t>
            </w:r>
            <w:r>
              <w:rPr>
                <w:rFonts w:ascii="宋体" w:hAnsi="宋体"/>
                <w:b w:val="0"/>
                <w:color w:val="000000"/>
                <w:szCs w:val="21"/>
              </w:rPr>
              <w:t>0.76</w:t>
            </w:r>
            <w:r>
              <w:rPr>
                <w:rFonts w:hint="eastAsia" w:ascii="宋体" w:hAnsi="宋体"/>
                <w:b w:val="0"/>
                <w:color w:val="000000"/>
                <w:szCs w:val="21"/>
              </w:rPr>
              <w:t xml:space="preserve"> M</w:t>
            </w:r>
            <w:r>
              <w:rPr>
                <w:rFonts w:ascii="宋体" w:hAnsi="宋体"/>
                <w:b w:val="0"/>
                <w:color w:val="000000"/>
                <w:szCs w:val="21"/>
              </w:rPr>
              <w:t>p</w:t>
            </w:r>
            <w:r>
              <w:rPr>
                <w:rFonts w:hint="eastAsia" w:ascii="宋体" w:hAnsi="宋体"/>
                <w:b w:val="0"/>
                <w:color w:val="000000"/>
                <w:szCs w:val="21"/>
              </w:rPr>
              <w:t>a</w:t>
            </w:r>
          </w:p>
          <w:p w14:paraId="0245BD66">
            <w:pPr>
              <w:rPr>
                <w:rFonts w:ascii="宋体" w:hAnsi="宋体"/>
                <w:b w:val="0"/>
                <w:color w:val="000000"/>
                <w:szCs w:val="21"/>
              </w:rPr>
            </w:pPr>
            <w:r>
              <w:rPr>
                <w:rFonts w:hint="eastAsia" w:ascii="宋体" w:hAnsi="宋体"/>
                <w:b w:val="0"/>
                <w:color w:val="000000"/>
                <w:szCs w:val="21"/>
              </w:rPr>
              <w:t>禁 忌 物：</w:t>
            </w:r>
            <w:r>
              <w:rPr>
                <w:rFonts w:ascii="宋体" w:hAnsi="宋体"/>
                <w:b w:val="0"/>
                <w:color w:val="000000"/>
                <w:szCs w:val="21"/>
              </w:rPr>
              <w:t>强氧化剂</w:t>
            </w:r>
          </w:p>
        </w:tc>
      </w:tr>
      <w:tr w14:paraId="12FDD4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27" w:hRule="atLeast"/>
        </w:trPr>
        <w:tc>
          <w:tcPr>
            <w:tcW w:w="1018" w:type="dxa"/>
            <w:vAlign w:val="center"/>
          </w:tcPr>
          <w:p w14:paraId="313E7F20">
            <w:pPr>
              <w:jc w:val="center"/>
              <w:rPr>
                <w:rFonts w:ascii="宋体" w:hAnsi="宋体"/>
                <w:b w:val="0"/>
                <w:color w:val="000000"/>
                <w:szCs w:val="21"/>
              </w:rPr>
            </w:pPr>
            <w:r>
              <w:rPr>
                <w:rFonts w:hint="eastAsia" w:ascii="宋体" w:hAnsi="宋体"/>
                <w:b w:val="0"/>
                <w:color w:val="000000"/>
                <w:szCs w:val="21"/>
              </w:rPr>
              <w:t>危险有害特性</w:t>
            </w:r>
          </w:p>
        </w:tc>
        <w:tc>
          <w:tcPr>
            <w:tcW w:w="8268" w:type="dxa"/>
          </w:tcPr>
          <w:p w14:paraId="6499D42E">
            <w:pPr>
              <w:ind w:left="1260" w:hanging="1260" w:hangingChars="600"/>
              <w:rPr>
                <w:rFonts w:ascii="宋体" w:hAnsi="宋体"/>
                <w:b w:val="0"/>
                <w:color w:val="000000"/>
                <w:szCs w:val="21"/>
              </w:rPr>
            </w:pPr>
            <w:r>
              <w:rPr>
                <w:rFonts w:hint="eastAsia" w:ascii="宋体" w:hAnsi="宋体"/>
                <w:b w:val="0"/>
                <w:color w:val="000000"/>
                <w:szCs w:val="21"/>
              </w:rPr>
              <w:t>燃烧爆炸性：燃 烧 性：                 引燃温度：</w:t>
            </w:r>
            <w:r>
              <w:rPr>
                <w:rFonts w:ascii="宋体" w:hAnsi="宋体"/>
                <w:b w:val="0"/>
                <w:color w:val="000000"/>
                <w:szCs w:val="21"/>
              </w:rPr>
              <w:t>780</w:t>
            </w:r>
            <w:r>
              <w:rPr>
                <w:rFonts w:hint="eastAsia" w:ascii="宋体" w:hAnsi="宋体"/>
                <w:b w:val="0"/>
                <w:color w:val="000000"/>
                <w:szCs w:val="21"/>
              </w:rPr>
              <w:t>℃</w:t>
            </w:r>
            <w:r>
              <w:rPr>
                <w:rFonts w:ascii="宋体" w:hAnsi="宋体"/>
                <w:b w:val="0"/>
                <w:color w:val="000000"/>
                <w:szCs w:val="21"/>
              </w:rPr>
              <w:t>(粉云)</w:t>
            </w:r>
            <w:r>
              <w:rPr>
                <w:rFonts w:hint="eastAsia" w:ascii="宋体" w:hAnsi="宋体"/>
                <w:b w:val="0"/>
                <w:color w:val="000000"/>
                <w:szCs w:val="21"/>
              </w:rPr>
              <w:t xml:space="preserve"> </w:t>
            </w:r>
          </w:p>
          <w:p w14:paraId="29B20CA1">
            <w:pPr>
              <w:ind w:left="1260" w:leftChars="600"/>
              <w:rPr>
                <w:rFonts w:ascii="宋体" w:hAnsi="宋体"/>
                <w:b w:val="0"/>
                <w:color w:val="000000"/>
                <w:szCs w:val="21"/>
              </w:rPr>
            </w:pPr>
            <w:r>
              <w:rPr>
                <w:rFonts w:hint="eastAsia" w:ascii="宋体" w:hAnsi="宋体"/>
                <w:b w:val="0"/>
                <w:color w:val="000000"/>
                <w:szCs w:val="21"/>
              </w:rPr>
              <w:t xml:space="preserve">爆炸下限： </w:t>
            </w:r>
            <w:r>
              <w:rPr>
                <w:rFonts w:ascii="宋体" w:hAnsi="宋体"/>
                <w:b w:val="0"/>
                <w:color w:val="000000"/>
                <w:szCs w:val="21"/>
              </w:rPr>
              <w:t>60(g/m</w:t>
            </w:r>
            <w:r>
              <w:rPr>
                <w:rFonts w:ascii="宋体" w:hAnsi="宋体"/>
                <w:b w:val="0"/>
                <w:color w:val="000000"/>
                <w:szCs w:val="21"/>
                <w:vertAlign w:val="superscript"/>
              </w:rPr>
              <w:t>3</w:t>
            </w:r>
            <w:r>
              <w:rPr>
                <w:rFonts w:ascii="宋体" w:hAnsi="宋体"/>
                <w:b w:val="0"/>
                <w:color w:val="000000"/>
                <w:szCs w:val="21"/>
              </w:rPr>
              <w:t xml:space="preserve"> )</w:t>
            </w:r>
            <w:r>
              <w:rPr>
                <w:rFonts w:hint="eastAsia" w:ascii="宋体" w:hAnsi="宋体"/>
                <w:b w:val="0"/>
                <w:color w:val="000000"/>
                <w:szCs w:val="21"/>
              </w:rPr>
              <w:t xml:space="preserve">        稳 定 性：稳定。            </w:t>
            </w:r>
          </w:p>
          <w:p w14:paraId="1054E464">
            <w:pPr>
              <w:rPr>
                <w:rFonts w:ascii="宋体" w:hAnsi="宋体"/>
                <w:b w:val="0"/>
                <w:color w:val="000000"/>
                <w:szCs w:val="21"/>
              </w:rPr>
            </w:pPr>
            <w:r>
              <w:rPr>
                <w:rFonts w:hint="eastAsia" w:ascii="宋体" w:hAnsi="宋体"/>
                <w:b w:val="0"/>
                <w:color w:val="000000"/>
                <w:szCs w:val="21"/>
              </w:rPr>
              <w:t>聚合危害：</w:t>
            </w:r>
            <w:r>
              <w:rPr>
                <w:rFonts w:ascii="宋体" w:hAnsi="宋体"/>
                <w:b w:val="0"/>
                <w:color w:val="000000"/>
                <w:szCs w:val="21"/>
              </w:rPr>
              <w:t>受高热分解产生一氧化碳、二氧化碳、氯化氢</w:t>
            </w:r>
            <w:r>
              <w:rPr>
                <w:rFonts w:hint="eastAsia" w:ascii="宋体" w:hAnsi="宋体"/>
                <w:b w:val="0"/>
                <w:color w:val="000000"/>
                <w:szCs w:val="21"/>
              </w:rPr>
              <w:t>等</w:t>
            </w:r>
            <w:r>
              <w:rPr>
                <w:rFonts w:ascii="宋体" w:hAnsi="宋体"/>
                <w:b w:val="0"/>
                <w:color w:val="000000"/>
                <w:szCs w:val="21"/>
              </w:rPr>
              <w:t>有毒的腐蚀性烟气</w:t>
            </w:r>
            <w:r>
              <w:rPr>
                <w:rFonts w:hint="eastAsia" w:ascii="宋体" w:hAnsi="宋体"/>
                <w:b w:val="0"/>
                <w:color w:val="000000"/>
                <w:szCs w:val="21"/>
              </w:rPr>
              <w:t>。</w:t>
            </w:r>
            <w:r>
              <w:rPr>
                <w:rFonts w:ascii="宋体" w:hAnsi="宋体"/>
                <w:b w:val="0"/>
                <w:color w:val="000000"/>
                <w:szCs w:val="21"/>
              </w:rPr>
              <w:t>燃烧过程中会释放出氯化氢和其他有毒气体,例如二恶英。</w:t>
            </w:r>
          </w:p>
          <w:p w14:paraId="69994C0F">
            <w:pPr>
              <w:ind w:left="1050" w:hanging="1050" w:hangingChars="500"/>
              <w:rPr>
                <w:rFonts w:ascii="宋体" w:hAnsi="宋体"/>
                <w:b w:val="0"/>
                <w:color w:val="000000"/>
                <w:szCs w:val="21"/>
              </w:rPr>
            </w:pPr>
            <w:r>
              <w:rPr>
                <w:rFonts w:hint="eastAsia" w:ascii="宋体" w:hAnsi="宋体"/>
                <w:b w:val="0"/>
                <w:color w:val="000000"/>
                <w:szCs w:val="21"/>
              </w:rPr>
              <w:t xml:space="preserve">健康危害： </w:t>
            </w:r>
            <w:r>
              <w:rPr>
                <w:rFonts w:ascii="宋体" w:hAnsi="宋体"/>
                <w:b w:val="0"/>
                <w:color w:val="000000"/>
                <w:szCs w:val="21"/>
              </w:rPr>
              <w:t>长期吸入聚氯乙烯粉尘，可引起肺功能改变</w:t>
            </w:r>
            <w:r>
              <w:rPr>
                <w:rFonts w:hint="eastAsia" w:ascii="宋体" w:hAnsi="宋体"/>
                <w:b w:val="0"/>
                <w:color w:val="000000"/>
                <w:szCs w:val="21"/>
              </w:rPr>
              <w:t>。</w:t>
            </w:r>
          </w:p>
        </w:tc>
      </w:tr>
      <w:tr w14:paraId="69D5A8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81" w:hRule="atLeast"/>
        </w:trPr>
        <w:tc>
          <w:tcPr>
            <w:tcW w:w="1018" w:type="dxa"/>
            <w:vAlign w:val="center"/>
          </w:tcPr>
          <w:p w14:paraId="66F3605C">
            <w:pPr>
              <w:jc w:val="center"/>
              <w:rPr>
                <w:rFonts w:ascii="宋体" w:hAnsi="宋体"/>
                <w:b w:val="0"/>
                <w:color w:val="000000"/>
                <w:szCs w:val="21"/>
              </w:rPr>
            </w:pPr>
            <w:r>
              <w:rPr>
                <w:rFonts w:hint="eastAsia" w:ascii="宋体" w:hAnsi="宋体"/>
                <w:b w:val="0"/>
                <w:color w:val="000000"/>
                <w:szCs w:val="21"/>
              </w:rPr>
              <w:t>急救</w:t>
            </w:r>
          </w:p>
        </w:tc>
        <w:tc>
          <w:tcPr>
            <w:tcW w:w="8268" w:type="dxa"/>
            <w:vAlign w:val="center"/>
          </w:tcPr>
          <w:p w14:paraId="1C9B4F61">
            <w:pPr>
              <w:ind w:left="1025" w:hanging="1024" w:hangingChars="488"/>
              <w:rPr>
                <w:rFonts w:ascii="宋体" w:hAnsi="宋体"/>
                <w:b w:val="0"/>
                <w:color w:val="000000"/>
                <w:szCs w:val="21"/>
              </w:rPr>
            </w:pPr>
            <w:r>
              <w:rPr>
                <w:rFonts w:ascii="宋体" w:hAnsi="宋体"/>
                <w:b w:val="0"/>
                <w:color w:val="000000"/>
                <w:szCs w:val="21"/>
              </w:rPr>
              <w:t>消防措施：尽可能将容器从火场移至空旷处。</w:t>
            </w:r>
          </w:p>
          <w:p w14:paraId="21682376">
            <w:pPr>
              <w:ind w:left="1025" w:hanging="1024" w:hangingChars="488"/>
              <w:rPr>
                <w:rFonts w:ascii="宋体" w:hAnsi="宋体"/>
                <w:b w:val="0"/>
                <w:color w:val="000000"/>
                <w:szCs w:val="21"/>
              </w:rPr>
            </w:pPr>
            <w:r>
              <w:rPr>
                <w:rFonts w:ascii="宋体" w:hAnsi="宋体"/>
                <w:b w:val="0"/>
                <w:color w:val="000000"/>
                <w:szCs w:val="21"/>
              </w:rPr>
              <w:t>灭火剂：雾状水、泡沫、干粉、二氧化碳、砂土</w:t>
            </w:r>
            <w:r>
              <w:rPr>
                <w:rFonts w:hint="eastAsia" w:ascii="宋体" w:hAnsi="宋体"/>
                <w:b w:val="0"/>
                <w:color w:val="000000"/>
                <w:szCs w:val="21"/>
              </w:rPr>
              <w:t xml:space="preserve">。 </w:t>
            </w:r>
          </w:p>
        </w:tc>
      </w:tr>
      <w:tr w14:paraId="118664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63" w:hRule="atLeast"/>
        </w:trPr>
        <w:tc>
          <w:tcPr>
            <w:tcW w:w="1018" w:type="dxa"/>
            <w:vAlign w:val="center"/>
          </w:tcPr>
          <w:p w14:paraId="0881CCAD">
            <w:pPr>
              <w:jc w:val="center"/>
              <w:rPr>
                <w:rFonts w:ascii="宋体" w:hAnsi="宋体"/>
                <w:b w:val="0"/>
                <w:color w:val="000000"/>
                <w:szCs w:val="21"/>
              </w:rPr>
            </w:pPr>
            <w:r>
              <w:rPr>
                <w:rFonts w:hint="eastAsia" w:ascii="宋体" w:hAnsi="宋体"/>
                <w:b w:val="0"/>
                <w:color w:val="000000"/>
                <w:szCs w:val="21"/>
              </w:rPr>
              <w:t>防护</w:t>
            </w:r>
          </w:p>
        </w:tc>
        <w:tc>
          <w:tcPr>
            <w:tcW w:w="8268" w:type="dxa"/>
            <w:vAlign w:val="center"/>
          </w:tcPr>
          <w:p w14:paraId="02A583DD">
            <w:pPr>
              <w:ind w:left="1050" w:hanging="1050" w:hangingChars="500"/>
              <w:rPr>
                <w:rFonts w:ascii="宋体" w:hAnsi="宋体"/>
                <w:b w:val="0"/>
                <w:color w:val="000000"/>
                <w:szCs w:val="21"/>
              </w:rPr>
            </w:pPr>
            <w:r>
              <w:rPr>
                <w:rFonts w:hint="eastAsia" w:ascii="宋体" w:hAnsi="宋体"/>
                <w:b w:val="0"/>
                <w:color w:val="000000"/>
                <w:szCs w:val="21"/>
              </w:rPr>
              <w:t>有粉尘时应穿戴好劳动护品。</w:t>
            </w:r>
          </w:p>
        </w:tc>
      </w:tr>
    </w:tbl>
    <w:p w14:paraId="2658E2F1">
      <w:pPr>
        <w:rPr>
          <w:rFonts w:hint="eastAsia" w:ascii="宋体" w:hAnsi="宋体"/>
          <w:snapToGrid w:val="0"/>
          <w:sz w:val="28"/>
          <w:szCs w:val="28"/>
        </w:rPr>
      </w:pPr>
      <w:r>
        <w:rPr>
          <w:rFonts w:hint="eastAsia" w:ascii="宋体" w:hAnsi="宋体"/>
          <w:snapToGrid w:val="0"/>
          <w:sz w:val="28"/>
          <w:szCs w:val="28"/>
        </w:rPr>
        <w:br w:type="page"/>
      </w:r>
    </w:p>
    <w:p w14:paraId="181564D8">
      <w:pPr>
        <w:spacing w:line="360" w:lineRule="auto"/>
        <w:ind w:firstLine="562" w:firstLineChars="200"/>
        <w:rPr>
          <w:rFonts w:ascii="宋体" w:hAnsi="宋体"/>
          <w:snapToGrid w:val="0"/>
          <w:sz w:val="28"/>
          <w:szCs w:val="28"/>
        </w:rPr>
      </w:pPr>
      <w:r>
        <w:rPr>
          <w:rFonts w:hint="eastAsia" w:ascii="宋体" w:hAnsi="宋体"/>
          <w:snapToGrid w:val="0"/>
          <w:sz w:val="28"/>
          <w:szCs w:val="28"/>
        </w:rPr>
        <w:t>3）</w:t>
      </w:r>
      <w:bookmarkEnd w:id="241"/>
      <w:bookmarkStart w:id="243" w:name="_Toc109360870"/>
      <w:r>
        <w:rPr>
          <w:rFonts w:hint="eastAsia" w:ascii="宋体" w:hAnsi="宋体"/>
          <w:snapToGrid w:val="0"/>
          <w:sz w:val="28"/>
          <w:szCs w:val="28"/>
        </w:rPr>
        <w:t>钛</w:t>
      </w:r>
    </w:p>
    <w:p w14:paraId="596318BA">
      <w:pPr>
        <w:pStyle w:val="35"/>
        <w:ind w:firstLine="560" w:firstLineChars="200"/>
        <w:rPr>
          <w:rFonts w:ascii="宋体" w:hAnsi="宋体" w:eastAsia="宋体"/>
          <w:szCs w:val="24"/>
        </w:rPr>
      </w:pPr>
      <w:r>
        <w:rPr>
          <w:rFonts w:hint="eastAsia" w:ascii="宋体" w:hAnsi="宋体" w:eastAsia="宋体"/>
          <w:b w:val="0"/>
          <w:snapToGrid w:val="0"/>
        </w:rPr>
        <w:t>钛的物性参数及主要危害特性列于表</w:t>
      </w:r>
      <w:r>
        <w:rPr>
          <w:rFonts w:ascii="宋体" w:hAnsi="宋体" w:eastAsia="宋体"/>
          <w:b w:val="0"/>
          <w:snapToGrid w:val="0"/>
        </w:rPr>
        <w:t>3.</w:t>
      </w:r>
      <w:r>
        <w:rPr>
          <w:rFonts w:hint="eastAsia" w:ascii="宋体" w:hAnsi="宋体" w:eastAsia="宋体"/>
          <w:b w:val="0"/>
          <w:snapToGrid w:val="0"/>
        </w:rPr>
        <w:t>3</w:t>
      </w:r>
      <w:r>
        <w:rPr>
          <w:rFonts w:ascii="宋体" w:hAnsi="宋体" w:eastAsia="宋体"/>
          <w:b w:val="0"/>
          <w:snapToGrid w:val="0"/>
        </w:rPr>
        <w:t>-1</w:t>
      </w:r>
      <w:r>
        <w:rPr>
          <w:rFonts w:hint="eastAsia" w:ascii="宋体" w:hAnsi="宋体" w:eastAsia="宋体"/>
          <w:b w:val="0"/>
          <w:snapToGrid w:val="0"/>
        </w:rPr>
        <w:t>4。</w:t>
      </w:r>
    </w:p>
    <w:p w14:paraId="019D5DA0">
      <w:pPr>
        <w:widowControl/>
        <w:jc w:val="center"/>
        <w:rPr>
          <w:rFonts w:ascii="黑体" w:hAnsi="宋体" w:eastAsia="黑体"/>
          <w:b w:val="0"/>
          <w:sz w:val="24"/>
        </w:rPr>
      </w:pPr>
      <w:r>
        <w:rPr>
          <w:rFonts w:hint="eastAsia" w:ascii="黑体" w:hAnsi="宋体" w:eastAsia="黑体"/>
          <w:b w:val="0"/>
          <w:sz w:val="24"/>
        </w:rPr>
        <w:t>表3.3-14</w:t>
      </w:r>
      <w:r>
        <w:rPr>
          <w:rFonts w:ascii="黑体" w:hAnsi="宋体" w:eastAsia="黑体"/>
          <w:b w:val="0"/>
          <w:sz w:val="24"/>
        </w:rPr>
        <w:t xml:space="preserve"> </w:t>
      </w:r>
      <w:r>
        <w:rPr>
          <w:rFonts w:hint="eastAsia" w:ascii="黑体" w:hAnsi="宋体" w:eastAsia="黑体"/>
          <w:b w:val="0"/>
          <w:sz w:val="24"/>
        </w:rPr>
        <w:t xml:space="preserve"> 钛的物性参数及对危险的应对措施</w:t>
      </w:r>
    </w:p>
    <w:tbl>
      <w:tblPr>
        <w:tblStyle w:val="88"/>
        <w:tblW w:w="885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1573"/>
        <w:gridCol w:w="494"/>
        <w:gridCol w:w="541"/>
        <w:gridCol w:w="1083"/>
        <w:gridCol w:w="115"/>
        <w:gridCol w:w="817"/>
        <w:gridCol w:w="693"/>
        <w:gridCol w:w="591"/>
        <w:gridCol w:w="311"/>
        <w:gridCol w:w="1984"/>
      </w:tblGrid>
      <w:tr w14:paraId="714C47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5" w:hRule="atLeast"/>
          <w:jc w:val="center"/>
        </w:trPr>
        <w:tc>
          <w:tcPr>
            <w:tcW w:w="655" w:type="dxa"/>
            <w:vMerge w:val="restart"/>
            <w:vAlign w:val="center"/>
          </w:tcPr>
          <w:p w14:paraId="0DE5BF34">
            <w:pPr>
              <w:spacing w:line="240" w:lineRule="exact"/>
              <w:jc w:val="center"/>
              <w:rPr>
                <w:rFonts w:ascii="宋体" w:hAnsi="宋体"/>
                <w:b w:val="0"/>
              </w:rPr>
            </w:pPr>
            <w:r>
              <w:rPr>
                <w:rFonts w:hint="eastAsia" w:ascii="宋体" w:hAnsi="宋体"/>
                <w:b w:val="0"/>
              </w:rPr>
              <w:t>标识</w:t>
            </w:r>
          </w:p>
        </w:tc>
        <w:tc>
          <w:tcPr>
            <w:tcW w:w="2608" w:type="dxa"/>
            <w:gridSpan w:val="3"/>
            <w:vAlign w:val="center"/>
          </w:tcPr>
          <w:p w14:paraId="397B1DC0">
            <w:pPr>
              <w:spacing w:line="240" w:lineRule="exact"/>
              <w:jc w:val="center"/>
              <w:rPr>
                <w:rFonts w:ascii="宋体" w:hAnsi="宋体"/>
                <w:b w:val="0"/>
              </w:rPr>
            </w:pPr>
            <w:r>
              <w:rPr>
                <w:rFonts w:hint="eastAsia" w:ascii="宋体" w:hAnsi="宋体"/>
                <w:b w:val="0"/>
              </w:rPr>
              <w:t>英文名：titanium</w:t>
            </w:r>
          </w:p>
        </w:tc>
        <w:tc>
          <w:tcPr>
            <w:tcW w:w="2708" w:type="dxa"/>
            <w:gridSpan w:val="4"/>
            <w:vAlign w:val="center"/>
          </w:tcPr>
          <w:p w14:paraId="2650761E">
            <w:pPr>
              <w:spacing w:line="240" w:lineRule="exact"/>
              <w:jc w:val="center"/>
              <w:rPr>
                <w:rFonts w:ascii="宋体" w:hAnsi="宋体"/>
                <w:b w:val="0"/>
              </w:rPr>
            </w:pPr>
            <w:r>
              <w:rPr>
                <w:rFonts w:hint="eastAsia" w:ascii="宋体" w:hAnsi="宋体"/>
                <w:b w:val="0"/>
              </w:rPr>
              <w:t>分子式：Ti</w:t>
            </w:r>
          </w:p>
        </w:tc>
        <w:tc>
          <w:tcPr>
            <w:tcW w:w="2886" w:type="dxa"/>
            <w:gridSpan w:val="3"/>
            <w:vAlign w:val="center"/>
          </w:tcPr>
          <w:p w14:paraId="24533261">
            <w:pPr>
              <w:spacing w:line="240" w:lineRule="exact"/>
              <w:jc w:val="center"/>
              <w:rPr>
                <w:rFonts w:ascii="宋体" w:hAnsi="宋体"/>
                <w:b w:val="0"/>
              </w:rPr>
            </w:pPr>
            <w:r>
              <w:rPr>
                <w:rFonts w:hint="eastAsia" w:ascii="宋体" w:hAnsi="宋体"/>
                <w:b w:val="0"/>
              </w:rPr>
              <w:t>分子量：47.90</w:t>
            </w:r>
          </w:p>
        </w:tc>
      </w:tr>
      <w:tr w14:paraId="387D2D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79" w:hRule="atLeast"/>
          <w:jc w:val="center"/>
        </w:trPr>
        <w:tc>
          <w:tcPr>
            <w:tcW w:w="655" w:type="dxa"/>
            <w:vMerge w:val="continue"/>
            <w:vAlign w:val="center"/>
          </w:tcPr>
          <w:p w14:paraId="68685947">
            <w:pPr>
              <w:spacing w:line="240" w:lineRule="exact"/>
              <w:jc w:val="center"/>
              <w:rPr>
                <w:rFonts w:ascii="宋体" w:hAnsi="宋体"/>
                <w:b w:val="0"/>
              </w:rPr>
            </w:pPr>
          </w:p>
        </w:tc>
        <w:tc>
          <w:tcPr>
            <w:tcW w:w="2608" w:type="dxa"/>
            <w:gridSpan w:val="3"/>
            <w:vAlign w:val="center"/>
          </w:tcPr>
          <w:p w14:paraId="4BA6322A">
            <w:pPr>
              <w:spacing w:line="240" w:lineRule="exact"/>
              <w:jc w:val="center"/>
              <w:rPr>
                <w:rFonts w:ascii="宋体" w:hAnsi="宋体"/>
                <w:b w:val="0"/>
              </w:rPr>
            </w:pPr>
            <w:r>
              <w:rPr>
                <w:rFonts w:hint="eastAsia" w:ascii="宋体" w:hAnsi="宋体"/>
                <w:b w:val="0"/>
              </w:rPr>
              <w:t>危化品目录序号：1223</w:t>
            </w:r>
          </w:p>
        </w:tc>
        <w:tc>
          <w:tcPr>
            <w:tcW w:w="2708" w:type="dxa"/>
            <w:gridSpan w:val="4"/>
            <w:vAlign w:val="center"/>
          </w:tcPr>
          <w:p w14:paraId="671E75C6">
            <w:pPr>
              <w:spacing w:line="240" w:lineRule="exact"/>
              <w:jc w:val="center"/>
              <w:rPr>
                <w:rFonts w:ascii="宋体" w:hAnsi="宋体"/>
                <w:b w:val="0"/>
              </w:rPr>
            </w:pPr>
            <w:r>
              <w:rPr>
                <w:rFonts w:hint="eastAsia" w:ascii="宋体" w:hAnsi="宋体"/>
                <w:b w:val="0"/>
              </w:rPr>
              <w:t>UN编号：1352</w:t>
            </w:r>
          </w:p>
        </w:tc>
        <w:tc>
          <w:tcPr>
            <w:tcW w:w="2886" w:type="dxa"/>
            <w:gridSpan w:val="3"/>
            <w:vAlign w:val="center"/>
          </w:tcPr>
          <w:p w14:paraId="03565416">
            <w:pPr>
              <w:spacing w:line="240" w:lineRule="exact"/>
              <w:jc w:val="center"/>
              <w:rPr>
                <w:rFonts w:ascii="宋体" w:hAnsi="宋体"/>
                <w:b w:val="0"/>
              </w:rPr>
            </w:pPr>
            <w:r>
              <w:rPr>
                <w:rFonts w:hint="eastAsia" w:ascii="宋体" w:hAnsi="宋体"/>
                <w:b w:val="0"/>
              </w:rPr>
              <w:t>包装标志：易燃固体</w:t>
            </w:r>
          </w:p>
        </w:tc>
      </w:tr>
      <w:tr w14:paraId="0322A3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655" w:type="dxa"/>
            <w:vMerge w:val="continue"/>
            <w:vAlign w:val="center"/>
          </w:tcPr>
          <w:p w14:paraId="77101323">
            <w:pPr>
              <w:spacing w:line="240" w:lineRule="exact"/>
              <w:jc w:val="center"/>
              <w:rPr>
                <w:rFonts w:ascii="宋体" w:hAnsi="宋体"/>
                <w:b w:val="0"/>
              </w:rPr>
            </w:pPr>
          </w:p>
        </w:tc>
        <w:tc>
          <w:tcPr>
            <w:tcW w:w="2608" w:type="dxa"/>
            <w:gridSpan w:val="3"/>
            <w:vAlign w:val="center"/>
          </w:tcPr>
          <w:p w14:paraId="6E7F213C">
            <w:pPr>
              <w:spacing w:line="240" w:lineRule="exact"/>
              <w:jc w:val="center"/>
              <w:rPr>
                <w:rFonts w:ascii="宋体" w:hAnsi="宋体"/>
                <w:b w:val="0"/>
              </w:rPr>
            </w:pPr>
            <w:r>
              <w:rPr>
                <w:rFonts w:hint="eastAsia" w:ascii="宋体" w:hAnsi="宋体"/>
                <w:b w:val="0"/>
              </w:rPr>
              <w:t>RTECS号：</w:t>
            </w:r>
          </w:p>
        </w:tc>
        <w:tc>
          <w:tcPr>
            <w:tcW w:w="2708" w:type="dxa"/>
            <w:gridSpan w:val="4"/>
            <w:vAlign w:val="center"/>
          </w:tcPr>
          <w:p w14:paraId="02327D48">
            <w:pPr>
              <w:spacing w:line="240" w:lineRule="exact"/>
              <w:jc w:val="center"/>
              <w:rPr>
                <w:rFonts w:ascii="宋体" w:hAnsi="宋体"/>
                <w:b w:val="0"/>
              </w:rPr>
            </w:pPr>
            <w:r>
              <w:rPr>
                <w:rFonts w:hint="eastAsia" w:ascii="宋体" w:hAnsi="宋体"/>
                <w:b w:val="0"/>
              </w:rPr>
              <w:t>IMDG规则页码：</w:t>
            </w:r>
          </w:p>
        </w:tc>
        <w:tc>
          <w:tcPr>
            <w:tcW w:w="2886" w:type="dxa"/>
            <w:gridSpan w:val="3"/>
            <w:vAlign w:val="center"/>
          </w:tcPr>
          <w:p w14:paraId="59963356">
            <w:pPr>
              <w:spacing w:line="240" w:lineRule="exact"/>
              <w:jc w:val="center"/>
              <w:rPr>
                <w:rFonts w:ascii="宋体" w:hAnsi="宋体"/>
                <w:b w:val="0"/>
              </w:rPr>
            </w:pPr>
            <w:r>
              <w:rPr>
                <w:rFonts w:hint="eastAsia" w:ascii="宋体" w:hAnsi="宋体"/>
                <w:b w:val="0"/>
              </w:rPr>
              <w:t>CAS号：7440-32-6</w:t>
            </w:r>
          </w:p>
        </w:tc>
      </w:tr>
      <w:tr w14:paraId="6F1653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655" w:type="dxa"/>
            <w:vMerge w:val="restart"/>
            <w:vAlign w:val="center"/>
          </w:tcPr>
          <w:p w14:paraId="59BB0849">
            <w:pPr>
              <w:spacing w:line="240" w:lineRule="exact"/>
              <w:jc w:val="center"/>
              <w:rPr>
                <w:rFonts w:ascii="宋体" w:hAnsi="宋体"/>
                <w:b w:val="0"/>
              </w:rPr>
            </w:pPr>
            <w:r>
              <w:rPr>
                <w:rFonts w:hint="eastAsia" w:ascii="宋体" w:hAnsi="宋体"/>
                <w:b w:val="0"/>
              </w:rPr>
              <w:t>理化性质</w:t>
            </w:r>
          </w:p>
        </w:tc>
        <w:tc>
          <w:tcPr>
            <w:tcW w:w="2067" w:type="dxa"/>
            <w:gridSpan w:val="2"/>
            <w:vAlign w:val="center"/>
          </w:tcPr>
          <w:p w14:paraId="16A9E7F7">
            <w:pPr>
              <w:spacing w:line="240" w:lineRule="exact"/>
              <w:jc w:val="center"/>
              <w:rPr>
                <w:rFonts w:ascii="宋体" w:hAnsi="宋体"/>
                <w:b w:val="0"/>
              </w:rPr>
            </w:pPr>
            <w:r>
              <w:rPr>
                <w:rFonts w:hint="eastAsia" w:ascii="宋体" w:hAnsi="宋体"/>
                <w:b w:val="0"/>
              </w:rPr>
              <w:t>外观与性状</w:t>
            </w:r>
          </w:p>
        </w:tc>
        <w:tc>
          <w:tcPr>
            <w:tcW w:w="6135" w:type="dxa"/>
            <w:gridSpan w:val="8"/>
            <w:vAlign w:val="center"/>
          </w:tcPr>
          <w:p w14:paraId="44C2E483">
            <w:pPr>
              <w:spacing w:line="240" w:lineRule="exact"/>
              <w:jc w:val="center"/>
              <w:rPr>
                <w:rFonts w:ascii="宋体" w:hAnsi="宋体"/>
                <w:b w:val="0"/>
              </w:rPr>
            </w:pPr>
            <w:r>
              <w:rPr>
                <w:rFonts w:hint="eastAsia" w:ascii="宋体" w:hAnsi="宋体"/>
                <w:b w:val="0"/>
              </w:rPr>
              <w:t>深灰色或黑色发亮的无定形粉末。</w:t>
            </w:r>
          </w:p>
        </w:tc>
      </w:tr>
      <w:tr w14:paraId="003741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655" w:type="dxa"/>
            <w:vMerge w:val="continue"/>
            <w:vAlign w:val="center"/>
          </w:tcPr>
          <w:p w14:paraId="3D4DFE86">
            <w:pPr>
              <w:spacing w:line="240" w:lineRule="exact"/>
              <w:jc w:val="center"/>
              <w:rPr>
                <w:rFonts w:ascii="宋体" w:hAnsi="宋体"/>
                <w:b w:val="0"/>
              </w:rPr>
            </w:pPr>
          </w:p>
        </w:tc>
        <w:tc>
          <w:tcPr>
            <w:tcW w:w="2067" w:type="dxa"/>
            <w:gridSpan w:val="2"/>
            <w:vAlign w:val="center"/>
          </w:tcPr>
          <w:p w14:paraId="1ABE3126">
            <w:pPr>
              <w:spacing w:line="240" w:lineRule="exact"/>
              <w:jc w:val="center"/>
              <w:rPr>
                <w:rFonts w:ascii="宋体" w:hAnsi="宋体"/>
                <w:b w:val="0"/>
              </w:rPr>
            </w:pPr>
            <w:r>
              <w:rPr>
                <w:rFonts w:hint="eastAsia" w:ascii="宋体" w:hAnsi="宋体"/>
                <w:b w:val="0"/>
              </w:rPr>
              <w:t>熔点/℃</w:t>
            </w:r>
          </w:p>
        </w:tc>
        <w:tc>
          <w:tcPr>
            <w:tcW w:w="1624" w:type="dxa"/>
            <w:gridSpan w:val="2"/>
            <w:vAlign w:val="center"/>
          </w:tcPr>
          <w:p w14:paraId="0715C7E8">
            <w:pPr>
              <w:spacing w:line="240" w:lineRule="exact"/>
              <w:jc w:val="center"/>
              <w:rPr>
                <w:rFonts w:ascii="宋体" w:hAnsi="宋体"/>
                <w:b w:val="0"/>
              </w:rPr>
            </w:pPr>
            <w:r>
              <w:rPr>
                <w:rFonts w:hint="eastAsia" w:ascii="宋体" w:hAnsi="宋体"/>
                <w:b w:val="0"/>
              </w:rPr>
              <w:t>1720</w:t>
            </w:r>
          </w:p>
        </w:tc>
        <w:tc>
          <w:tcPr>
            <w:tcW w:w="2527" w:type="dxa"/>
            <w:gridSpan w:val="5"/>
            <w:vAlign w:val="center"/>
          </w:tcPr>
          <w:p w14:paraId="1AA7A14E">
            <w:pPr>
              <w:spacing w:line="240" w:lineRule="exact"/>
              <w:jc w:val="center"/>
              <w:rPr>
                <w:rFonts w:ascii="宋体" w:hAnsi="宋体"/>
                <w:b w:val="0"/>
              </w:rPr>
            </w:pPr>
            <w:r>
              <w:rPr>
                <w:rFonts w:hint="eastAsia" w:ascii="宋体" w:hAnsi="宋体"/>
                <w:b w:val="0"/>
              </w:rPr>
              <w:t>相对密度（空气=1）</w:t>
            </w:r>
          </w:p>
        </w:tc>
        <w:tc>
          <w:tcPr>
            <w:tcW w:w="1984" w:type="dxa"/>
            <w:vAlign w:val="center"/>
          </w:tcPr>
          <w:p w14:paraId="4742B6D8">
            <w:pPr>
              <w:spacing w:line="240" w:lineRule="exact"/>
              <w:jc w:val="center"/>
              <w:rPr>
                <w:rFonts w:ascii="宋体" w:hAnsi="宋体"/>
                <w:b w:val="0"/>
              </w:rPr>
            </w:pPr>
            <w:r>
              <w:rPr>
                <w:rFonts w:hint="eastAsia" w:ascii="宋体" w:hAnsi="宋体"/>
                <w:b w:val="0"/>
              </w:rPr>
              <w:t>无资料</w:t>
            </w:r>
          </w:p>
        </w:tc>
      </w:tr>
      <w:tr w14:paraId="4B2B70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8" w:hRule="atLeast"/>
          <w:jc w:val="center"/>
        </w:trPr>
        <w:tc>
          <w:tcPr>
            <w:tcW w:w="655" w:type="dxa"/>
            <w:vMerge w:val="continue"/>
            <w:vAlign w:val="center"/>
          </w:tcPr>
          <w:p w14:paraId="759ECF09">
            <w:pPr>
              <w:spacing w:line="240" w:lineRule="exact"/>
              <w:jc w:val="center"/>
              <w:rPr>
                <w:rFonts w:ascii="宋体" w:hAnsi="宋体"/>
                <w:b w:val="0"/>
              </w:rPr>
            </w:pPr>
          </w:p>
        </w:tc>
        <w:tc>
          <w:tcPr>
            <w:tcW w:w="2067" w:type="dxa"/>
            <w:gridSpan w:val="2"/>
            <w:vAlign w:val="center"/>
          </w:tcPr>
          <w:p w14:paraId="3A984B09">
            <w:pPr>
              <w:spacing w:line="240" w:lineRule="exact"/>
              <w:jc w:val="center"/>
              <w:rPr>
                <w:rFonts w:ascii="宋体" w:hAnsi="宋体"/>
                <w:b w:val="0"/>
              </w:rPr>
            </w:pPr>
            <w:r>
              <w:rPr>
                <w:rFonts w:hint="eastAsia" w:ascii="宋体" w:hAnsi="宋体"/>
                <w:b w:val="0"/>
              </w:rPr>
              <w:t>沸点/℃</w:t>
            </w:r>
          </w:p>
        </w:tc>
        <w:tc>
          <w:tcPr>
            <w:tcW w:w="1624" w:type="dxa"/>
            <w:gridSpan w:val="2"/>
            <w:vAlign w:val="center"/>
          </w:tcPr>
          <w:p w14:paraId="6E1B11A8">
            <w:pPr>
              <w:spacing w:line="240" w:lineRule="exact"/>
              <w:jc w:val="center"/>
              <w:rPr>
                <w:rFonts w:ascii="宋体" w:hAnsi="宋体"/>
                <w:b w:val="0"/>
              </w:rPr>
            </w:pPr>
            <w:r>
              <w:rPr>
                <w:rFonts w:hint="eastAsia" w:ascii="宋体" w:hAnsi="宋体"/>
                <w:b w:val="0"/>
              </w:rPr>
              <w:t>3530</w:t>
            </w:r>
          </w:p>
        </w:tc>
        <w:tc>
          <w:tcPr>
            <w:tcW w:w="2527" w:type="dxa"/>
            <w:gridSpan w:val="5"/>
            <w:vAlign w:val="center"/>
          </w:tcPr>
          <w:p w14:paraId="36866B7E">
            <w:pPr>
              <w:spacing w:line="240" w:lineRule="exact"/>
              <w:jc w:val="center"/>
              <w:rPr>
                <w:rFonts w:ascii="宋体" w:hAnsi="宋体"/>
                <w:b w:val="0"/>
              </w:rPr>
            </w:pPr>
            <w:r>
              <w:rPr>
                <w:rFonts w:hint="eastAsia" w:ascii="宋体" w:hAnsi="宋体"/>
                <w:b w:val="0"/>
              </w:rPr>
              <w:t>临界温度/℃</w:t>
            </w:r>
          </w:p>
        </w:tc>
        <w:tc>
          <w:tcPr>
            <w:tcW w:w="1984" w:type="dxa"/>
            <w:vAlign w:val="center"/>
          </w:tcPr>
          <w:p w14:paraId="2C4E5859">
            <w:pPr>
              <w:spacing w:line="240" w:lineRule="exact"/>
              <w:jc w:val="center"/>
              <w:rPr>
                <w:rFonts w:ascii="宋体" w:hAnsi="宋体"/>
                <w:b w:val="0"/>
              </w:rPr>
            </w:pPr>
            <w:r>
              <w:rPr>
                <w:rFonts w:hint="eastAsia" w:ascii="宋体" w:hAnsi="宋体"/>
                <w:b w:val="0"/>
              </w:rPr>
              <w:t>无资料</w:t>
            </w:r>
          </w:p>
        </w:tc>
      </w:tr>
      <w:tr w14:paraId="72C7FD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3" w:hRule="atLeast"/>
          <w:jc w:val="center"/>
        </w:trPr>
        <w:tc>
          <w:tcPr>
            <w:tcW w:w="655" w:type="dxa"/>
            <w:vMerge w:val="continue"/>
            <w:vAlign w:val="center"/>
          </w:tcPr>
          <w:p w14:paraId="28A1615C">
            <w:pPr>
              <w:spacing w:line="240" w:lineRule="exact"/>
              <w:jc w:val="center"/>
              <w:rPr>
                <w:rFonts w:ascii="宋体" w:hAnsi="宋体"/>
                <w:b w:val="0"/>
              </w:rPr>
            </w:pPr>
          </w:p>
        </w:tc>
        <w:tc>
          <w:tcPr>
            <w:tcW w:w="2067" w:type="dxa"/>
            <w:gridSpan w:val="2"/>
            <w:vAlign w:val="center"/>
          </w:tcPr>
          <w:p w14:paraId="4AD11BB8">
            <w:pPr>
              <w:spacing w:line="240" w:lineRule="exact"/>
              <w:jc w:val="center"/>
              <w:rPr>
                <w:rFonts w:ascii="宋体" w:hAnsi="宋体"/>
                <w:b w:val="0"/>
              </w:rPr>
            </w:pPr>
            <w:r>
              <w:rPr>
                <w:rFonts w:hint="eastAsia" w:ascii="宋体" w:hAnsi="宋体"/>
                <w:b w:val="0"/>
              </w:rPr>
              <w:t>相对密度（水=1）</w:t>
            </w:r>
          </w:p>
        </w:tc>
        <w:tc>
          <w:tcPr>
            <w:tcW w:w="1624" w:type="dxa"/>
            <w:gridSpan w:val="2"/>
            <w:vAlign w:val="center"/>
          </w:tcPr>
          <w:p w14:paraId="03DFBF0F">
            <w:pPr>
              <w:spacing w:line="240" w:lineRule="exact"/>
              <w:jc w:val="center"/>
              <w:rPr>
                <w:rFonts w:ascii="宋体" w:hAnsi="宋体"/>
                <w:b w:val="0"/>
              </w:rPr>
            </w:pPr>
            <w:r>
              <w:rPr>
                <w:rFonts w:hint="eastAsia" w:ascii="宋体" w:hAnsi="宋体"/>
                <w:b w:val="0"/>
              </w:rPr>
              <w:t>4.5</w:t>
            </w:r>
          </w:p>
        </w:tc>
        <w:tc>
          <w:tcPr>
            <w:tcW w:w="2527" w:type="dxa"/>
            <w:gridSpan w:val="5"/>
            <w:vAlign w:val="center"/>
          </w:tcPr>
          <w:p w14:paraId="443ECCB1">
            <w:pPr>
              <w:spacing w:line="240" w:lineRule="exact"/>
              <w:jc w:val="center"/>
              <w:rPr>
                <w:rFonts w:ascii="宋体" w:hAnsi="宋体"/>
                <w:b w:val="0"/>
              </w:rPr>
            </w:pPr>
            <w:r>
              <w:rPr>
                <w:rFonts w:hint="eastAsia" w:ascii="宋体" w:hAnsi="宋体"/>
                <w:b w:val="0"/>
              </w:rPr>
              <w:t>临界压力M</w:t>
            </w:r>
            <w:r>
              <w:rPr>
                <w:rFonts w:ascii="宋体" w:hAnsi="宋体"/>
                <w:b w:val="0"/>
              </w:rPr>
              <w:t>p</w:t>
            </w:r>
            <w:r>
              <w:rPr>
                <w:rFonts w:hint="eastAsia" w:ascii="宋体" w:hAnsi="宋体"/>
                <w:b w:val="0"/>
              </w:rPr>
              <w:t>a</w:t>
            </w:r>
          </w:p>
        </w:tc>
        <w:tc>
          <w:tcPr>
            <w:tcW w:w="1984" w:type="dxa"/>
            <w:vAlign w:val="center"/>
          </w:tcPr>
          <w:p w14:paraId="723A0CC3">
            <w:pPr>
              <w:spacing w:line="240" w:lineRule="exact"/>
              <w:jc w:val="center"/>
              <w:rPr>
                <w:rFonts w:ascii="宋体" w:hAnsi="宋体"/>
                <w:b w:val="0"/>
              </w:rPr>
            </w:pPr>
            <w:r>
              <w:rPr>
                <w:rFonts w:hint="eastAsia" w:ascii="宋体" w:hAnsi="宋体"/>
                <w:b w:val="0"/>
              </w:rPr>
              <w:t>无资料</w:t>
            </w:r>
          </w:p>
        </w:tc>
      </w:tr>
      <w:tr w14:paraId="46D2A2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1" w:hRule="atLeast"/>
          <w:jc w:val="center"/>
        </w:trPr>
        <w:tc>
          <w:tcPr>
            <w:tcW w:w="655" w:type="dxa"/>
            <w:vMerge w:val="continue"/>
            <w:vAlign w:val="center"/>
          </w:tcPr>
          <w:p w14:paraId="08CA5E68">
            <w:pPr>
              <w:spacing w:line="240" w:lineRule="exact"/>
              <w:jc w:val="center"/>
              <w:rPr>
                <w:rFonts w:ascii="宋体" w:hAnsi="宋体"/>
                <w:b w:val="0"/>
              </w:rPr>
            </w:pPr>
          </w:p>
        </w:tc>
        <w:tc>
          <w:tcPr>
            <w:tcW w:w="2067" w:type="dxa"/>
            <w:gridSpan w:val="2"/>
            <w:vAlign w:val="center"/>
          </w:tcPr>
          <w:p w14:paraId="57CCE33B">
            <w:pPr>
              <w:spacing w:line="240" w:lineRule="exact"/>
              <w:jc w:val="center"/>
              <w:rPr>
                <w:rFonts w:ascii="宋体" w:hAnsi="宋体"/>
                <w:b w:val="0"/>
              </w:rPr>
            </w:pPr>
            <w:r>
              <w:rPr>
                <w:rFonts w:hint="eastAsia" w:ascii="宋体" w:hAnsi="宋体"/>
                <w:b w:val="0"/>
              </w:rPr>
              <w:t>饱和蒸汽压/K</w:t>
            </w:r>
            <w:r>
              <w:rPr>
                <w:rFonts w:ascii="宋体" w:hAnsi="宋体"/>
                <w:b w:val="0"/>
              </w:rPr>
              <w:t>p</w:t>
            </w:r>
            <w:r>
              <w:rPr>
                <w:rFonts w:hint="eastAsia" w:ascii="宋体" w:hAnsi="宋体"/>
                <w:b w:val="0"/>
              </w:rPr>
              <w:t>a</w:t>
            </w:r>
          </w:p>
        </w:tc>
        <w:tc>
          <w:tcPr>
            <w:tcW w:w="1624" w:type="dxa"/>
            <w:gridSpan w:val="2"/>
            <w:vAlign w:val="center"/>
          </w:tcPr>
          <w:p w14:paraId="71EB8D19">
            <w:pPr>
              <w:spacing w:line="240" w:lineRule="exact"/>
              <w:jc w:val="center"/>
              <w:rPr>
                <w:rFonts w:ascii="宋体" w:hAnsi="宋体"/>
                <w:b w:val="0"/>
              </w:rPr>
            </w:pPr>
            <w:r>
              <w:rPr>
                <w:rFonts w:hint="eastAsia" w:ascii="宋体" w:hAnsi="宋体"/>
                <w:b w:val="0"/>
              </w:rPr>
              <w:t>无资料</w:t>
            </w:r>
          </w:p>
        </w:tc>
        <w:tc>
          <w:tcPr>
            <w:tcW w:w="2527" w:type="dxa"/>
            <w:gridSpan w:val="5"/>
            <w:vAlign w:val="center"/>
          </w:tcPr>
          <w:p w14:paraId="59B03D86">
            <w:pPr>
              <w:spacing w:line="240" w:lineRule="exact"/>
              <w:jc w:val="center"/>
              <w:rPr>
                <w:rFonts w:ascii="宋体" w:hAnsi="宋体"/>
                <w:b w:val="0"/>
              </w:rPr>
            </w:pPr>
            <w:r>
              <w:rPr>
                <w:rFonts w:hint="eastAsia" w:ascii="宋体" w:hAnsi="宋体"/>
                <w:b w:val="0"/>
              </w:rPr>
              <w:t>燃烧热/KJ.mol-l</w:t>
            </w:r>
          </w:p>
        </w:tc>
        <w:tc>
          <w:tcPr>
            <w:tcW w:w="1984" w:type="dxa"/>
            <w:vAlign w:val="center"/>
          </w:tcPr>
          <w:p w14:paraId="65AA9A90">
            <w:pPr>
              <w:spacing w:line="240" w:lineRule="exact"/>
              <w:jc w:val="center"/>
              <w:rPr>
                <w:rFonts w:ascii="宋体" w:hAnsi="宋体"/>
                <w:b w:val="0"/>
              </w:rPr>
            </w:pPr>
            <w:r>
              <w:rPr>
                <w:rFonts w:hint="eastAsia" w:ascii="宋体" w:hAnsi="宋体"/>
                <w:b w:val="0"/>
              </w:rPr>
              <w:t>无资料</w:t>
            </w:r>
          </w:p>
        </w:tc>
      </w:tr>
      <w:tr w14:paraId="58D5DB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655" w:type="dxa"/>
            <w:vMerge w:val="continue"/>
            <w:vAlign w:val="center"/>
          </w:tcPr>
          <w:p w14:paraId="4E41C872">
            <w:pPr>
              <w:spacing w:line="240" w:lineRule="exact"/>
              <w:jc w:val="center"/>
              <w:rPr>
                <w:rFonts w:ascii="宋体" w:hAnsi="宋体"/>
                <w:b w:val="0"/>
              </w:rPr>
            </w:pPr>
          </w:p>
        </w:tc>
        <w:tc>
          <w:tcPr>
            <w:tcW w:w="2067" w:type="dxa"/>
            <w:gridSpan w:val="2"/>
            <w:vAlign w:val="center"/>
          </w:tcPr>
          <w:p w14:paraId="296E8BC1">
            <w:pPr>
              <w:spacing w:line="240" w:lineRule="exact"/>
              <w:jc w:val="center"/>
              <w:rPr>
                <w:rFonts w:ascii="宋体" w:hAnsi="宋体"/>
                <w:b w:val="0"/>
              </w:rPr>
            </w:pPr>
            <w:r>
              <w:rPr>
                <w:rFonts w:hint="eastAsia" w:ascii="宋体" w:hAnsi="宋体"/>
                <w:b w:val="0"/>
              </w:rPr>
              <w:t>最小引燃能量/mj</w:t>
            </w:r>
          </w:p>
        </w:tc>
        <w:tc>
          <w:tcPr>
            <w:tcW w:w="1624" w:type="dxa"/>
            <w:gridSpan w:val="2"/>
            <w:vAlign w:val="center"/>
          </w:tcPr>
          <w:p w14:paraId="0059D51E">
            <w:pPr>
              <w:spacing w:line="240" w:lineRule="exact"/>
              <w:jc w:val="center"/>
              <w:rPr>
                <w:rFonts w:ascii="宋体" w:hAnsi="宋体"/>
                <w:b w:val="0"/>
              </w:rPr>
            </w:pPr>
            <w:r>
              <w:rPr>
                <w:rFonts w:hint="eastAsia" w:ascii="宋体" w:hAnsi="宋体"/>
                <w:b w:val="0"/>
              </w:rPr>
              <w:t>10</w:t>
            </w:r>
          </w:p>
        </w:tc>
        <w:tc>
          <w:tcPr>
            <w:tcW w:w="2527" w:type="dxa"/>
            <w:gridSpan w:val="5"/>
            <w:vAlign w:val="center"/>
          </w:tcPr>
          <w:p w14:paraId="585BA624">
            <w:pPr>
              <w:spacing w:line="240" w:lineRule="exact"/>
              <w:jc w:val="center"/>
              <w:rPr>
                <w:rFonts w:ascii="宋体" w:hAnsi="宋体"/>
                <w:b w:val="0"/>
              </w:rPr>
            </w:pPr>
            <w:r>
              <w:rPr>
                <w:rFonts w:hint="eastAsia" w:ascii="宋体" w:hAnsi="宋体"/>
                <w:b w:val="0"/>
              </w:rPr>
              <w:t>最大爆炸压力/M</w:t>
            </w:r>
            <w:r>
              <w:rPr>
                <w:rFonts w:ascii="宋体" w:hAnsi="宋体"/>
                <w:b w:val="0"/>
              </w:rPr>
              <w:t>p</w:t>
            </w:r>
            <w:r>
              <w:rPr>
                <w:rFonts w:hint="eastAsia" w:ascii="宋体" w:hAnsi="宋体"/>
                <w:b w:val="0"/>
              </w:rPr>
              <w:t>a</w:t>
            </w:r>
          </w:p>
        </w:tc>
        <w:tc>
          <w:tcPr>
            <w:tcW w:w="1984" w:type="dxa"/>
            <w:vAlign w:val="center"/>
          </w:tcPr>
          <w:p w14:paraId="2A42695C">
            <w:pPr>
              <w:spacing w:line="240" w:lineRule="exact"/>
              <w:jc w:val="center"/>
              <w:rPr>
                <w:rFonts w:ascii="宋体" w:hAnsi="宋体"/>
                <w:b w:val="0"/>
              </w:rPr>
            </w:pPr>
            <w:r>
              <w:rPr>
                <w:rFonts w:hint="eastAsia" w:ascii="宋体" w:hAnsi="宋体"/>
                <w:b w:val="0"/>
              </w:rPr>
              <w:t>无资料</w:t>
            </w:r>
          </w:p>
        </w:tc>
      </w:tr>
      <w:tr w14:paraId="20286B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655" w:type="dxa"/>
            <w:vMerge w:val="continue"/>
            <w:vAlign w:val="center"/>
          </w:tcPr>
          <w:p w14:paraId="6C90AB7E">
            <w:pPr>
              <w:spacing w:line="240" w:lineRule="exact"/>
              <w:jc w:val="center"/>
              <w:rPr>
                <w:rFonts w:ascii="宋体" w:hAnsi="宋体"/>
                <w:b w:val="0"/>
              </w:rPr>
            </w:pPr>
          </w:p>
        </w:tc>
        <w:tc>
          <w:tcPr>
            <w:tcW w:w="2067" w:type="dxa"/>
            <w:gridSpan w:val="2"/>
            <w:vAlign w:val="center"/>
          </w:tcPr>
          <w:p w14:paraId="4B7A8D83">
            <w:pPr>
              <w:spacing w:line="240" w:lineRule="exact"/>
              <w:jc w:val="center"/>
              <w:rPr>
                <w:rFonts w:ascii="宋体" w:hAnsi="宋体"/>
                <w:b w:val="0"/>
              </w:rPr>
            </w:pPr>
            <w:r>
              <w:rPr>
                <w:rFonts w:hint="eastAsia" w:ascii="宋体" w:hAnsi="宋体"/>
                <w:b w:val="0"/>
              </w:rPr>
              <w:t>溶解性</w:t>
            </w:r>
          </w:p>
        </w:tc>
        <w:tc>
          <w:tcPr>
            <w:tcW w:w="6135" w:type="dxa"/>
            <w:gridSpan w:val="8"/>
            <w:vAlign w:val="center"/>
          </w:tcPr>
          <w:p w14:paraId="4D1850F0">
            <w:pPr>
              <w:spacing w:line="240" w:lineRule="exact"/>
              <w:jc w:val="center"/>
              <w:rPr>
                <w:rFonts w:ascii="宋体" w:hAnsi="宋体"/>
                <w:b w:val="0"/>
              </w:rPr>
            </w:pPr>
            <w:r>
              <w:rPr>
                <w:rFonts w:hint="eastAsia" w:ascii="宋体" w:hAnsi="宋体"/>
                <w:b w:val="0"/>
              </w:rPr>
              <w:t>不溶于水，溶于氢氟酸、硝酸、浓硫酸。</w:t>
            </w:r>
          </w:p>
        </w:tc>
      </w:tr>
      <w:tr w14:paraId="1EC82C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655" w:type="dxa"/>
            <w:vMerge w:val="restart"/>
            <w:vAlign w:val="center"/>
          </w:tcPr>
          <w:p w14:paraId="2CF5E1BA">
            <w:pPr>
              <w:spacing w:line="240" w:lineRule="exact"/>
              <w:jc w:val="center"/>
              <w:rPr>
                <w:rFonts w:ascii="宋体" w:hAnsi="宋体"/>
                <w:b w:val="0"/>
              </w:rPr>
            </w:pPr>
            <w:r>
              <w:rPr>
                <w:rFonts w:hint="eastAsia" w:ascii="宋体" w:hAnsi="宋体"/>
                <w:b w:val="0"/>
              </w:rPr>
              <w:t>毒性及健康危害</w:t>
            </w:r>
          </w:p>
        </w:tc>
        <w:tc>
          <w:tcPr>
            <w:tcW w:w="1573" w:type="dxa"/>
            <w:vMerge w:val="restart"/>
            <w:vAlign w:val="center"/>
          </w:tcPr>
          <w:p w14:paraId="5CCF3075">
            <w:pPr>
              <w:spacing w:line="240" w:lineRule="exact"/>
              <w:jc w:val="center"/>
              <w:rPr>
                <w:rFonts w:ascii="宋体" w:hAnsi="宋体"/>
                <w:b w:val="0"/>
              </w:rPr>
            </w:pPr>
            <w:r>
              <w:rPr>
                <w:rFonts w:hint="eastAsia" w:ascii="宋体" w:hAnsi="宋体"/>
                <w:b w:val="0"/>
              </w:rPr>
              <w:t>接触限值</w:t>
            </w:r>
          </w:p>
        </w:tc>
        <w:tc>
          <w:tcPr>
            <w:tcW w:w="3050" w:type="dxa"/>
            <w:gridSpan w:val="5"/>
            <w:vAlign w:val="center"/>
          </w:tcPr>
          <w:p w14:paraId="51C5D47A">
            <w:pPr>
              <w:spacing w:line="240" w:lineRule="exact"/>
              <w:jc w:val="center"/>
              <w:rPr>
                <w:rFonts w:ascii="宋体" w:hAnsi="宋体"/>
                <w:b w:val="0"/>
              </w:rPr>
            </w:pPr>
            <w:r>
              <w:rPr>
                <w:rFonts w:hint="eastAsia" w:ascii="宋体" w:hAnsi="宋体"/>
                <w:b w:val="0"/>
              </w:rPr>
              <w:t>中国MAC： 未制定标准</w:t>
            </w:r>
          </w:p>
        </w:tc>
        <w:tc>
          <w:tcPr>
            <w:tcW w:w="3579" w:type="dxa"/>
            <w:gridSpan w:val="4"/>
            <w:vAlign w:val="center"/>
          </w:tcPr>
          <w:p w14:paraId="61693F87">
            <w:pPr>
              <w:spacing w:line="240" w:lineRule="exact"/>
              <w:jc w:val="center"/>
              <w:rPr>
                <w:rFonts w:ascii="宋体" w:hAnsi="宋体"/>
                <w:b w:val="0"/>
              </w:rPr>
            </w:pPr>
            <w:r>
              <w:rPr>
                <w:rFonts w:hint="eastAsia" w:ascii="宋体" w:hAnsi="宋体"/>
                <w:b w:val="0"/>
              </w:rPr>
              <w:t xml:space="preserve">美国TLV-TWA：未制定标准 </w:t>
            </w:r>
          </w:p>
        </w:tc>
      </w:tr>
      <w:tr w14:paraId="3F5BD9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655" w:type="dxa"/>
            <w:vMerge w:val="continue"/>
            <w:vAlign w:val="center"/>
          </w:tcPr>
          <w:p w14:paraId="46C34DF9">
            <w:pPr>
              <w:spacing w:line="240" w:lineRule="exact"/>
              <w:jc w:val="center"/>
              <w:rPr>
                <w:rFonts w:ascii="宋体" w:hAnsi="宋体"/>
                <w:b w:val="0"/>
              </w:rPr>
            </w:pPr>
          </w:p>
        </w:tc>
        <w:tc>
          <w:tcPr>
            <w:tcW w:w="1573" w:type="dxa"/>
            <w:vMerge w:val="continue"/>
            <w:vAlign w:val="center"/>
          </w:tcPr>
          <w:p w14:paraId="2F3118FE">
            <w:pPr>
              <w:spacing w:line="240" w:lineRule="exact"/>
              <w:jc w:val="center"/>
              <w:rPr>
                <w:rFonts w:ascii="宋体" w:hAnsi="宋体"/>
                <w:b w:val="0"/>
              </w:rPr>
            </w:pPr>
          </w:p>
        </w:tc>
        <w:tc>
          <w:tcPr>
            <w:tcW w:w="3050" w:type="dxa"/>
            <w:gridSpan w:val="5"/>
            <w:vAlign w:val="center"/>
          </w:tcPr>
          <w:p w14:paraId="20125971">
            <w:pPr>
              <w:spacing w:line="240" w:lineRule="exact"/>
              <w:jc w:val="center"/>
              <w:rPr>
                <w:rFonts w:ascii="宋体" w:hAnsi="宋体"/>
                <w:b w:val="0"/>
              </w:rPr>
            </w:pPr>
            <w:r>
              <w:rPr>
                <w:rFonts w:hint="eastAsia" w:ascii="宋体" w:hAnsi="宋体"/>
                <w:b w:val="0"/>
              </w:rPr>
              <w:t>前苏联MAC：未制定标准</w:t>
            </w:r>
          </w:p>
        </w:tc>
        <w:tc>
          <w:tcPr>
            <w:tcW w:w="3579" w:type="dxa"/>
            <w:gridSpan w:val="4"/>
            <w:vAlign w:val="center"/>
          </w:tcPr>
          <w:p w14:paraId="06162D7D">
            <w:pPr>
              <w:spacing w:line="240" w:lineRule="exact"/>
              <w:jc w:val="center"/>
              <w:rPr>
                <w:rFonts w:ascii="宋体" w:hAnsi="宋体"/>
                <w:b w:val="0"/>
              </w:rPr>
            </w:pPr>
            <w:r>
              <w:rPr>
                <w:rFonts w:hint="eastAsia" w:ascii="宋体" w:hAnsi="宋体"/>
                <w:b w:val="0"/>
              </w:rPr>
              <w:t>美国TLV-STEL：未制定标准</w:t>
            </w:r>
          </w:p>
        </w:tc>
      </w:tr>
      <w:tr w14:paraId="7D741F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3" w:hRule="atLeast"/>
          <w:jc w:val="center"/>
        </w:trPr>
        <w:tc>
          <w:tcPr>
            <w:tcW w:w="655" w:type="dxa"/>
            <w:vMerge w:val="continue"/>
            <w:vAlign w:val="center"/>
          </w:tcPr>
          <w:p w14:paraId="0B939D2A">
            <w:pPr>
              <w:spacing w:line="240" w:lineRule="exact"/>
              <w:jc w:val="center"/>
              <w:rPr>
                <w:rFonts w:ascii="宋体" w:hAnsi="宋体"/>
                <w:b w:val="0"/>
              </w:rPr>
            </w:pPr>
          </w:p>
        </w:tc>
        <w:tc>
          <w:tcPr>
            <w:tcW w:w="1573" w:type="dxa"/>
            <w:vAlign w:val="center"/>
          </w:tcPr>
          <w:p w14:paraId="0054B47D">
            <w:pPr>
              <w:spacing w:line="240" w:lineRule="exact"/>
              <w:jc w:val="center"/>
              <w:rPr>
                <w:rFonts w:ascii="宋体" w:hAnsi="宋体"/>
                <w:b w:val="0"/>
              </w:rPr>
            </w:pPr>
            <w:r>
              <w:rPr>
                <w:rFonts w:hint="eastAsia" w:ascii="宋体" w:hAnsi="宋体"/>
                <w:b w:val="0"/>
              </w:rPr>
              <w:t>侵入途径</w:t>
            </w:r>
          </w:p>
        </w:tc>
        <w:tc>
          <w:tcPr>
            <w:tcW w:w="3050" w:type="dxa"/>
            <w:gridSpan w:val="5"/>
            <w:vAlign w:val="center"/>
          </w:tcPr>
          <w:p w14:paraId="6A3B0833">
            <w:pPr>
              <w:spacing w:line="240" w:lineRule="exact"/>
              <w:jc w:val="center"/>
              <w:rPr>
                <w:rFonts w:ascii="宋体" w:hAnsi="宋体"/>
                <w:b w:val="0"/>
              </w:rPr>
            </w:pPr>
            <w:r>
              <w:rPr>
                <w:rFonts w:hint="eastAsia" w:ascii="宋体" w:hAnsi="宋体"/>
                <w:b w:val="0"/>
              </w:rPr>
              <w:t>吸入、食入、经皮吸收。</w:t>
            </w:r>
          </w:p>
        </w:tc>
        <w:tc>
          <w:tcPr>
            <w:tcW w:w="3579" w:type="dxa"/>
            <w:gridSpan w:val="4"/>
            <w:vAlign w:val="center"/>
          </w:tcPr>
          <w:p w14:paraId="43D3908D">
            <w:pPr>
              <w:spacing w:line="240" w:lineRule="exact"/>
              <w:jc w:val="center"/>
              <w:rPr>
                <w:rFonts w:ascii="宋体" w:hAnsi="宋体"/>
                <w:b w:val="0"/>
              </w:rPr>
            </w:pPr>
            <w:r>
              <w:rPr>
                <w:rFonts w:hint="eastAsia" w:ascii="宋体" w:hAnsi="宋体"/>
                <w:b w:val="0"/>
              </w:rPr>
              <w:t>毒性：无资料</w:t>
            </w:r>
          </w:p>
        </w:tc>
      </w:tr>
      <w:tr w14:paraId="1B40F3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655" w:type="dxa"/>
            <w:vMerge w:val="continue"/>
            <w:vAlign w:val="center"/>
          </w:tcPr>
          <w:p w14:paraId="014060DF">
            <w:pPr>
              <w:spacing w:line="240" w:lineRule="exact"/>
              <w:jc w:val="center"/>
              <w:rPr>
                <w:rFonts w:ascii="宋体" w:hAnsi="宋体"/>
                <w:b w:val="0"/>
              </w:rPr>
            </w:pPr>
          </w:p>
        </w:tc>
        <w:tc>
          <w:tcPr>
            <w:tcW w:w="1573" w:type="dxa"/>
            <w:vAlign w:val="center"/>
          </w:tcPr>
          <w:p w14:paraId="71E4BD9D">
            <w:pPr>
              <w:spacing w:line="240" w:lineRule="exact"/>
              <w:jc w:val="center"/>
              <w:rPr>
                <w:rFonts w:ascii="宋体" w:hAnsi="宋体"/>
                <w:b w:val="0"/>
              </w:rPr>
            </w:pPr>
            <w:r>
              <w:rPr>
                <w:rFonts w:hint="eastAsia" w:ascii="宋体" w:hAnsi="宋体"/>
                <w:b w:val="0"/>
              </w:rPr>
              <w:t>健康危害</w:t>
            </w:r>
          </w:p>
        </w:tc>
        <w:tc>
          <w:tcPr>
            <w:tcW w:w="6629" w:type="dxa"/>
            <w:gridSpan w:val="9"/>
            <w:vAlign w:val="center"/>
          </w:tcPr>
          <w:p w14:paraId="0AFEBEDB">
            <w:pPr>
              <w:spacing w:line="240" w:lineRule="exact"/>
              <w:rPr>
                <w:rFonts w:ascii="宋体" w:hAnsi="宋体"/>
                <w:b w:val="0"/>
              </w:rPr>
            </w:pPr>
            <w:r>
              <w:rPr>
                <w:rFonts w:hint="eastAsia" w:ascii="宋体" w:hAnsi="宋体"/>
                <w:b w:val="0"/>
              </w:rPr>
              <w:t>吸入后对上呼吸道有刺激，引起咳嗽、胸部紧束感或疼痛。</w:t>
            </w:r>
          </w:p>
        </w:tc>
      </w:tr>
      <w:tr w14:paraId="17CFD1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655" w:type="dxa"/>
            <w:vMerge w:val="restart"/>
            <w:vAlign w:val="center"/>
          </w:tcPr>
          <w:p w14:paraId="43D0EC1D">
            <w:pPr>
              <w:spacing w:line="240" w:lineRule="exact"/>
              <w:jc w:val="center"/>
              <w:rPr>
                <w:rFonts w:ascii="宋体" w:hAnsi="宋体"/>
                <w:b w:val="0"/>
              </w:rPr>
            </w:pPr>
            <w:r>
              <w:rPr>
                <w:rFonts w:hint="eastAsia" w:ascii="宋体" w:hAnsi="宋体"/>
                <w:b w:val="0"/>
              </w:rPr>
              <w:t>燃烧爆炸危险性</w:t>
            </w:r>
          </w:p>
        </w:tc>
        <w:tc>
          <w:tcPr>
            <w:tcW w:w="1573" w:type="dxa"/>
            <w:vAlign w:val="center"/>
          </w:tcPr>
          <w:p w14:paraId="3C5674E2">
            <w:pPr>
              <w:spacing w:line="240" w:lineRule="exact"/>
              <w:jc w:val="center"/>
              <w:rPr>
                <w:rFonts w:ascii="宋体" w:hAnsi="宋体"/>
                <w:b w:val="0"/>
              </w:rPr>
            </w:pPr>
            <w:r>
              <w:rPr>
                <w:rFonts w:hint="eastAsia" w:ascii="宋体" w:hAnsi="宋体"/>
                <w:b w:val="0"/>
              </w:rPr>
              <w:t>燃烧性</w:t>
            </w:r>
          </w:p>
        </w:tc>
        <w:tc>
          <w:tcPr>
            <w:tcW w:w="2233" w:type="dxa"/>
            <w:gridSpan w:val="4"/>
            <w:vAlign w:val="center"/>
          </w:tcPr>
          <w:p w14:paraId="197663F5">
            <w:pPr>
              <w:spacing w:line="240" w:lineRule="exact"/>
              <w:jc w:val="center"/>
              <w:rPr>
                <w:rFonts w:ascii="宋体" w:hAnsi="宋体"/>
                <w:b w:val="0"/>
              </w:rPr>
            </w:pPr>
            <w:r>
              <w:rPr>
                <w:rFonts w:hint="eastAsia" w:ascii="宋体" w:hAnsi="宋体"/>
                <w:b w:val="0"/>
              </w:rPr>
              <w:t>易燃</w:t>
            </w:r>
          </w:p>
        </w:tc>
        <w:tc>
          <w:tcPr>
            <w:tcW w:w="2101" w:type="dxa"/>
            <w:gridSpan w:val="3"/>
            <w:vAlign w:val="center"/>
          </w:tcPr>
          <w:p w14:paraId="732472C6">
            <w:pPr>
              <w:spacing w:line="240" w:lineRule="exact"/>
              <w:jc w:val="center"/>
              <w:rPr>
                <w:rFonts w:ascii="宋体" w:hAnsi="宋体"/>
                <w:b w:val="0"/>
              </w:rPr>
            </w:pPr>
            <w:r>
              <w:rPr>
                <w:rFonts w:hint="eastAsia" w:ascii="宋体" w:hAnsi="宋体"/>
                <w:b w:val="0"/>
              </w:rPr>
              <w:t>闪点/℃</w:t>
            </w:r>
          </w:p>
        </w:tc>
        <w:tc>
          <w:tcPr>
            <w:tcW w:w="2295" w:type="dxa"/>
            <w:gridSpan w:val="2"/>
            <w:vAlign w:val="center"/>
          </w:tcPr>
          <w:p w14:paraId="210DC657">
            <w:pPr>
              <w:spacing w:line="240" w:lineRule="exact"/>
              <w:jc w:val="center"/>
              <w:rPr>
                <w:rFonts w:ascii="宋体" w:hAnsi="宋体"/>
                <w:b w:val="0"/>
              </w:rPr>
            </w:pPr>
            <w:r>
              <w:rPr>
                <w:rFonts w:hint="eastAsia" w:ascii="宋体" w:hAnsi="宋体"/>
                <w:b w:val="0"/>
              </w:rPr>
              <w:t>无意义</w:t>
            </w:r>
          </w:p>
        </w:tc>
      </w:tr>
      <w:tr w14:paraId="3148B4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55" w:type="dxa"/>
            <w:vMerge w:val="continue"/>
            <w:vAlign w:val="center"/>
          </w:tcPr>
          <w:p w14:paraId="21B7F065">
            <w:pPr>
              <w:spacing w:line="240" w:lineRule="exact"/>
              <w:jc w:val="center"/>
              <w:rPr>
                <w:rFonts w:ascii="宋体" w:hAnsi="宋体"/>
                <w:b w:val="0"/>
              </w:rPr>
            </w:pPr>
          </w:p>
        </w:tc>
        <w:tc>
          <w:tcPr>
            <w:tcW w:w="1573" w:type="dxa"/>
            <w:vAlign w:val="center"/>
          </w:tcPr>
          <w:p w14:paraId="588FD8E6">
            <w:pPr>
              <w:spacing w:line="240" w:lineRule="exact"/>
              <w:jc w:val="center"/>
              <w:rPr>
                <w:rFonts w:ascii="宋体" w:hAnsi="宋体"/>
                <w:b w:val="0"/>
              </w:rPr>
            </w:pPr>
            <w:r>
              <w:rPr>
                <w:rFonts w:hint="eastAsia" w:ascii="宋体" w:hAnsi="宋体"/>
                <w:b w:val="0"/>
              </w:rPr>
              <w:t>引燃温度/℃</w:t>
            </w:r>
          </w:p>
        </w:tc>
        <w:tc>
          <w:tcPr>
            <w:tcW w:w="2233" w:type="dxa"/>
            <w:gridSpan w:val="4"/>
            <w:vAlign w:val="center"/>
          </w:tcPr>
          <w:p w14:paraId="4AA2CAF7">
            <w:pPr>
              <w:spacing w:line="240" w:lineRule="exact"/>
              <w:jc w:val="center"/>
              <w:rPr>
                <w:rFonts w:ascii="宋体" w:hAnsi="宋体"/>
                <w:b w:val="0"/>
              </w:rPr>
            </w:pPr>
            <w:r>
              <w:rPr>
                <w:rFonts w:hint="eastAsia" w:ascii="宋体" w:hAnsi="宋体"/>
                <w:b w:val="0"/>
              </w:rPr>
              <w:t>460</w:t>
            </w:r>
          </w:p>
        </w:tc>
        <w:tc>
          <w:tcPr>
            <w:tcW w:w="2101" w:type="dxa"/>
            <w:gridSpan w:val="3"/>
            <w:vAlign w:val="center"/>
          </w:tcPr>
          <w:p w14:paraId="65A2D1A3">
            <w:pPr>
              <w:spacing w:line="240" w:lineRule="exact"/>
              <w:jc w:val="center"/>
              <w:rPr>
                <w:rFonts w:ascii="宋体" w:hAnsi="宋体"/>
                <w:b w:val="0"/>
              </w:rPr>
            </w:pPr>
            <w:r>
              <w:rPr>
                <w:rFonts w:hint="eastAsia" w:ascii="宋体" w:hAnsi="宋体"/>
                <w:b w:val="0"/>
              </w:rPr>
              <w:t>爆炸极限mg/m</w:t>
            </w:r>
            <w:r>
              <w:rPr>
                <w:rFonts w:hint="eastAsia" w:ascii="宋体" w:hAnsi="宋体"/>
                <w:b w:val="0"/>
                <w:vertAlign w:val="superscript"/>
              </w:rPr>
              <w:t>3</w:t>
            </w:r>
          </w:p>
        </w:tc>
        <w:tc>
          <w:tcPr>
            <w:tcW w:w="2295" w:type="dxa"/>
            <w:gridSpan w:val="2"/>
            <w:vAlign w:val="center"/>
          </w:tcPr>
          <w:p w14:paraId="0849BB26">
            <w:pPr>
              <w:spacing w:line="240" w:lineRule="exact"/>
              <w:jc w:val="center"/>
              <w:rPr>
                <w:rFonts w:ascii="宋体" w:hAnsi="宋体"/>
                <w:b w:val="0"/>
              </w:rPr>
            </w:pPr>
            <w:r>
              <w:rPr>
                <w:rFonts w:hint="eastAsia" w:ascii="宋体" w:hAnsi="宋体"/>
                <w:b w:val="0"/>
              </w:rPr>
              <w:t>40</w:t>
            </w:r>
          </w:p>
        </w:tc>
      </w:tr>
      <w:tr w14:paraId="2891B9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655" w:type="dxa"/>
            <w:vMerge w:val="continue"/>
            <w:vAlign w:val="center"/>
          </w:tcPr>
          <w:p w14:paraId="7352A6A2">
            <w:pPr>
              <w:spacing w:line="240" w:lineRule="exact"/>
              <w:jc w:val="center"/>
              <w:rPr>
                <w:rFonts w:ascii="宋体" w:hAnsi="宋体"/>
                <w:b w:val="0"/>
              </w:rPr>
            </w:pPr>
          </w:p>
        </w:tc>
        <w:tc>
          <w:tcPr>
            <w:tcW w:w="1573" w:type="dxa"/>
            <w:vAlign w:val="center"/>
          </w:tcPr>
          <w:p w14:paraId="00D027C3">
            <w:pPr>
              <w:spacing w:line="240" w:lineRule="exact"/>
              <w:jc w:val="center"/>
              <w:rPr>
                <w:rFonts w:ascii="宋体" w:hAnsi="宋体"/>
                <w:b w:val="0"/>
              </w:rPr>
            </w:pPr>
            <w:r>
              <w:rPr>
                <w:rFonts w:hint="eastAsia" w:ascii="宋体" w:hAnsi="宋体"/>
                <w:b w:val="0"/>
              </w:rPr>
              <w:t>稳定性</w:t>
            </w:r>
          </w:p>
        </w:tc>
        <w:tc>
          <w:tcPr>
            <w:tcW w:w="2233" w:type="dxa"/>
            <w:gridSpan w:val="4"/>
            <w:vAlign w:val="center"/>
          </w:tcPr>
          <w:p w14:paraId="6E3FBB38">
            <w:pPr>
              <w:spacing w:line="240" w:lineRule="exact"/>
              <w:jc w:val="center"/>
              <w:rPr>
                <w:rFonts w:ascii="宋体" w:hAnsi="宋体"/>
                <w:b w:val="0"/>
              </w:rPr>
            </w:pPr>
            <w:r>
              <w:rPr>
                <w:rFonts w:hint="eastAsia" w:ascii="宋体" w:hAnsi="宋体"/>
                <w:b w:val="0"/>
              </w:rPr>
              <w:t>稳定</w:t>
            </w:r>
          </w:p>
        </w:tc>
        <w:tc>
          <w:tcPr>
            <w:tcW w:w="2101" w:type="dxa"/>
            <w:gridSpan w:val="3"/>
            <w:vAlign w:val="center"/>
          </w:tcPr>
          <w:p w14:paraId="6A845C3B">
            <w:pPr>
              <w:spacing w:line="240" w:lineRule="exact"/>
              <w:jc w:val="center"/>
              <w:rPr>
                <w:rFonts w:ascii="宋体" w:hAnsi="宋体"/>
                <w:b w:val="0"/>
              </w:rPr>
            </w:pPr>
            <w:r>
              <w:rPr>
                <w:rFonts w:hint="eastAsia" w:ascii="宋体" w:hAnsi="宋体"/>
                <w:b w:val="0"/>
              </w:rPr>
              <w:t>聚合危害</w:t>
            </w:r>
          </w:p>
        </w:tc>
        <w:tc>
          <w:tcPr>
            <w:tcW w:w="2295" w:type="dxa"/>
            <w:gridSpan w:val="2"/>
            <w:vAlign w:val="center"/>
          </w:tcPr>
          <w:p w14:paraId="61FBF2F7">
            <w:pPr>
              <w:spacing w:line="240" w:lineRule="exact"/>
              <w:jc w:val="center"/>
              <w:rPr>
                <w:rFonts w:ascii="宋体" w:hAnsi="宋体"/>
                <w:b w:val="0"/>
              </w:rPr>
            </w:pPr>
            <w:r>
              <w:rPr>
                <w:rFonts w:hint="eastAsia" w:ascii="宋体" w:hAnsi="宋体"/>
                <w:b w:val="0"/>
              </w:rPr>
              <w:t>不聚合</w:t>
            </w:r>
          </w:p>
        </w:tc>
      </w:tr>
      <w:tr w14:paraId="0897FC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07" w:hRule="atLeast"/>
          <w:jc w:val="center"/>
        </w:trPr>
        <w:tc>
          <w:tcPr>
            <w:tcW w:w="655" w:type="dxa"/>
            <w:vMerge w:val="continue"/>
            <w:vAlign w:val="center"/>
          </w:tcPr>
          <w:p w14:paraId="4B6B9266">
            <w:pPr>
              <w:spacing w:line="240" w:lineRule="exact"/>
              <w:jc w:val="center"/>
              <w:rPr>
                <w:rFonts w:ascii="宋体" w:hAnsi="宋体"/>
                <w:b w:val="0"/>
              </w:rPr>
            </w:pPr>
          </w:p>
        </w:tc>
        <w:tc>
          <w:tcPr>
            <w:tcW w:w="1573" w:type="dxa"/>
            <w:vAlign w:val="center"/>
          </w:tcPr>
          <w:p w14:paraId="3D513171">
            <w:pPr>
              <w:spacing w:line="240" w:lineRule="exact"/>
              <w:jc w:val="center"/>
              <w:rPr>
                <w:rFonts w:ascii="宋体" w:hAnsi="宋体"/>
                <w:b w:val="0"/>
              </w:rPr>
            </w:pPr>
            <w:r>
              <w:rPr>
                <w:rFonts w:hint="eastAsia" w:ascii="宋体" w:hAnsi="宋体"/>
                <w:b w:val="0"/>
              </w:rPr>
              <w:t>危险特性</w:t>
            </w:r>
          </w:p>
        </w:tc>
        <w:tc>
          <w:tcPr>
            <w:tcW w:w="6629" w:type="dxa"/>
            <w:gridSpan w:val="9"/>
            <w:vAlign w:val="center"/>
          </w:tcPr>
          <w:p w14:paraId="5526F58C">
            <w:pPr>
              <w:spacing w:line="240" w:lineRule="exact"/>
              <w:rPr>
                <w:rFonts w:ascii="宋体" w:hAnsi="宋体"/>
                <w:b w:val="0"/>
              </w:rPr>
            </w:pPr>
            <w:r>
              <w:rPr>
                <w:rFonts w:hint="eastAsia" w:ascii="宋体" w:hAnsi="宋体"/>
                <w:b w:val="0"/>
              </w:rPr>
              <w:t>本品易燃，具刺激性。金属钛粉尘具有爆炸性，遇热、明火或发生化学反应会燃烧爆炸。其粉体化学活性很高，在空气中能自燃。金属钛不仅能在空气中燃烧，也能在二氧脂碳或氮气中燃烧。高温时易与卤素、氧、硫、氮化合。</w:t>
            </w:r>
          </w:p>
        </w:tc>
      </w:tr>
      <w:tr w14:paraId="59EBCA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83" w:hRule="atLeast"/>
          <w:jc w:val="center"/>
        </w:trPr>
        <w:tc>
          <w:tcPr>
            <w:tcW w:w="655" w:type="dxa"/>
            <w:vMerge w:val="continue"/>
            <w:vAlign w:val="center"/>
          </w:tcPr>
          <w:p w14:paraId="388238BC">
            <w:pPr>
              <w:spacing w:line="240" w:lineRule="exact"/>
              <w:jc w:val="center"/>
              <w:rPr>
                <w:rFonts w:ascii="宋体" w:hAnsi="宋体"/>
                <w:b w:val="0"/>
              </w:rPr>
            </w:pPr>
          </w:p>
        </w:tc>
        <w:tc>
          <w:tcPr>
            <w:tcW w:w="1573" w:type="dxa"/>
            <w:vAlign w:val="center"/>
          </w:tcPr>
          <w:p w14:paraId="6886396F">
            <w:pPr>
              <w:spacing w:line="240" w:lineRule="exact"/>
              <w:jc w:val="center"/>
              <w:rPr>
                <w:rFonts w:ascii="宋体" w:hAnsi="宋体"/>
                <w:b w:val="0"/>
              </w:rPr>
            </w:pPr>
            <w:r>
              <w:rPr>
                <w:rFonts w:hint="eastAsia" w:ascii="宋体" w:hAnsi="宋体"/>
                <w:b w:val="0"/>
              </w:rPr>
              <w:t>燃烧分解产物</w:t>
            </w:r>
          </w:p>
        </w:tc>
        <w:tc>
          <w:tcPr>
            <w:tcW w:w="6629" w:type="dxa"/>
            <w:gridSpan w:val="9"/>
            <w:vAlign w:val="center"/>
          </w:tcPr>
          <w:p w14:paraId="0A8463A3">
            <w:pPr>
              <w:spacing w:line="240" w:lineRule="exact"/>
              <w:jc w:val="center"/>
              <w:rPr>
                <w:rFonts w:ascii="宋体" w:hAnsi="宋体"/>
                <w:b w:val="0"/>
              </w:rPr>
            </w:pPr>
            <w:r>
              <w:rPr>
                <w:rFonts w:hint="eastAsia" w:ascii="宋体" w:hAnsi="宋体"/>
                <w:b w:val="0"/>
              </w:rPr>
              <w:t>氧化钛</w:t>
            </w:r>
          </w:p>
        </w:tc>
      </w:tr>
      <w:tr w14:paraId="321065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30" w:hRule="atLeast"/>
          <w:jc w:val="center"/>
        </w:trPr>
        <w:tc>
          <w:tcPr>
            <w:tcW w:w="655" w:type="dxa"/>
            <w:vMerge w:val="continue"/>
            <w:vAlign w:val="center"/>
          </w:tcPr>
          <w:p w14:paraId="7124BF3B">
            <w:pPr>
              <w:spacing w:line="240" w:lineRule="exact"/>
              <w:jc w:val="center"/>
              <w:rPr>
                <w:rFonts w:ascii="宋体" w:hAnsi="宋体"/>
                <w:b w:val="0"/>
              </w:rPr>
            </w:pPr>
          </w:p>
        </w:tc>
        <w:tc>
          <w:tcPr>
            <w:tcW w:w="1573" w:type="dxa"/>
            <w:vAlign w:val="center"/>
          </w:tcPr>
          <w:p w14:paraId="1FCE277D">
            <w:pPr>
              <w:spacing w:line="240" w:lineRule="exact"/>
              <w:jc w:val="center"/>
              <w:rPr>
                <w:rFonts w:ascii="宋体" w:hAnsi="宋体"/>
                <w:b w:val="0"/>
              </w:rPr>
            </w:pPr>
            <w:r>
              <w:rPr>
                <w:rFonts w:hint="eastAsia" w:ascii="宋体" w:hAnsi="宋体"/>
                <w:b w:val="0"/>
              </w:rPr>
              <w:t>泄漏应急处理</w:t>
            </w:r>
          </w:p>
        </w:tc>
        <w:tc>
          <w:tcPr>
            <w:tcW w:w="6629" w:type="dxa"/>
            <w:gridSpan w:val="9"/>
            <w:vAlign w:val="center"/>
          </w:tcPr>
          <w:p w14:paraId="53CFD632">
            <w:pPr>
              <w:spacing w:line="240" w:lineRule="exact"/>
              <w:rPr>
                <w:rFonts w:ascii="宋体" w:hAnsi="宋体"/>
                <w:b w:val="0"/>
              </w:rPr>
            </w:pPr>
            <w:r>
              <w:rPr>
                <w:rFonts w:hint="eastAsia" w:ascii="宋体" w:hAnsi="宋体"/>
                <w:b w:val="0"/>
              </w:rPr>
              <w:t>隔离泄漏污染区，限制出入。切断火源。建议应急处理人员戴防尘面具（全面罩），穿防毒服。不要直接接触泄漏物。小量泄漏：避免扬尘，用洁净的铲子收集于干燥、洁净、有盖的容器中。转移回 收。若大量泄漏：用塑料布、帆布覆盖。使用无火花工具转移回收。</w:t>
            </w:r>
          </w:p>
        </w:tc>
      </w:tr>
      <w:tr w14:paraId="50415C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652" w:hRule="atLeast"/>
          <w:jc w:val="center"/>
        </w:trPr>
        <w:tc>
          <w:tcPr>
            <w:tcW w:w="655" w:type="dxa"/>
            <w:vMerge w:val="continue"/>
            <w:vAlign w:val="center"/>
          </w:tcPr>
          <w:p w14:paraId="648A208F">
            <w:pPr>
              <w:spacing w:line="240" w:lineRule="exact"/>
              <w:jc w:val="center"/>
              <w:rPr>
                <w:rFonts w:ascii="宋体" w:hAnsi="宋体"/>
                <w:b w:val="0"/>
              </w:rPr>
            </w:pPr>
          </w:p>
        </w:tc>
        <w:tc>
          <w:tcPr>
            <w:tcW w:w="1573" w:type="dxa"/>
            <w:vAlign w:val="center"/>
          </w:tcPr>
          <w:p w14:paraId="1705DB6A">
            <w:pPr>
              <w:spacing w:line="240" w:lineRule="exact"/>
              <w:jc w:val="center"/>
              <w:rPr>
                <w:rFonts w:ascii="宋体" w:hAnsi="宋体"/>
                <w:b w:val="0"/>
              </w:rPr>
            </w:pPr>
            <w:r>
              <w:rPr>
                <w:rFonts w:hint="eastAsia" w:ascii="宋体" w:hAnsi="宋体"/>
                <w:b w:val="0"/>
              </w:rPr>
              <w:t>禁忌物</w:t>
            </w:r>
          </w:p>
        </w:tc>
        <w:tc>
          <w:tcPr>
            <w:tcW w:w="6629" w:type="dxa"/>
            <w:gridSpan w:val="9"/>
            <w:vAlign w:val="center"/>
          </w:tcPr>
          <w:p w14:paraId="274743F1">
            <w:pPr>
              <w:spacing w:line="240" w:lineRule="exact"/>
              <w:rPr>
                <w:rFonts w:ascii="宋体" w:hAnsi="宋体"/>
                <w:b w:val="0"/>
              </w:rPr>
            </w:pPr>
            <w:r>
              <w:rPr>
                <w:rFonts w:hint="eastAsia" w:ascii="宋体" w:hAnsi="宋体"/>
                <w:b w:val="0"/>
              </w:rPr>
              <w:t>强氧化剂、强酸、铝、二氧化碳、卤素、氧。</w:t>
            </w:r>
          </w:p>
        </w:tc>
      </w:tr>
      <w:tr w14:paraId="0D0DB1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86" w:hRule="atLeast"/>
          <w:jc w:val="center"/>
        </w:trPr>
        <w:tc>
          <w:tcPr>
            <w:tcW w:w="655" w:type="dxa"/>
            <w:vMerge w:val="continue"/>
            <w:vAlign w:val="center"/>
          </w:tcPr>
          <w:p w14:paraId="6F975B5A">
            <w:pPr>
              <w:spacing w:line="240" w:lineRule="exact"/>
              <w:jc w:val="center"/>
              <w:rPr>
                <w:rFonts w:ascii="宋体" w:hAnsi="宋体"/>
                <w:b w:val="0"/>
              </w:rPr>
            </w:pPr>
          </w:p>
        </w:tc>
        <w:tc>
          <w:tcPr>
            <w:tcW w:w="1573" w:type="dxa"/>
            <w:vAlign w:val="center"/>
          </w:tcPr>
          <w:p w14:paraId="15A929EA">
            <w:pPr>
              <w:spacing w:line="240" w:lineRule="exact"/>
              <w:jc w:val="center"/>
              <w:rPr>
                <w:rFonts w:ascii="宋体" w:hAnsi="宋体"/>
                <w:b w:val="0"/>
              </w:rPr>
            </w:pPr>
            <w:r>
              <w:rPr>
                <w:rFonts w:hint="eastAsia" w:ascii="宋体" w:hAnsi="宋体"/>
                <w:b w:val="0"/>
              </w:rPr>
              <w:t>灭火方法</w:t>
            </w:r>
          </w:p>
        </w:tc>
        <w:tc>
          <w:tcPr>
            <w:tcW w:w="6629" w:type="dxa"/>
            <w:gridSpan w:val="9"/>
            <w:vAlign w:val="center"/>
          </w:tcPr>
          <w:p w14:paraId="099DF00F">
            <w:pPr>
              <w:spacing w:line="240" w:lineRule="exact"/>
              <w:rPr>
                <w:rFonts w:ascii="宋体" w:hAnsi="宋体"/>
                <w:b w:val="0"/>
              </w:rPr>
            </w:pPr>
            <w:r>
              <w:rPr>
                <w:rFonts w:hint="eastAsia" w:ascii="宋体" w:hAnsi="宋体"/>
                <w:b w:val="0"/>
              </w:rPr>
              <w:t>采用干粉、干砂灭火。严禁用水、泡沫、二氧化碳扑救。高热或剧烈燃烧时，用水扑救可能会引起爆炸。</w:t>
            </w:r>
          </w:p>
        </w:tc>
      </w:tr>
    </w:tbl>
    <w:p w14:paraId="2E788ABA">
      <w:pPr>
        <w:spacing w:before="120" w:beforeLines="50" w:line="360" w:lineRule="auto"/>
        <w:ind w:firstLine="562" w:firstLineChars="200"/>
        <w:rPr>
          <w:rFonts w:ascii="宋体" w:hAnsi="宋体"/>
          <w:snapToGrid w:val="0"/>
          <w:sz w:val="28"/>
          <w:szCs w:val="28"/>
        </w:rPr>
      </w:pPr>
      <w:bookmarkStart w:id="244" w:name="_Toc213469581"/>
      <w:bookmarkStart w:id="245" w:name="_Toc213127065"/>
    </w:p>
    <w:p w14:paraId="5530174A">
      <w:pPr>
        <w:spacing w:before="120" w:beforeLines="50" w:line="360" w:lineRule="auto"/>
        <w:ind w:firstLine="562" w:firstLineChars="200"/>
        <w:rPr>
          <w:rFonts w:ascii="宋体" w:hAnsi="宋体"/>
          <w:snapToGrid w:val="0"/>
          <w:sz w:val="28"/>
          <w:szCs w:val="28"/>
        </w:rPr>
      </w:pPr>
      <w:r>
        <w:rPr>
          <w:rFonts w:ascii="宋体" w:hAnsi="宋体"/>
          <w:snapToGrid w:val="0"/>
          <w:sz w:val="28"/>
          <w:szCs w:val="28"/>
        </w:rPr>
        <w:t>2</w:t>
      </w:r>
      <w:r>
        <w:rPr>
          <w:rFonts w:hint="eastAsia" w:ascii="宋体" w:hAnsi="宋体"/>
          <w:snapToGrid w:val="0"/>
          <w:sz w:val="28"/>
          <w:szCs w:val="28"/>
        </w:rPr>
        <w:t>）引火线</w:t>
      </w:r>
      <w:bookmarkEnd w:id="244"/>
      <w:bookmarkEnd w:id="245"/>
    </w:p>
    <w:p w14:paraId="41C5AEAF">
      <w:pPr>
        <w:spacing w:line="360" w:lineRule="auto"/>
        <w:ind w:firstLine="560" w:firstLineChars="200"/>
        <w:jc w:val="left"/>
        <w:rPr>
          <w:rFonts w:ascii="宋体" w:hAnsi="宋体"/>
          <w:b w:val="0"/>
          <w:snapToGrid w:val="0"/>
          <w:sz w:val="28"/>
          <w:szCs w:val="28"/>
        </w:rPr>
      </w:pPr>
      <w:r>
        <w:rPr>
          <w:rFonts w:hint="eastAsia" w:ascii="宋体" w:hAnsi="宋体"/>
          <w:b w:val="0"/>
          <w:snapToGrid w:val="0"/>
          <w:sz w:val="28"/>
          <w:szCs w:val="28"/>
        </w:rPr>
        <w:t>引火线物性参数及对其危险的应对措施列于表3.</w:t>
      </w:r>
      <w:r>
        <w:rPr>
          <w:rFonts w:ascii="宋体" w:hAnsi="宋体"/>
          <w:b w:val="0"/>
          <w:snapToGrid w:val="0"/>
          <w:sz w:val="28"/>
          <w:szCs w:val="28"/>
        </w:rPr>
        <w:t>3</w:t>
      </w:r>
      <w:r>
        <w:rPr>
          <w:rFonts w:hint="eastAsia" w:ascii="宋体" w:hAnsi="宋体"/>
          <w:b w:val="0"/>
          <w:snapToGrid w:val="0"/>
          <w:sz w:val="28"/>
          <w:szCs w:val="28"/>
        </w:rPr>
        <w:t>-15。</w:t>
      </w:r>
    </w:p>
    <w:p w14:paraId="49501EDE">
      <w:pPr>
        <w:jc w:val="center"/>
        <w:rPr>
          <w:rFonts w:ascii="黑体" w:hAnsi="宋体" w:eastAsia="黑体"/>
          <w:b w:val="0"/>
          <w:sz w:val="24"/>
        </w:rPr>
      </w:pPr>
      <w:r>
        <w:rPr>
          <w:rFonts w:hint="eastAsia" w:ascii="黑体" w:hAnsi="宋体" w:eastAsia="黑体"/>
          <w:b w:val="0"/>
          <w:sz w:val="24"/>
        </w:rPr>
        <w:t>表3.</w:t>
      </w:r>
      <w:r>
        <w:rPr>
          <w:rFonts w:ascii="黑体" w:hAnsi="宋体" w:eastAsia="黑体"/>
          <w:b w:val="0"/>
          <w:sz w:val="24"/>
        </w:rPr>
        <w:t>3</w:t>
      </w:r>
      <w:r>
        <w:rPr>
          <w:rFonts w:hint="eastAsia" w:ascii="黑体" w:hAnsi="宋体" w:eastAsia="黑体"/>
          <w:b w:val="0"/>
          <w:sz w:val="24"/>
        </w:rPr>
        <w:t>-15引火线的物性参数及对危险的应对措施</w:t>
      </w:r>
    </w:p>
    <w:tbl>
      <w:tblPr>
        <w:tblStyle w:val="88"/>
        <w:tblW w:w="863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77"/>
        <w:gridCol w:w="7762"/>
      </w:tblGrid>
      <w:tr w14:paraId="10B033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877" w:type="dxa"/>
            <w:vAlign w:val="center"/>
          </w:tcPr>
          <w:p w14:paraId="31EDD81B">
            <w:pPr>
              <w:adjustRightInd w:val="0"/>
              <w:snapToGrid w:val="0"/>
              <w:jc w:val="center"/>
              <w:rPr>
                <w:rFonts w:ascii="宋体" w:hAnsi="宋体"/>
                <w:b w:val="0"/>
                <w:bCs/>
                <w:szCs w:val="21"/>
              </w:rPr>
            </w:pPr>
            <w:r>
              <w:rPr>
                <w:rFonts w:hint="eastAsia" w:ascii="宋体" w:hAnsi="宋体"/>
                <w:b w:val="0"/>
                <w:bCs/>
                <w:szCs w:val="21"/>
              </w:rPr>
              <w:t>标 识</w:t>
            </w:r>
          </w:p>
        </w:tc>
        <w:tc>
          <w:tcPr>
            <w:tcW w:w="7762" w:type="dxa"/>
            <w:vAlign w:val="center"/>
          </w:tcPr>
          <w:p w14:paraId="2193B95F">
            <w:pPr>
              <w:adjustRightInd w:val="0"/>
              <w:snapToGrid w:val="0"/>
              <w:rPr>
                <w:rFonts w:ascii="宋体" w:hAnsi="宋体"/>
                <w:b w:val="0"/>
                <w:szCs w:val="21"/>
              </w:rPr>
            </w:pPr>
            <w:r>
              <w:rPr>
                <w:rFonts w:hint="eastAsia" w:ascii="宋体" w:hAnsi="宋体"/>
                <w:b w:val="0"/>
                <w:szCs w:val="21"/>
              </w:rPr>
              <w:t>危险性类别：第</w:t>
            </w:r>
            <w:r>
              <w:rPr>
                <w:rFonts w:ascii="宋体" w:hAnsi="宋体"/>
                <w:b w:val="0"/>
                <w:szCs w:val="21"/>
              </w:rPr>
              <w:t>1</w:t>
            </w:r>
            <w:r>
              <w:rPr>
                <w:rFonts w:hint="eastAsia" w:ascii="宋体" w:hAnsi="宋体"/>
                <w:b w:val="0"/>
                <w:szCs w:val="21"/>
              </w:rPr>
              <w:t>类</w:t>
            </w:r>
            <w:r>
              <w:rPr>
                <w:rFonts w:ascii="宋体" w:hAnsi="宋体"/>
                <w:b w:val="0"/>
                <w:szCs w:val="21"/>
              </w:rPr>
              <w:t xml:space="preserve"> </w:t>
            </w:r>
            <w:r>
              <w:rPr>
                <w:rFonts w:hint="eastAsia" w:ascii="宋体" w:hAnsi="宋体"/>
                <w:b w:val="0"/>
                <w:szCs w:val="21"/>
              </w:rPr>
              <w:t>爆炸品</w:t>
            </w:r>
          </w:p>
          <w:p w14:paraId="3A989DCA">
            <w:pPr>
              <w:adjustRightInd w:val="0"/>
              <w:snapToGrid w:val="0"/>
              <w:rPr>
                <w:rFonts w:ascii="宋体" w:hAnsi="宋体"/>
                <w:b w:val="0"/>
                <w:szCs w:val="21"/>
              </w:rPr>
            </w:pPr>
            <w:r>
              <w:rPr>
                <w:rFonts w:hint="eastAsia" w:ascii="宋体" w:hAnsi="宋体"/>
                <w:b w:val="0"/>
                <w:szCs w:val="21"/>
              </w:rPr>
              <w:t>包装标志：  爆炸品；</w:t>
            </w:r>
          </w:p>
        </w:tc>
      </w:tr>
      <w:tr w14:paraId="1C2740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8" w:hRule="atLeast"/>
          <w:jc w:val="center"/>
        </w:trPr>
        <w:tc>
          <w:tcPr>
            <w:tcW w:w="877" w:type="dxa"/>
            <w:vAlign w:val="center"/>
          </w:tcPr>
          <w:p w14:paraId="041F33B1">
            <w:pPr>
              <w:adjustRightInd w:val="0"/>
              <w:snapToGrid w:val="0"/>
              <w:jc w:val="center"/>
              <w:rPr>
                <w:rFonts w:ascii="宋体" w:hAnsi="宋体"/>
                <w:b w:val="0"/>
                <w:bCs/>
                <w:szCs w:val="21"/>
              </w:rPr>
            </w:pPr>
            <w:r>
              <w:rPr>
                <w:rFonts w:ascii="宋体" w:hAnsi="宋体"/>
                <w:b w:val="0"/>
                <w:bCs/>
                <w:szCs w:val="21"/>
              </w:rPr>
              <w:t>理化</w:t>
            </w:r>
          </w:p>
          <w:p w14:paraId="051BAB6C">
            <w:pPr>
              <w:adjustRightInd w:val="0"/>
              <w:snapToGrid w:val="0"/>
              <w:jc w:val="center"/>
              <w:rPr>
                <w:rFonts w:ascii="宋体" w:hAnsi="宋体"/>
                <w:b w:val="0"/>
                <w:bCs/>
                <w:szCs w:val="21"/>
              </w:rPr>
            </w:pPr>
            <w:r>
              <w:rPr>
                <w:rFonts w:ascii="宋体" w:hAnsi="宋体"/>
                <w:b w:val="0"/>
                <w:bCs/>
                <w:szCs w:val="21"/>
              </w:rPr>
              <w:t>特</w:t>
            </w:r>
            <w:r>
              <w:rPr>
                <w:rFonts w:hint="eastAsia" w:ascii="宋体" w:hAnsi="宋体"/>
                <w:b w:val="0"/>
                <w:bCs/>
                <w:szCs w:val="21"/>
              </w:rPr>
              <w:t>性</w:t>
            </w:r>
          </w:p>
        </w:tc>
        <w:tc>
          <w:tcPr>
            <w:tcW w:w="7762" w:type="dxa"/>
          </w:tcPr>
          <w:p w14:paraId="41799CDB">
            <w:pPr>
              <w:adjustRightInd w:val="0"/>
              <w:snapToGrid w:val="0"/>
              <w:rPr>
                <w:rFonts w:ascii="宋体" w:hAnsi="宋体"/>
                <w:b w:val="0"/>
                <w:szCs w:val="21"/>
              </w:rPr>
            </w:pPr>
            <w:r>
              <w:rPr>
                <w:rFonts w:hint="eastAsia" w:ascii="宋体" w:hAnsi="宋体"/>
                <w:b w:val="0"/>
                <w:szCs w:val="21"/>
              </w:rPr>
              <w:t>外观与性状：线状</w:t>
            </w:r>
          </w:p>
          <w:p w14:paraId="258750E4">
            <w:pPr>
              <w:adjustRightInd w:val="0"/>
              <w:snapToGrid w:val="0"/>
              <w:rPr>
                <w:rFonts w:ascii="宋体" w:hAnsi="宋体"/>
                <w:b w:val="0"/>
                <w:szCs w:val="21"/>
              </w:rPr>
            </w:pPr>
            <w:r>
              <w:rPr>
                <w:rFonts w:hint="eastAsia" w:ascii="宋体" w:hAnsi="宋体"/>
                <w:b w:val="0"/>
                <w:szCs w:val="21"/>
              </w:rPr>
              <w:t>燃  烧  性：易燃烧、爆炸。</w:t>
            </w:r>
          </w:p>
          <w:p w14:paraId="19171043">
            <w:pPr>
              <w:adjustRightInd w:val="0"/>
              <w:snapToGrid w:val="0"/>
              <w:rPr>
                <w:rFonts w:ascii="宋体" w:hAnsi="宋体"/>
                <w:b w:val="0"/>
                <w:szCs w:val="21"/>
              </w:rPr>
            </w:pPr>
            <w:r>
              <w:rPr>
                <w:rFonts w:hint="eastAsia" w:ascii="宋体" w:hAnsi="宋体"/>
                <w:b w:val="0"/>
                <w:szCs w:val="21"/>
              </w:rPr>
              <w:t>化学安定性：相对安定</w:t>
            </w:r>
          </w:p>
          <w:p w14:paraId="1460F5D5">
            <w:pPr>
              <w:adjustRightInd w:val="0"/>
              <w:snapToGrid w:val="0"/>
              <w:rPr>
                <w:rFonts w:ascii="宋体" w:hAnsi="宋体"/>
                <w:b w:val="0"/>
                <w:szCs w:val="21"/>
              </w:rPr>
            </w:pPr>
            <w:r>
              <w:rPr>
                <w:rFonts w:hint="eastAsia" w:ascii="宋体" w:hAnsi="宋体"/>
                <w:b w:val="0"/>
                <w:szCs w:val="21"/>
              </w:rPr>
              <w:t>机械感度：  容易因撞击或摩擦起火、爆炸。</w:t>
            </w:r>
          </w:p>
          <w:p w14:paraId="397B2627">
            <w:pPr>
              <w:adjustRightInd w:val="0"/>
              <w:snapToGrid w:val="0"/>
              <w:rPr>
                <w:rFonts w:ascii="宋体" w:hAnsi="宋体"/>
                <w:b w:val="0"/>
                <w:szCs w:val="21"/>
              </w:rPr>
            </w:pPr>
            <w:r>
              <w:rPr>
                <w:rFonts w:hint="eastAsia" w:ascii="宋体" w:hAnsi="宋体"/>
                <w:b w:val="0"/>
                <w:szCs w:val="21"/>
              </w:rPr>
              <w:t>火焰感度：  容易因接触火星或火焰起火、爆炸。</w:t>
            </w:r>
          </w:p>
          <w:p w14:paraId="55213305">
            <w:pPr>
              <w:adjustRightInd w:val="0"/>
              <w:snapToGrid w:val="0"/>
              <w:rPr>
                <w:rFonts w:ascii="宋体" w:hAnsi="宋体"/>
                <w:b w:val="0"/>
                <w:szCs w:val="21"/>
              </w:rPr>
            </w:pPr>
            <w:r>
              <w:rPr>
                <w:rFonts w:hint="eastAsia" w:ascii="宋体" w:hAnsi="宋体"/>
                <w:b w:val="0"/>
                <w:szCs w:val="21"/>
              </w:rPr>
              <w:t>电能感度：  容易因电能、特别是静电作用发生燃烧或爆炸。</w:t>
            </w:r>
          </w:p>
          <w:p w14:paraId="0DB11424">
            <w:pPr>
              <w:adjustRightInd w:val="0"/>
              <w:snapToGrid w:val="0"/>
              <w:rPr>
                <w:rFonts w:ascii="宋体" w:hAnsi="宋体"/>
                <w:b w:val="0"/>
                <w:szCs w:val="21"/>
              </w:rPr>
            </w:pPr>
            <w:r>
              <w:rPr>
                <w:rFonts w:hint="eastAsia" w:ascii="宋体" w:hAnsi="宋体"/>
                <w:b w:val="0"/>
                <w:szCs w:val="21"/>
              </w:rPr>
              <w:t>热 感 度：  受热或高温环境易燃烧、爆炸</w:t>
            </w:r>
          </w:p>
          <w:p w14:paraId="11D6BD92">
            <w:pPr>
              <w:adjustRightInd w:val="0"/>
              <w:snapToGrid w:val="0"/>
              <w:rPr>
                <w:rFonts w:ascii="宋体" w:hAnsi="宋体"/>
                <w:b w:val="0"/>
                <w:szCs w:val="21"/>
              </w:rPr>
            </w:pPr>
            <w:r>
              <w:rPr>
                <w:rFonts w:hint="eastAsia" w:ascii="宋体" w:hAnsi="宋体"/>
                <w:b w:val="0"/>
                <w:szCs w:val="21"/>
              </w:rPr>
              <w:t>禁 忌 物：  热、火焰、撞击、摩擦、静电、雷电、潮湿环境。</w:t>
            </w:r>
          </w:p>
        </w:tc>
      </w:tr>
      <w:tr w14:paraId="57F5C3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877" w:type="dxa"/>
            <w:vAlign w:val="center"/>
          </w:tcPr>
          <w:p w14:paraId="345B4016">
            <w:pPr>
              <w:adjustRightInd w:val="0"/>
              <w:snapToGrid w:val="0"/>
              <w:jc w:val="center"/>
              <w:rPr>
                <w:rFonts w:ascii="宋体" w:hAnsi="宋体"/>
                <w:b w:val="0"/>
                <w:bCs/>
                <w:szCs w:val="21"/>
              </w:rPr>
            </w:pPr>
            <w:r>
              <w:rPr>
                <w:rFonts w:ascii="宋体" w:hAnsi="宋体"/>
                <w:b w:val="0"/>
                <w:bCs/>
                <w:szCs w:val="21"/>
              </w:rPr>
              <w:t>危险</w:t>
            </w:r>
            <w:r>
              <w:rPr>
                <w:rFonts w:hint="eastAsia" w:ascii="宋体" w:hAnsi="宋体"/>
                <w:b w:val="0"/>
                <w:bCs/>
                <w:szCs w:val="21"/>
              </w:rPr>
              <w:t>有害</w:t>
            </w:r>
            <w:r>
              <w:rPr>
                <w:rFonts w:ascii="宋体" w:hAnsi="宋体"/>
                <w:b w:val="0"/>
                <w:bCs/>
                <w:szCs w:val="21"/>
              </w:rPr>
              <w:t>特性</w:t>
            </w:r>
          </w:p>
        </w:tc>
        <w:tc>
          <w:tcPr>
            <w:tcW w:w="7762" w:type="dxa"/>
            <w:vAlign w:val="center"/>
          </w:tcPr>
          <w:p w14:paraId="501E4F0E">
            <w:pPr>
              <w:adjustRightInd w:val="0"/>
              <w:snapToGrid w:val="0"/>
              <w:ind w:left="1050" w:hanging="1050" w:hangingChars="500"/>
              <w:rPr>
                <w:rFonts w:ascii="宋体" w:hAnsi="宋体"/>
                <w:b w:val="0"/>
                <w:szCs w:val="21"/>
              </w:rPr>
            </w:pPr>
            <w:r>
              <w:rPr>
                <w:rFonts w:hint="eastAsia" w:ascii="宋体" w:hAnsi="宋体"/>
                <w:b w:val="0"/>
                <w:szCs w:val="21"/>
              </w:rPr>
              <w:t>危险特性：受摩擦、撞击、静电、火星、高温、潮湿环境易发生爆燃或爆炸。燃烧时产生大量有害烟雾气体。</w:t>
            </w:r>
          </w:p>
          <w:p w14:paraId="36356821">
            <w:pPr>
              <w:adjustRightInd w:val="0"/>
              <w:snapToGrid w:val="0"/>
              <w:ind w:left="1050" w:hanging="1050" w:hangingChars="500"/>
              <w:rPr>
                <w:rFonts w:ascii="宋体" w:hAnsi="宋体"/>
                <w:b w:val="0"/>
                <w:szCs w:val="21"/>
              </w:rPr>
            </w:pPr>
            <w:r>
              <w:rPr>
                <w:rFonts w:hint="eastAsia" w:ascii="宋体" w:hAnsi="宋体"/>
                <w:b w:val="0"/>
                <w:szCs w:val="21"/>
              </w:rPr>
              <w:t>有害特性：引线烟火药剂的成分中含有有毒有害物质。引线制造过程中，存在粉尘危害。可吸入、食入、经皮吸收。</w:t>
            </w:r>
          </w:p>
        </w:tc>
      </w:tr>
      <w:tr w14:paraId="054B64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877" w:type="dxa"/>
            <w:vAlign w:val="center"/>
          </w:tcPr>
          <w:p w14:paraId="76D454DD">
            <w:pPr>
              <w:adjustRightInd w:val="0"/>
              <w:snapToGrid w:val="0"/>
              <w:jc w:val="center"/>
              <w:rPr>
                <w:rFonts w:ascii="宋体" w:hAnsi="宋体"/>
                <w:b w:val="0"/>
                <w:bCs/>
                <w:szCs w:val="21"/>
              </w:rPr>
            </w:pPr>
            <w:r>
              <w:rPr>
                <w:rFonts w:ascii="宋体" w:hAnsi="宋体"/>
                <w:b w:val="0"/>
                <w:bCs/>
                <w:szCs w:val="21"/>
              </w:rPr>
              <w:t>事</w:t>
            </w:r>
            <w:r>
              <w:rPr>
                <w:rFonts w:hint="eastAsia" w:ascii="宋体" w:hAnsi="宋体"/>
                <w:b w:val="0"/>
                <w:bCs/>
                <w:szCs w:val="21"/>
              </w:rPr>
              <w:t xml:space="preserve"> </w:t>
            </w:r>
            <w:r>
              <w:rPr>
                <w:rFonts w:ascii="宋体" w:hAnsi="宋体"/>
                <w:b w:val="0"/>
                <w:bCs/>
                <w:szCs w:val="21"/>
              </w:rPr>
              <w:t>故</w:t>
            </w:r>
          </w:p>
          <w:p w14:paraId="38E9FEFD">
            <w:pPr>
              <w:adjustRightInd w:val="0"/>
              <w:snapToGrid w:val="0"/>
              <w:jc w:val="center"/>
              <w:rPr>
                <w:rFonts w:ascii="宋体" w:hAnsi="宋体"/>
                <w:b w:val="0"/>
                <w:bCs/>
                <w:szCs w:val="21"/>
              </w:rPr>
            </w:pPr>
            <w:r>
              <w:rPr>
                <w:rFonts w:ascii="宋体" w:hAnsi="宋体"/>
                <w:b w:val="0"/>
                <w:bCs/>
                <w:szCs w:val="21"/>
              </w:rPr>
              <w:t>处</w:t>
            </w:r>
            <w:r>
              <w:rPr>
                <w:rFonts w:hint="eastAsia" w:ascii="宋体" w:hAnsi="宋体"/>
                <w:b w:val="0"/>
                <w:bCs/>
                <w:szCs w:val="21"/>
              </w:rPr>
              <w:t xml:space="preserve"> </w:t>
            </w:r>
            <w:r>
              <w:rPr>
                <w:rFonts w:ascii="宋体" w:hAnsi="宋体"/>
                <w:b w:val="0"/>
                <w:bCs/>
                <w:szCs w:val="21"/>
              </w:rPr>
              <w:t>理</w:t>
            </w:r>
          </w:p>
        </w:tc>
        <w:tc>
          <w:tcPr>
            <w:tcW w:w="7762" w:type="dxa"/>
            <w:vAlign w:val="center"/>
          </w:tcPr>
          <w:p w14:paraId="61B64087">
            <w:pPr>
              <w:adjustRightInd w:val="0"/>
              <w:snapToGrid w:val="0"/>
              <w:ind w:left="1155" w:hanging="1155" w:hangingChars="550"/>
              <w:rPr>
                <w:rFonts w:ascii="宋体" w:hAnsi="宋体"/>
                <w:b w:val="0"/>
                <w:szCs w:val="21"/>
              </w:rPr>
            </w:pPr>
            <w:r>
              <w:rPr>
                <w:rFonts w:hint="eastAsia" w:ascii="宋体" w:hAnsi="宋体"/>
                <w:b w:val="0"/>
                <w:bCs/>
                <w:szCs w:val="21"/>
              </w:rPr>
              <w:t>防护及应急措施</w:t>
            </w:r>
            <w:r>
              <w:rPr>
                <w:rFonts w:hint="eastAsia" w:ascii="宋体" w:hAnsi="宋体"/>
                <w:b w:val="0"/>
                <w:szCs w:val="21"/>
              </w:rPr>
              <w:t>：有粉尘时应穿戴好劳动护品。对燃烧爆炸引起的外伤，要及时做好止血、包扎，急送医院抢救。</w:t>
            </w:r>
          </w:p>
          <w:p w14:paraId="1666AB84">
            <w:pPr>
              <w:adjustRightInd w:val="0"/>
              <w:snapToGrid w:val="0"/>
              <w:ind w:left="1050" w:hanging="1050" w:hangingChars="500"/>
              <w:rPr>
                <w:rFonts w:ascii="宋体" w:hAnsi="宋体"/>
                <w:b w:val="0"/>
                <w:szCs w:val="21"/>
              </w:rPr>
            </w:pPr>
            <w:r>
              <w:rPr>
                <w:rFonts w:hint="eastAsia" w:ascii="宋体" w:hAnsi="宋体"/>
                <w:b w:val="0"/>
                <w:bCs/>
                <w:szCs w:val="21"/>
              </w:rPr>
              <w:t>消防措施</w:t>
            </w:r>
            <w:r>
              <w:rPr>
                <w:rFonts w:hint="eastAsia" w:ascii="宋体" w:hAnsi="宋体"/>
                <w:b w:val="0"/>
                <w:szCs w:val="21"/>
              </w:rPr>
              <w:t>：消防人员须在有防爆掩蔽处操作。遇大火切勿轻易接近。爆炸后若起火，可用水扑灭</w:t>
            </w:r>
          </w:p>
        </w:tc>
      </w:tr>
      <w:tr w14:paraId="420126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877" w:type="dxa"/>
            <w:vAlign w:val="center"/>
          </w:tcPr>
          <w:p w14:paraId="79D3B337">
            <w:pPr>
              <w:adjustRightInd w:val="0"/>
              <w:snapToGrid w:val="0"/>
              <w:jc w:val="center"/>
              <w:rPr>
                <w:rFonts w:ascii="宋体" w:hAnsi="宋体"/>
                <w:b w:val="0"/>
                <w:szCs w:val="21"/>
              </w:rPr>
            </w:pPr>
            <w:r>
              <w:rPr>
                <w:rFonts w:hint="eastAsia" w:ascii="宋体" w:hAnsi="宋体"/>
                <w:b w:val="0"/>
                <w:szCs w:val="21"/>
              </w:rPr>
              <w:t>储运</w:t>
            </w:r>
          </w:p>
          <w:p w14:paraId="06766A87">
            <w:pPr>
              <w:adjustRightInd w:val="0"/>
              <w:snapToGrid w:val="0"/>
              <w:jc w:val="center"/>
              <w:rPr>
                <w:rFonts w:ascii="宋体" w:hAnsi="宋体"/>
                <w:b w:val="0"/>
                <w:szCs w:val="21"/>
              </w:rPr>
            </w:pPr>
            <w:r>
              <w:rPr>
                <w:rFonts w:hint="eastAsia" w:ascii="宋体" w:hAnsi="宋体"/>
                <w:b w:val="0"/>
                <w:szCs w:val="21"/>
              </w:rPr>
              <w:t>措施</w:t>
            </w:r>
          </w:p>
        </w:tc>
        <w:tc>
          <w:tcPr>
            <w:tcW w:w="7762" w:type="dxa"/>
            <w:vAlign w:val="center"/>
          </w:tcPr>
          <w:p w14:paraId="78FA719E">
            <w:pPr>
              <w:adjustRightInd w:val="0"/>
              <w:snapToGrid w:val="0"/>
              <w:rPr>
                <w:rFonts w:ascii="宋体" w:hAnsi="宋体"/>
                <w:b w:val="0"/>
                <w:szCs w:val="21"/>
              </w:rPr>
            </w:pPr>
            <w:r>
              <w:rPr>
                <w:rFonts w:hint="eastAsia" w:ascii="宋体" w:hAnsi="宋体"/>
                <w:b w:val="0"/>
                <w:szCs w:val="21"/>
              </w:rPr>
              <w:t>储存于阴凉、干燥、通风良好的爆炸品专用仓库内。储存环境温度一般不得超过40℃，特殊情况下可达40～50℃，但持续时间不得超过48小时。按爆炸品配装表分类划区储运。搬运时轻装轻卸，防止摩擦、碰撞而引起燃烧爆炸危险。</w:t>
            </w:r>
          </w:p>
        </w:tc>
      </w:tr>
    </w:tbl>
    <w:p w14:paraId="750F54E0">
      <w:pPr>
        <w:spacing w:before="120" w:beforeLines="50" w:line="360" w:lineRule="auto"/>
        <w:ind w:firstLine="562" w:firstLineChars="200"/>
        <w:rPr>
          <w:rFonts w:ascii="宋体" w:hAnsi="宋体"/>
          <w:snapToGrid w:val="0"/>
          <w:sz w:val="28"/>
          <w:szCs w:val="28"/>
        </w:rPr>
      </w:pPr>
      <w:r>
        <w:rPr>
          <w:rFonts w:ascii="宋体" w:hAnsi="宋体"/>
          <w:snapToGrid w:val="0"/>
          <w:sz w:val="28"/>
          <w:szCs w:val="28"/>
        </w:rPr>
        <w:t>3</w:t>
      </w:r>
      <w:r>
        <w:rPr>
          <w:rFonts w:hint="eastAsia" w:ascii="宋体" w:hAnsi="宋体"/>
          <w:snapToGrid w:val="0"/>
          <w:sz w:val="28"/>
          <w:szCs w:val="28"/>
        </w:rPr>
        <w:t>）黑火药</w:t>
      </w:r>
    </w:p>
    <w:p w14:paraId="0DE4C988">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黑火药物性参数及对其危险的应对措施列于表3.</w:t>
      </w:r>
      <w:r>
        <w:rPr>
          <w:rFonts w:ascii="宋体" w:hAnsi="宋体"/>
          <w:b w:val="0"/>
          <w:snapToGrid w:val="0"/>
          <w:sz w:val="28"/>
          <w:szCs w:val="28"/>
        </w:rPr>
        <w:t>3</w:t>
      </w:r>
      <w:r>
        <w:rPr>
          <w:rFonts w:hint="eastAsia" w:ascii="宋体" w:hAnsi="宋体"/>
          <w:b w:val="0"/>
          <w:snapToGrid w:val="0"/>
          <w:sz w:val="28"/>
          <w:szCs w:val="28"/>
        </w:rPr>
        <w:t>-16。</w:t>
      </w:r>
    </w:p>
    <w:p w14:paraId="635D8287">
      <w:pPr>
        <w:jc w:val="center"/>
        <w:rPr>
          <w:rFonts w:ascii="黑体" w:hAnsi="宋体" w:eastAsia="黑体"/>
          <w:b w:val="0"/>
          <w:sz w:val="24"/>
        </w:rPr>
      </w:pPr>
      <w:r>
        <w:rPr>
          <w:rFonts w:hint="eastAsia" w:ascii="黑体" w:hAnsi="宋体" w:eastAsia="黑体"/>
          <w:b w:val="0"/>
          <w:sz w:val="24"/>
        </w:rPr>
        <w:t>表3.</w:t>
      </w:r>
      <w:r>
        <w:rPr>
          <w:rFonts w:ascii="黑体" w:hAnsi="宋体" w:eastAsia="黑体"/>
          <w:b w:val="0"/>
          <w:sz w:val="24"/>
        </w:rPr>
        <w:t>3</w:t>
      </w:r>
      <w:r>
        <w:rPr>
          <w:rFonts w:hint="eastAsia" w:ascii="黑体" w:hAnsi="宋体" w:eastAsia="黑体"/>
          <w:b w:val="0"/>
          <w:sz w:val="24"/>
        </w:rPr>
        <w:t>-16</w:t>
      </w:r>
      <w:r>
        <w:rPr>
          <w:rFonts w:ascii="黑体" w:hAnsi="宋体" w:eastAsia="黑体"/>
          <w:b w:val="0"/>
          <w:sz w:val="24"/>
        </w:rPr>
        <w:t xml:space="preserve">  </w:t>
      </w:r>
      <w:r>
        <w:rPr>
          <w:rFonts w:hint="eastAsia" w:ascii="黑体" w:hAnsi="宋体" w:eastAsia="黑体"/>
          <w:b w:val="0"/>
          <w:sz w:val="24"/>
        </w:rPr>
        <w:t>黑火药的物性参数及对危险的应对措施</w:t>
      </w:r>
    </w:p>
    <w:tbl>
      <w:tblPr>
        <w:tblStyle w:val="88"/>
        <w:tblW w:w="9060"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067"/>
      </w:tblGrid>
      <w:tr w14:paraId="38AC33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993" w:type="dxa"/>
            <w:vAlign w:val="center"/>
          </w:tcPr>
          <w:p w14:paraId="7756FB2A">
            <w:pPr>
              <w:adjustRightInd w:val="0"/>
              <w:snapToGrid w:val="0"/>
              <w:jc w:val="center"/>
              <w:rPr>
                <w:rFonts w:ascii="宋体" w:hAnsi="宋体"/>
                <w:b w:val="0"/>
                <w:szCs w:val="21"/>
              </w:rPr>
            </w:pPr>
            <w:r>
              <w:rPr>
                <w:rFonts w:hint="eastAsia" w:ascii="宋体" w:hAnsi="宋体"/>
                <w:b w:val="0"/>
                <w:szCs w:val="21"/>
              </w:rPr>
              <w:t>标 识</w:t>
            </w:r>
          </w:p>
        </w:tc>
        <w:tc>
          <w:tcPr>
            <w:tcW w:w="8067" w:type="dxa"/>
          </w:tcPr>
          <w:p w14:paraId="14D20988">
            <w:pPr>
              <w:adjustRightInd w:val="0"/>
              <w:snapToGrid w:val="0"/>
              <w:rPr>
                <w:rFonts w:ascii="宋体" w:hAnsi="宋体"/>
                <w:b w:val="0"/>
                <w:szCs w:val="21"/>
              </w:rPr>
            </w:pPr>
            <w:r>
              <w:rPr>
                <w:rFonts w:hint="eastAsia" w:ascii="宋体" w:hAnsi="宋体"/>
                <w:b w:val="0"/>
                <w:szCs w:val="21"/>
              </w:rPr>
              <w:t>中文名称：黑火药                    英文名：</w:t>
            </w:r>
            <w:r>
              <w:rPr>
                <w:rFonts w:ascii="宋体" w:hAnsi="宋体"/>
                <w:b w:val="0"/>
                <w:szCs w:val="21"/>
              </w:rPr>
              <w:t>Black Powder</w:t>
            </w:r>
          </w:p>
          <w:p w14:paraId="424A222A">
            <w:pPr>
              <w:adjustRightInd w:val="0"/>
              <w:snapToGrid w:val="0"/>
              <w:rPr>
                <w:rFonts w:ascii="宋体" w:hAnsi="宋体"/>
                <w:b w:val="0"/>
                <w:szCs w:val="21"/>
              </w:rPr>
            </w:pPr>
            <w:r>
              <w:rPr>
                <w:rFonts w:hint="eastAsia" w:ascii="宋体" w:hAnsi="宋体"/>
                <w:b w:val="0"/>
                <w:szCs w:val="21"/>
              </w:rPr>
              <w:t xml:space="preserve">组成：硝酸钾、木炭、硫；            危险性类别：第1类  爆炸品  </w:t>
            </w:r>
          </w:p>
        </w:tc>
      </w:tr>
      <w:tr w14:paraId="2514CA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43" w:hRule="atLeast"/>
        </w:trPr>
        <w:tc>
          <w:tcPr>
            <w:tcW w:w="993" w:type="dxa"/>
            <w:vAlign w:val="center"/>
          </w:tcPr>
          <w:p w14:paraId="69F9CA67">
            <w:pPr>
              <w:adjustRightInd w:val="0"/>
              <w:snapToGrid w:val="0"/>
              <w:jc w:val="center"/>
              <w:rPr>
                <w:rFonts w:ascii="宋体" w:hAnsi="宋体"/>
                <w:b w:val="0"/>
                <w:szCs w:val="21"/>
              </w:rPr>
            </w:pPr>
            <w:r>
              <w:rPr>
                <w:rFonts w:ascii="宋体" w:hAnsi="宋体"/>
                <w:b w:val="0"/>
                <w:szCs w:val="21"/>
              </w:rPr>
              <w:t>理</w:t>
            </w:r>
            <w:r>
              <w:rPr>
                <w:rFonts w:hint="eastAsia" w:ascii="宋体" w:hAnsi="宋体"/>
                <w:b w:val="0"/>
                <w:szCs w:val="21"/>
              </w:rPr>
              <w:t xml:space="preserve"> </w:t>
            </w:r>
            <w:r>
              <w:rPr>
                <w:rFonts w:ascii="宋体" w:hAnsi="宋体"/>
                <w:b w:val="0"/>
                <w:szCs w:val="21"/>
              </w:rPr>
              <w:t>化</w:t>
            </w:r>
          </w:p>
          <w:p w14:paraId="4FCD9CEA">
            <w:pPr>
              <w:adjustRightInd w:val="0"/>
              <w:snapToGrid w:val="0"/>
              <w:jc w:val="center"/>
              <w:rPr>
                <w:rFonts w:ascii="宋体" w:hAnsi="宋体"/>
                <w:b w:val="0"/>
                <w:szCs w:val="21"/>
              </w:rPr>
            </w:pPr>
            <w:r>
              <w:rPr>
                <w:rFonts w:hint="eastAsia" w:ascii="宋体" w:hAnsi="宋体"/>
                <w:b w:val="0"/>
                <w:szCs w:val="21"/>
              </w:rPr>
              <w:t>性 质</w:t>
            </w:r>
          </w:p>
        </w:tc>
        <w:tc>
          <w:tcPr>
            <w:tcW w:w="8067" w:type="dxa"/>
          </w:tcPr>
          <w:p w14:paraId="422D544C">
            <w:pPr>
              <w:adjustRightInd w:val="0"/>
              <w:snapToGrid w:val="0"/>
              <w:rPr>
                <w:rFonts w:ascii="宋体" w:hAnsi="宋体"/>
                <w:b w:val="0"/>
                <w:szCs w:val="21"/>
              </w:rPr>
            </w:pPr>
            <w:r>
              <w:rPr>
                <w:rFonts w:hint="eastAsia" w:ascii="宋体" w:hAnsi="宋体"/>
                <w:b w:val="0"/>
                <w:szCs w:val="21"/>
              </w:rPr>
              <w:t>撞击感度：10Kg落锤25cm落高，爆炸率100%；</w:t>
            </w:r>
          </w:p>
          <w:p w14:paraId="511FB39B">
            <w:pPr>
              <w:adjustRightInd w:val="0"/>
              <w:snapToGrid w:val="0"/>
              <w:rPr>
                <w:rFonts w:ascii="宋体" w:hAnsi="宋体"/>
                <w:b w:val="0"/>
                <w:szCs w:val="21"/>
              </w:rPr>
            </w:pPr>
            <w:r>
              <w:rPr>
                <w:rFonts w:hint="eastAsia" w:ascii="宋体" w:hAnsi="宋体"/>
                <w:b w:val="0"/>
                <w:szCs w:val="21"/>
              </w:rPr>
              <w:t>摩擦摆试验：爆炸率100%；爆发点：290～310℃；</w:t>
            </w:r>
          </w:p>
          <w:p w14:paraId="4305F221">
            <w:pPr>
              <w:adjustRightInd w:val="0"/>
              <w:snapToGrid w:val="0"/>
              <w:rPr>
                <w:rFonts w:ascii="宋体" w:hAnsi="宋体"/>
                <w:b w:val="0"/>
                <w:szCs w:val="21"/>
              </w:rPr>
            </w:pPr>
            <w:r>
              <w:rPr>
                <w:rFonts w:hint="eastAsia" w:ascii="宋体" w:hAnsi="宋体"/>
                <w:b w:val="0"/>
                <w:szCs w:val="21"/>
              </w:rPr>
              <w:t>爆炸气体温度：2200～2300℃；比容：280l/Kg；</w:t>
            </w:r>
          </w:p>
        </w:tc>
      </w:tr>
      <w:tr w14:paraId="1AC476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3ED82E85">
            <w:pPr>
              <w:adjustRightInd w:val="0"/>
              <w:snapToGrid w:val="0"/>
              <w:jc w:val="center"/>
              <w:rPr>
                <w:rFonts w:ascii="宋体" w:hAnsi="宋体"/>
                <w:b w:val="0"/>
                <w:szCs w:val="21"/>
              </w:rPr>
            </w:pPr>
            <w:r>
              <w:rPr>
                <w:rFonts w:hint="eastAsia" w:ascii="宋体" w:hAnsi="宋体"/>
                <w:b w:val="0"/>
                <w:szCs w:val="21"/>
              </w:rPr>
              <w:t>危险有害特性</w:t>
            </w:r>
          </w:p>
        </w:tc>
        <w:tc>
          <w:tcPr>
            <w:tcW w:w="8067" w:type="dxa"/>
          </w:tcPr>
          <w:p w14:paraId="46F0BD2F">
            <w:pPr>
              <w:adjustRightInd w:val="0"/>
              <w:snapToGrid w:val="0"/>
              <w:rPr>
                <w:rFonts w:ascii="宋体" w:hAnsi="宋体"/>
                <w:b w:val="0"/>
                <w:szCs w:val="21"/>
              </w:rPr>
            </w:pPr>
            <w:r>
              <w:rPr>
                <w:rFonts w:hint="eastAsia" w:ascii="宋体" w:hAnsi="宋体"/>
                <w:b w:val="0"/>
                <w:szCs w:val="21"/>
              </w:rPr>
              <w:t xml:space="preserve">危 险 性：火焰感度高，在火和火花的作用下很容易引起燃烧或爆炸。易燃；受热，接触明火或受到摩擦、振动、撞击时可发生爆炸。 </w:t>
            </w:r>
          </w:p>
        </w:tc>
      </w:tr>
      <w:tr w14:paraId="6026AD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5078E7A5">
            <w:pPr>
              <w:adjustRightInd w:val="0"/>
              <w:snapToGrid w:val="0"/>
              <w:jc w:val="center"/>
              <w:rPr>
                <w:rFonts w:ascii="宋体" w:hAnsi="宋体"/>
                <w:b w:val="0"/>
                <w:szCs w:val="21"/>
              </w:rPr>
            </w:pPr>
            <w:r>
              <w:rPr>
                <w:rFonts w:hint="eastAsia" w:ascii="宋体" w:hAnsi="宋体"/>
                <w:b w:val="0"/>
                <w:szCs w:val="21"/>
              </w:rPr>
              <w:t>急救</w:t>
            </w:r>
          </w:p>
        </w:tc>
        <w:tc>
          <w:tcPr>
            <w:tcW w:w="8067" w:type="dxa"/>
          </w:tcPr>
          <w:p w14:paraId="08C636C7">
            <w:pPr>
              <w:adjustRightInd w:val="0"/>
              <w:snapToGrid w:val="0"/>
              <w:rPr>
                <w:rFonts w:ascii="宋体" w:hAnsi="宋体"/>
                <w:b w:val="0"/>
                <w:szCs w:val="21"/>
              </w:rPr>
            </w:pPr>
            <w:r>
              <w:rPr>
                <w:rFonts w:ascii="宋体" w:hAnsi="宋体"/>
                <w:b w:val="0"/>
                <w:szCs w:val="21"/>
              </w:rPr>
              <w:t>消防措施：</w:t>
            </w:r>
            <w:r>
              <w:rPr>
                <w:rFonts w:hint="eastAsia" w:ascii="宋体" w:hAnsi="宋体"/>
                <w:b w:val="0"/>
                <w:szCs w:val="21"/>
              </w:rPr>
              <w:t xml:space="preserve">消防人员须在有防爆掩蔽处操作。用大量水灭火。遇大火须远离以防炸伤。在物料附近失火，须用水保持容器冷却。禁止用砂土压盖。 </w:t>
            </w:r>
          </w:p>
        </w:tc>
      </w:tr>
      <w:tr w14:paraId="2BB643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993" w:type="dxa"/>
            <w:vAlign w:val="center"/>
          </w:tcPr>
          <w:p w14:paraId="4FD6F54B">
            <w:pPr>
              <w:adjustRightInd w:val="0"/>
              <w:snapToGrid w:val="0"/>
              <w:jc w:val="center"/>
              <w:rPr>
                <w:rFonts w:ascii="宋体" w:hAnsi="宋体"/>
                <w:b w:val="0"/>
                <w:szCs w:val="21"/>
              </w:rPr>
            </w:pPr>
            <w:r>
              <w:rPr>
                <w:rFonts w:hint="eastAsia" w:ascii="宋体" w:hAnsi="宋体"/>
                <w:b w:val="0"/>
                <w:szCs w:val="21"/>
              </w:rPr>
              <w:t>防护</w:t>
            </w:r>
          </w:p>
        </w:tc>
        <w:tc>
          <w:tcPr>
            <w:tcW w:w="8067" w:type="dxa"/>
            <w:vAlign w:val="center"/>
          </w:tcPr>
          <w:p w14:paraId="6B6998B2">
            <w:pPr>
              <w:adjustRightInd w:val="0"/>
              <w:snapToGrid w:val="0"/>
              <w:rPr>
                <w:rFonts w:ascii="宋体" w:hAnsi="宋体"/>
                <w:b w:val="0"/>
                <w:szCs w:val="21"/>
              </w:rPr>
            </w:pPr>
            <w:r>
              <w:rPr>
                <w:rFonts w:hint="eastAsia" w:ascii="宋体" w:hAnsi="宋体"/>
                <w:b w:val="0"/>
                <w:szCs w:val="21"/>
              </w:rPr>
              <w:t>有粉尘时应穿戴好劳动护品。</w:t>
            </w:r>
          </w:p>
        </w:tc>
      </w:tr>
      <w:tr w14:paraId="63D8C4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993" w:type="dxa"/>
            <w:vAlign w:val="center"/>
          </w:tcPr>
          <w:p w14:paraId="306F9998">
            <w:pPr>
              <w:adjustRightInd w:val="0"/>
              <w:snapToGrid w:val="0"/>
              <w:jc w:val="center"/>
              <w:rPr>
                <w:rFonts w:ascii="宋体" w:hAnsi="宋体"/>
                <w:b w:val="0"/>
                <w:szCs w:val="21"/>
              </w:rPr>
            </w:pPr>
            <w:r>
              <w:rPr>
                <w:rFonts w:ascii="宋体" w:hAnsi="宋体"/>
                <w:b w:val="0"/>
                <w:szCs w:val="21"/>
              </w:rPr>
              <w:t>储</w:t>
            </w:r>
            <w:r>
              <w:rPr>
                <w:rFonts w:hint="eastAsia" w:ascii="宋体" w:hAnsi="宋体"/>
                <w:b w:val="0"/>
                <w:szCs w:val="21"/>
              </w:rPr>
              <w:t xml:space="preserve"> </w:t>
            </w:r>
            <w:r>
              <w:rPr>
                <w:rFonts w:ascii="宋体" w:hAnsi="宋体"/>
                <w:b w:val="0"/>
                <w:szCs w:val="21"/>
              </w:rPr>
              <w:t>运</w:t>
            </w:r>
          </w:p>
        </w:tc>
        <w:tc>
          <w:tcPr>
            <w:tcW w:w="8067" w:type="dxa"/>
            <w:vAlign w:val="center"/>
          </w:tcPr>
          <w:p w14:paraId="52266542">
            <w:pPr>
              <w:adjustRightInd w:val="0"/>
              <w:snapToGrid w:val="0"/>
              <w:rPr>
                <w:rFonts w:ascii="宋体" w:hAnsi="宋体"/>
                <w:b w:val="0"/>
                <w:szCs w:val="21"/>
              </w:rPr>
            </w:pPr>
            <w:r>
              <w:rPr>
                <w:rFonts w:hint="eastAsia" w:ascii="宋体" w:hAnsi="宋体"/>
                <w:b w:val="0"/>
                <w:szCs w:val="21"/>
              </w:rPr>
              <w:t>储存于按专业规范设计的仓库内，仓内要求通风阴凉。远离火种、热源。忌混储混运。储存间内的照明、通风等设施应采用防爆型，开关设在仓外。配备相应品种和数量的消防器材。搬运时要轻装轻卸。禁止震动、撞击和摩擦。</w:t>
            </w:r>
          </w:p>
        </w:tc>
      </w:tr>
    </w:tbl>
    <w:p w14:paraId="216528B2">
      <w:pPr>
        <w:pStyle w:val="35"/>
        <w:spacing w:before="120" w:beforeLines="50"/>
        <w:ind w:firstLine="562" w:firstLineChars="200"/>
        <w:rPr>
          <w:rFonts w:ascii="宋体" w:hAnsi="宋体" w:eastAsia="宋体"/>
          <w:snapToGrid w:val="0"/>
          <w:szCs w:val="28"/>
        </w:rPr>
      </w:pPr>
      <w:r>
        <w:rPr>
          <w:rFonts w:ascii="宋体" w:hAnsi="宋体" w:eastAsia="宋体"/>
          <w:snapToGrid w:val="0"/>
          <w:szCs w:val="28"/>
        </w:rPr>
        <w:t>4</w:t>
      </w:r>
      <w:r>
        <w:rPr>
          <w:rFonts w:hint="eastAsia" w:ascii="宋体" w:hAnsi="宋体" w:eastAsia="宋体"/>
          <w:snapToGrid w:val="0"/>
          <w:szCs w:val="28"/>
        </w:rPr>
        <w:t>）</w:t>
      </w:r>
      <w:bookmarkEnd w:id="243"/>
      <w:r>
        <w:rPr>
          <w:rFonts w:hint="eastAsia" w:ascii="宋体" w:hAnsi="宋体" w:eastAsia="宋体"/>
          <w:snapToGrid w:val="0"/>
          <w:szCs w:val="28"/>
        </w:rPr>
        <w:t>单基火药（</w:t>
      </w:r>
      <w:r>
        <w:rPr>
          <w:rFonts w:hint="eastAsia" w:ascii="宋体" w:hAnsi="宋体" w:eastAsia="宋体"/>
          <w:szCs w:val="24"/>
        </w:rPr>
        <w:t>干的或含水或乙醇＜25％的硝化纤维素，硝化棉</w:t>
      </w:r>
      <w:r>
        <w:rPr>
          <w:rFonts w:hint="eastAsia" w:ascii="宋体" w:hAnsi="宋体" w:eastAsia="宋体"/>
          <w:snapToGrid w:val="0"/>
          <w:szCs w:val="28"/>
        </w:rPr>
        <w:t>）</w:t>
      </w:r>
    </w:p>
    <w:p w14:paraId="3BEEB154">
      <w:pPr>
        <w:spacing w:line="360" w:lineRule="auto"/>
        <w:ind w:firstLine="560" w:firstLineChars="200"/>
        <w:rPr>
          <w:rFonts w:ascii="宋体" w:hAnsi="宋体"/>
          <w:b w:val="0"/>
          <w:snapToGrid w:val="0"/>
          <w:sz w:val="28"/>
        </w:rPr>
      </w:pPr>
      <w:r>
        <w:rPr>
          <w:rFonts w:hint="eastAsia" w:ascii="宋体" w:hAnsi="宋体"/>
          <w:b w:val="0"/>
          <w:snapToGrid w:val="0"/>
          <w:sz w:val="28"/>
        </w:rPr>
        <w:t>单基火药物性参数及对其危险的应对措施见表</w:t>
      </w:r>
      <w:r>
        <w:rPr>
          <w:rFonts w:ascii="宋体" w:hAnsi="宋体"/>
          <w:b w:val="0"/>
          <w:snapToGrid w:val="0"/>
          <w:sz w:val="28"/>
        </w:rPr>
        <w:t>3.3-1</w:t>
      </w:r>
      <w:r>
        <w:rPr>
          <w:rFonts w:hint="eastAsia" w:ascii="宋体" w:hAnsi="宋体"/>
          <w:b w:val="0"/>
          <w:snapToGrid w:val="0"/>
          <w:sz w:val="28"/>
        </w:rPr>
        <w:t>7。</w:t>
      </w:r>
    </w:p>
    <w:p w14:paraId="72823C56">
      <w:pPr>
        <w:jc w:val="center"/>
        <w:rPr>
          <w:rFonts w:ascii="黑体" w:hAnsi="宋体" w:eastAsia="黑体"/>
          <w:b w:val="0"/>
          <w:sz w:val="24"/>
        </w:rPr>
      </w:pPr>
      <w:r>
        <w:rPr>
          <w:rFonts w:hint="eastAsia" w:ascii="黑体" w:hAnsi="宋体" w:eastAsia="黑体"/>
          <w:b w:val="0"/>
          <w:sz w:val="24"/>
        </w:rPr>
        <w:t>表</w:t>
      </w:r>
      <w:r>
        <w:rPr>
          <w:rFonts w:ascii="黑体" w:hAnsi="宋体" w:eastAsia="黑体"/>
          <w:b w:val="0"/>
          <w:sz w:val="24"/>
        </w:rPr>
        <w:t>3.3-1</w:t>
      </w:r>
      <w:r>
        <w:rPr>
          <w:rFonts w:hint="eastAsia" w:ascii="黑体" w:hAnsi="宋体" w:eastAsia="黑体"/>
          <w:b w:val="0"/>
          <w:sz w:val="24"/>
        </w:rPr>
        <w:t>7 单基火药的物性参数及对危险的应对措施</w:t>
      </w:r>
    </w:p>
    <w:tbl>
      <w:tblPr>
        <w:tblStyle w:val="88"/>
        <w:tblW w:w="499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470"/>
        <w:gridCol w:w="1412"/>
        <w:gridCol w:w="407"/>
        <w:gridCol w:w="798"/>
        <w:gridCol w:w="1068"/>
        <w:gridCol w:w="164"/>
        <w:gridCol w:w="342"/>
        <w:gridCol w:w="2947"/>
      </w:tblGrid>
      <w:tr w14:paraId="7738B7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21" w:hRule="atLeast"/>
          <w:tblHeader/>
          <w:jc w:val="center"/>
        </w:trPr>
        <w:tc>
          <w:tcPr>
            <w:tcW w:w="361" w:type="pct"/>
            <w:vMerge w:val="restart"/>
            <w:vAlign w:val="center"/>
          </w:tcPr>
          <w:p w14:paraId="21466D0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标识</w:t>
            </w:r>
          </w:p>
        </w:tc>
        <w:tc>
          <w:tcPr>
            <w:tcW w:w="1552" w:type="pct"/>
            <w:gridSpan w:val="2"/>
            <w:vAlign w:val="center"/>
          </w:tcPr>
          <w:p w14:paraId="654190D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bCs/>
                <w:szCs w:val="21"/>
              </w:rPr>
            </w:pPr>
            <w:r>
              <w:rPr>
                <w:rFonts w:hint="eastAsia" w:ascii="宋体" w:hAnsi="宋体"/>
                <w:b w:val="0"/>
                <w:bCs/>
                <w:szCs w:val="21"/>
              </w:rPr>
              <w:t>英文名：Nitrocellulose</w:t>
            </w:r>
          </w:p>
        </w:tc>
        <w:tc>
          <w:tcPr>
            <w:tcW w:w="1497" w:type="pct"/>
            <w:gridSpan w:val="5"/>
            <w:vAlign w:val="center"/>
          </w:tcPr>
          <w:p w14:paraId="516A946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分子式：见本表附表</w:t>
            </w:r>
          </w:p>
        </w:tc>
        <w:tc>
          <w:tcPr>
            <w:tcW w:w="1587" w:type="pct"/>
            <w:vAlign w:val="center"/>
          </w:tcPr>
          <w:p w14:paraId="7FE2329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分子量：</w:t>
            </w:r>
          </w:p>
        </w:tc>
      </w:tr>
      <w:tr w14:paraId="710A90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7" w:hRule="atLeast"/>
          <w:tblHeader/>
          <w:jc w:val="center"/>
        </w:trPr>
        <w:tc>
          <w:tcPr>
            <w:tcW w:w="361" w:type="pct"/>
            <w:vMerge w:val="continue"/>
            <w:vAlign w:val="center"/>
          </w:tcPr>
          <w:p w14:paraId="6F211AA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p>
        </w:tc>
        <w:tc>
          <w:tcPr>
            <w:tcW w:w="1552" w:type="pct"/>
            <w:gridSpan w:val="2"/>
            <w:vAlign w:val="center"/>
          </w:tcPr>
          <w:p w14:paraId="7E4B70E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危险化学品目录序号：2208</w:t>
            </w:r>
          </w:p>
        </w:tc>
        <w:tc>
          <w:tcPr>
            <w:tcW w:w="1497" w:type="pct"/>
            <w:gridSpan w:val="5"/>
            <w:vAlign w:val="center"/>
          </w:tcPr>
          <w:p w14:paraId="0F0AAD7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UN编号：0340</w:t>
            </w:r>
          </w:p>
        </w:tc>
        <w:tc>
          <w:tcPr>
            <w:tcW w:w="1587" w:type="pct"/>
            <w:vAlign w:val="center"/>
          </w:tcPr>
          <w:p w14:paraId="39E9E51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包装标志：爆炸品 1.1 D类</w:t>
            </w:r>
          </w:p>
        </w:tc>
      </w:tr>
      <w:tr w14:paraId="103E1A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tblHeader/>
          <w:jc w:val="center"/>
        </w:trPr>
        <w:tc>
          <w:tcPr>
            <w:tcW w:w="361" w:type="pct"/>
            <w:vMerge w:val="continue"/>
            <w:vAlign w:val="center"/>
          </w:tcPr>
          <w:p w14:paraId="2FE7F95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p>
        </w:tc>
        <w:tc>
          <w:tcPr>
            <w:tcW w:w="1552" w:type="pct"/>
            <w:gridSpan w:val="2"/>
            <w:vAlign w:val="center"/>
          </w:tcPr>
          <w:p w14:paraId="1DF2BFA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RTECS号：</w:t>
            </w:r>
          </w:p>
        </w:tc>
        <w:tc>
          <w:tcPr>
            <w:tcW w:w="1497" w:type="pct"/>
            <w:gridSpan w:val="5"/>
            <w:vAlign w:val="center"/>
          </w:tcPr>
          <w:p w14:paraId="31DE5C1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IMDG CODE：1125页</w:t>
            </w:r>
          </w:p>
        </w:tc>
        <w:tc>
          <w:tcPr>
            <w:tcW w:w="1587" w:type="pct"/>
            <w:vAlign w:val="center"/>
          </w:tcPr>
          <w:p w14:paraId="41974D0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CAS号：</w:t>
            </w:r>
          </w:p>
        </w:tc>
      </w:tr>
      <w:tr w14:paraId="44B62F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82" w:hRule="atLeast"/>
          <w:tblHeader/>
          <w:jc w:val="center"/>
        </w:trPr>
        <w:tc>
          <w:tcPr>
            <w:tcW w:w="361" w:type="pct"/>
            <w:vMerge w:val="restart"/>
            <w:textDirection w:val="tbRlV"/>
            <w:vAlign w:val="center"/>
          </w:tcPr>
          <w:p w14:paraId="77484B75">
            <w:pPr>
              <w:keepNext w:val="0"/>
              <w:keepLines w:val="0"/>
              <w:pageBreakBefore w:val="0"/>
              <w:widowControl w:val="0"/>
              <w:kinsoku/>
              <w:wordWrap/>
              <w:overflowPunct/>
              <w:topLinePunct w:val="0"/>
              <w:autoSpaceDE/>
              <w:autoSpaceDN/>
              <w:bidi w:val="0"/>
              <w:adjustRightInd/>
              <w:snapToGrid/>
              <w:spacing w:line="240" w:lineRule="exact"/>
              <w:ind w:left="210" w:leftChars="100" w:right="113" w:rightChars="54"/>
              <w:jc w:val="distribute"/>
              <w:textAlignment w:val="auto"/>
              <w:rPr>
                <w:rFonts w:ascii="宋体" w:hAnsi="宋体"/>
                <w:b w:val="0"/>
                <w:bCs/>
                <w:szCs w:val="21"/>
              </w:rPr>
            </w:pPr>
            <w:r>
              <w:rPr>
                <w:rFonts w:hint="eastAsia" w:ascii="宋体" w:hAnsi="宋体"/>
                <w:b w:val="0"/>
                <w:bCs/>
                <w:szCs w:val="21"/>
              </w:rPr>
              <w:t>理化性质（含氮量1</w:t>
            </w:r>
            <w:r>
              <w:rPr>
                <w:rFonts w:ascii="宋体" w:hAnsi="宋体"/>
                <w:b w:val="0"/>
                <w:bCs/>
                <w:szCs w:val="21"/>
              </w:rPr>
              <w:t>3.3%</w:t>
            </w:r>
            <w:r>
              <w:rPr>
                <w:rFonts w:hint="eastAsia" w:ascii="宋体" w:hAnsi="宋体"/>
                <w:b w:val="0"/>
                <w:bCs/>
                <w:szCs w:val="21"/>
              </w:rPr>
              <w:t>）</w:t>
            </w:r>
          </w:p>
        </w:tc>
        <w:tc>
          <w:tcPr>
            <w:tcW w:w="792" w:type="pct"/>
            <w:vAlign w:val="center"/>
          </w:tcPr>
          <w:p w14:paraId="40542C8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外观与性状</w:t>
            </w:r>
          </w:p>
        </w:tc>
        <w:tc>
          <w:tcPr>
            <w:tcW w:w="3846" w:type="pct"/>
            <w:gridSpan w:val="7"/>
            <w:vAlign w:val="center"/>
          </w:tcPr>
          <w:p w14:paraId="35E29C6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白色纤维，与棉纤维一样，但较棉纤维稍硬和脆。</w:t>
            </w:r>
          </w:p>
        </w:tc>
      </w:tr>
      <w:tr w14:paraId="42F0D2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7" w:hRule="atLeast"/>
          <w:tblHeader/>
          <w:jc w:val="center"/>
        </w:trPr>
        <w:tc>
          <w:tcPr>
            <w:tcW w:w="361" w:type="pct"/>
            <w:vMerge w:val="continue"/>
            <w:vAlign w:val="center"/>
          </w:tcPr>
          <w:p w14:paraId="52F5616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p>
        </w:tc>
        <w:tc>
          <w:tcPr>
            <w:tcW w:w="792" w:type="pct"/>
            <w:vAlign w:val="center"/>
          </w:tcPr>
          <w:p w14:paraId="1C87D89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熔点（℃）</w:t>
            </w:r>
          </w:p>
        </w:tc>
        <w:tc>
          <w:tcPr>
            <w:tcW w:w="980" w:type="pct"/>
            <w:gridSpan w:val="2"/>
            <w:vAlign w:val="center"/>
          </w:tcPr>
          <w:p w14:paraId="711C2EF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160～170</w:t>
            </w:r>
          </w:p>
        </w:tc>
        <w:tc>
          <w:tcPr>
            <w:tcW w:w="1005" w:type="pct"/>
            <w:gridSpan w:val="2"/>
            <w:vAlign w:val="center"/>
          </w:tcPr>
          <w:p w14:paraId="15CCB22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相对密度</w:t>
            </w:r>
          </w:p>
        </w:tc>
        <w:tc>
          <w:tcPr>
            <w:tcW w:w="1860" w:type="pct"/>
            <w:gridSpan w:val="3"/>
            <w:vAlign w:val="center"/>
          </w:tcPr>
          <w:p w14:paraId="12CF552C">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ascii="宋体" w:hAnsi="宋体"/>
                <w:b w:val="0"/>
                <w:bCs/>
                <w:szCs w:val="21"/>
              </w:rPr>
            </w:pPr>
            <w:r>
              <w:rPr>
                <w:rFonts w:hint="eastAsia" w:ascii="宋体" w:hAnsi="宋体"/>
                <w:b w:val="0"/>
                <w:bCs/>
                <w:spacing w:val="-6"/>
                <w:sz w:val="21"/>
                <w:szCs w:val="21"/>
              </w:rPr>
              <w:t>1.67(加压能达到的最大密度为1.3)</w:t>
            </w:r>
          </w:p>
        </w:tc>
      </w:tr>
      <w:tr w14:paraId="193623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7" w:hRule="atLeast"/>
          <w:tblHeader/>
          <w:jc w:val="center"/>
        </w:trPr>
        <w:tc>
          <w:tcPr>
            <w:tcW w:w="361" w:type="pct"/>
            <w:vMerge w:val="continue"/>
            <w:vAlign w:val="center"/>
          </w:tcPr>
          <w:p w14:paraId="6541547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p>
        </w:tc>
        <w:tc>
          <w:tcPr>
            <w:tcW w:w="792" w:type="pct"/>
            <w:vAlign w:val="center"/>
          </w:tcPr>
          <w:p w14:paraId="53020F1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生成能（Kj/Kg</w:t>
            </w:r>
            <w:r>
              <w:rPr>
                <w:rFonts w:ascii="宋体" w:hAnsi="宋体"/>
                <w:b w:val="0"/>
                <w:bCs/>
                <w:szCs w:val="21"/>
              </w:rPr>
              <w:t>）</w:t>
            </w:r>
          </w:p>
        </w:tc>
        <w:tc>
          <w:tcPr>
            <w:tcW w:w="980" w:type="pct"/>
            <w:gridSpan w:val="2"/>
            <w:vAlign w:val="center"/>
          </w:tcPr>
          <w:p w14:paraId="4ED5B2F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2394</w:t>
            </w:r>
          </w:p>
        </w:tc>
        <w:tc>
          <w:tcPr>
            <w:tcW w:w="1005" w:type="pct"/>
            <w:gridSpan w:val="2"/>
            <w:vAlign w:val="center"/>
          </w:tcPr>
          <w:p w14:paraId="08BCD26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生成焓（Kj/Kg</w:t>
            </w:r>
            <w:r>
              <w:rPr>
                <w:rFonts w:ascii="宋体" w:hAnsi="宋体"/>
                <w:b w:val="0"/>
                <w:bCs/>
                <w:szCs w:val="21"/>
              </w:rPr>
              <w:t>）</w:t>
            </w:r>
          </w:p>
        </w:tc>
        <w:tc>
          <w:tcPr>
            <w:tcW w:w="1860" w:type="pct"/>
            <w:gridSpan w:val="3"/>
            <w:vAlign w:val="center"/>
          </w:tcPr>
          <w:p w14:paraId="7FBE0D7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2483</w:t>
            </w:r>
          </w:p>
        </w:tc>
      </w:tr>
      <w:tr w14:paraId="0A43F8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82" w:hRule="atLeast"/>
          <w:tblHeader/>
          <w:jc w:val="center"/>
        </w:trPr>
        <w:tc>
          <w:tcPr>
            <w:tcW w:w="361" w:type="pct"/>
            <w:vMerge w:val="continue"/>
            <w:vAlign w:val="center"/>
          </w:tcPr>
          <w:p w14:paraId="2D2193E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p>
        </w:tc>
        <w:tc>
          <w:tcPr>
            <w:tcW w:w="792" w:type="pct"/>
            <w:vAlign w:val="center"/>
          </w:tcPr>
          <w:p w14:paraId="32F11BC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氧平衡（％）</w:t>
            </w:r>
          </w:p>
        </w:tc>
        <w:tc>
          <w:tcPr>
            <w:tcW w:w="980" w:type="pct"/>
            <w:gridSpan w:val="2"/>
            <w:vAlign w:val="center"/>
          </w:tcPr>
          <w:p w14:paraId="1C295CB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28.7</w:t>
            </w:r>
          </w:p>
        </w:tc>
        <w:tc>
          <w:tcPr>
            <w:tcW w:w="1005" w:type="pct"/>
            <w:gridSpan w:val="2"/>
            <w:vAlign w:val="center"/>
          </w:tcPr>
          <w:p w14:paraId="14EAF64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爆容（L/Kg）</w:t>
            </w:r>
          </w:p>
        </w:tc>
        <w:tc>
          <w:tcPr>
            <w:tcW w:w="1860" w:type="pct"/>
            <w:gridSpan w:val="3"/>
            <w:vAlign w:val="center"/>
          </w:tcPr>
          <w:p w14:paraId="3688174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841</w:t>
            </w:r>
          </w:p>
        </w:tc>
      </w:tr>
      <w:tr w14:paraId="3528EE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82" w:hRule="atLeast"/>
          <w:tblHeader/>
          <w:jc w:val="center"/>
        </w:trPr>
        <w:tc>
          <w:tcPr>
            <w:tcW w:w="361" w:type="pct"/>
            <w:vMerge w:val="continue"/>
            <w:vAlign w:val="center"/>
          </w:tcPr>
          <w:p w14:paraId="34C5D25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p>
        </w:tc>
        <w:tc>
          <w:tcPr>
            <w:tcW w:w="792" w:type="pct"/>
            <w:vAlign w:val="center"/>
          </w:tcPr>
          <w:p w14:paraId="733413D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爆热（Kj/Kg</w:t>
            </w:r>
            <w:r>
              <w:rPr>
                <w:rFonts w:ascii="宋体" w:hAnsi="宋体"/>
                <w:b w:val="0"/>
                <w:bCs/>
                <w:szCs w:val="21"/>
              </w:rPr>
              <w:t>）</w:t>
            </w:r>
          </w:p>
        </w:tc>
        <w:tc>
          <w:tcPr>
            <w:tcW w:w="980" w:type="pct"/>
            <w:gridSpan w:val="2"/>
            <w:vAlign w:val="center"/>
          </w:tcPr>
          <w:p w14:paraId="5F618D3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4229</w:t>
            </w:r>
          </w:p>
        </w:tc>
        <w:tc>
          <w:tcPr>
            <w:tcW w:w="1005" w:type="pct"/>
            <w:gridSpan w:val="2"/>
            <w:vAlign w:val="center"/>
          </w:tcPr>
          <w:p w14:paraId="74E1346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爆温（℃）</w:t>
            </w:r>
          </w:p>
        </w:tc>
        <w:tc>
          <w:tcPr>
            <w:tcW w:w="1860" w:type="pct"/>
            <w:gridSpan w:val="3"/>
            <w:vAlign w:val="center"/>
          </w:tcPr>
          <w:p w14:paraId="281DA32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3237</w:t>
            </w:r>
          </w:p>
        </w:tc>
      </w:tr>
      <w:tr w14:paraId="3A1AA6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82" w:hRule="atLeast"/>
          <w:tblHeader/>
          <w:jc w:val="center"/>
        </w:trPr>
        <w:tc>
          <w:tcPr>
            <w:tcW w:w="361" w:type="pct"/>
            <w:vMerge w:val="continue"/>
            <w:vAlign w:val="center"/>
          </w:tcPr>
          <w:p w14:paraId="370AC20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p>
        </w:tc>
        <w:tc>
          <w:tcPr>
            <w:tcW w:w="792" w:type="pct"/>
            <w:vAlign w:val="center"/>
          </w:tcPr>
          <w:p w14:paraId="40C9C9C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爆速（m/s）</w:t>
            </w:r>
          </w:p>
        </w:tc>
        <w:tc>
          <w:tcPr>
            <w:tcW w:w="980" w:type="pct"/>
            <w:gridSpan w:val="2"/>
            <w:vAlign w:val="center"/>
          </w:tcPr>
          <w:p w14:paraId="797FDD6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6305</w:t>
            </w:r>
          </w:p>
        </w:tc>
        <w:tc>
          <w:tcPr>
            <w:tcW w:w="1005" w:type="pct"/>
            <w:gridSpan w:val="2"/>
            <w:vAlign w:val="center"/>
          </w:tcPr>
          <w:p w14:paraId="2C4F9F0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铅铸试验</w:t>
            </w:r>
          </w:p>
        </w:tc>
        <w:tc>
          <w:tcPr>
            <w:tcW w:w="1860" w:type="pct"/>
            <w:gridSpan w:val="3"/>
            <w:vAlign w:val="center"/>
          </w:tcPr>
          <w:p w14:paraId="4D73BA1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420㎝</w:t>
            </w:r>
            <w:r>
              <w:rPr>
                <w:rFonts w:hint="eastAsia" w:ascii="宋体" w:hAnsi="宋体"/>
                <w:b w:val="0"/>
                <w:bCs/>
                <w:szCs w:val="21"/>
                <w:vertAlign w:val="superscript"/>
              </w:rPr>
              <w:t>3</w:t>
            </w:r>
            <w:r>
              <w:rPr>
                <w:rFonts w:hint="eastAsia" w:ascii="宋体" w:hAnsi="宋体"/>
                <w:b w:val="0"/>
                <w:bCs/>
                <w:szCs w:val="21"/>
              </w:rPr>
              <w:t>/10g</w:t>
            </w:r>
          </w:p>
        </w:tc>
      </w:tr>
      <w:tr w14:paraId="4C2FB5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7" w:hRule="atLeast"/>
          <w:tblHeader/>
          <w:jc w:val="center"/>
        </w:trPr>
        <w:tc>
          <w:tcPr>
            <w:tcW w:w="361" w:type="pct"/>
            <w:vMerge w:val="continue"/>
            <w:vAlign w:val="center"/>
          </w:tcPr>
          <w:p w14:paraId="0684351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p>
        </w:tc>
        <w:tc>
          <w:tcPr>
            <w:tcW w:w="792" w:type="pct"/>
            <w:vAlign w:val="center"/>
          </w:tcPr>
          <w:p w14:paraId="531BC72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溶解性</w:t>
            </w:r>
          </w:p>
        </w:tc>
        <w:tc>
          <w:tcPr>
            <w:tcW w:w="3846" w:type="pct"/>
            <w:gridSpan w:val="7"/>
            <w:vAlign w:val="center"/>
          </w:tcPr>
          <w:p w14:paraId="005CD40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bCs/>
                <w:szCs w:val="21"/>
              </w:rPr>
            </w:pPr>
            <w:r>
              <w:rPr>
                <w:rFonts w:hint="eastAsia" w:ascii="宋体" w:hAnsi="宋体"/>
                <w:b w:val="0"/>
                <w:bCs/>
                <w:spacing w:val="-6"/>
                <w:sz w:val="21"/>
                <w:szCs w:val="21"/>
              </w:rPr>
              <w:t>不溶于水，吸湿性随含氮量的增加而降低。溶于丙酮、硝化甘油、二硝基甲苯等。</w:t>
            </w:r>
          </w:p>
        </w:tc>
      </w:tr>
      <w:tr w14:paraId="6464B6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7" w:hRule="atLeast"/>
          <w:tblHeader/>
          <w:jc w:val="center"/>
        </w:trPr>
        <w:tc>
          <w:tcPr>
            <w:tcW w:w="361" w:type="pct"/>
            <w:vMerge w:val="continue"/>
            <w:vAlign w:val="center"/>
          </w:tcPr>
          <w:p w14:paraId="728D38C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p>
        </w:tc>
        <w:tc>
          <w:tcPr>
            <w:tcW w:w="792" w:type="pct"/>
            <w:vAlign w:val="center"/>
          </w:tcPr>
          <w:p w14:paraId="10BAF48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撞击感度（kgf·m</w:t>
            </w:r>
            <w:r>
              <w:rPr>
                <w:rFonts w:ascii="宋体" w:hAnsi="宋体"/>
                <w:b w:val="0"/>
                <w:bCs/>
                <w:szCs w:val="21"/>
              </w:rPr>
              <w:t>）</w:t>
            </w:r>
          </w:p>
        </w:tc>
        <w:tc>
          <w:tcPr>
            <w:tcW w:w="980" w:type="pct"/>
            <w:gridSpan w:val="2"/>
            <w:vAlign w:val="center"/>
          </w:tcPr>
          <w:p w14:paraId="06D7B11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0.3</w:t>
            </w:r>
          </w:p>
        </w:tc>
        <w:tc>
          <w:tcPr>
            <w:tcW w:w="1005" w:type="pct"/>
            <w:gridSpan w:val="2"/>
            <w:vAlign w:val="center"/>
          </w:tcPr>
          <w:p w14:paraId="09D590E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摩擦感度</w:t>
            </w:r>
          </w:p>
        </w:tc>
        <w:tc>
          <w:tcPr>
            <w:tcW w:w="1860" w:type="pct"/>
            <w:gridSpan w:val="3"/>
            <w:vAlign w:val="center"/>
          </w:tcPr>
          <w:p w14:paraId="2E78F37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压柱负荷达36kg·f无反应</w:t>
            </w:r>
          </w:p>
        </w:tc>
      </w:tr>
      <w:tr w14:paraId="2FD2A8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82" w:hRule="atLeast"/>
          <w:tblHeader/>
          <w:jc w:val="center"/>
        </w:trPr>
        <w:tc>
          <w:tcPr>
            <w:tcW w:w="361" w:type="pct"/>
            <w:vMerge w:val="restart"/>
            <w:textDirection w:val="tbRlV"/>
            <w:vAlign w:val="center"/>
          </w:tcPr>
          <w:p w14:paraId="78513C2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毒性及健康危害</w:t>
            </w:r>
          </w:p>
        </w:tc>
        <w:tc>
          <w:tcPr>
            <w:tcW w:w="792" w:type="pct"/>
            <w:vMerge w:val="restart"/>
            <w:vAlign w:val="center"/>
          </w:tcPr>
          <w:p w14:paraId="18F99FB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接触限值</w:t>
            </w:r>
          </w:p>
        </w:tc>
        <w:tc>
          <w:tcPr>
            <w:tcW w:w="2074" w:type="pct"/>
            <w:gridSpan w:val="5"/>
            <w:vAlign w:val="center"/>
          </w:tcPr>
          <w:p w14:paraId="018D0F6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 xml:space="preserve">中国MAC：(mg/m3)： </w:t>
            </w:r>
          </w:p>
        </w:tc>
        <w:tc>
          <w:tcPr>
            <w:tcW w:w="1772" w:type="pct"/>
            <w:gridSpan w:val="2"/>
            <w:vAlign w:val="center"/>
          </w:tcPr>
          <w:p w14:paraId="7564513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 xml:space="preserve">美国TLV-TWA： </w:t>
            </w:r>
          </w:p>
        </w:tc>
      </w:tr>
      <w:tr w14:paraId="594AE4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82" w:hRule="atLeast"/>
          <w:tblHeader/>
          <w:jc w:val="center"/>
        </w:trPr>
        <w:tc>
          <w:tcPr>
            <w:tcW w:w="361" w:type="pct"/>
            <w:vMerge w:val="continue"/>
            <w:vAlign w:val="center"/>
          </w:tcPr>
          <w:p w14:paraId="505DB29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p>
        </w:tc>
        <w:tc>
          <w:tcPr>
            <w:tcW w:w="792" w:type="pct"/>
            <w:vMerge w:val="continue"/>
            <w:vAlign w:val="center"/>
          </w:tcPr>
          <w:p w14:paraId="7D4D0B8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p>
        </w:tc>
        <w:tc>
          <w:tcPr>
            <w:tcW w:w="2074" w:type="pct"/>
            <w:gridSpan w:val="5"/>
            <w:vAlign w:val="center"/>
          </w:tcPr>
          <w:p w14:paraId="1D0C780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前苏联MAC：</w:t>
            </w:r>
          </w:p>
        </w:tc>
        <w:tc>
          <w:tcPr>
            <w:tcW w:w="1772" w:type="pct"/>
            <w:gridSpan w:val="2"/>
            <w:vAlign w:val="center"/>
          </w:tcPr>
          <w:p w14:paraId="4830517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美国TLV-STEL：</w:t>
            </w:r>
          </w:p>
        </w:tc>
      </w:tr>
      <w:tr w14:paraId="58682F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82" w:hRule="atLeast"/>
          <w:tblHeader/>
          <w:jc w:val="center"/>
        </w:trPr>
        <w:tc>
          <w:tcPr>
            <w:tcW w:w="361" w:type="pct"/>
            <w:vMerge w:val="continue"/>
            <w:vAlign w:val="center"/>
          </w:tcPr>
          <w:p w14:paraId="71707E8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p>
        </w:tc>
        <w:tc>
          <w:tcPr>
            <w:tcW w:w="792" w:type="pct"/>
            <w:vAlign w:val="center"/>
          </w:tcPr>
          <w:p w14:paraId="1F6C712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健康危害</w:t>
            </w:r>
          </w:p>
        </w:tc>
        <w:tc>
          <w:tcPr>
            <w:tcW w:w="2074" w:type="pct"/>
            <w:gridSpan w:val="5"/>
            <w:vAlign w:val="center"/>
          </w:tcPr>
          <w:p w14:paraId="217FD44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无资料</w:t>
            </w:r>
          </w:p>
        </w:tc>
        <w:tc>
          <w:tcPr>
            <w:tcW w:w="1772" w:type="pct"/>
            <w:gridSpan w:val="2"/>
            <w:vAlign w:val="center"/>
          </w:tcPr>
          <w:p w14:paraId="295CD4A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毒性：无资料</w:t>
            </w:r>
          </w:p>
        </w:tc>
      </w:tr>
      <w:tr w14:paraId="1C57BE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82" w:hRule="atLeast"/>
          <w:tblHeader/>
          <w:jc w:val="center"/>
        </w:trPr>
        <w:tc>
          <w:tcPr>
            <w:tcW w:w="361" w:type="pct"/>
            <w:vMerge w:val="restart"/>
            <w:vAlign w:val="center"/>
          </w:tcPr>
          <w:p w14:paraId="6E1D4C3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燃烧爆炸危险性</w:t>
            </w:r>
          </w:p>
        </w:tc>
        <w:tc>
          <w:tcPr>
            <w:tcW w:w="792" w:type="pct"/>
            <w:vAlign w:val="center"/>
          </w:tcPr>
          <w:p w14:paraId="6B27183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燃烧性</w:t>
            </w:r>
          </w:p>
        </w:tc>
        <w:tc>
          <w:tcPr>
            <w:tcW w:w="1410" w:type="pct"/>
            <w:gridSpan w:val="3"/>
            <w:vAlign w:val="center"/>
          </w:tcPr>
          <w:p w14:paraId="44FEE41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易燃</w:t>
            </w:r>
          </w:p>
        </w:tc>
        <w:tc>
          <w:tcPr>
            <w:tcW w:w="663" w:type="pct"/>
            <w:gridSpan w:val="2"/>
            <w:vAlign w:val="center"/>
          </w:tcPr>
          <w:p w14:paraId="5FCF617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闪点/℃</w:t>
            </w:r>
          </w:p>
        </w:tc>
        <w:tc>
          <w:tcPr>
            <w:tcW w:w="1772" w:type="pct"/>
            <w:gridSpan w:val="2"/>
            <w:vAlign w:val="center"/>
          </w:tcPr>
          <w:p w14:paraId="62C6C1D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12.78</w:t>
            </w:r>
          </w:p>
        </w:tc>
      </w:tr>
      <w:tr w14:paraId="77DDDA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7" w:hRule="atLeast"/>
          <w:tblHeader/>
          <w:jc w:val="center"/>
        </w:trPr>
        <w:tc>
          <w:tcPr>
            <w:tcW w:w="361" w:type="pct"/>
            <w:vMerge w:val="continue"/>
            <w:vAlign w:val="center"/>
          </w:tcPr>
          <w:p w14:paraId="2EA2C1C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p>
        </w:tc>
        <w:tc>
          <w:tcPr>
            <w:tcW w:w="792" w:type="pct"/>
            <w:vAlign w:val="center"/>
          </w:tcPr>
          <w:p w14:paraId="27CA4F4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引燃温度/℃</w:t>
            </w:r>
          </w:p>
        </w:tc>
        <w:tc>
          <w:tcPr>
            <w:tcW w:w="1410" w:type="pct"/>
            <w:gridSpan w:val="3"/>
            <w:vAlign w:val="center"/>
          </w:tcPr>
          <w:p w14:paraId="7A1703F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170（自燃点）</w:t>
            </w:r>
          </w:p>
        </w:tc>
        <w:tc>
          <w:tcPr>
            <w:tcW w:w="663" w:type="pct"/>
            <w:gridSpan w:val="2"/>
            <w:vAlign w:val="center"/>
          </w:tcPr>
          <w:p w14:paraId="79D85C5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爆发点℃</w:t>
            </w:r>
          </w:p>
        </w:tc>
        <w:tc>
          <w:tcPr>
            <w:tcW w:w="1772" w:type="pct"/>
            <w:gridSpan w:val="2"/>
            <w:vAlign w:val="center"/>
          </w:tcPr>
          <w:p w14:paraId="5DC8A25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183～200（含氮量越高爆发点越低）</w:t>
            </w:r>
          </w:p>
        </w:tc>
      </w:tr>
      <w:tr w14:paraId="22ADE7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82" w:hRule="atLeast"/>
          <w:tblHeader/>
          <w:jc w:val="center"/>
        </w:trPr>
        <w:tc>
          <w:tcPr>
            <w:tcW w:w="361" w:type="pct"/>
            <w:vMerge w:val="continue"/>
            <w:vAlign w:val="center"/>
          </w:tcPr>
          <w:p w14:paraId="4E1FAB7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p>
        </w:tc>
        <w:tc>
          <w:tcPr>
            <w:tcW w:w="792" w:type="pct"/>
            <w:vAlign w:val="center"/>
          </w:tcPr>
          <w:p w14:paraId="09BC6CC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稳定性</w:t>
            </w:r>
          </w:p>
        </w:tc>
        <w:tc>
          <w:tcPr>
            <w:tcW w:w="1410" w:type="pct"/>
            <w:gridSpan w:val="3"/>
            <w:vAlign w:val="center"/>
          </w:tcPr>
          <w:p w14:paraId="2BFAE74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含水25％时较为安全</w:t>
            </w:r>
          </w:p>
        </w:tc>
        <w:tc>
          <w:tcPr>
            <w:tcW w:w="663" w:type="pct"/>
            <w:gridSpan w:val="2"/>
            <w:vAlign w:val="center"/>
          </w:tcPr>
          <w:p w14:paraId="2BA3011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聚合危害</w:t>
            </w:r>
          </w:p>
        </w:tc>
        <w:tc>
          <w:tcPr>
            <w:tcW w:w="1772" w:type="pct"/>
            <w:gridSpan w:val="2"/>
            <w:vAlign w:val="center"/>
          </w:tcPr>
          <w:p w14:paraId="2E1885D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无资料</w:t>
            </w:r>
          </w:p>
        </w:tc>
      </w:tr>
      <w:tr w14:paraId="0FE4A6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609" w:hRule="atLeast"/>
          <w:tblHeader/>
          <w:jc w:val="center"/>
        </w:trPr>
        <w:tc>
          <w:tcPr>
            <w:tcW w:w="361" w:type="pct"/>
            <w:vMerge w:val="continue"/>
            <w:vAlign w:val="center"/>
          </w:tcPr>
          <w:p w14:paraId="098590F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p>
        </w:tc>
        <w:tc>
          <w:tcPr>
            <w:tcW w:w="792" w:type="pct"/>
            <w:vAlign w:val="center"/>
          </w:tcPr>
          <w:p w14:paraId="4F58004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危险特性</w:t>
            </w:r>
          </w:p>
        </w:tc>
        <w:tc>
          <w:tcPr>
            <w:tcW w:w="3846" w:type="pct"/>
            <w:gridSpan w:val="7"/>
            <w:vAlign w:val="center"/>
          </w:tcPr>
          <w:p w14:paraId="34EB9D85">
            <w:pPr>
              <w:keepNext w:val="0"/>
              <w:keepLines w:val="0"/>
              <w:pageBreakBefore w:val="0"/>
              <w:widowControl w:val="0"/>
              <w:kinsoku/>
              <w:wordWrap/>
              <w:overflowPunct/>
              <w:topLinePunct w:val="0"/>
              <w:autoSpaceDE/>
              <w:autoSpaceDN/>
              <w:bidi w:val="0"/>
              <w:adjustRightInd/>
              <w:snapToGrid/>
              <w:spacing w:line="240" w:lineRule="exact"/>
              <w:ind w:firstLine="420" w:firstLineChars="200"/>
              <w:textAlignment w:val="auto"/>
              <w:rPr>
                <w:rFonts w:ascii="宋体" w:hAnsi="宋体"/>
                <w:b w:val="0"/>
                <w:bCs/>
                <w:szCs w:val="21"/>
              </w:rPr>
            </w:pPr>
            <w:r>
              <w:rPr>
                <w:rFonts w:hint="eastAsia" w:ascii="宋体" w:hAnsi="宋体"/>
                <w:b w:val="0"/>
                <w:bCs/>
                <w:szCs w:val="21"/>
              </w:rPr>
              <w:t>爆炸品。能着火和燃烧，威力取决于含氮量的多少。干燥的硝化棉易被点燃，松散的硝化棉在空气中燃烧不留残渣，增大密度时燃速下降。大量硝化棉在堆积或密闭容器中燃烧能转为爆轰。干燥的硝化棉能在较低温度下自行缓慢分解，放出大量有毒易燃气体并伴随放热，温度迅速上升而自燃。干燥的硝化棉易因摩擦而产生静电。对酸碱敏感。同时很容易被还原剂脱硝。它的热安定性比常用的猛炸药和起爆药低。由于成品中含有少量残酸，会加速其分解，甚至能自动着火或爆炸。</w:t>
            </w:r>
          </w:p>
        </w:tc>
      </w:tr>
      <w:tr w14:paraId="5483B7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9" w:hRule="atLeast"/>
          <w:tblHeader/>
          <w:jc w:val="center"/>
        </w:trPr>
        <w:tc>
          <w:tcPr>
            <w:tcW w:w="361" w:type="pct"/>
            <w:vMerge w:val="continue"/>
            <w:vAlign w:val="center"/>
          </w:tcPr>
          <w:p w14:paraId="03C2F89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p>
        </w:tc>
        <w:tc>
          <w:tcPr>
            <w:tcW w:w="792" w:type="pct"/>
            <w:vAlign w:val="center"/>
          </w:tcPr>
          <w:p w14:paraId="46A5698A">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ascii="宋体" w:hAnsi="宋体"/>
                <w:b w:val="0"/>
                <w:bCs/>
                <w:spacing w:val="-6"/>
                <w:sz w:val="21"/>
                <w:szCs w:val="21"/>
              </w:rPr>
            </w:pPr>
            <w:r>
              <w:rPr>
                <w:rFonts w:hint="eastAsia" w:ascii="宋体" w:hAnsi="宋体"/>
                <w:b w:val="0"/>
                <w:bCs/>
                <w:spacing w:val="-6"/>
                <w:sz w:val="21"/>
                <w:szCs w:val="21"/>
              </w:rPr>
              <w:t>燃烧分解产物</w:t>
            </w:r>
          </w:p>
        </w:tc>
        <w:tc>
          <w:tcPr>
            <w:tcW w:w="3846" w:type="pct"/>
            <w:gridSpan w:val="7"/>
            <w:vAlign w:val="center"/>
          </w:tcPr>
          <w:p w14:paraId="74023E2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有毒易燃气体</w:t>
            </w:r>
          </w:p>
        </w:tc>
      </w:tr>
      <w:tr w14:paraId="3C81F2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29" w:hRule="atLeast"/>
          <w:tblHeader/>
          <w:jc w:val="center"/>
        </w:trPr>
        <w:tc>
          <w:tcPr>
            <w:tcW w:w="361" w:type="pct"/>
            <w:vMerge w:val="continue"/>
            <w:vAlign w:val="center"/>
          </w:tcPr>
          <w:p w14:paraId="2DDF47E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p>
        </w:tc>
        <w:tc>
          <w:tcPr>
            <w:tcW w:w="792" w:type="pct"/>
            <w:vAlign w:val="center"/>
          </w:tcPr>
          <w:p w14:paraId="0C669583">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ascii="宋体" w:hAnsi="宋体"/>
                <w:b w:val="0"/>
                <w:bCs/>
                <w:spacing w:val="-6"/>
                <w:sz w:val="21"/>
                <w:szCs w:val="21"/>
              </w:rPr>
            </w:pPr>
            <w:r>
              <w:rPr>
                <w:rFonts w:hint="eastAsia" w:ascii="宋体" w:hAnsi="宋体"/>
                <w:b w:val="0"/>
                <w:bCs/>
                <w:spacing w:val="-6"/>
                <w:sz w:val="21"/>
                <w:szCs w:val="21"/>
              </w:rPr>
              <w:t>泄漏应急处理</w:t>
            </w:r>
          </w:p>
        </w:tc>
        <w:tc>
          <w:tcPr>
            <w:tcW w:w="3846" w:type="pct"/>
            <w:gridSpan w:val="7"/>
            <w:vAlign w:val="center"/>
          </w:tcPr>
          <w:p w14:paraId="1F82E60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bCs/>
                <w:szCs w:val="21"/>
              </w:rPr>
            </w:pPr>
            <w:r>
              <w:rPr>
                <w:rFonts w:hint="eastAsia" w:ascii="宋体" w:hAnsi="宋体"/>
                <w:b w:val="0"/>
                <w:bCs/>
                <w:spacing w:val="-6"/>
                <w:sz w:val="21"/>
                <w:szCs w:val="21"/>
              </w:rPr>
              <w:t>首先切断一切火源，戴好防毒面具与手套，将泄漏物用水湿润，在空旷地方倒入铁桶，加等体积的10％氢氧化钠溶液，放置1小时，稀释后放入废水系统</w:t>
            </w:r>
            <w:r>
              <w:rPr>
                <w:rFonts w:hint="eastAsia" w:ascii="宋体" w:hAnsi="宋体"/>
                <w:b w:val="0"/>
                <w:bCs/>
                <w:szCs w:val="21"/>
              </w:rPr>
              <w:t>。</w:t>
            </w:r>
          </w:p>
        </w:tc>
      </w:tr>
      <w:tr w14:paraId="1E6AED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82" w:hRule="atLeast"/>
          <w:tblHeader/>
          <w:jc w:val="center"/>
        </w:trPr>
        <w:tc>
          <w:tcPr>
            <w:tcW w:w="361" w:type="pct"/>
            <w:vMerge w:val="continue"/>
            <w:vAlign w:val="center"/>
          </w:tcPr>
          <w:p w14:paraId="0C6612B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p>
        </w:tc>
        <w:tc>
          <w:tcPr>
            <w:tcW w:w="792" w:type="pct"/>
            <w:vAlign w:val="center"/>
          </w:tcPr>
          <w:p w14:paraId="6AF8885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禁忌物</w:t>
            </w:r>
          </w:p>
        </w:tc>
        <w:tc>
          <w:tcPr>
            <w:tcW w:w="3846" w:type="pct"/>
            <w:gridSpan w:val="7"/>
            <w:vAlign w:val="center"/>
          </w:tcPr>
          <w:p w14:paraId="3DD7D69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还原剂、酸、碱与有机胺等</w:t>
            </w:r>
          </w:p>
        </w:tc>
      </w:tr>
      <w:tr w14:paraId="5D5A00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7" w:hRule="atLeast"/>
          <w:tblHeader/>
          <w:jc w:val="center"/>
        </w:trPr>
        <w:tc>
          <w:tcPr>
            <w:tcW w:w="361" w:type="pct"/>
            <w:vMerge w:val="continue"/>
            <w:vAlign w:val="center"/>
          </w:tcPr>
          <w:p w14:paraId="6D69985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p>
        </w:tc>
        <w:tc>
          <w:tcPr>
            <w:tcW w:w="792" w:type="pct"/>
            <w:vAlign w:val="center"/>
          </w:tcPr>
          <w:p w14:paraId="3228973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消防方法</w:t>
            </w:r>
          </w:p>
        </w:tc>
        <w:tc>
          <w:tcPr>
            <w:tcW w:w="3846" w:type="pct"/>
            <w:gridSpan w:val="7"/>
            <w:vAlign w:val="center"/>
          </w:tcPr>
          <w:p w14:paraId="1E257D2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bCs/>
                <w:szCs w:val="21"/>
              </w:rPr>
            </w:pPr>
            <w:r>
              <w:rPr>
                <w:rFonts w:hint="eastAsia" w:ascii="宋体" w:hAnsi="宋体"/>
                <w:b w:val="0"/>
                <w:bCs/>
                <w:szCs w:val="21"/>
              </w:rPr>
              <w:t>消防人员需戴好氧气防毒面具在一定距离的上风方向操作，用大量水灭火。禁止用砂土压盖。</w:t>
            </w:r>
          </w:p>
        </w:tc>
      </w:tr>
      <w:tr w14:paraId="2B778E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822" w:hRule="atLeast"/>
          <w:tblHeader/>
          <w:jc w:val="center"/>
        </w:trPr>
        <w:tc>
          <w:tcPr>
            <w:tcW w:w="361" w:type="pct"/>
            <w:vMerge w:val="restart"/>
            <w:vAlign w:val="center"/>
          </w:tcPr>
          <w:p w14:paraId="02C7578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其 它</w:t>
            </w:r>
          </w:p>
        </w:tc>
        <w:tc>
          <w:tcPr>
            <w:tcW w:w="792" w:type="pct"/>
            <w:vAlign w:val="center"/>
          </w:tcPr>
          <w:p w14:paraId="78587C8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储运条件</w:t>
            </w:r>
          </w:p>
        </w:tc>
        <w:tc>
          <w:tcPr>
            <w:tcW w:w="3846" w:type="pct"/>
            <w:gridSpan w:val="7"/>
            <w:vAlign w:val="center"/>
          </w:tcPr>
          <w:p w14:paraId="5F796354">
            <w:pPr>
              <w:keepNext w:val="0"/>
              <w:keepLines w:val="0"/>
              <w:pageBreakBefore w:val="0"/>
              <w:widowControl w:val="0"/>
              <w:kinsoku/>
              <w:wordWrap/>
              <w:overflowPunct/>
              <w:topLinePunct w:val="0"/>
              <w:autoSpaceDE/>
              <w:autoSpaceDN/>
              <w:bidi w:val="0"/>
              <w:adjustRightInd/>
              <w:snapToGrid/>
              <w:spacing w:line="240" w:lineRule="exact"/>
              <w:ind w:firstLine="420" w:firstLineChars="200"/>
              <w:textAlignment w:val="auto"/>
              <w:rPr>
                <w:rFonts w:ascii="宋体" w:hAnsi="宋体"/>
                <w:b w:val="0"/>
                <w:bCs/>
                <w:szCs w:val="21"/>
              </w:rPr>
            </w:pPr>
            <w:r>
              <w:rPr>
                <w:rFonts w:hint="eastAsia" w:ascii="宋体" w:hAnsi="宋体"/>
                <w:b w:val="0"/>
                <w:bCs/>
                <w:szCs w:val="21"/>
              </w:rPr>
              <w:t>一般商品用25％以上的水、乙醇或增塑剂（18％以上）湿润。储存在铁桶内（内衬二层塑料袋封口）。搬运时轻装轻卸，防止容器碰损后液体挥发，不得摩擦铁桶发热或受热，须使物品永久保持湿润。储存于阴凉通风的爆炸品专用库房内，库温不得超过30℃。须防热、防晒，避免与电灯、蒸汽管或其它热源接触，并严禁各种明火，远离容易产生火源的地方。与有机胺、酸、碱、还原剂以及其它抵触物品隔离储存。必须掌握先进先出，经常检查湿润剂干燥情况，必要时增加湿润剂。要定时将包装倒放，以便湿润剂分布均匀。储存期不宜过长，以防硝化棉变质产生事故</w:t>
            </w:r>
          </w:p>
        </w:tc>
      </w:tr>
      <w:tr w14:paraId="192381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6" w:hRule="atLeast"/>
          <w:tblHeader/>
          <w:jc w:val="center"/>
        </w:trPr>
        <w:tc>
          <w:tcPr>
            <w:tcW w:w="361" w:type="pct"/>
            <w:vMerge w:val="continue"/>
            <w:vAlign w:val="center"/>
          </w:tcPr>
          <w:p w14:paraId="2C8C10C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p>
        </w:tc>
        <w:tc>
          <w:tcPr>
            <w:tcW w:w="792" w:type="pct"/>
            <w:vAlign w:val="center"/>
          </w:tcPr>
          <w:p w14:paraId="68F64A4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急救措施</w:t>
            </w:r>
          </w:p>
        </w:tc>
        <w:tc>
          <w:tcPr>
            <w:tcW w:w="3846" w:type="pct"/>
            <w:gridSpan w:val="7"/>
            <w:vAlign w:val="center"/>
          </w:tcPr>
          <w:p w14:paraId="5A2B03A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bCs/>
                <w:szCs w:val="21"/>
              </w:rPr>
            </w:pPr>
            <w:r>
              <w:rPr>
                <w:rFonts w:hint="eastAsia" w:ascii="宋体" w:hAnsi="宋体"/>
                <w:b w:val="0"/>
                <w:bCs/>
                <w:spacing w:val="-6"/>
                <w:sz w:val="21"/>
                <w:szCs w:val="21"/>
              </w:rPr>
              <w:t>要立即把灼伤者从火中救出，保护好创面，危重烧伤人员、呼吸道阻塞者要及时采取措施，保护呼吸道畅通。要警惕和防止出现烧伤休克，迅速送医院救治。</w:t>
            </w:r>
          </w:p>
        </w:tc>
      </w:tr>
      <w:tr w14:paraId="0453FA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1" w:hRule="atLeast"/>
          <w:tblHeader/>
          <w:jc w:val="center"/>
        </w:trPr>
        <w:tc>
          <w:tcPr>
            <w:tcW w:w="361" w:type="pct"/>
            <w:vMerge w:val="continue"/>
            <w:vAlign w:val="center"/>
          </w:tcPr>
          <w:p w14:paraId="04AF83F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p>
        </w:tc>
        <w:tc>
          <w:tcPr>
            <w:tcW w:w="792" w:type="pct"/>
            <w:vAlign w:val="center"/>
          </w:tcPr>
          <w:p w14:paraId="1E267B3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bCs/>
                <w:szCs w:val="21"/>
              </w:rPr>
            </w:pPr>
            <w:r>
              <w:rPr>
                <w:rFonts w:hint="eastAsia" w:ascii="宋体" w:hAnsi="宋体"/>
                <w:b w:val="0"/>
                <w:bCs/>
                <w:szCs w:val="21"/>
              </w:rPr>
              <w:t>包装主法</w:t>
            </w:r>
          </w:p>
        </w:tc>
        <w:tc>
          <w:tcPr>
            <w:tcW w:w="3846" w:type="pct"/>
            <w:gridSpan w:val="7"/>
            <w:vAlign w:val="center"/>
          </w:tcPr>
          <w:p w14:paraId="3200251E">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bCs/>
                <w:szCs w:val="21"/>
              </w:rPr>
            </w:pPr>
            <w:r>
              <w:rPr>
                <w:rFonts w:hint="eastAsia" w:ascii="宋体" w:hAnsi="宋体"/>
                <w:b w:val="0"/>
                <w:bCs/>
                <w:szCs w:val="21"/>
              </w:rPr>
              <w:t>按主管当局的规定</w:t>
            </w:r>
          </w:p>
        </w:tc>
      </w:tr>
    </w:tbl>
    <w:p w14:paraId="73A1D487">
      <w:pPr>
        <w:pStyle w:val="35"/>
        <w:keepNext w:val="0"/>
        <w:keepLines w:val="0"/>
        <w:pageBreakBefore w:val="0"/>
        <w:kinsoku/>
        <w:wordWrap/>
        <w:overflowPunct/>
        <w:topLinePunct w:val="0"/>
        <w:autoSpaceDE/>
        <w:autoSpaceDN/>
        <w:bidi w:val="0"/>
        <w:adjustRightInd/>
        <w:snapToGrid/>
        <w:ind w:firstLine="562" w:firstLineChars="200"/>
        <w:textAlignment w:val="auto"/>
        <w:rPr>
          <w:rFonts w:ascii="宋体" w:hAnsi="宋体" w:eastAsia="宋体"/>
          <w:snapToGrid w:val="0"/>
          <w:szCs w:val="28"/>
        </w:rPr>
      </w:pPr>
      <w:r>
        <w:rPr>
          <w:rFonts w:ascii="宋体" w:hAnsi="宋体" w:eastAsia="宋体"/>
          <w:snapToGrid w:val="0"/>
          <w:szCs w:val="28"/>
        </w:rPr>
        <w:t>5</w:t>
      </w:r>
      <w:r>
        <w:rPr>
          <w:rFonts w:hint="eastAsia" w:ascii="宋体" w:hAnsi="宋体" w:eastAsia="宋体"/>
          <w:snapToGrid w:val="0"/>
          <w:szCs w:val="28"/>
        </w:rPr>
        <w:t>）碳酸锶</w:t>
      </w:r>
    </w:p>
    <w:p w14:paraId="1F555EA1">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b w:val="0"/>
          <w:snapToGrid w:val="0"/>
          <w:sz w:val="28"/>
          <w:szCs w:val="28"/>
        </w:rPr>
      </w:pPr>
      <w:r>
        <w:rPr>
          <w:rFonts w:hint="eastAsia" w:ascii="宋体" w:hAnsi="宋体"/>
          <w:b w:val="0"/>
          <w:snapToGrid w:val="0"/>
          <w:sz w:val="28"/>
          <w:szCs w:val="28"/>
        </w:rPr>
        <w:t>碳酸锶是白色无味无臭粉末，比重</w:t>
      </w:r>
      <w:r>
        <w:rPr>
          <w:rFonts w:ascii="宋体" w:hAnsi="宋体"/>
          <w:b w:val="0"/>
          <w:snapToGrid w:val="0"/>
          <w:sz w:val="28"/>
          <w:szCs w:val="28"/>
        </w:rPr>
        <w:t>3.7g/cm3</w:t>
      </w:r>
      <w:r>
        <w:rPr>
          <w:rFonts w:hint="eastAsia" w:ascii="宋体" w:hAnsi="宋体"/>
          <w:b w:val="0"/>
          <w:snapToGrid w:val="0"/>
          <w:sz w:val="28"/>
          <w:szCs w:val="28"/>
        </w:rPr>
        <w:t>，溶于稀酸，不溶于乙醇，几乎不溶于水，不易吸潮，化学性稳定，熔点1497℃，1350℃时分解为氧化锶及二氧化碳。</w:t>
      </w:r>
    </w:p>
    <w:p w14:paraId="7FC4F1F6">
      <w:pPr>
        <w:keepNext w:val="0"/>
        <w:keepLines w:val="0"/>
        <w:pageBreakBefore w:val="0"/>
        <w:widowControl/>
        <w:kinsoku/>
        <w:wordWrap/>
        <w:overflowPunct/>
        <w:topLinePunct w:val="0"/>
        <w:autoSpaceDE/>
        <w:autoSpaceDN/>
        <w:bidi w:val="0"/>
        <w:adjustRightInd/>
        <w:snapToGrid/>
        <w:spacing w:line="360" w:lineRule="auto"/>
        <w:ind w:firstLine="570"/>
        <w:textAlignment w:val="auto"/>
        <w:rPr>
          <w:rFonts w:ascii="宋体" w:hAnsi="宋体"/>
          <w:b w:val="0"/>
          <w:snapToGrid w:val="0"/>
          <w:sz w:val="28"/>
          <w:szCs w:val="28"/>
        </w:rPr>
      </w:pPr>
      <w:r>
        <w:rPr>
          <w:rFonts w:ascii="宋体" w:hAnsi="宋体"/>
          <w:b w:val="0"/>
          <w:snapToGrid w:val="0"/>
          <w:sz w:val="28"/>
          <w:szCs w:val="28"/>
        </w:rPr>
        <w:object>
          <v:shape id="_x0000_i1025" o:spt="75" type="#_x0000_t75" style="height:21.75pt;width:181.3pt;" o:ole="t" filled="f" o:preferrelative="t" stroked="f" coordsize="21600,21600">
            <v:path/>
            <v:fill on="f" focussize="0,0"/>
            <v:stroke on="f" joinstyle="miter"/>
            <v:imagedata r:id="rId20" o:title=""/>
            <o:lock v:ext="edit" aspectratio="t"/>
            <w10:wrap type="none"/>
            <w10:anchorlock/>
          </v:shape>
          <o:OLEObject Type="Embed" ProgID="Equation.3" ShapeID="_x0000_i1025" DrawAspect="Content" ObjectID="_1468075725" r:id="rId19">
            <o:LockedField>false</o:LockedField>
          </o:OLEObject>
        </w:object>
      </w:r>
      <w:r>
        <w:rPr>
          <w:rFonts w:hint="eastAsia" w:ascii="宋体" w:hAnsi="宋体"/>
          <w:b w:val="0"/>
          <w:snapToGrid w:val="0"/>
          <w:sz w:val="28"/>
          <w:szCs w:val="28"/>
        </w:rPr>
        <w:t>---15.6千卡</w:t>
      </w:r>
    </w:p>
    <w:p w14:paraId="3A932C24">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b w:val="0"/>
          <w:snapToGrid w:val="0"/>
          <w:sz w:val="28"/>
          <w:szCs w:val="28"/>
        </w:rPr>
      </w:pPr>
      <w:r>
        <w:rPr>
          <w:rFonts w:hint="eastAsia" w:ascii="宋体" w:hAnsi="宋体"/>
          <w:b w:val="0"/>
          <w:snapToGrid w:val="0"/>
          <w:sz w:val="28"/>
          <w:szCs w:val="28"/>
        </w:rPr>
        <w:t>碳酸锶是红光色剂，由于它熔点高，又不是氧化剂，在燃烧中反应比较缓慢，若用碳酸锶酸制红光色剂时，也须借助于能产生高温的愧疚化剂和可燃物，使其发出耀眼的红光。</w:t>
      </w:r>
    </w:p>
    <w:p w14:paraId="6F32A96C">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b w:val="0"/>
          <w:snapToGrid w:val="0"/>
          <w:sz w:val="28"/>
          <w:szCs w:val="28"/>
        </w:rPr>
      </w:pPr>
      <w:r>
        <w:rPr>
          <w:rFonts w:hint="eastAsia" w:ascii="宋体" w:hAnsi="宋体"/>
          <w:b w:val="0"/>
          <w:snapToGrid w:val="0"/>
          <w:sz w:val="28"/>
          <w:szCs w:val="28"/>
        </w:rPr>
        <w:t>对烟火药用硝酸锶质量要求如下：</w:t>
      </w:r>
    </w:p>
    <w:p w14:paraId="10CC9DDA">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b w:val="0"/>
          <w:snapToGrid w:val="0"/>
          <w:sz w:val="28"/>
          <w:szCs w:val="28"/>
        </w:rPr>
      </w:pPr>
      <w:r>
        <w:rPr>
          <w:rFonts w:hint="eastAsia" w:ascii="宋体" w:hAnsi="宋体"/>
          <w:b w:val="0"/>
          <w:snapToGrid w:val="0"/>
          <w:sz w:val="28"/>
          <w:szCs w:val="28"/>
        </w:rPr>
        <w:t>①碳酸锶的含量不少于 99</w:t>
      </w:r>
      <w:r>
        <w:rPr>
          <w:rFonts w:ascii="宋体" w:hAnsi="宋体"/>
          <w:b w:val="0"/>
          <w:snapToGrid w:val="0"/>
          <w:sz w:val="28"/>
          <w:szCs w:val="28"/>
        </w:rPr>
        <w:t>.5</w:t>
      </w:r>
      <w:r>
        <w:rPr>
          <w:rFonts w:hint="eastAsia" w:ascii="宋体" w:hAnsi="宋体"/>
          <w:b w:val="0"/>
          <w:snapToGrid w:val="0"/>
          <w:sz w:val="28"/>
          <w:szCs w:val="28"/>
        </w:rPr>
        <w:t>% --- 99</w:t>
      </w:r>
      <w:r>
        <w:rPr>
          <w:rFonts w:ascii="宋体" w:hAnsi="宋体"/>
          <w:b w:val="0"/>
          <w:snapToGrid w:val="0"/>
          <w:sz w:val="28"/>
          <w:szCs w:val="28"/>
        </w:rPr>
        <w:t>.</w:t>
      </w:r>
      <w:r>
        <w:rPr>
          <w:rFonts w:hint="eastAsia" w:ascii="宋体" w:hAnsi="宋体"/>
          <w:b w:val="0"/>
          <w:snapToGrid w:val="0"/>
          <w:sz w:val="28"/>
          <w:szCs w:val="28"/>
        </w:rPr>
        <w:t xml:space="preserve">7%  </w:t>
      </w:r>
    </w:p>
    <w:p w14:paraId="7158F61C">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b w:val="0"/>
          <w:snapToGrid w:val="0"/>
          <w:sz w:val="28"/>
          <w:szCs w:val="28"/>
        </w:rPr>
      </w:pPr>
      <w:r>
        <w:rPr>
          <w:rFonts w:hint="eastAsia" w:ascii="宋体" w:hAnsi="宋体"/>
          <w:b w:val="0"/>
          <w:snapToGrid w:val="0"/>
          <w:sz w:val="28"/>
          <w:szCs w:val="28"/>
        </w:rPr>
        <w:t>②硝酸盐不超过0</w:t>
      </w:r>
      <w:r>
        <w:rPr>
          <w:rFonts w:ascii="宋体" w:hAnsi="宋体"/>
          <w:b w:val="0"/>
          <w:snapToGrid w:val="0"/>
          <w:sz w:val="28"/>
          <w:szCs w:val="28"/>
        </w:rPr>
        <w:t>.</w:t>
      </w:r>
      <w:r>
        <w:rPr>
          <w:rFonts w:hint="eastAsia" w:ascii="宋体" w:hAnsi="宋体"/>
          <w:b w:val="0"/>
          <w:snapToGrid w:val="0"/>
          <w:sz w:val="28"/>
          <w:szCs w:val="28"/>
        </w:rPr>
        <w:t>0</w:t>
      </w:r>
      <w:r>
        <w:rPr>
          <w:rFonts w:ascii="宋体" w:hAnsi="宋体"/>
          <w:b w:val="0"/>
          <w:snapToGrid w:val="0"/>
          <w:sz w:val="28"/>
          <w:szCs w:val="28"/>
        </w:rPr>
        <w:t>1</w:t>
      </w:r>
      <w:r>
        <w:rPr>
          <w:rFonts w:hint="eastAsia" w:ascii="宋体" w:hAnsi="宋体"/>
          <w:b w:val="0"/>
          <w:snapToGrid w:val="0"/>
          <w:sz w:val="28"/>
          <w:szCs w:val="28"/>
        </w:rPr>
        <w:t>%，碳酸钙不超过0</w:t>
      </w:r>
      <w:r>
        <w:rPr>
          <w:rFonts w:ascii="宋体" w:hAnsi="宋体"/>
          <w:b w:val="0"/>
          <w:snapToGrid w:val="0"/>
          <w:sz w:val="28"/>
          <w:szCs w:val="28"/>
        </w:rPr>
        <w:t>.</w:t>
      </w:r>
      <w:r>
        <w:rPr>
          <w:rFonts w:hint="eastAsia" w:ascii="宋体" w:hAnsi="宋体"/>
          <w:b w:val="0"/>
          <w:snapToGrid w:val="0"/>
          <w:sz w:val="28"/>
          <w:szCs w:val="28"/>
        </w:rPr>
        <w:t>05%</w:t>
      </w:r>
    </w:p>
    <w:p w14:paraId="3BD519C7">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b w:val="0"/>
          <w:snapToGrid w:val="0"/>
          <w:sz w:val="28"/>
          <w:szCs w:val="28"/>
        </w:rPr>
      </w:pPr>
      <w:r>
        <w:rPr>
          <w:rFonts w:hint="eastAsia" w:ascii="宋体" w:hAnsi="宋体"/>
          <w:b w:val="0"/>
          <w:snapToGrid w:val="0"/>
          <w:sz w:val="28"/>
          <w:szCs w:val="28"/>
        </w:rPr>
        <w:t>③铁的含量不超过0</w:t>
      </w:r>
      <w:r>
        <w:rPr>
          <w:rFonts w:ascii="宋体" w:hAnsi="宋体"/>
          <w:b w:val="0"/>
          <w:snapToGrid w:val="0"/>
          <w:sz w:val="28"/>
          <w:szCs w:val="28"/>
        </w:rPr>
        <w:t>.</w:t>
      </w:r>
      <w:r>
        <w:rPr>
          <w:rFonts w:hint="eastAsia" w:ascii="宋体" w:hAnsi="宋体"/>
          <w:b w:val="0"/>
          <w:snapToGrid w:val="0"/>
          <w:sz w:val="28"/>
          <w:szCs w:val="28"/>
        </w:rPr>
        <w:t>00</w:t>
      </w:r>
      <w:r>
        <w:rPr>
          <w:rFonts w:ascii="宋体" w:hAnsi="宋体"/>
          <w:b w:val="0"/>
          <w:snapToGrid w:val="0"/>
          <w:sz w:val="28"/>
          <w:szCs w:val="28"/>
        </w:rPr>
        <w:t>1</w:t>
      </w:r>
      <w:r>
        <w:rPr>
          <w:rFonts w:hint="eastAsia" w:ascii="宋体" w:hAnsi="宋体"/>
          <w:b w:val="0"/>
          <w:snapToGrid w:val="0"/>
          <w:sz w:val="28"/>
          <w:szCs w:val="28"/>
        </w:rPr>
        <w:t>%</w:t>
      </w:r>
    </w:p>
    <w:p w14:paraId="6073F065">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b w:val="0"/>
          <w:snapToGrid w:val="0"/>
          <w:sz w:val="28"/>
          <w:szCs w:val="28"/>
        </w:rPr>
      </w:pPr>
      <w:r>
        <w:rPr>
          <w:rFonts w:hint="eastAsia" w:ascii="宋体" w:hAnsi="宋体"/>
          <w:b w:val="0"/>
          <w:snapToGrid w:val="0"/>
          <w:sz w:val="28"/>
          <w:szCs w:val="28"/>
        </w:rPr>
        <w:t>④碳酸钡的含量不超过0</w:t>
      </w:r>
      <w:r>
        <w:rPr>
          <w:rFonts w:ascii="宋体" w:hAnsi="宋体"/>
          <w:b w:val="0"/>
          <w:snapToGrid w:val="0"/>
          <w:sz w:val="28"/>
          <w:szCs w:val="28"/>
        </w:rPr>
        <w:t>.</w:t>
      </w:r>
      <w:r>
        <w:rPr>
          <w:rFonts w:hint="eastAsia" w:ascii="宋体" w:hAnsi="宋体"/>
          <w:b w:val="0"/>
          <w:snapToGrid w:val="0"/>
          <w:sz w:val="28"/>
          <w:szCs w:val="28"/>
        </w:rPr>
        <w:t>03%</w:t>
      </w:r>
    </w:p>
    <w:p w14:paraId="4240F12A">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b w:val="0"/>
          <w:snapToGrid w:val="0"/>
          <w:sz w:val="28"/>
          <w:szCs w:val="28"/>
        </w:rPr>
      </w:pPr>
      <w:r>
        <w:rPr>
          <w:rFonts w:hint="eastAsia" w:ascii="宋体" w:hAnsi="宋体"/>
          <w:b w:val="0"/>
          <w:snapToGrid w:val="0"/>
          <w:sz w:val="28"/>
          <w:szCs w:val="28"/>
        </w:rPr>
        <w:t>⑤氯化物的含量不超过0</w:t>
      </w:r>
      <w:r>
        <w:rPr>
          <w:rFonts w:ascii="宋体" w:hAnsi="宋体"/>
          <w:b w:val="0"/>
          <w:snapToGrid w:val="0"/>
          <w:sz w:val="28"/>
          <w:szCs w:val="28"/>
        </w:rPr>
        <w:t>.</w:t>
      </w:r>
      <w:r>
        <w:rPr>
          <w:rFonts w:hint="eastAsia" w:ascii="宋体" w:hAnsi="宋体"/>
          <w:b w:val="0"/>
          <w:snapToGrid w:val="0"/>
          <w:sz w:val="28"/>
          <w:szCs w:val="28"/>
        </w:rPr>
        <w:t>01%</w:t>
      </w:r>
    </w:p>
    <w:p w14:paraId="3F673470">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b w:val="0"/>
          <w:snapToGrid w:val="0"/>
          <w:sz w:val="28"/>
          <w:szCs w:val="28"/>
        </w:rPr>
      </w:pPr>
      <w:r>
        <w:rPr>
          <w:rFonts w:hint="eastAsia" w:ascii="宋体" w:hAnsi="宋体"/>
          <w:b w:val="0"/>
          <w:snapToGrid w:val="0"/>
          <w:sz w:val="28"/>
          <w:szCs w:val="28"/>
        </w:rPr>
        <w:t>⑥钙、镁总量不超过0</w:t>
      </w:r>
      <w:r>
        <w:rPr>
          <w:rFonts w:ascii="宋体" w:hAnsi="宋体"/>
          <w:b w:val="0"/>
          <w:snapToGrid w:val="0"/>
          <w:sz w:val="28"/>
          <w:szCs w:val="28"/>
        </w:rPr>
        <w:t>.</w:t>
      </w:r>
      <w:r>
        <w:rPr>
          <w:rFonts w:hint="eastAsia" w:ascii="宋体" w:hAnsi="宋体"/>
          <w:b w:val="0"/>
          <w:snapToGrid w:val="0"/>
          <w:sz w:val="28"/>
          <w:szCs w:val="28"/>
        </w:rPr>
        <w:t>10%</w:t>
      </w:r>
    </w:p>
    <w:p w14:paraId="6083F3C8">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b w:val="0"/>
          <w:snapToGrid w:val="0"/>
          <w:sz w:val="28"/>
          <w:szCs w:val="28"/>
        </w:rPr>
      </w:pPr>
      <w:r>
        <w:rPr>
          <w:rFonts w:hint="eastAsia" w:ascii="宋体" w:hAnsi="宋体"/>
          <w:b w:val="0"/>
          <w:snapToGrid w:val="0"/>
          <w:sz w:val="28"/>
          <w:szCs w:val="28"/>
        </w:rPr>
        <w:t>⑦重金属不超过0</w:t>
      </w:r>
      <w:r>
        <w:rPr>
          <w:rFonts w:ascii="宋体" w:hAnsi="宋体"/>
          <w:b w:val="0"/>
          <w:snapToGrid w:val="0"/>
          <w:sz w:val="28"/>
          <w:szCs w:val="28"/>
        </w:rPr>
        <w:t>.</w:t>
      </w:r>
      <w:r>
        <w:rPr>
          <w:rFonts w:hint="eastAsia" w:ascii="宋体" w:hAnsi="宋体"/>
          <w:b w:val="0"/>
          <w:snapToGrid w:val="0"/>
          <w:sz w:val="28"/>
          <w:szCs w:val="28"/>
        </w:rPr>
        <w:t>002%</w:t>
      </w:r>
    </w:p>
    <w:p w14:paraId="7DDD7DE7">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b w:val="0"/>
          <w:snapToGrid w:val="0"/>
          <w:sz w:val="28"/>
          <w:szCs w:val="28"/>
        </w:rPr>
      </w:pPr>
      <w:r>
        <w:rPr>
          <w:rFonts w:hint="eastAsia" w:ascii="宋体" w:hAnsi="宋体"/>
          <w:b w:val="0"/>
          <w:snapToGrid w:val="0"/>
          <w:sz w:val="28"/>
          <w:szCs w:val="28"/>
        </w:rPr>
        <w:t>⑧干燥失重不大于1%</w:t>
      </w:r>
    </w:p>
    <w:p w14:paraId="28004C09">
      <w:pPr>
        <w:keepNext w:val="0"/>
        <w:keepLines w:val="0"/>
        <w:pageBreakBefore w:val="0"/>
        <w:kinsoku/>
        <w:wordWrap/>
        <w:overflowPunct/>
        <w:topLinePunct w:val="0"/>
        <w:autoSpaceDE/>
        <w:autoSpaceDN/>
        <w:bidi w:val="0"/>
        <w:adjustRightInd/>
        <w:snapToGrid/>
        <w:spacing w:line="360" w:lineRule="auto"/>
        <w:ind w:firstLine="548" w:firstLineChars="196"/>
        <w:textAlignment w:val="auto"/>
        <w:rPr>
          <w:rFonts w:ascii="宋体" w:hAnsi="宋体"/>
          <w:b w:val="0"/>
          <w:snapToGrid w:val="0"/>
          <w:sz w:val="28"/>
          <w:szCs w:val="28"/>
        </w:rPr>
      </w:pPr>
      <w:r>
        <w:rPr>
          <w:rFonts w:hint="eastAsia" w:ascii="宋体" w:hAnsi="宋体"/>
          <w:b w:val="0"/>
          <w:snapToGrid w:val="0"/>
          <w:sz w:val="28"/>
          <w:szCs w:val="28"/>
        </w:rPr>
        <w:t>灭火方法：喷水。</w:t>
      </w:r>
    </w:p>
    <w:p w14:paraId="65665EA6">
      <w:pPr>
        <w:keepNext w:val="0"/>
        <w:keepLines w:val="0"/>
        <w:pageBreakBefore w:val="0"/>
        <w:kinsoku/>
        <w:wordWrap/>
        <w:overflowPunct/>
        <w:topLinePunct w:val="0"/>
        <w:autoSpaceDE/>
        <w:autoSpaceDN/>
        <w:bidi w:val="0"/>
        <w:adjustRightInd/>
        <w:snapToGrid/>
        <w:spacing w:line="360" w:lineRule="auto"/>
        <w:ind w:firstLine="562" w:firstLineChars="200"/>
        <w:textAlignment w:val="auto"/>
        <w:rPr>
          <w:rFonts w:ascii="宋体" w:hAnsi="宋体"/>
          <w:snapToGrid w:val="0"/>
          <w:sz w:val="28"/>
          <w:szCs w:val="28"/>
        </w:rPr>
      </w:pPr>
      <w:r>
        <w:rPr>
          <w:rFonts w:ascii="宋体" w:hAnsi="宋体"/>
          <w:snapToGrid w:val="0"/>
          <w:sz w:val="28"/>
          <w:szCs w:val="28"/>
        </w:rPr>
        <w:t>6</w:t>
      </w:r>
      <w:r>
        <w:rPr>
          <w:rFonts w:hint="eastAsia" w:ascii="宋体" w:hAnsi="宋体"/>
          <w:snapToGrid w:val="0"/>
          <w:sz w:val="28"/>
          <w:szCs w:val="28"/>
        </w:rPr>
        <w:t>）纸张</w:t>
      </w:r>
    </w:p>
    <w:p w14:paraId="217C3FA8">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b w:val="0"/>
          <w:snapToGrid w:val="0"/>
          <w:sz w:val="28"/>
          <w:szCs w:val="28"/>
        </w:rPr>
      </w:pPr>
      <w:r>
        <w:rPr>
          <w:rFonts w:hint="eastAsia" w:ascii="宋体" w:hAnsi="宋体"/>
          <w:b w:val="0"/>
          <w:snapToGrid w:val="0"/>
          <w:sz w:val="28"/>
          <w:szCs w:val="28"/>
        </w:rPr>
        <w:t>纸张既关系到花炮燃放的效果和安全，又关系到企业的生产安全。纸制品为易燃物品，遇高热、明火易燃烧，具有火灾危险。使用、贮存过程中应加强管理，远离热源和火源。</w:t>
      </w:r>
    </w:p>
    <w:p w14:paraId="2D543BBE">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b w:val="0"/>
          <w:snapToGrid w:val="0"/>
          <w:sz w:val="28"/>
          <w:szCs w:val="28"/>
        </w:rPr>
      </w:pPr>
      <w:r>
        <w:rPr>
          <w:rFonts w:hint="eastAsia" w:ascii="宋体" w:hAnsi="宋体"/>
          <w:b w:val="0"/>
          <w:snapToGrid w:val="0"/>
          <w:sz w:val="28"/>
          <w:szCs w:val="28"/>
        </w:rPr>
        <w:t>常用于花炮生产及包装的纸，按其用途可分为卷筒纸（主要有牛皮纸、瓦楞纸、条纹牛皮纸、黄板纸等）、包装纸（主要有防潮纸、油蜡纸、玻璃纸、白板纸等）、引线和零部件用纸（主要有皮纸、土引纸、纱纸、皱纹纸等）。其中防潮纸、油蜡纸、皮纸、土引纸、纱纸、皱纹纸等易燃，应该注意存储和加工中的安全管理。</w:t>
      </w:r>
    </w:p>
    <w:p w14:paraId="4591DC2A">
      <w:pPr>
        <w:keepNext w:val="0"/>
        <w:keepLines w:val="0"/>
        <w:pageBreakBefore w:val="0"/>
        <w:kinsoku/>
        <w:wordWrap/>
        <w:overflowPunct/>
        <w:topLinePunct w:val="0"/>
        <w:autoSpaceDE/>
        <w:autoSpaceDN/>
        <w:bidi w:val="0"/>
        <w:adjustRightInd/>
        <w:snapToGrid/>
        <w:spacing w:line="360" w:lineRule="auto"/>
        <w:textAlignment w:val="auto"/>
        <w:outlineLvl w:val="2"/>
        <w:rPr>
          <w:rFonts w:ascii="黑体" w:hAnsi="黑体" w:eastAsia="黑体"/>
          <w:b w:val="0"/>
          <w:sz w:val="30"/>
          <w:szCs w:val="30"/>
        </w:rPr>
      </w:pPr>
      <w:bookmarkStart w:id="246" w:name="_Toc58861987"/>
      <w:bookmarkStart w:id="247" w:name="_Toc294247648"/>
      <w:bookmarkStart w:id="248" w:name="_Toc60129102"/>
      <w:bookmarkStart w:id="249" w:name="_Toc181194066"/>
      <w:bookmarkStart w:id="250" w:name="_Toc148036988"/>
      <w:bookmarkStart w:id="251" w:name="_Toc202015908"/>
      <w:bookmarkStart w:id="252" w:name="_Toc115508469"/>
      <w:bookmarkStart w:id="253" w:name="_Toc173077659"/>
      <w:bookmarkStart w:id="254" w:name="_Toc145275193"/>
      <w:bookmarkStart w:id="255" w:name="_Toc335902400"/>
      <w:bookmarkStart w:id="256" w:name="_Toc115507853"/>
      <w:bookmarkStart w:id="257" w:name="_Toc271898750"/>
      <w:bookmarkStart w:id="258" w:name="_Toc294247812"/>
      <w:bookmarkStart w:id="259" w:name="_Toc58946819"/>
      <w:r>
        <w:rPr>
          <w:rFonts w:hint="eastAsia" w:ascii="黑体" w:hAnsi="黑体" w:eastAsia="黑体"/>
          <w:b w:val="0"/>
          <w:sz w:val="30"/>
          <w:szCs w:val="30"/>
        </w:rPr>
        <w:t>3.</w:t>
      </w:r>
      <w:r>
        <w:rPr>
          <w:rFonts w:ascii="黑体" w:hAnsi="黑体" w:eastAsia="黑体"/>
          <w:b w:val="0"/>
          <w:sz w:val="30"/>
          <w:szCs w:val="30"/>
        </w:rPr>
        <w:t>3</w:t>
      </w:r>
      <w:r>
        <w:rPr>
          <w:rFonts w:hint="eastAsia" w:ascii="黑体" w:hAnsi="黑体" w:eastAsia="黑体"/>
          <w:b w:val="0"/>
          <w:sz w:val="30"/>
          <w:szCs w:val="30"/>
        </w:rPr>
        <w:t>.4半成品</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14:paraId="74A925F2">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b w:val="0"/>
          <w:snapToGrid w:val="0"/>
          <w:sz w:val="28"/>
          <w:szCs w:val="28"/>
        </w:rPr>
      </w:pPr>
      <w:r>
        <w:rPr>
          <w:rFonts w:hint="eastAsia" w:ascii="宋体" w:hAnsi="宋体"/>
          <w:b w:val="0"/>
          <w:snapToGrid w:val="0"/>
          <w:sz w:val="28"/>
          <w:szCs w:val="28"/>
        </w:rPr>
        <w:t>半成品是指在烟花生产过程中某些生产阶段上已完工，尚需进一步加工的中间产品。具有危险危害性的</w:t>
      </w:r>
      <w:r>
        <w:rPr>
          <w:rFonts w:ascii="Times New Roman" w:hAnsi="Times New Roman"/>
          <w:b w:val="0"/>
          <w:snapToGrid w:val="0"/>
          <w:sz w:val="28"/>
          <w:szCs w:val="28"/>
        </w:rPr>
        <w:t>半成品主要有烟火药及</w:t>
      </w:r>
      <w:r>
        <w:rPr>
          <w:rFonts w:hint="eastAsia" w:ascii="宋体" w:hAnsi="宋体"/>
          <w:b w:val="0"/>
          <w:snapToGrid w:val="0"/>
          <w:sz w:val="28"/>
          <w:szCs w:val="28"/>
        </w:rPr>
        <w:t>烟火药制品，由于半成品没有包装，易产生浮药或其内装药易洒出，受到摩擦、火花、震动、撞击和静电等作用极易发生燃烧或爆炸。他们的危险有害因素及应对措施如下所述。</w:t>
      </w:r>
      <w:bookmarkStart w:id="260" w:name="_Toc192039685"/>
    </w:p>
    <w:p w14:paraId="1F42035C">
      <w:pPr>
        <w:keepNext w:val="0"/>
        <w:keepLines w:val="0"/>
        <w:pageBreakBefore w:val="0"/>
        <w:kinsoku/>
        <w:wordWrap/>
        <w:overflowPunct/>
        <w:topLinePunct w:val="0"/>
        <w:autoSpaceDE/>
        <w:autoSpaceDN/>
        <w:bidi w:val="0"/>
        <w:adjustRightInd/>
        <w:snapToGrid/>
        <w:spacing w:line="360" w:lineRule="auto"/>
        <w:ind w:firstLine="562" w:firstLineChars="200"/>
        <w:textAlignment w:val="auto"/>
        <w:rPr>
          <w:rFonts w:ascii="宋体" w:hAnsi="宋体"/>
          <w:snapToGrid w:val="0"/>
          <w:sz w:val="28"/>
          <w:szCs w:val="28"/>
        </w:rPr>
      </w:pPr>
      <w:r>
        <w:rPr>
          <w:rFonts w:hint="eastAsia" w:ascii="宋体" w:hAnsi="宋体"/>
          <w:snapToGrid w:val="0"/>
          <w:sz w:val="28"/>
          <w:szCs w:val="28"/>
        </w:rPr>
        <w:t>1）烟火药</w:t>
      </w:r>
      <w:bookmarkEnd w:id="260"/>
    </w:p>
    <w:p w14:paraId="06B8F6DA">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b w:val="0"/>
          <w:snapToGrid w:val="0"/>
          <w:sz w:val="28"/>
          <w:szCs w:val="28"/>
        </w:rPr>
      </w:pPr>
      <w:r>
        <w:rPr>
          <w:rFonts w:hint="eastAsia" w:ascii="宋体" w:hAnsi="宋体"/>
          <w:b w:val="0"/>
          <w:snapToGrid w:val="0"/>
          <w:sz w:val="28"/>
          <w:szCs w:val="28"/>
        </w:rPr>
        <w:t>烟花爆竹中的药物配方对于安全生产关系重大，在设计产品和生产时都必须考虑到配方的合理性。烟火药是一种非均匀体系，在这种体系中反应物间的分子要想紧密的接触而达到快速反应，只处于固态是不能达到。</w:t>
      </w:r>
    </w:p>
    <w:p w14:paraId="58C7646C">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黑体" w:hAnsi="宋体" w:eastAsia="黑体"/>
          <w:b w:val="0"/>
          <w:sz w:val="24"/>
        </w:rPr>
      </w:pPr>
      <w:r>
        <w:rPr>
          <w:rFonts w:hint="eastAsia" w:ascii="宋体" w:hAnsi="宋体"/>
          <w:b w:val="0"/>
          <w:snapToGrid w:val="0"/>
          <w:sz w:val="28"/>
          <w:szCs w:val="28"/>
        </w:rPr>
        <w:t>当烟火药在大气中燃烧时，在燃烧反应区内没有压力急剧上升的现象，但也有些烟火药在密闭的容器内燃烧，或是较大的初始能作用时，燃烧也是可以转为爆炸的。如许多炸药理论中所指出的，固体的爆炸混合物如本身不含爆炸导体（单一炸药）时，猛度通常是很小的，极难引起爆炸。烟火药由于是多种固体的混合物，均质性较差，它们仅当内部具有爆炸导体时才能具有强烈的爆炸性能。但烟火药受冲击波刺激时能导致爆炸。烟火药物性参数及对其危险的应对措施列于表3.</w:t>
      </w:r>
      <w:r>
        <w:rPr>
          <w:rFonts w:ascii="宋体" w:hAnsi="宋体"/>
          <w:b w:val="0"/>
          <w:snapToGrid w:val="0"/>
          <w:sz w:val="28"/>
          <w:szCs w:val="28"/>
        </w:rPr>
        <w:t>3</w:t>
      </w:r>
      <w:r>
        <w:rPr>
          <w:rFonts w:hint="eastAsia" w:ascii="宋体" w:hAnsi="宋体"/>
          <w:b w:val="0"/>
          <w:snapToGrid w:val="0"/>
          <w:sz w:val="28"/>
          <w:szCs w:val="28"/>
        </w:rPr>
        <w:t>-18。</w:t>
      </w:r>
    </w:p>
    <w:p w14:paraId="36FFE2B8">
      <w:pPr>
        <w:rPr>
          <w:rFonts w:ascii="黑体" w:hAnsi="宋体" w:eastAsia="黑体"/>
          <w:b w:val="0"/>
          <w:sz w:val="24"/>
        </w:rPr>
      </w:pPr>
      <w:r>
        <w:rPr>
          <w:rFonts w:hint="eastAsia" w:ascii="黑体" w:hAnsi="宋体" w:eastAsia="黑体"/>
          <w:b w:val="0"/>
          <w:sz w:val="24"/>
        </w:rPr>
        <w:t>表3.</w:t>
      </w:r>
      <w:r>
        <w:rPr>
          <w:rFonts w:ascii="黑体" w:hAnsi="宋体" w:eastAsia="黑体"/>
          <w:b w:val="0"/>
          <w:sz w:val="24"/>
        </w:rPr>
        <w:t>3</w:t>
      </w:r>
      <w:r>
        <w:rPr>
          <w:rFonts w:hint="eastAsia" w:ascii="黑体" w:hAnsi="宋体" w:eastAsia="黑体"/>
          <w:b w:val="0"/>
          <w:sz w:val="24"/>
        </w:rPr>
        <w:t>-18</w:t>
      </w:r>
      <w:r>
        <w:rPr>
          <w:rFonts w:ascii="黑体" w:hAnsi="宋体" w:eastAsia="黑体"/>
          <w:b w:val="0"/>
          <w:sz w:val="24"/>
        </w:rPr>
        <w:t xml:space="preserve"> </w:t>
      </w:r>
      <w:r>
        <w:rPr>
          <w:rFonts w:hint="eastAsia" w:ascii="黑体" w:hAnsi="宋体" w:eastAsia="黑体"/>
          <w:b w:val="0"/>
          <w:sz w:val="24"/>
        </w:rPr>
        <w:t xml:space="preserve"> 烟火药的物性参数及对危险的应对措施</w:t>
      </w:r>
    </w:p>
    <w:tbl>
      <w:tblPr>
        <w:tblStyle w:val="88"/>
        <w:tblW w:w="5135"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23"/>
        <w:gridCol w:w="8616"/>
      </w:tblGrid>
      <w:tr w14:paraId="7FA83B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484" w:type="pct"/>
            <w:vAlign w:val="center"/>
          </w:tcPr>
          <w:p w14:paraId="1426227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hint="eastAsia" w:ascii="宋体" w:hAnsi="宋体"/>
                <w:b w:val="0"/>
                <w:szCs w:val="21"/>
              </w:rPr>
              <w:t>标 识</w:t>
            </w:r>
          </w:p>
        </w:tc>
        <w:tc>
          <w:tcPr>
            <w:tcW w:w="4515" w:type="pct"/>
            <w:vAlign w:val="center"/>
          </w:tcPr>
          <w:p w14:paraId="423B068C">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szCs w:val="21"/>
              </w:rPr>
            </w:pPr>
            <w:r>
              <w:rPr>
                <w:rFonts w:hint="eastAsia" w:ascii="宋体" w:hAnsi="宋体"/>
                <w:b w:val="0"/>
                <w:szCs w:val="21"/>
              </w:rPr>
              <w:t>危险性类别：第</w:t>
            </w:r>
            <w:r>
              <w:rPr>
                <w:rFonts w:ascii="宋体" w:hAnsi="宋体"/>
                <w:b w:val="0"/>
                <w:szCs w:val="21"/>
              </w:rPr>
              <w:t>1</w:t>
            </w:r>
            <w:r>
              <w:rPr>
                <w:rFonts w:hint="eastAsia" w:ascii="宋体" w:hAnsi="宋体"/>
                <w:b w:val="0"/>
                <w:szCs w:val="21"/>
              </w:rPr>
              <w:t>类</w:t>
            </w:r>
            <w:r>
              <w:rPr>
                <w:rFonts w:ascii="宋体" w:hAnsi="宋体"/>
                <w:b w:val="0"/>
                <w:szCs w:val="21"/>
              </w:rPr>
              <w:t xml:space="preserve"> </w:t>
            </w:r>
            <w:r>
              <w:rPr>
                <w:rFonts w:hint="eastAsia" w:ascii="宋体" w:hAnsi="宋体"/>
                <w:b w:val="0"/>
                <w:szCs w:val="21"/>
              </w:rPr>
              <w:t>爆炸品</w:t>
            </w:r>
          </w:p>
          <w:p w14:paraId="7BFF5D7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szCs w:val="21"/>
              </w:rPr>
            </w:pPr>
            <w:r>
              <w:rPr>
                <w:rFonts w:hint="eastAsia" w:ascii="宋体" w:hAnsi="宋体"/>
                <w:b w:val="0"/>
                <w:szCs w:val="21"/>
              </w:rPr>
              <w:t>包装标志：  爆炸品</w:t>
            </w:r>
          </w:p>
        </w:tc>
      </w:tr>
      <w:tr w14:paraId="7F6C8D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81" w:hRule="atLeast"/>
        </w:trPr>
        <w:tc>
          <w:tcPr>
            <w:tcW w:w="484" w:type="pct"/>
            <w:vAlign w:val="center"/>
          </w:tcPr>
          <w:p w14:paraId="0256D91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ascii="宋体" w:hAnsi="宋体"/>
                <w:b w:val="0"/>
                <w:szCs w:val="21"/>
              </w:rPr>
              <w:t>理化</w:t>
            </w:r>
          </w:p>
          <w:p w14:paraId="722232C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ascii="宋体" w:hAnsi="宋体"/>
                <w:b w:val="0"/>
                <w:szCs w:val="21"/>
              </w:rPr>
              <w:t>特</w:t>
            </w:r>
            <w:r>
              <w:rPr>
                <w:rFonts w:hint="eastAsia" w:ascii="宋体" w:hAnsi="宋体"/>
                <w:b w:val="0"/>
                <w:szCs w:val="21"/>
              </w:rPr>
              <w:t>性</w:t>
            </w:r>
          </w:p>
        </w:tc>
        <w:tc>
          <w:tcPr>
            <w:tcW w:w="4515" w:type="pct"/>
            <w:vAlign w:val="center"/>
          </w:tcPr>
          <w:p w14:paraId="2588AF27">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szCs w:val="21"/>
              </w:rPr>
            </w:pPr>
            <w:r>
              <w:rPr>
                <w:rFonts w:hint="eastAsia" w:ascii="宋体" w:hAnsi="宋体"/>
                <w:b w:val="0"/>
                <w:szCs w:val="21"/>
              </w:rPr>
              <w:t>外观与性状：灰黑色粉状</w:t>
            </w:r>
          </w:p>
          <w:p w14:paraId="0191447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szCs w:val="21"/>
              </w:rPr>
            </w:pPr>
            <w:r>
              <w:rPr>
                <w:rFonts w:hint="eastAsia" w:ascii="宋体" w:hAnsi="宋体"/>
                <w:b w:val="0"/>
                <w:szCs w:val="21"/>
              </w:rPr>
              <w:t>燃  烧  性：易燃烧，甚至爆燃或爆炸。</w:t>
            </w:r>
          </w:p>
          <w:p w14:paraId="699E7477">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szCs w:val="21"/>
              </w:rPr>
            </w:pPr>
            <w:r>
              <w:rPr>
                <w:rFonts w:hint="eastAsia" w:ascii="宋体" w:hAnsi="宋体"/>
                <w:b w:val="0"/>
                <w:szCs w:val="21"/>
              </w:rPr>
              <w:t>化学安定性：相对安定</w:t>
            </w:r>
          </w:p>
          <w:p w14:paraId="36D4FD6E">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szCs w:val="21"/>
              </w:rPr>
            </w:pPr>
            <w:r>
              <w:rPr>
                <w:rFonts w:hint="eastAsia" w:ascii="宋体" w:hAnsi="宋体"/>
                <w:b w:val="0"/>
                <w:szCs w:val="21"/>
              </w:rPr>
              <w:t>机械感度：  容易因撞击或摩擦起火，轻则燃烧，重则产生爆炸。</w:t>
            </w:r>
          </w:p>
          <w:p w14:paraId="1DCF7F4C">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szCs w:val="21"/>
              </w:rPr>
            </w:pPr>
            <w:r>
              <w:rPr>
                <w:rFonts w:hint="eastAsia" w:ascii="宋体" w:hAnsi="宋体"/>
                <w:b w:val="0"/>
                <w:szCs w:val="21"/>
              </w:rPr>
              <w:t>火焰感度：  容易因接触火星或火焰起火，轻则燃烧，重则产生爆炸。</w:t>
            </w:r>
          </w:p>
          <w:p w14:paraId="11AC8857">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szCs w:val="21"/>
              </w:rPr>
            </w:pPr>
            <w:r>
              <w:rPr>
                <w:rFonts w:hint="eastAsia" w:ascii="宋体" w:hAnsi="宋体"/>
                <w:b w:val="0"/>
                <w:szCs w:val="21"/>
              </w:rPr>
              <w:t>热 感 度：  受热或高温环境易燃烧起火。</w:t>
            </w:r>
          </w:p>
          <w:p w14:paraId="50CAD33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szCs w:val="21"/>
              </w:rPr>
            </w:pPr>
            <w:r>
              <w:rPr>
                <w:rFonts w:hint="eastAsia" w:ascii="宋体" w:hAnsi="宋体"/>
                <w:b w:val="0"/>
                <w:szCs w:val="21"/>
              </w:rPr>
              <w:t>禁 忌 物：  热、火焰、撞击、摩擦、静电、雷电、潮湿环境。</w:t>
            </w:r>
          </w:p>
        </w:tc>
      </w:tr>
      <w:tr w14:paraId="34E6E6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45" w:hRule="atLeast"/>
        </w:trPr>
        <w:tc>
          <w:tcPr>
            <w:tcW w:w="484" w:type="pct"/>
            <w:vAlign w:val="center"/>
          </w:tcPr>
          <w:p w14:paraId="15F9F85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ascii="宋体" w:hAnsi="宋体"/>
                <w:b w:val="0"/>
                <w:szCs w:val="21"/>
              </w:rPr>
              <w:t>危险</w:t>
            </w:r>
            <w:r>
              <w:rPr>
                <w:rFonts w:hint="eastAsia" w:ascii="宋体" w:hAnsi="宋体"/>
                <w:b w:val="0"/>
                <w:szCs w:val="21"/>
              </w:rPr>
              <w:t>有</w:t>
            </w:r>
          </w:p>
          <w:p w14:paraId="51FA1D3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hint="eastAsia" w:ascii="宋体" w:hAnsi="宋体"/>
                <w:b w:val="0"/>
                <w:szCs w:val="21"/>
              </w:rPr>
              <w:t>害</w:t>
            </w:r>
            <w:r>
              <w:rPr>
                <w:rFonts w:ascii="宋体" w:hAnsi="宋体"/>
                <w:b w:val="0"/>
                <w:szCs w:val="21"/>
              </w:rPr>
              <w:t>特性</w:t>
            </w:r>
          </w:p>
        </w:tc>
        <w:tc>
          <w:tcPr>
            <w:tcW w:w="4515" w:type="pct"/>
            <w:vAlign w:val="center"/>
          </w:tcPr>
          <w:p w14:paraId="28548CD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szCs w:val="21"/>
              </w:rPr>
            </w:pPr>
            <w:r>
              <w:rPr>
                <w:rFonts w:hint="eastAsia" w:ascii="宋体" w:hAnsi="宋体"/>
                <w:b w:val="0"/>
                <w:szCs w:val="21"/>
              </w:rPr>
              <w:t>危险特性：受摩擦、撞击、静电、火星、高温、潮湿环境易发生爆燃或爆炸。燃烧时产生大量烟雾气体。</w:t>
            </w:r>
          </w:p>
          <w:p w14:paraId="5D351F7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szCs w:val="21"/>
              </w:rPr>
            </w:pPr>
            <w:r>
              <w:rPr>
                <w:rFonts w:hint="eastAsia" w:ascii="宋体" w:hAnsi="宋体"/>
                <w:b w:val="0"/>
                <w:szCs w:val="21"/>
              </w:rPr>
              <w:t>有害特性：烟火药剂的成分中含有有毒有害物质。烟火药剂的制造过程中，还存在粉尘危害。</w:t>
            </w:r>
          </w:p>
          <w:p w14:paraId="6DF085E7">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szCs w:val="21"/>
              </w:rPr>
            </w:pPr>
            <w:r>
              <w:rPr>
                <w:rFonts w:hint="eastAsia" w:ascii="宋体" w:hAnsi="宋体"/>
                <w:b w:val="0"/>
                <w:szCs w:val="21"/>
              </w:rPr>
              <w:t>侵入途经：吸入、食入、经皮吸收。</w:t>
            </w:r>
          </w:p>
        </w:tc>
      </w:tr>
      <w:tr w14:paraId="6D53C9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21" w:hRule="atLeast"/>
        </w:trPr>
        <w:tc>
          <w:tcPr>
            <w:tcW w:w="484" w:type="pct"/>
            <w:vAlign w:val="center"/>
          </w:tcPr>
          <w:p w14:paraId="3FC9DDC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ascii="宋体" w:hAnsi="宋体"/>
                <w:b w:val="0"/>
                <w:szCs w:val="21"/>
              </w:rPr>
              <w:t>事</w:t>
            </w:r>
            <w:r>
              <w:rPr>
                <w:rFonts w:hint="eastAsia" w:ascii="宋体" w:hAnsi="宋体"/>
                <w:b w:val="0"/>
                <w:szCs w:val="21"/>
              </w:rPr>
              <w:t xml:space="preserve"> </w:t>
            </w:r>
            <w:r>
              <w:rPr>
                <w:rFonts w:ascii="宋体" w:hAnsi="宋体"/>
                <w:b w:val="0"/>
                <w:szCs w:val="21"/>
              </w:rPr>
              <w:t>故</w:t>
            </w:r>
          </w:p>
          <w:p w14:paraId="64A876B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ascii="宋体" w:hAnsi="宋体"/>
                <w:b w:val="0"/>
                <w:szCs w:val="21"/>
              </w:rPr>
              <w:t>处</w:t>
            </w:r>
            <w:r>
              <w:rPr>
                <w:rFonts w:hint="eastAsia" w:ascii="宋体" w:hAnsi="宋体"/>
                <w:b w:val="0"/>
                <w:szCs w:val="21"/>
              </w:rPr>
              <w:t xml:space="preserve"> </w:t>
            </w:r>
            <w:r>
              <w:rPr>
                <w:rFonts w:ascii="宋体" w:hAnsi="宋体"/>
                <w:b w:val="0"/>
                <w:szCs w:val="21"/>
              </w:rPr>
              <w:t>理</w:t>
            </w:r>
          </w:p>
        </w:tc>
        <w:tc>
          <w:tcPr>
            <w:tcW w:w="4515" w:type="pct"/>
            <w:vAlign w:val="center"/>
          </w:tcPr>
          <w:p w14:paraId="7740D80D">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szCs w:val="21"/>
              </w:rPr>
            </w:pPr>
            <w:r>
              <w:rPr>
                <w:rFonts w:hint="eastAsia" w:ascii="宋体" w:hAnsi="宋体"/>
                <w:b w:val="0"/>
                <w:szCs w:val="21"/>
              </w:rPr>
              <w:t>泄漏处理：隔离泄漏污染区，限制出入。切断火源。建议应急处理人员戴防尘面具（全面罩），穿防毒服。用洁净的铲子收集于干燥、洁净、有盖的容器中，转移至安全场所。若大量泄漏，收集回收或运至废物处理场所处置。</w:t>
            </w:r>
          </w:p>
          <w:p w14:paraId="468DB77E">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szCs w:val="21"/>
              </w:rPr>
            </w:pPr>
            <w:r>
              <w:rPr>
                <w:rFonts w:hint="eastAsia" w:ascii="宋体" w:hAnsi="宋体"/>
                <w:b w:val="0"/>
                <w:szCs w:val="21"/>
              </w:rPr>
              <w:t>消防措施：消防人员须在有防爆掩蔽处操作。遇大火切勿轻易接近。爆炸后引起的火灾可用水扑灭。</w:t>
            </w:r>
          </w:p>
        </w:tc>
      </w:tr>
      <w:tr w14:paraId="097D53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3" w:hRule="atLeast"/>
        </w:trPr>
        <w:tc>
          <w:tcPr>
            <w:tcW w:w="484" w:type="pct"/>
            <w:vAlign w:val="center"/>
          </w:tcPr>
          <w:p w14:paraId="12E8AB2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hint="eastAsia" w:ascii="宋体" w:hAnsi="宋体"/>
                <w:b w:val="0"/>
                <w:szCs w:val="21"/>
              </w:rPr>
              <w:t>储运</w:t>
            </w:r>
          </w:p>
          <w:p w14:paraId="0D08FFA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hint="eastAsia" w:ascii="宋体" w:hAnsi="宋体"/>
                <w:b w:val="0"/>
                <w:szCs w:val="21"/>
              </w:rPr>
              <w:t>措施</w:t>
            </w:r>
          </w:p>
        </w:tc>
        <w:tc>
          <w:tcPr>
            <w:tcW w:w="4515" w:type="pct"/>
            <w:vAlign w:val="center"/>
          </w:tcPr>
          <w:p w14:paraId="024500F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szCs w:val="21"/>
              </w:rPr>
            </w:pPr>
            <w:r>
              <w:rPr>
                <w:rFonts w:hint="eastAsia" w:ascii="宋体" w:hAnsi="宋体"/>
                <w:b w:val="0"/>
                <w:szCs w:val="21"/>
              </w:rPr>
              <w:t>储存于阴凉、通风、干燥的库房，远离火种、热源，防止阳光直射；雨天不得运输，搬运时应轻装轻卸，防止损害和泄漏。</w:t>
            </w:r>
          </w:p>
        </w:tc>
      </w:tr>
    </w:tbl>
    <w:p w14:paraId="7F632FF7">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产生不同烟火效果的烟火剂，其组成成分不相同，相应的危险性也不相同。美国</w:t>
      </w:r>
      <w:r>
        <w:rPr>
          <w:rFonts w:ascii="宋体" w:hAnsi="宋体"/>
          <w:b w:val="0"/>
          <w:snapToGrid w:val="0"/>
          <w:sz w:val="28"/>
          <w:szCs w:val="28"/>
        </w:rPr>
        <w:t>J.H.Melain</w:t>
      </w:r>
      <w:r>
        <w:rPr>
          <w:rFonts w:hint="eastAsia" w:ascii="宋体" w:hAnsi="宋体"/>
          <w:b w:val="0"/>
          <w:snapToGrid w:val="0"/>
          <w:sz w:val="28"/>
          <w:szCs w:val="28"/>
        </w:rPr>
        <w:t>教授以烟火剂的能量输出和感度为标准</w:t>
      </w:r>
      <w:r>
        <w:rPr>
          <w:rFonts w:ascii="宋体" w:hAnsi="宋体"/>
          <w:b w:val="0"/>
          <w:snapToGrid w:val="0"/>
          <w:sz w:val="28"/>
          <w:szCs w:val="28"/>
        </w:rPr>
        <w:t>,</w:t>
      </w:r>
      <w:r>
        <w:rPr>
          <w:rFonts w:hint="eastAsia" w:ascii="宋体" w:hAnsi="宋体"/>
          <w:b w:val="0"/>
          <w:snapToGrid w:val="0"/>
          <w:sz w:val="28"/>
          <w:szCs w:val="28"/>
        </w:rPr>
        <w:t>将烟火剂危险性进行了分类。能量输出危险性用数字表示</w:t>
      </w:r>
      <w:r>
        <w:rPr>
          <w:rFonts w:ascii="宋体" w:hAnsi="宋体"/>
          <w:b w:val="0"/>
          <w:snapToGrid w:val="0"/>
          <w:sz w:val="28"/>
          <w:szCs w:val="28"/>
        </w:rPr>
        <w:t>,</w:t>
      </w:r>
      <w:r>
        <w:rPr>
          <w:rFonts w:hint="eastAsia" w:ascii="宋体" w:hAnsi="宋体"/>
          <w:b w:val="0"/>
          <w:snapToGrid w:val="0"/>
          <w:sz w:val="28"/>
          <w:szCs w:val="28"/>
        </w:rPr>
        <w:t>从</w:t>
      </w:r>
      <w:r>
        <w:rPr>
          <w:rFonts w:ascii="宋体" w:hAnsi="宋体"/>
          <w:b w:val="0"/>
          <w:snapToGrid w:val="0"/>
          <w:sz w:val="28"/>
          <w:szCs w:val="28"/>
        </w:rPr>
        <w:t>6(</w:t>
      </w:r>
      <w:r>
        <w:rPr>
          <w:rFonts w:hint="eastAsia" w:ascii="宋体" w:hAnsi="宋体"/>
          <w:b w:val="0"/>
          <w:snapToGrid w:val="0"/>
          <w:sz w:val="28"/>
          <w:szCs w:val="28"/>
        </w:rPr>
        <w:t>最大危险</w:t>
      </w:r>
      <w:r>
        <w:rPr>
          <w:rFonts w:ascii="宋体" w:hAnsi="宋体"/>
          <w:b w:val="0"/>
          <w:snapToGrid w:val="0"/>
          <w:sz w:val="28"/>
          <w:szCs w:val="28"/>
        </w:rPr>
        <w:t>)</w:t>
      </w:r>
      <w:r>
        <w:rPr>
          <w:rFonts w:hint="eastAsia" w:ascii="宋体" w:hAnsi="宋体"/>
          <w:b w:val="0"/>
          <w:snapToGrid w:val="0"/>
          <w:sz w:val="28"/>
          <w:szCs w:val="28"/>
        </w:rPr>
        <w:t>到</w:t>
      </w:r>
      <w:r>
        <w:rPr>
          <w:rFonts w:ascii="宋体" w:hAnsi="宋体"/>
          <w:b w:val="0"/>
          <w:snapToGrid w:val="0"/>
          <w:sz w:val="28"/>
          <w:szCs w:val="28"/>
        </w:rPr>
        <w:t>1(</w:t>
      </w:r>
      <w:r>
        <w:rPr>
          <w:rFonts w:hint="eastAsia" w:ascii="宋体" w:hAnsi="宋体"/>
          <w:b w:val="0"/>
          <w:snapToGrid w:val="0"/>
          <w:sz w:val="28"/>
          <w:szCs w:val="28"/>
        </w:rPr>
        <w:t>最小危险</w:t>
      </w:r>
      <w:r>
        <w:rPr>
          <w:rFonts w:ascii="宋体" w:hAnsi="宋体"/>
          <w:b w:val="0"/>
          <w:snapToGrid w:val="0"/>
          <w:sz w:val="28"/>
          <w:szCs w:val="28"/>
        </w:rPr>
        <w:t>),</w:t>
      </w:r>
      <w:r>
        <w:rPr>
          <w:rFonts w:hint="eastAsia" w:ascii="宋体" w:hAnsi="宋体"/>
          <w:b w:val="0"/>
          <w:snapToGrid w:val="0"/>
          <w:sz w:val="28"/>
          <w:szCs w:val="28"/>
        </w:rPr>
        <w:t>感度用字母表示</w:t>
      </w:r>
      <w:r>
        <w:rPr>
          <w:rFonts w:ascii="宋体" w:hAnsi="宋体"/>
          <w:b w:val="0"/>
          <w:snapToGrid w:val="0"/>
          <w:sz w:val="28"/>
          <w:szCs w:val="28"/>
        </w:rPr>
        <w:t>,</w:t>
      </w:r>
      <w:r>
        <w:rPr>
          <w:rFonts w:hint="eastAsia" w:ascii="宋体" w:hAnsi="宋体"/>
          <w:b w:val="0"/>
          <w:snapToGrid w:val="0"/>
          <w:sz w:val="28"/>
          <w:szCs w:val="28"/>
        </w:rPr>
        <w:t>从</w:t>
      </w:r>
      <w:r>
        <w:rPr>
          <w:rFonts w:ascii="宋体" w:hAnsi="宋体"/>
          <w:b w:val="0"/>
          <w:snapToGrid w:val="0"/>
          <w:sz w:val="28"/>
          <w:szCs w:val="28"/>
        </w:rPr>
        <w:t>A(</w:t>
      </w:r>
      <w:r>
        <w:rPr>
          <w:rFonts w:hint="eastAsia" w:ascii="宋体" w:hAnsi="宋体"/>
          <w:b w:val="0"/>
          <w:snapToGrid w:val="0"/>
          <w:sz w:val="28"/>
          <w:szCs w:val="28"/>
        </w:rPr>
        <w:t>最大感度</w:t>
      </w:r>
      <w:r>
        <w:rPr>
          <w:rFonts w:ascii="宋体" w:hAnsi="宋体"/>
          <w:b w:val="0"/>
          <w:snapToGrid w:val="0"/>
          <w:sz w:val="28"/>
          <w:szCs w:val="28"/>
        </w:rPr>
        <w:t>)</w:t>
      </w:r>
      <w:r>
        <w:rPr>
          <w:rFonts w:hint="eastAsia" w:ascii="宋体" w:hAnsi="宋体"/>
          <w:b w:val="0"/>
          <w:snapToGrid w:val="0"/>
          <w:sz w:val="28"/>
          <w:szCs w:val="28"/>
        </w:rPr>
        <w:t>到</w:t>
      </w:r>
      <w:r>
        <w:rPr>
          <w:rFonts w:ascii="宋体" w:hAnsi="宋体"/>
          <w:b w:val="0"/>
          <w:snapToGrid w:val="0"/>
          <w:sz w:val="28"/>
          <w:szCs w:val="28"/>
        </w:rPr>
        <w:t>D(</w:t>
      </w:r>
      <w:r>
        <w:rPr>
          <w:rFonts w:hint="eastAsia" w:ascii="宋体" w:hAnsi="宋体"/>
          <w:b w:val="0"/>
          <w:snapToGrid w:val="0"/>
          <w:sz w:val="28"/>
          <w:szCs w:val="28"/>
        </w:rPr>
        <w:t>最小感度</w:t>
      </w:r>
      <w:r>
        <w:rPr>
          <w:rFonts w:ascii="宋体" w:hAnsi="宋体"/>
          <w:b w:val="0"/>
          <w:snapToGrid w:val="0"/>
          <w:sz w:val="28"/>
          <w:szCs w:val="28"/>
        </w:rPr>
        <w:t>)</w:t>
      </w:r>
      <w:r>
        <w:rPr>
          <w:rFonts w:hint="eastAsia" w:ascii="宋体" w:hAnsi="宋体"/>
          <w:b w:val="0"/>
          <w:snapToGrid w:val="0"/>
          <w:sz w:val="28"/>
          <w:szCs w:val="28"/>
        </w:rPr>
        <w:t>。这样，</w:t>
      </w:r>
      <w:r>
        <w:rPr>
          <w:rFonts w:ascii="宋体" w:hAnsi="宋体"/>
          <w:b w:val="0"/>
          <w:snapToGrid w:val="0"/>
          <w:sz w:val="28"/>
          <w:szCs w:val="28"/>
        </w:rPr>
        <w:t>6A</w:t>
      </w:r>
      <w:r>
        <w:rPr>
          <w:rFonts w:hint="eastAsia" w:ascii="宋体" w:hAnsi="宋体"/>
          <w:b w:val="0"/>
          <w:snapToGrid w:val="0"/>
          <w:sz w:val="28"/>
          <w:szCs w:val="28"/>
        </w:rPr>
        <w:t>表示最大危险性，</w:t>
      </w:r>
      <w:r>
        <w:rPr>
          <w:rFonts w:ascii="宋体" w:hAnsi="宋体"/>
          <w:b w:val="0"/>
          <w:snapToGrid w:val="0"/>
          <w:sz w:val="28"/>
          <w:szCs w:val="28"/>
        </w:rPr>
        <w:t>1D</w:t>
      </w:r>
      <w:r>
        <w:rPr>
          <w:rFonts w:hint="eastAsia" w:ascii="宋体" w:hAnsi="宋体"/>
          <w:b w:val="0"/>
          <w:snapToGrid w:val="0"/>
          <w:sz w:val="28"/>
          <w:szCs w:val="28"/>
        </w:rPr>
        <w:t>表示最小危险性。各类危险性烟火剂的危险性特征为：</w:t>
      </w:r>
    </w:p>
    <w:p w14:paraId="58DF98FC">
      <w:pPr>
        <w:spacing w:line="360" w:lineRule="auto"/>
        <w:ind w:firstLine="560" w:firstLineChars="200"/>
        <w:rPr>
          <w:rFonts w:ascii="宋体" w:hAnsi="宋体"/>
          <w:b w:val="0"/>
          <w:snapToGrid w:val="0"/>
          <w:sz w:val="28"/>
          <w:szCs w:val="28"/>
        </w:rPr>
      </w:pPr>
      <w:r>
        <w:rPr>
          <w:rFonts w:ascii="宋体" w:hAnsi="宋体"/>
          <w:b w:val="0"/>
          <w:snapToGrid w:val="0"/>
          <w:sz w:val="28"/>
          <w:szCs w:val="28"/>
        </w:rPr>
        <w:t>6</w:t>
      </w:r>
      <w:r>
        <w:rPr>
          <w:rFonts w:hint="eastAsia" w:ascii="宋体" w:hAnsi="宋体"/>
          <w:b w:val="0"/>
          <w:snapToGrid w:val="0"/>
          <w:sz w:val="28"/>
          <w:szCs w:val="28"/>
        </w:rPr>
        <w:t>类：敞开燃烧导致爆轰，临界质量小，对火花和摩擦极敏感，可能导致殉爆；</w:t>
      </w:r>
    </w:p>
    <w:p w14:paraId="4B83C4B2">
      <w:pPr>
        <w:spacing w:line="360" w:lineRule="auto"/>
        <w:ind w:firstLine="560" w:firstLineChars="200"/>
        <w:rPr>
          <w:rFonts w:ascii="宋体" w:hAnsi="宋体"/>
          <w:b w:val="0"/>
          <w:snapToGrid w:val="0"/>
          <w:sz w:val="28"/>
          <w:szCs w:val="28"/>
        </w:rPr>
      </w:pPr>
      <w:r>
        <w:rPr>
          <w:rFonts w:ascii="宋体" w:hAnsi="宋体"/>
          <w:b w:val="0"/>
          <w:snapToGrid w:val="0"/>
          <w:sz w:val="28"/>
          <w:szCs w:val="28"/>
        </w:rPr>
        <w:t>5</w:t>
      </w:r>
      <w:r>
        <w:rPr>
          <w:rFonts w:hint="eastAsia" w:ascii="宋体" w:hAnsi="宋体"/>
          <w:b w:val="0"/>
          <w:snapToGrid w:val="0"/>
          <w:sz w:val="28"/>
          <w:szCs w:val="28"/>
        </w:rPr>
        <w:t>类：在较不受抑制情况下燃烧，能产生低速爆炸；</w:t>
      </w:r>
    </w:p>
    <w:p w14:paraId="41F7EAB8">
      <w:pPr>
        <w:spacing w:line="360" w:lineRule="auto"/>
        <w:ind w:firstLine="560" w:firstLineChars="200"/>
        <w:rPr>
          <w:rFonts w:ascii="宋体" w:hAnsi="宋体"/>
          <w:b w:val="0"/>
          <w:snapToGrid w:val="0"/>
          <w:sz w:val="28"/>
          <w:szCs w:val="28"/>
        </w:rPr>
      </w:pPr>
      <w:r>
        <w:rPr>
          <w:rFonts w:ascii="宋体" w:hAnsi="宋体"/>
          <w:b w:val="0"/>
          <w:snapToGrid w:val="0"/>
          <w:sz w:val="28"/>
          <w:szCs w:val="28"/>
        </w:rPr>
        <w:t>4</w:t>
      </w:r>
      <w:r>
        <w:rPr>
          <w:rFonts w:hint="eastAsia" w:ascii="宋体" w:hAnsi="宋体"/>
          <w:b w:val="0"/>
          <w:snapToGrid w:val="0"/>
          <w:sz w:val="28"/>
          <w:szCs w:val="28"/>
        </w:rPr>
        <w:t>类：大量药剂易于由燃烧转成低级爆炸；</w:t>
      </w:r>
    </w:p>
    <w:p w14:paraId="052E7581">
      <w:pPr>
        <w:spacing w:line="360" w:lineRule="auto"/>
        <w:ind w:firstLine="560" w:firstLineChars="200"/>
        <w:rPr>
          <w:rFonts w:ascii="宋体" w:hAnsi="宋体"/>
          <w:b w:val="0"/>
          <w:snapToGrid w:val="0"/>
          <w:sz w:val="28"/>
          <w:szCs w:val="28"/>
        </w:rPr>
      </w:pPr>
      <w:r>
        <w:rPr>
          <w:rFonts w:ascii="宋体" w:hAnsi="宋体"/>
          <w:b w:val="0"/>
          <w:snapToGrid w:val="0"/>
          <w:sz w:val="28"/>
          <w:szCs w:val="28"/>
        </w:rPr>
        <w:t>3</w:t>
      </w:r>
      <w:r>
        <w:rPr>
          <w:rFonts w:hint="eastAsia" w:ascii="宋体" w:hAnsi="宋体"/>
          <w:b w:val="0"/>
          <w:snapToGrid w:val="0"/>
          <w:sz w:val="28"/>
          <w:szCs w:val="28"/>
        </w:rPr>
        <w:t>类：着火后火球大且燃烧快；</w:t>
      </w:r>
    </w:p>
    <w:p w14:paraId="3F3C3C78">
      <w:pPr>
        <w:spacing w:line="360" w:lineRule="auto"/>
        <w:ind w:firstLine="560" w:firstLineChars="200"/>
        <w:rPr>
          <w:rFonts w:ascii="宋体" w:hAnsi="宋体"/>
          <w:b w:val="0"/>
          <w:snapToGrid w:val="0"/>
          <w:sz w:val="28"/>
          <w:szCs w:val="28"/>
        </w:rPr>
      </w:pPr>
      <w:r>
        <w:rPr>
          <w:rFonts w:ascii="宋体" w:hAnsi="宋体"/>
          <w:b w:val="0"/>
          <w:snapToGrid w:val="0"/>
          <w:sz w:val="28"/>
          <w:szCs w:val="28"/>
        </w:rPr>
        <w:t>2</w:t>
      </w:r>
      <w:r>
        <w:rPr>
          <w:rFonts w:hint="eastAsia" w:ascii="宋体" w:hAnsi="宋体"/>
          <w:b w:val="0"/>
          <w:snapToGrid w:val="0"/>
          <w:sz w:val="28"/>
          <w:szCs w:val="28"/>
        </w:rPr>
        <w:t>类：对人员有烧伤危险；</w:t>
      </w:r>
    </w:p>
    <w:p w14:paraId="37D2A325">
      <w:pPr>
        <w:spacing w:line="360" w:lineRule="auto"/>
        <w:ind w:firstLine="560" w:firstLineChars="200"/>
        <w:rPr>
          <w:rFonts w:ascii="宋体" w:hAnsi="宋体"/>
          <w:b w:val="0"/>
          <w:snapToGrid w:val="0"/>
          <w:sz w:val="28"/>
          <w:szCs w:val="28"/>
        </w:rPr>
      </w:pPr>
      <w:r>
        <w:rPr>
          <w:rFonts w:ascii="宋体" w:hAnsi="宋体"/>
          <w:b w:val="0"/>
          <w:snapToGrid w:val="0"/>
          <w:sz w:val="28"/>
          <w:szCs w:val="28"/>
        </w:rPr>
        <w:t>1</w:t>
      </w:r>
      <w:r>
        <w:rPr>
          <w:rFonts w:hint="eastAsia" w:ascii="宋体" w:hAnsi="宋体"/>
          <w:b w:val="0"/>
          <w:snapToGrid w:val="0"/>
          <w:sz w:val="28"/>
          <w:szCs w:val="28"/>
        </w:rPr>
        <w:t>类：对建筑物和周围环境稍有火灾危险。</w:t>
      </w:r>
    </w:p>
    <w:p w14:paraId="53D51B91">
      <w:pPr>
        <w:spacing w:line="360" w:lineRule="auto"/>
        <w:ind w:firstLine="560" w:firstLineChars="200"/>
        <w:rPr>
          <w:rFonts w:ascii="黑体" w:hAnsi="宋体" w:eastAsia="黑体"/>
          <w:b w:val="0"/>
          <w:sz w:val="24"/>
        </w:rPr>
      </w:pPr>
      <w:r>
        <w:rPr>
          <w:rFonts w:hint="eastAsia" w:ascii="宋体" w:hAnsi="宋体"/>
          <w:b w:val="0"/>
          <w:snapToGrid w:val="0"/>
          <w:sz w:val="28"/>
          <w:szCs w:val="28"/>
        </w:rPr>
        <w:t>根据烟花生产用烟火剂组成成分及用途，参照此分类方法将其危险性分类如表3.</w:t>
      </w:r>
      <w:r>
        <w:rPr>
          <w:rFonts w:ascii="宋体" w:hAnsi="宋体"/>
          <w:b w:val="0"/>
          <w:snapToGrid w:val="0"/>
          <w:sz w:val="28"/>
          <w:szCs w:val="28"/>
        </w:rPr>
        <w:t>3</w:t>
      </w:r>
      <w:r>
        <w:rPr>
          <w:rFonts w:hint="eastAsia" w:ascii="宋体" w:hAnsi="宋体"/>
          <w:b w:val="0"/>
          <w:snapToGrid w:val="0"/>
          <w:sz w:val="28"/>
          <w:szCs w:val="28"/>
        </w:rPr>
        <w:t>-</w:t>
      </w:r>
      <w:r>
        <w:rPr>
          <w:rFonts w:ascii="宋体" w:hAnsi="宋体"/>
          <w:b w:val="0"/>
          <w:snapToGrid w:val="0"/>
          <w:sz w:val="28"/>
          <w:szCs w:val="28"/>
        </w:rPr>
        <w:t>1</w:t>
      </w:r>
      <w:r>
        <w:rPr>
          <w:rFonts w:hint="eastAsia" w:ascii="宋体" w:hAnsi="宋体"/>
          <w:b w:val="0"/>
          <w:snapToGrid w:val="0"/>
          <w:sz w:val="28"/>
          <w:szCs w:val="28"/>
        </w:rPr>
        <w:t>9所示。</w:t>
      </w:r>
    </w:p>
    <w:p w14:paraId="30E54C3B">
      <w:pPr>
        <w:jc w:val="center"/>
        <w:rPr>
          <w:rFonts w:ascii="黑体" w:hAnsi="宋体" w:eastAsia="黑体"/>
          <w:b w:val="0"/>
          <w:sz w:val="28"/>
          <w:szCs w:val="28"/>
        </w:rPr>
      </w:pPr>
      <w:r>
        <w:rPr>
          <w:rFonts w:hint="eastAsia" w:ascii="黑体" w:hAnsi="宋体" w:eastAsia="黑体"/>
          <w:b w:val="0"/>
          <w:sz w:val="24"/>
        </w:rPr>
        <w:t>表3.</w:t>
      </w:r>
      <w:r>
        <w:rPr>
          <w:rFonts w:ascii="黑体" w:hAnsi="宋体" w:eastAsia="黑体"/>
          <w:b w:val="0"/>
          <w:sz w:val="24"/>
        </w:rPr>
        <w:t>3</w:t>
      </w:r>
      <w:r>
        <w:rPr>
          <w:rFonts w:hint="eastAsia" w:ascii="黑体" w:hAnsi="宋体" w:eastAsia="黑体"/>
          <w:b w:val="0"/>
          <w:sz w:val="24"/>
        </w:rPr>
        <w:t>-</w:t>
      </w:r>
      <w:r>
        <w:rPr>
          <w:rFonts w:ascii="黑体" w:hAnsi="宋体" w:eastAsia="黑体"/>
          <w:b w:val="0"/>
          <w:sz w:val="24"/>
        </w:rPr>
        <w:t>1</w:t>
      </w:r>
      <w:r>
        <w:rPr>
          <w:rFonts w:hint="eastAsia" w:ascii="黑体" w:hAnsi="宋体" w:eastAsia="黑体"/>
          <w:b w:val="0"/>
          <w:sz w:val="24"/>
        </w:rPr>
        <w:t>9  烟火剂危险性分类</w:t>
      </w:r>
    </w:p>
    <w:tbl>
      <w:tblPr>
        <w:tblStyle w:val="88"/>
        <w:tblW w:w="4981"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1654"/>
        <w:gridCol w:w="5949"/>
        <w:gridCol w:w="1464"/>
      </w:tblGrid>
      <w:tr w14:paraId="7E6C1B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9" w:hRule="atLeast"/>
          <w:tblHeader/>
          <w:jc w:val="center"/>
        </w:trPr>
        <w:tc>
          <w:tcPr>
            <w:tcW w:w="912" w:type="pct"/>
            <w:vAlign w:val="center"/>
          </w:tcPr>
          <w:p w14:paraId="0A95038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szCs w:val="21"/>
              </w:rPr>
            </w:pPr>
            <w:r>
              <w:rPr>
                <w:rFonts w:hint="eastAsia" w:ascii="宋体" w:hAnsi="宋体"/>
                <w:szCs w:val="21"/>
              </w:rPr>
              <w:t>名</w:t>
            </w:r>
            <w:r>
              <w:rPr>
                <w:rFonts w:ascii="宋体" w:hAnsi="宋体"/>
                <w:szCs w:val="21"/>
              </w:rPr>
              <w:t xml:space="preserve">  </w:t>
            </w:r>
            <w:r>
              <w:rPr>
                <w:rFonts w:hint="eastAsia" w:ascii="宋体" w:hAnsi="宋体"/>
                <w:szCs w:val="21"/>
              </w:rPr>
              <w:t>称</w:t>
            </w:r>
          </w:p>
        </w:tc>
        <w:tc>
          <w:tcPr>
            <w:tcW w:w="3280" w:type="pct"/>
            <w:vAlign w:val="center"/>
          </w:tcPr>
          <w:p w14:paraId="32E519E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szCs w:val="21"/>
              </w:rPr>
            </w:pPr>
            <w:r>
              <w:rPr>
                <w:rFonts w:hint="eastAsia" w:ascii="宋体" w:hAnsi="宋体"/>
                <w:szCs w:val="21"/>
              </w:rPr>
              <w:t>烟火剂成分</w:t>
            </w:r>
          </w:p>
        </w:tc>
        <w:tc>
          <w:tcPr>
            <w:tcW w:w="807" w:type="pct"/>
            <w:vAlign w:val="center"/>
          </w:tcPr>
          <w:p w14:paraId="2A53B5E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szCs w:val="21"/>
              </w:rPr>
            </w:pPr>
            <w:r>
              <w:rPr>
                <w:rFonts w:hint="eastAsia" w:ascii="宋体" w:hAnsi="宋体"/>
                <w:szCs w:val="21"/>
              </w:rPr>
              <w:t>危险性分类</w:t>
            </w:r>
          </w:p>
        </w:tc>
      </w:tr>
      <w:tr w14:paraId="3D8C51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912" w:type="pct"/>
            <w:vAlign w:val="center"/>
          </w:tcPr>
          <w:p w14:paraId="560062A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hint="eastAsia" w:ascii="宋体" w:hAnsi="宋体"/>
                <w:b w:val="0"/>
                <w:szCs w:val="21"/>
              </w:rPr>
              <w:t>爆炸药剂</w:t>
            </w:r>
          </w:p>
        </w:tc>
        <w:tc>
          <w:tcPr>
            <w:tcW w:w="3280" w:type="pct"/>
            <w:vAlign w:val="center"/>
          </w:tcPr>
          <w:p w14:paraId="6383867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szCs w:val="21"/>
              </w:rPr>
            </w:pPr>
            <w:r>
              <w:rPr>
                <w:rFonts w:hint="eastAsia" w:ascii="宋体" w:hAnsi="宋体"/>
                <w:b w:val="0"/>
                <w:szCs w:val="21"/>
              </w:rPr>
              <w:t>高氯酸钾、硝酸钡、木炭粉、铝粉</w:t>
            </w:r>
          </w:p>
        </w:tc>
        <w:tc>
          <w:tcPr>
            <w:tcW w:w="807" w:type="pct"/>
            <w:vAlign w:val="center"/>
          </w:tcPr>
          <w:p w14:paraId="70F4D3D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ascii="宋体" w:hAnsi="宋体"/>
                <w:b w:val="0"/>
                <w:szCs w:val="21"/>
              </w:rPr>
              <w:t>4A</w:t>
            </w:r>
          </w:p>
        </w:tc>
      </w:tr>
      <w:tr w14:paraId="34D8F2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912" w:type="pct"/>
            <w:vAlign w:val="center"/>
          </w:tcPr>
          <w:p w14:paraId="0A9EB8B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hint="eastAsia" w:ascii="宋体" w:hAnsi="宋体"/>
                <w:b w:val="0"/>
                <w:szCs w:val="21"/>
              </w:rPr>
              <w:t>黑火药</w:t>
            </w:r>
          </w:p>
        </w:tc>
        <w:tc>
          <w:tcPr>
            <w:tcW w:w="3280" w:type="pct"/>
            <w:vAlign w:val="center"/>
          </w:tcPr>
          <w:p w14:paraId="33D7E7C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szCs w:val="21"/>
              </w:rPr>
            </w:pPr>
            <w:r>
              <w:rPr>
                <w:rFonts w:hint="eastAsia" w:ascii="宋体" w:hAnsi="宋体"/>
                <w:b w:val="0"/>
                <w:szCs w:val="21"/>
              </w:rPr>
              <w:t>硝酸钾、硫，木炭粉</w:t>
            </w:r>
          </w:p>
        </w:tc>
        <w:tc>
          <w:tcPr>
            <w:tcW w:w="807" w:type="pct"/>
            <w:vAlign w:val="center"/>
          </w:tcPr>
          <w:p w14:paraId="6FB5E62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ascii="宋体" w:hAnsi="宋体"/>
                <w:b w:val="0"/>
                <w:szCs w:val="21"/>
              </w:rPr>
              <w:t>5A</w:t>
            </w:r>
          </w:p>
        </w:tc>
      </w:tr>
      <w:tr w14:paraId="79D246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912" w:type="pct"/>
            <w:vAlign w:val="center"/>
          </w:tcPr>
          <w:p w14:paraId="65D68AA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hint="eastAsia" w:ascii="宋体" w:hAnsi="宋体"/>
                <w:b w:val="0"/>
                <w:szCs w:val="21"/>
              </w:rPr>
              <w:t>银光剂</w:t>
            </w:r>
          </w:p>
        </w:tc>
        <w:tc>
          <w:tcPr>
            <w:tcW w:w="3280" w:type="pct"/>
            <w:vAlign w:val="center"/>
          </w:tcPr>
          <w:p w14:paraId="110D102E">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szCs w:val="21"/>
              </w:rPr>
            </w:pPr>
            <w:r>
              <w:rPr>
                <w:rFonts w:hint="eastAsia" w:ascii="宋体" w:hAnsi="宋体"/>
                <w:b w:val="0"/>
                <w:szCs w:val="21"/>
              </w:rPr>
              <w:t>高氯酸钾、硝酸钡、合金、钛、硫、炭粉、铝渣</w:t>
            </w:r>
          </w:p>
        </w:tc>
        <w:tc>
          <w:tcPr>
            <w:tcW w:w="807" w:type="pct"/>
            <w:vAlign w:val="center"/>
          </w:tcPr>
          <w:p w14:paraId="067364F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ascii="宋体" w:hAnsi="宋体"/>
                <w:b w:val="0"/>
                <w:szCs w:val="21"/>
              </w:rPr>
              <w:t>3A</w:t>
            </w:r>
          </w:p>
        </w:tc>
      </w:tr>
      <w:tr w14:paraId="3B2E84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912" w:type="pct"/>
            <w:vAlign w:val="center"/>
          </w:tcPr>
          <w:p w14:paraId="6323A10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hint="eastAsia" w:ascii="宋体" w:hAnsi="宋体"/>
                <w:b w:val="0"/>
                <w:szCs w:val="21"/>
              </w:rPr>
              <w:t>红光剂</w:t>
            </w:r>
          </w:p>
        </w:tc>
        <w:tc>
          <w:tcPr>
            <w:tcW w:w="3280" w:type="pct"/>
            <w:vAlign w:val="center"/>
          </w:tcPr>
          <w:p w14:paraId="32702E3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szCs w:val="21"/>
              </w:rPr>
            </w:pPr>
            <w:r>
              <w:rPr>
                <w:rFonts w:hint="eastAsia" w:ascii="宋体" w:hAnsi="宋体"/>
                <w:b w:val="0"/>
                <w:szCs w:val="21"/>
              </w:rPr>
              <w:t>高氯酸钾、碳酸锶、合金、钛、硫、炭粉、铝渣</w:t>
            </w:r>
          </w:p>
        </w:tc>
        <w:tc>
          <w:tcPr>
            <w:tcW w:w="807" w:type="pct"/>
            <w:vAlign w:val="center"/>
          </w:tcPr>
          <w:p w14:paraId="6CFDFA3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ascii="宋体" w:hAnsi="宋体"/>
                <w:b w:val="0"/>
                <w:szCs w:val="21"/>
              </w:rPr>
              <w:t>3A</w:t>
            </w:r>
          </w:p>
        </w:tc>
      </w:tr>
      <w:tr w14:paraId="1FDCE8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912" w:type="pct"/>
            <w:vAlign w:val="center"/>
          </w:tcPr>
          <w:p w14:paraId="4E34C53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hint="eastAsia" w:ascii="宋体" w:hAnsi="宋体"/>
                <w:b w:val="0"/>
                <w:szCs w:val="21"/>
              </w:rPr>
              <w:t>绿光剂</w:t>
            </w:r>
          </w:p>
        </w:tc>
        <w:tc>
          <w:tcPr>
            <w:tcW w:w="3280" w:type="pct"/>
            <w:vAlign w:val="center"/>
          </w:tcPr>
          <w:p w14:paraId="0529C26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szCs w:val="21"/>
              </w:rPr>
            </w:pPr>
            <w:r>
              <w:rPr>
                <w:rFonts w:hint="eastAsia" w:ascii="宋体" w:hAnsi="宋体"/>
                <w:b w:val="0"/>
                <w:szCs w:val="21"/>
              </w:rPr>
              <w:t>高氯酸钾、硝酸钡、合金、钛、硫、炭粉</w:t>
            </w:r>
          </w:p>
        </w:tc>
        <w:tc>
          <w:tcPr>
            <w:tcW w:w="807" w:type="pct"/>
            <w:vAlign w:val="center"/>
          </w:tcPr>
          <w:p w14:paraId="32226DA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ascii="宋体" w:hAnsi="宋体"/>
                <w:b w:val="0"/>
                <w:szCs w:val="21"/>
              </w:rPr>
              <w:t>3A</w:t>
            </w:r>
          </w:p>
        </w:tc>
      </w:tr>
      <w:tr w14:paraId="20E0BD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912" w:type="pct"/>
            <w:vAlign w:val="center"/>
          </w:tcPr>
          <w:p w14:paraId="1A49D81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hint="eastAsia" w:ascii="宋体" w:hAnsi="宋体"/>
                <w:b w:val="0"/>
                <w:szCs w:val="21"/>
              </w:rPr>
              <w:t>蓝光剂</w:t>
            </w:r>
          </w:p>
        </w:tc>
        <w:tc>
          <w:tcPr>
            <w:tcW w:w="3280" w:type="pct"/>
            <w:vAlign w:val="center"/>
          </w:tcPr>
          <w:p w14:paraId="616D487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szCs w:val="21"/>
              </w:rPr>
            </w:pPr>
            <w:r>
              <w:rPr>
                <w:rFonts w:hint="eastAsia" w:ascii="宋体" w:hAnsi="宋体"/>
                <w:b w:val="0"/>
                <w:szCs w:val="21"/>
              </w:rPr>
              <w:t>高氯酸钾、铜化合物、合金、硫</w:t>
            </w:r>
          </w:p>
        </w:tc>
        <w:tc>
          <w:tcPr>
            <w:tcW w:w="807" w:type="pct"/>
            <w:vAlign w:val="center"/>
          </w:tcPr>
          <w:p w14:paraId="7976FFE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ascii="宋体" w:hAnsi="宋体"/>
                <w:b w:val="0"/>
                <w:szCs w:val="21"/>
              </w:rPr>
              <w:t>3A</w:t>
            </w:r>
          </w:p>
        </w:tc>
      </w:tr>
      <w:tr w14:paraId="60E39C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912" w:type="pct"/>
            <w:vAlign w:val="center"/>
          </w:tcPr>
          <w:p w14:paraId="1B8ECE5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hint="eastAsia" w:ascii="宋体" w:hAnsi="宋体"/>
                <w:b w:val="0"/>
                <w:szCs w:val="21"/>
              </w:rPr>
              <w:t>金光剂</w:t>
            </w:r>
          </w:p>
        </w:tc>
        <w:tc>
          <w:tcPr>
            <w:tcW w:w="3280" w:type="pct"/>
            <w:vAlign w:val="center"/>
          </w:tcPr>
          <w:p w14:paraId="346C290D">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szCs w:val="21"/>
              </w:rPr>
            </w:pPr>
            <w:r>
              <w:rPr>
                <w:rFonts w:hint="eastAsia" w:ascii="宋体" w:hAnsi="宋体"/>
                <w:b w:val="0"/>
                <w:szCs w:val="21"/>
              </w:rPr>
              <w:t>高氯酸钾、锶、铜盐、合金、硫、炭粉</w:t>
            </w:r>
          </w:p>
        </w:tc>
        <w:tc>
          <w:tcPr>
            <w:tcW w:w="807" w:type="pct"/>
            <w:vAlign w:val="center"/>
          </w:tcPr>
          <w:p w14:paraId="2B26625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ascii="宋体" w:hAnsi="宋体"/>
                <w:b w:val="0"/>
                <w:szCs w:val="21"/>
              </w:rPr>
              <w:t>3A</w:t>
            </w:r>
          </w:p>
        </w:tc>
      </w:tr>
      <w:tr w14:paraId="2135BC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912" w:type="pct"/>
            <w:vAlign w:val="center"/>
          </w:tcPr>
          <w:p w14:paraId="7F7A415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hint="eastAsia" w:ascii="宋体" w:hAnsi="宋体"/>
                <w:b w:val="0"/>
                <w:szCs w:val="21"/>
              </w:rPr>
              <w:t>黄光剂</w:t>
            </w:r>
          </w:p>
        </w:tc>
        <w:tc>
          <w:tcPr>
            <w:tcW w:w="3280" w:type="pct"/>
            <w:vAlign w:val="center"/>
          </w:tcPr>
          <w:p w14:paraId="5741620D">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szCs w:val="21"/>
              </w:rPr>
            </w:pPr>
            <w:r>
              <w:rPr>
                <w:rFonts w:hint="eastAsia" w:ascii="宋体" w:hAnsi="宋体"/>
                <w:b w:val="0"/>
                <w:szCs w:val="21"/>
              </w:rPr>
              <w:t>高氯酸钾、钠化合物、硝酸钾、合金、硫</w:t>
            </w:r>
          </w:p>
        </w:tc>
        <w:tc>
          <w:tcPr>
            <w:tcW w:w="807" w:type="pct"/>
            <w:vAlign w:val="center"/>
          </w:tcPr>
          <w:p w14:paraId="3F34A64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ascii="宋体" w:hAnsi="宋体"/>
                <w:b w:val="0"/>
                <w:szCs w:val="21"/>
              </w:rPr>
              <w:t>3A</w:t>
            </w:r>
          </w:p>
        </w:tc>
      </w:tr>
      <w:tr w14:paraId="5A39CB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79" w:hRule="atLeast"/>
          <w:jc w:val="center"/>
        </w:trPr>
        <w:tc>
          <w:tcPr>
            <w:tcW w:w="912" w:type="pct"/>
            <w:vAlign w:val="center"/>
          </w:tcPr>
          <w:p w14:paraId="4FF3364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hint="eastAsia" w:ascii="宋体" w:hAnsi="宋体"/>
                <w:b w:val="0"/>
                <w:szCs w:val="21"/>
              </w:rPr>
              <w:t>啸音剂</w:t>
            </w:r>
          </w:p>
        </w:tc>
        <w:tc>
          <w:tcPr>
            <w:tcW w:w="3280" w:type="pct"/>
            <w:vAlign w:val="center"/>
          </w:tcPr>
          <w:p w14:paraId="0367FEFC">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val="0"/>
                <w:szCs w:val="21"/>
              </w:rPr>
            </w:pPr>
            <w:r>
              <w:rPr>
                <w:rFonts w:hint="eastAsia" w:ascii="宋体" w:hAnsi="宋体"/>
                <w:b w:val="0"/>
                <w:szCs w:val="21"/>
              </w:rPr>
              <w:t>高氯酸钾、对苯二甲酸氢钾</w:t>
            </w:r>
          </w:p>
        </w:tc>
        <w:tc>
          <w:tcPr>
            <w:tcW w:w="807" w:type="pct"/>
            <w:vAlign w:val="center"/>
          </w:tcPr>
          <w:p w14:paraId="7343D44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val="0"/>
                <w:szCs w:val="21"/>
              </w:rPr>
            </w:pPr>
            <w:r>
              <w:rPr>
                <w:rFonts w:ascii="宋体" w:hAnsi="宋体"/>
                <w:b w:val="0"/>
                <w:szCs w:val="21"/>
              </w:rPr>
              <w:t>3A</w:t>
            </w:r>
          </w:p>
        </w:tc>
      </w:tr>
    </w:tbl>
    <w:p w14:paraId="0149CAEC">
      <w:pPr>
        <w:rPr>
          <w:rFonts w:ascii="宋体" w:hAnsi="宋体"/>
          <w:snapToGrid w:val="0"/>
          <w:sz w:val="28"/>
          <w:szCs w:val="28"/>
        </w:rPr>
      </w:pPr>
      <w:bookmarkStart w:id="261" w:name="_Toc188265305"/>
      <w:bookmarkStart w:id="262" w:name="_Toc192039686"/>
      <w:r>
        <w:rPr>
          <w:rFonts w:hint="eastAsia" w:ascii="宋体" w:hAnsi="宋体"/>
          <w:snapToGrid w:val="0"/>
          <w:sz w:val="28"/>
          <w:szCs w:val="28"/>
        </w:rPr>
        <w:br w:type="page"/>
      </w:r>
    </w:p>
    <w:p w14:paraId="36C53930">
      <w:pPr>
        <w:spacing w:before="120" w:beforeLines="50" w:line="360" w:lineRule="auto"/>
        <w:ind w:firstLine="562" w:firstLineChars="200"/>
        <w:rPr>
          <w:rFonts w:ascii="宋体" w:hAnsi="宋体"/>
          <w:snapToGrid w:val="0"/>
          <w:sz w:val="28"/>
          <w:szCs w:val="28"/>
        </w:rPr>
      </w:pPr>
      <w:r>
        <w:rPr>
          <w:rFonts w:hint="eastAsia" w:ascii="宋体" w:hAnsi="宋体"/>
          <w:snapToGrid w:val="0"/>
          <w:sz w:val="28"/>
          <w:szCs w:val="28"/>
        </w:rPr>
        <w:t>2）烟火药制品</w:t>
      </w:r>
      <w:bookmarkEnd w:id="261"/>
      <w:bookmarkEnd w:id="262"/>
    </w:p>
    <w:p w14:paraId="7C2A7235">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烟火药制品包括：</w:t>
      </w:r>
      <w:r>
        <w:rPr>
          <w:rFonts w:hint="eastAsia" w:ascii="宋体" w:hAnsi="宋体"/>
          <w:b w:val="0"/>
          <w:snapToGrid w:val="0"/>
          <w:sz w:val="28"/>
        </w:rPr>
        <w:t>药粉、含药半成品</w:t>
      </w:r>
      <w:r>
        <w:rPr>
          <w:rFonts w:hint="eastAsia" w:ascii="宋体" w:hAnsi="宋体"/>
          <w:b w:val="0"/>
          <w:snapToGrid w:val="0"/>
          <w:sz w:val="28"/>
          <w:szCs w:val="28"/>
        </w:rPr>
        <w:t>等。</w:t>
      </w:r>
    </w:p>
    <w:p w14:paraId="53D018E0">
      <w:pPr>
        <w:spacing w:line="360" w:lineRule="auto"/>
        <w:ind w:firstLine="560" w:firstLineChars="200"/>
        <w:rPr>
          <w:rFonts w:ascii="宋体"/>
          <w:b w:val="0"/>
          <w:snapToGrid w:val="0"/>
          <w:sz w:val="28"/>
          <w:szCs w:val="28"/>
        </w:rPr>
      </w:pPr>
      <w:bookmarkStart w:id="263" w:name="_Toc188265304"/>
      <w:bookmarkStart w:id="264" w:name="_Toc294247649"/>
      <w:bookmarkStart w:id="265" w:name="_Toc60129103"/>
      <w:bookmarkStart w:id="266" w:name="_Toc181194067"/>
      <w:bookmarkStart w:id="267" w:name="_Toc202015907"/>
      <w:bookmarkStart w:id="268" w:name="_Toc335902401"/>
      <w:bookmarkStart w:id="269" w:name="_Toc148036989"/>
      <w:bookmarkStart w:id="270" w:name="_Toc173077660"/>
      <w:bookmarkStart w:id="271" w:name="_Toc271898751"/>
      <w:bookmarkStart w:id="272" w:name="_Toc58946820"/>
      <w:bookmarkStart w:id="273" w:name="_Toc145275194"/>
      <w:bookmarkStart w:id="274" w:name="_Toc58861988"/>
      <w:bookmarkStart w:id="275" w:name="_Toc294247813"/>
      <w:r>
        <w:rPr>
          <w:rFonts w:hint="eastAsia" w:ascii="宋体" w:hAnsi="宋体"/>
          <w:b w:val="0"/>
          <w:snapToGrid w:val="0"/>
          <w:sz w:val="28"/>
        </w:rPr>
        <w:t>烟火药制品的主要危险是燃烧、爆炸，但如果堆积量过大在燃烧过程中或在冲击波刺激下也可能产生爆轰现象，药粉、含药半成品为干法制作，在制作过程中存在有爆炸的可能</w:t>
      </w:r>
      <w:r>
        <w:rPr>
          <w:rFonts w:hint="eastAsia" w:ascii="宋体" w:hAnsi="宋体" w:cs="宋体"/>
          <w:b w:val="0"/>
          <w:snapToGrid w:val="0"/>
          <w:sz w:val="28"/>
        </w:rPr>
        <w:t>。</w:t>
      </w:r>
    </w:p>
    <w:p w14:paraId="6D6D629A">
      <w:pPr>
        <w:spacing w:line="360" w:lineRule="auto"/>
        <w:outlineLvl w:val="2"/>
        <w:rPr>
          <w:rFonts w:ascii="黑体" w:hAnsi="黑体" w:eastAsia="黑体"/>
          <w:b w:val="0"/>
          <w:sz w:val="30"/>
          <w:szCs w:val="30"/>
        </w:rPr>
      </w:pPr>
      <w:r>
        <w:rPr>
          <w:rFonts w:ascii="黑体" w:hAnsi="黑体" w:eastAsia="黑体"/>
          <w:b w:val="0"/>
          <w:sz w:val="30"/>
          <w:szCs w:val="30"/>
        </w:rPr>
        <w:t>3.3.</w:t>
      </w:r>
      <w:bookmarkEnd w:id="263"/>
      <w:r>
        <w:rPr>
          <w:rFonts w:hint="eastAsia" w:ascii="黑体" w:hAnsi="黑体" w:eastAsia="黑体"/>
          <w:b w:val="0"/>
          <w:sz w:val="30"/>
          <w:szCs w:val="30"/>
        </w:rPr>
        <w:t>5成品</w:t>
      </w:r>
      <w:bookmarkEnd w:id="264"/>
      <w:bookmarkEnd w:id="265"/>
      <w:bookmarkEnd w:id="266"/>
      <w:bookmarkEnd w:id="267"/>
      <w:bookmarkEnd w:id="268"/>
      <w:bookmarkEnd w:id="269"/>
      <w:bookmarkEnd w:id="270"/>
      <w:bookmarkEnd w:id="271"/>
      <w:bookmarkEnd w:id="272"/>
      <w:bookmarkEnd w:id="273"/>
      <w:bookmarkEnd w:id="274"/>
      <w:bookmarkEnd w:id="275"/>
    </w:p>
    <w:p w14:paraId="517B1B32">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该企业成品为1</w:t>
      </w:r>
      <w:r>
        <w:rPr>
          <w:rFonts w:ascii="宋体" w:hAnsi="宋体"/>
          <w:b w:val="0"/>
          <w:snapToGrid w:val="0"/>
          <w:sz w:val="28"/>
          <w:szCs w:val="28"/>
        </w:rPr>
        <w:t>.3</w:t>
      </w:r>
      <w:r>
        <w:rPr>
          <w:rFonts w:hint="eastAsia" w:ascii="宋体" w:hAnsi="宋体"/>
          <w:b w:val="0"/>
          <w:snapToGrid w:val="0"/>
          <w:sz w:val="28"/>
          <w:szCs w:val="28"/>
        </w:rPr>
        <w:t>级成品。</w:t>
      </w:r>
    </w:p>
    <w:p w14:paraId="25FCC581">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烟花产品分散装成品和包装成箱成品。散装成品危险性较大，易燃烧，局部或产品可能爆炸,但不会波及全局。</w:t>
      </w:r>
    </w:p>
    <w:p w14:paraId="5D83244F">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成箱后的产品由于多层包装，在外包装箱上已无烟火药物，也不存在裸露的引火线，因此存放中安全性是比较好的；如果装箱紧凑，产品之间不发生碰撞，则在搬运中也是比较安全的。成箱后产品主要危险因素是搬运过程中的失手、落地的碰撞，有可能将产品点燃和发生产品中的爆炸成分的殉爆，主要表现在：</w:t>
      </w:r>
    </w:p>
    <w:p w14:paraId="714994B7">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（1）产品配方不合理，产品质量存在缺陷，容易引起意外伤害事故；</w:t>
      </w:r>
    </w:p>
    <w:p w14:paraId="4DFCC3AE">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（2）高温环境、潮湿环境，可能导致烟花爆竹的燃烧与爆炸；</w:t>
      </w:r>
    </w:p>
    <w:p w14:paraId="4CB2541A">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（3）有火源的情况下，可能引燃烟花爆竹而产生燃烧与爆炸；</w:t>
      </w:r>
    </w:p>
    <w:p w14:paraId="15D5576C">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（4）搬运、运输过程中，由于用力过猛、颠簸、互相之间的撞击与摩擦，可能引起燃烧与爆炸；</w:t>
      </w:r>
    </w:p>
    <w:p w14:paraId="5A80F030">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（5）在燃放过程中，因操作不当，或燃放距离不够，也容易引发事故。</w:t>
      </w:r>
    </w:p>
    <w:p w14:paraId="0A4053E1">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烟花爆竹物性参数及对其危险的应对措施列于表</w:t>
      </w:r>
      <w:r>
        <w:rPr>
          <w:rFonts w:ascii="宋体" w:hAnsi="宋体"/>
          <w:b w:val="0"/>
          <w:snapToGrid w:val="0"/>
          <w:sz w:val="28"/>
          <w:szCs w:val="28"/>
        </w:rPr>
        <w:t>3</w:t>
      </w:r>
      <w:r>
        <w:rPr>
          <w:rFonts w:hint="eastAsia" w:ascii="宋体" w:hAnsi="宋体"/>
          <w:b w:val="0"/>
          <w:snapToGrid w:val="0"/>
          <w:sz w:val="28"/>
          <w:szCs w:val="28"/>
        </w:rPr>
        <w:t>.</w:t>
      </w:r>
      <w:r>
        <w:rPr>
          <w:rFonts w:ascii="宋体" w:hAnsi="宋体"/>
          <w:b w:val="0"/>
          <w:snapToGrid w:val="0"/>
          <w:sz w:val="28"/>
          <w:szCs w:val="28"/>
        </w:rPr>
        <w:t>3</w:t>
      </w:r>
      <w:r>
        <w:rPr>
          <w:rFonts w:hint="eastAsia" w:ascii="宋体" w:hAnsi="宋体"/>
          <w:b w:val="0"/>
          <w:snapToGrid w:val="0"/>
          <w:sz w:val="28"/>
          <w:szCs w:val="28"/>
        </w:rPr>
        <w:t>-20。</w:t>
      </w:r>
    </w:p>
    <w:p w14:paraId="291C3180">
      <w:pPr>
        <w:rPr>
          <w:rFonts w:ascii="黑体" w:hAnsi="宋体" w:eastAsia="黑体"/>
          <w:b w:val="0"/>
          <w:sz w:val="24"/>
        </w:rPr>
      </w:pPr>
      <w:r>
        <w:rPr>
          <w:rFonts w:hint="eastAsia" w:ascii="黑体" w:hAnsi="宋体" w:eastAsia="黑体"/>
          <w:b w:val="0"/>
          <w:sz w:val="24"/>
        </w:rPr>
        <w:br w:type="page"/>
      </w:r>
    </w:p>
    <w:p w14:paraId="0A30D850">
      <w:pPr>
        <w:jc w:val="center"/>
        <w:rPr>
          <w:rFonts w:ascii="黑体" w:hAnsi="宋体" w:eastAsia="黑体"/>
          <w:b w:val="0"/>
          <w:sz w:val="24"/>
        </w:rPr>
      </w:pPr>
      <w:r>
        <w:rPr>
          <w:rFonts w:hint="eastAsia" w:ascii="黑体" w:hAnsi="宋体" w:eastAsia="黑体"/>
          <w:b w:val="0"/>
          <w:sz w:val="24"/>
        </w:rPr>
        <w:t>表3.</w:t>
      </w:r>
      <w:r>
        <w:rPr>
          <w:rFonts w:ascii="黑体" w:hAnsi="宋体" w:eastAsia="黑体"/>
          <w:b w:val="0"/>
          <w:sz w:val="24"/>
        </w:rPr>
        <w:t>3</w:t>
      </w:r>
      <w:r>
        <w:rPr>
          <w:rFonts w:hint="eastAsia" w:ascii="黑体" w:hAnsi="宋体" w:eastAsia="黑体"/>
          <w:b w:val="0"/>
          <w:sz w:val="24"/>
        </w:rPr>
        <w:t>-20 烟花的物性参数及对危险的应对措施</w:t>
      </w:r>
    </w:p>
    <w:tbl>
      <w:tblPr>
        <w:tblStyle w:val="88"/>
        <w:tblW w:w="502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8258"/>
      </w:tblGrid>
      <w:tr w14:paraId="692877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78" w:type="pct"/>
            <w:vAlign w:val="center"/>
          </w:tcPr>
          <w:p w14:paraId="77E0C1F7">
            <w:pPr>
              <w:adjustRightInd w:val="0"/>
              <w:snapToGrid w:val="0"/>
              <w:spacing w:line="280" w:lineRule="exact"/>
              <w:jc w:val="center"/>
              <w:rPr>
                <w:rFonts w:ascii="宋体" w:hAnsi="宋体"/>
                <w:b w:val="0"/>
                <w:bCs/>
                <w:szCs w:val="21"/>
              </w:rPr>
            </w:pPr>
            <w:r>
              <w:rPr>
                <w:rFonts w:hint="eastAsia" w:ascii="宋体" w:hAnsi="宋体"/>
                <w:b w:val="0"/>
                <w:bCs/>
                <w:szCs w:val="21"/>
              </w:rPr>
              <w:t>标</w:t>
            </w:r>
            <w:r>
              <w:rPr>
                <w:rFonts w:ascii="宋体" w:hAnsi="宋体"/>
                <w:b w:val="0"/>
                <w:bCs/>
                <w:szCs w:val="21"/>
              </w:rPr>
              <w:t xml:space="preserve"> </w:t>
            </w:r>
            <w:r>
              <w:rPr>
                <w:rFonts w:hint="eastAsia" w:ascii="宋体" w:hAnsi="宋体"/>
                <w:b w:val="0"/>
                <w:bCs/>
                <w:szCs w:val="21"/>
              </w:rPr>
              <w:t>识</w:t>
            </w:r>
          </w:p>
        </w:tc>
        <w:tc>
          <w:tcPr>
            <w:tcW w:w="4421" w:type="pct"/>
            <w:vAlign w:val="center"/>
          </w:tcPr>
          <w:p w14:paraId="5410331F">
            <w:pPr>
              <w:adjustRightInd w:val="0"/>
              <w:snapToGrid w:val="0"/>
              <w:spacing w:line="280" w:lineRule="exact"/>
              <w:rPr>
                <w:rFonts w:ascii="宋体" w:hAnsi="宋体"/>
                <w:b w:val="0"/>
                <w:szCs w:val="21"/>
              </w:rPr>
            </w:pPr>
            <w:r>
              <w:rPr>
                <w:rFonts w:hint="eastAsia" w:ascii="宋体" w:hAnsi="宋体"/>
                <w:b w:val="0"/>
                <w:szCs w:val="21"/>
              </w:rPr>
              <w:t>危险性类别：第</w:t>
            </w:r>
            <w:r>
              <w:rPr>
                <w:rFonts w:ascii="宋体" w:hAnsi="宋体"/>
                <w:b w:val="0"/>
                <w:szCs w:val="21"/>
              </w:rPr>
              <w:t>1</w:t>
            </w:r>
            <w:r>
              <w:rPr>
                <w:rFonts w:hint="eastAsia" w:ascii="宋体" w:hAnsi="宋体"/>
                <w:b w:val="0"/>
                <w:szCs w:val="21"/>
              </w:rPr>
              <w:t>类</w:t>
            </w:r>
            <w:r>
              <w:rPr>
                <w:rFonts w:ascii="宋体" w:hAnsi="宋体"/>
                <w:b w:val="0"/>
                <w:szCs w:val="21"/>
              </w:rPr>
              <w:t xml:space="preserve"> </w:t>
            </w:r>
            <w:r>
              <w:rPr>
                <w:rFonts w:hint="eastAsia" w:ascii="宋体" w:hAnsi="宋体"/>
                <w:b w:val="0"/>
                <w:szCs w:val="21"/>
              </w:rPr>
              <w:t>爆炸品</w:t>
            </w:r>
          </w:p>
          <w:p w14:paraId="0E28A515">
            <w:pPr>
              <w:adjustRightInd w:val="0"/>
              <w:snapToGrid w:val="0"/>
              <w:spacing w:line="280" w:lineRule="exact"/>
              <w:rPr>
                <w:rFonts w:ascii="宋体" w:hAnsi="宋体"/>
                <w:b w:val="0"/>
                <w:szCs w:val="21"/>
              </w:rPr>
            </w:pPr>
            <w:r>
              <w:rPr>
                <w:rFonts w:hint="eastAsia" w:ascii="宋体" w:hAnsi="宋体"/>
                <w:b w:val="0"/>
                <w:szCs w:val="21"/>
              </w:rPr>
              <w:t>包装标志：</w:t>
            </w:r>
            <w:r>
              <w:rPr>
                <w:rFonts w:ascii="宋体" w:hAnsi="宋体"/>
                <w:b w:val="0"/>
                <w:szCs w:val="21"/>
              </w:rPr>
              <w:t xml:space="preserve">  </w:t>
            </w:r>
            <w:r>
              <w:rPr>
                <w:rFonts w:hint="eastAsia" w:ascii="宋体" w:hAnsi="宋体"/>
                <w:b w:val="0"/>
                <w:szCs w:val="21"/>
              </w:rPr>
              <w:t>爆炸品；</w:t>
            </w:r>
            <w:r>
              <w:rPr>
                <w:rFonts w:ascii="宋体" w:hAnsi="宋体"/>
                <w:b w:val="0"/>
                <w:szCs w:val="21"/>
              </w:rPr>
              <w:t>GB1.4</w:t>
            </w:r>
            <w:r>
              <w:rPr>
                <w:rFonts w:hint="eastAsia" w:ascii="宋体" w:hAnsi="宋体"/>
                <w:b w:val="0"/>
                <w:szCs w:val="21"/>
              </w:rPr>
              <w:t>类    CN号:</w:t>
            </w:r>
            <w:r>
              <w:rPr>
                <w:rFonts w:ascii="宋体" w:hAnsi="宋体"/>
                <w:b w:val="0"/>
                <w:szCs w:val="21"/>
              </w:rPr>
              <w:t>14055</w:t>
            </w:r>
          </w:p>
        </w:tc>
      </w:tr>
      <w:tr w14:paraId="351871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36" w:hRule="atLeast"/>
        </w:trPr>
        <w:tc>
          <w:tcPr>
            <w:tcW w:w="578" w:type="pct"/>
            <w:vAlign w:val="center"/>
          </w:tcPr>
          <w:p w14:paraId="57423EEC">
            <w:pPr>
              <w:adjustRightInd w:val="0"/>
              <w:snapToGrid w:val="0"/>
              <w:spacing w:line="280" w:lineRule="exact"/>
              <w:jc w:val="center"/>
              <w:rPr>
                <w:rFonts w:ascii="宋体" w:hAnsi="宋体"/>
                <w:b w:val="0"/>
                <w:bCs/>
                <w:szCs w:val="21"/>
              </w:rPr>
            </w:pPr>
            <w:r>
              <w:rPr>
                <w:rFonts w:hint="eastAsia" w:ascii="宋体" w:hAnsi="宋体"/>
                <w:b w:val="0"/>
                <w:bCs/>
                <w:szCs w:val="21"/>
              </w:rPr>
              <w:t>理化</w:t>
            </w:r>
          </w:p>
          <w:p w14:paraId="0E72F708">
            <w:pPr>
              <w:adjustRightInd w:val="0"/>
              <w:snapToGrid w:val="0"/>
              <w:spacing w:line="280" w:lineRule="exact"/>
              <w:jc w:val="center"/>
              <w:rPr>
                <w:rFonts w:ascii="宋体" w:hAnsi="宋体"/>
                <w:b w:val="0"/>
                <w:bCs/>
                <w:szCs w:val="21"/>
              </w:rPr>
            </w:pPr>
            <w:r>
              <w:rPr>
                <w:rFonts w:hint="eastAsia" w:ascii="宋体" w:hAnsi="宋体"/>
                <w:b w:val="0"/>
                <w:bCs/>
                <w:szCs w:val="21"/>
              </w:rPr>
              <w:t>特性</w:t>
            </w:r>
          </w:p>
        </w:tc>
        <w:tc>
          <w:tcPr>
            <w:tcW w:w="4421" w:type="pct"/>
          </w:tcPr>
          <w:p w14:paraId="798A1CE1">
            <w:pPr>
              <w:adjustRightInd w:val="0"/>
              <w:snapToGrid w:val="0"/>
              <w:spacing w:line="280" w:lineRule="exact"/>
              <w:rPr>
                <w:rFonts w:ascii="宋体" w:hAnsi="宋体"/>
                <w:b w:val="0"/>
                <w:szCs w:val="21"/>
              </w:rPr>
            </w:pPr>
            <w:r>
              <w:rPr>
                <w:rFonts w:hint="eastAsia" w:ascii="宋体" w:hAnsi="宋体"/>
                <w:b w:val="0"/>
                <w:szCs w:val="21"/>
              </w:rPr>
              <w:t>外观与性状：各色圆筒、纸包内装烟火药</w:t>
            </w:r>
          </w:p>
          <w:p w14:paraId="0AB0F979">
            <w:pPr>
              <w:adjustRightInd w:val="0"/>
              <w:snapToGrid w:val="0"/>
              <w:spacing w:line="280" w:lineRule="exact"/>
              <w:rPr>
                <w:rFonts w:ascii="宋体" w:hAnsi="宋体"/>
                <w:b w:val="0"/>
                <w:szCs w:val="21"/>
              </w:rPr>
            </w:pPr>
            <w:r>
              <w:rPr>
                <w:rFonts w:hint="eastAsia" w:ascii="宋体" w:hAnsi="宋体"/>
                <w:b w:val="0"/>
                <w:szCs w:val="21"/>
              </w:rPr>
              <w:t>燃</w:t>
            </w:r>
            <w:r>
              <w:rPr>
                <w:rFonts w:ascii="宋体" w:hAnsi="宋体"/>
                <w:b w:val="0"/>
                <w:szCs w:val="21"/>
              </w:rPr>
              <w:t xml:space="preserve">  </w:t>
            </w:r>
            <w:r>
              <w:rPr>
                <w:rFonts w:hint="eastAsia" w:ascii="宋体" w:hAnsi="宋体"/>
                <w:b w:val="0"/>
                <w:szCs w:val="21"/>
              </w:rPr>
              <w:t>烧</w:t>
            </w:r>
            <w:r>
              <w:rPr>
                <w:rFonts w:ascii="宋体" w:hAnsi="宋体"/>
                <w:b w:val="0"/>
                <w:szCs w:val="21"/>
              </w:rPr>
              <w:t xml:space="preserve">  </w:t>
            </w:r>
            <w:r>
              <w:rPr>
                <w:rFonts w:hint="eastAsia" w:ascii="宋体" w:hAnsi="宋体"/>
                <w:b w:val="0"/>
                <w:szCs w:val="21"/>
              </w:rPr>
              <w:t>性：易燃烧、爆炸。</w:t>
            </w:r>
          </w:p>
          <w:p w14:paraId="575398E8">
            <w:pPr>
              <w:adjustRightInd w:val="0"/>
              <w:snapToGrid w:val="0"/>
              <w:spacing w:line="280" w:lineRule="exact"/>
              <w:rPr>
                <w:rFonts w:ascii="宋体" w:hAnsi="宋体"/>
                <w:b w:val="0"/>
                <w:szCs w:val="21"/>
              </w:rPr>
            </w:pPr>
            <w:r>
              <w:rPr>
                <w:rFonts w:hint="eastAsia" w:ascii="宋体" w:hAnsi="宋体"/>
                <w:b w:val="0"/>
                <w:szCs w:val="21"/>
              </w:rPr>
              <w:t>化学安定性：相对安定</w:t>
            </w:r>
          </w:p>
          <w:p w14:paraId="68ED7593">
            <w:pPr>
              <w:adjustRightInd w:val="0"/>
              <w:snapToGrid w:val="0"/>
              <w:spacing w:line="280" w:lineRule="exact"/>
              <w:rPr>
                <w:rFonts w:ascii="宋体" w:hAnsi="宋体"/>
                <w:b w:val="0"/>
                <w:szCs w:val="21"/>
              </w:rPr>
            </w:pPr>
            <w:r>
              <w:rPr>
                <w:rFonts w:hint="eastAsia" w:ascii="宋体" w:hAnsi="宋体"/>
                <w:b w:val="0"/>
                <w:szCs w:val="21"/>
              </w:rPr>
              <w:t>机械感度：</w:t>
            </w:r>
            <w:r>
              <w:rPr>
                <w:rFonts w:ascii="宋体" w:hAnsi="宋体"/>
                <w:b w:val="0"/>
                <w:szCs w:val="21"/>
              </w:rPr>
              <w:t xml:space="preserve">  </w:t>
            </w:r>
            <w:r>
              <w:rPr>
                <w:rFonts w:hint="eastAsia" w:ascii="宋体" w:hAnsi="宋体"/>
                <w:b w:val="0"/>
                <w:szCs w:val="21"/>
              </w:rPr>
              <w:t>容易因撞击或摩擦起火、爆炸。</w:t>
            </w:r>
          </w:p>
          <w:p w14:paraId="5915EA94">
            <w:pPr>
              <w:adjustRightInd w:val="0"/>
              <w:snapToGrid w:val="0"/>
              <w:spacing w:line="280" w:lineRule="exact"/>
              <w:rPr>
                <w:rFonts w:ascii="宋体" w:hAnsi="宋体"/>
                <w:b w:val="0"/>
                <w:szCs w:val="21"/>
              </w:rPr>
            </w:pPr>
            <w:r>
              <w:rPr>
                <w:rFonts w:hint="eastAsia" w:ascii="宋体" w:hAnsi="宋体"/>
                <w:b w:val="0"/>
                <w:szCs w:val="21"/>
              </w:rPr>
              <w:t>火焰感度：</w:t>
            </w:r>
            <w:r>
              <w:rPr>
                <w:rFonts w:ascii="宋体" w:hAnsi="宋体"/>
                <w:b w:val="0"/>
                <w:szCs w:val="21"/>
              </w:rPr>
              <w:t xml:space="preserve">  </w:t>
            </w:r>
            <w:r>
              <w:rPr>
                <w:rFonts w:hint="eastAsia" w:ascii="宋体" w:hAnsi="宋体"/>
                <w:b w:val="0"/>
                <w:szCs w:val="21"/>
              </w:rPr>
              <w:t>容易因接触火星或火焰起火、爆炸。</w:t>
            </w:r>
          </w:p>
          <w:p w14:paraId="6ED82B41">
            <w:pPr>
              <w:adjustRightInd w:val="0"/>
              <w:snapToGrid w:val="0"/>
              <w:spacing w:line="280" w:lineRule="exact"/>
              <w:rPr>
                <w:rFonts w:ascii="宋体" w:hAnsi="宋体"/>
                <w:b w:val="0"/>
                <w:szCs w:val="21"/>
              </w:rPr>
            </w:pPr>
            <w:r>
              <w:rPr>
                <w:rFonts w:hint="eastAsia" w:ascii="宋体" w:hAnsi="宋体"/>
                <w:b w:val="0"/>
                <w:szCs w:val="21"/>
              </w:rPr>
              <w:t>热</w:t>
            </w:r>
            <w:r>
              <w:rPr>
                <w:rFonts w:ascii="宋体" w:hAnsi="宋体"/>
                <w:b w:val="0"/>
                <w:szCs w:val="21"/>
              </w:rPr>
              <w:t xml:space="preserve"> </w:t>
            </w:r>
            <w:r>
              <w:rPr>
                <w:rFonts w:hint="eastAsia" w:ascii="宋体" w:hAnsi="宋体"/>
                <w:b w:val="0"/>
                <w:szCs w:val="21"/>
              </w:rPr>
              <w:t>感</w:t>
            </w:r>
            <w:r>
              <w:rPr>
                <w:rFonts w:ascii="宋体" w:hAnsi="宋体"/>
                <w:b w:val="0"/>
                <w:szCs w:val="21"/>
              </w:rPr>
              <w:t xml:space="preserve"> </w:t>
            </w:r>
            <w:r>
              <w:rPr>
                <w:rFonts w:hint="eastAsia" w:ascii="宋体" w:hAnsi="宋体"/>
                <w:b w:val="0"/>
                <w:szCs w:val="21"/>
              </w:rPr>
              <w:t>度：</w:t>
            </w:r>
            <w:r>
              <w:rPr>
                <w:rFonts w:ascii="宋体" w:hAnsi="宋体"/>
                <w:b w:val="0"/>
                <w:szCs w:val="21"/>
              </w:rPr>
              <w:t xml:space="preserve">  </w:t>
            </w:r>
            <w:r>
              <w:rPr>
                <w:rFonts w:hint="eastAsia" w:ascii="宋体" w:hAnsi="宋体"/>
                <w:b w:val="0"/>
                <w:szCs w:val="21"/>
              </w:rPr>
              <w:t>受热或高温环境易燃烧、爆炸</w:t>
            </w:r>
          </w:p>
          <w:p w14:paraId="7B98051D">
            <w:pPr>
              <w:adjustRightInd w:val="0"/>
              <w:snapToGrid w:val="0"/>
              <w:spacing w:line="280" w:lineRule="exact"/>
              <w:rPr>
                <w:rFonts w:ascii="宋体" w:hAnsi="宋体"/>
                <w:b w:val="0"/>
                <w:szCs w:val="21"/>
              </w:rPr>
            </w:pPr>
            <w:r>
              <w:rPr>
                <w:rFonts w:hint="eastAsia" w:ascii="宋体" w:hAnsi="宋体"/>
                <w:b w:val="0"/>
                <w:szCs w:val="21"/>
              </w:rPr>
              <w:t>禁</w:t>
            </w:r>
            <w:r>
              <w:rPr>
                <w:rFonts w:ascii="宋体" w:hAnsi="宋体"/>
                <w:b w:val="0"/>
                <w:szCs w:val="21"/>
              </w:rPr>
              <w:t xml:space="preserve"> </w:t>
            </w:r>
            <w:r>
              <w:rPr>
                <w:rFonts w:hint="eastAsia" w:ascii="宋体" w:hAnsi="宋体"/>
                <w:b w:val="0"/>
                <w:szCs w:val="21"/>
              </w:rPr>
              <w:t>忌</w:t>
            </w:r>
            <w:r>
              <w:rPr>
                <w:rFonts w:ascii="宋体" w:hAnsi="宋体"/>
                <w:b w:val="0"/>
                <w:szCs w:val="21"/>
              </w:rPr>
              <w:t xml:space="preserve"> </w:t>
            </w:r>
            <w:r>
              <w:rPr>
                <w:rFonts w:hint="eastAsia" w:ascii="宋体" w:hAnsi="宋体"/>
                <w:b w:val="0"/>
                <w:szCs w:val="21"/>
              </w:rPr>
              <w:t>物：</w:t>
            </w:r>
            <w:r>
              <w:rPr>
                <w:rFonts w:ascii="宋体" w:hAnsi="宋体"/>
                <w:b w:val="0"/>
                <w:szCs w:val="21"/>
              </w:rPr>
              <w:t xml:space="preserve">  </w:t>
            </w:r>
            <w:r>
              <w:rPr>
                <w:rFonts w:hint="eastAsia" w:ascii="宋体" w:hAnsi="宋体"/>
                <w:b w:val="0"/>
                <w:szCs w:val="21"/>
              </w:rPr>
              <w:t>热、火焰、撞击、摩擦、静电、雷电、潮湿环境。</w:t>
            </w:r>
          </w:p>
        </w:tc>
      </w:tr>
      <w:tr w14:paraId="42BA2C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578" w:type="pct"/>
            <w:vAlign w:val="center"/>
          </w:tcPr>
          <w:p w14:paraId="29D9E944">
            <w:pPr>
              <w:adjustRightInd w:val="0"/>
              <w:snapToGrid w:val="0"/>
              <w:spacing w:line="280" w:lineRule="exact"/>
              <w:jc w:val="center"/>
              <w:rPr>
                <w:rFonts w:ascii="宋体" w:hAnsi="宋体"/>
                <w:b w:val="0"/>
                <w:bCs/>
                <w:szCs w:val="21"/>
              </w:rPr>
            </w:pPr>
            <w:r>
              <w:rPr>
                <w:rFonts w:hint="eastAsia" w:ascii="宋体" w:hAnsi="宋体"/>
                <w:b w:val="0"/>
                <w:bCs/>
                <w:szCs w:val="21"/>
              </w:rPr>
              <w:t>危险有</w:t>
            </w:r>
          </w:p>
          <w:p w14:paraId="63239E42">
            <w:pPr>
              <w:adjustRightInd w:val="0"/>
              <w:snapToGrid w:val="0"/>
              <w:spacing w:line="280" w:lineRule="exact"/>
              <w:jc w:val="center"/>
              <w:rPr>
                <w:rFonts w:ascii="宋体" w:hAnsi="宋体"/>
                <w:b w:val="0"/>
                <w:bCs/>
                <w:szCs w:val="21"/>
              </w:rPr>
            </w:pPr>
            <w:r>
              <w:rPr>
                <w:rFonts w:hint="eastAsia" w:ascii="宋体" w:hAnsi="宋体"/>
                <w:b w:val="0"/>
                <w:bCs/>
                <w:szCs w:val="21"/>
              </w:rPr>
              <w:t>害特性</w:t>
            </w:r>
          </w:p>
        </w:tc>
        <w:tc>
          <w:tcPr>
            <w:tcW w:w="4421" w:type="pct"/>
            <w:vAlign w:val="center"/>
          </w:tcPr>
          <w:p w14:paraId="35965D2B">
            <w:pPr>
              <w:adjustRightInd w:val="0"/>
              <w:snapToGrid w:val="0"/>
              <w:spacing w:line="280" w:lineRule="exact"/>
              <w:ind w:left="1050" w:hanging="1050" w:hangingChars="500"/>
              <w:rPr>
                <w:rFonts w:ascii="宋体" w:hAnsi="宋体"/>
                <w:b w:val="0"/>
                <w:szCs w:val="21"/>
              </w:rPr>
            </w:pPr>
            <w:r>
              <w:rPr>
                <w:rFonts w:hint="eastAsia" w:ascii="宋体" w:hAnsi="宋体"/>
                <w:b w:val="0"/>
                <w:szCs w:val="21"/>
              </w:rPr>
              <w:t>危险特性：遇高热、明火、震动、电能、撞击有引起火灾、爆炸的可能。</w:t>
            </w:r>
          </w:p>
          <w:p w14:paraId="567BC9BA">
            <w:pPr>
              <w:adjustRightInd w:val="0"/>
              <w:snapToGrid w:val="0"/>
              <w:spacing w:line="280" w:lineRule="exact"/>
              <w:ind w:left="1050" w:hanging="1050" w:hangingChars="500"/>
              <w:rPr>
                <w:rFonts w:ascii="宋体" w:hAnsi="宋体"/>
                <w:b w:val="0"/>
                <w:szCs w:val="21"/>
              </w:rPr>
            </w:pPr>
            <w:r>
              <w:rPr>
                <w:rFonts w:hint="eastAsia" w:ascii="宋体" w:hAnsi="宋体"/>
                <w:b w:val="0"/>
                <w:szCs w:val="21"/>
              </w:rPr>
              <w:t>有害特性：燃烧、爆炸产物中含有有毒有害物质。</w:t>
            </w:r>
          </w:p>
        </w:tc>
      </w:tr>
      <w:tr w14:paraId="0EE1B7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578" w:type="pct"/>
            <w:vAlign w:val="center"/>
          </w:tcPr>
          <w:p w14:paraId="1217AEA5">
            <w:pPr>
              <w:adjustRightInd w:val="0"/>
              <w:snapToGrid w:val="0"/>
              <w:spacing w:line="280" w:lineRule="exact"/>
              <w:jc w:val="center"/>
              <w:rPr>
                <w:rFonts w:ascii="宋体" w:hAnsi="宋体"/>
                <w:b w:val="0"/>
                <w:bCs/>
                <w:szCs w:val="21"/>
              </w:rPr>
            </w:pPr>
            <w:r>
              <w:rPr>
                <w:rFonts w:hint="eastAsia" w:ascii="宋体" w:hAnsi="宋体"/>
                <w:b w:val="0"/>
                <w:bCs/>
                <w:szCs w:val="21"/>
              </w:rPr>
              <w:t>事</w:t>
            </w:r>
            <w:r>
              <w:rPr>
                <w:rFonts w:ascii="宋体" w:hAnsi="宋体"/>
                <w:b w:val="0"/>
                <w:bCs/>
                <w:szCs w:val="21"/>
              </w:rPr>
              <w:t xml:space="preserve"> </w:t>
            </w:r>
            <w:r>
              <w:rPr>
                <w:rFonts w:hint="eastAsia" w:ascii="宋体" w:hAnsi="宋体"/>
                <w:b w:val="0"/>
                <w:bCs/>
                <w:szCs w:val="21"/>
              </w:rPr>
              <w:t>故</w:t>
            </w:r>
          </w:p>
          <w:p w14:paraId="7D9A9E34">
            <w:pPr>
              <w:adjustRightInd w:val="0"/>
              <w:snapToGrid w:val="0"/>
              <w:spacing w:line="280" w:lineRule="exact"/>
              <w:jc w:val="center"/>
              <w:rPr>
                <w:rFonts w:ascii="宋体" w:hAnsi="宋体"/>
                <w:b w:val="0"/>
                <w:bCs/>
                <w:szCs w:val="21"/>
              </w:rPr>
            </w:pPr>
            <w:r>
              <w:rPr>
                <w:rFonts w:hint="eastAsia" w:ascii="宋体" w:hAnsi="宋体"/>
                <w:b w:val="0"/>
                <w:bCs/>
                <w:szCs w:val="21"/>
              </w:rPr>
              <w:t>处</w:t>
            </w:r>
            <w:r>
              <w:rPr>
                <w:rFonts w:ascii="宋体" w:hAnsi="宋体"/>
                <w:b w:val="0"/>
                <w:bCs/>
                <w:szCs w:val="21"/>
              </w:rPr>
              <w:t xml:space="preserve"> </w:t>
            </w:r>
            <w:r>
              <w:rPr>
                <w:rFonts w:hint="eastAsia" w:ascii="宋体" w:hAnsi="宋体"/>
                <w:b w:val="0"/>
                <w:bCs/>
                <w:szCs w:val="21"/>
              </w:rPr>
              <w:t>理</w:t>
            </w:r>
          </w:p>
        </w:tc>
        <w:tc>
          <w:tcPr>
            <w:tcW w:w="4421" w:type="pct"/>
            <w:vAlign w:val="center"/>
          </w:tcPr>
          <w:p w14:paraId="43F69169">
            <w:pPr>
              <w:adjustRightInd w:val="0"/>
              <w:snapToGrid w:val="0"/>
              <w:spacing w:line="280" w:lineRule="exact"/>
              <w:ind w:left="1050" w:hanging="1050" w:hangingChars="500"/>
              <w:rPr>
                <w:rFonts w:ascii="宋体" w:hAnsi="宋体"/>
                <w:b w:val="0"/>
                <w:szCs w:val="21"/>
              </w:rPr>
            </w:pPr>
            <w:r>
              <w:rPr>
                <w:rFonts w:hint="eastAsia" w:ascii="宋体" w:hAnsi="宋体"/>
                <w:b w:val="0"/>
                <w:bCs/>
                <w:szCs w:val="21"/>
              </w:rPr>
              <w:t>应急措施</w:t>
            </w:r>
            <w:r>
              <w:rPr>
                <w:rFonts w:hint="eastAsia" w:ascii="宋体" w:hAnsi="宋体"/>
                <w:b w:val="0"/>
                <w:szCs w:val="21"/>
              </w:rPr>
              <w:t>：对外伤，要及时做好止血、包扎，急送医院抢救。</w:t>
            </w:r>
          </w:p>
          <w:p w14:paraId="7E33508B">
            <w:pPr>
              <w:adjustRightInd w:val="0"/>
              <w:snapToGrid w:val="0"/>
              <w:spacing w:line="280" w:lineRule="exact"/>
              <w:ind w:left="1050" w:hanging="1050" w:hangingChars="500"/>
              <w:rPr>
                <w:rFonts w:ascii="宋体" w:hAnsi="宋体"/>
                <w:b w:val="0"/>
                <w:szCs w:val="21"/>
              </w:rPr>
            </w:pPr>
            <w:r>
              <w:rPr>
                <w:rFonts w:hint="eastAsia" w:ascii="宋体" w:hAnsi="宋体"/>
                <w:b w:val="0"/>
                <w:bCs/>
                <w:szCs w:val="21"/>
              </w:rPr>
              <w:t>消防措施</w:t>
            </w:r>
            <w:r>
              <w:rPr>
                <w:rFonts w:hint="eastAsia" w:ascii="宋体" w:hAnsi="宋体"/>
                <w:b w:val="0"/>
                <w:szCs w:val="21"/>
              </w:rPr>
              <w:t>：爆炸后若起火，可用水扑灭</w:t>
            </w:r>
          </w:p>
        </w:tc>
      </w:tr>
      <w:tr w14:paraId="7D97AF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578" w:type="pct"/>
            <w:vAlign w:val="center"/>
          </w:tcPr>
          <w:p w14:paraId="20D6007F">
            <w:pPr>
              <w:adjustRightInd w:val="0"/>
              <w:snapToGrid w:val="0"/>
              <w:spacing w:line="280" w:lineRule="exact"/>
              <w:jc w:val="center"/>
              <w:rPr>
                <w:rFonts w:ascii="宋体" w:hAnsi="宋体"/>
                <w:b w:val="0"/>
                <w:szCs w:val="21"/>
              </w:rPr>
            </w:pPr>
            <w:r>
              <w:rPr>
                <w:rFonts w:hint="eastAsia" w:ascii="宋体" w:hAnsi="宋体"/>
                <w:b w:val="0"/>
                <w:szCs w:val="21"/>
              </w:rPr>
              <w:t>储运</w:t>
            </w:r>
          </w:p>
          <w:p w14:paraId="6D71761D">
            <w:pPr>
              <w:adjustRightInd w:val="0"/>
              <w:snapToGrid w:val="0"/>
              <w:spacing w:line="280" w:lineRule="exact"/>
              <w:jc w:val="center"/>
              <w:rPr>
                <w:rFonts w:ascii="宋体" w:hAnsi="宋体"/>
                <w:b w:val="0"/>
                <w:szCs w:val="21"/>
              </w:rPr>
            </w:pPr>
            <w:r>
              <w:rPr>
                <w:rFonts w:hint="eastAsia" w:ascii="宋体" w:hAnsi="宋体"/>
                <w:b w:val="0"/>
                <w:szCs w:val="21"/>
              </w:rPr>
              <w:t>措施</w:t>
            </w:r>
          </w:p>
        </w:tc>
        <w:tc>
          <w:tcPr>
            <w:tcW w:w="4421" w:type="pct"/>
            <w:vAlign w:val="center"/>
          </w:tcPr>
          <w:p w14:paraId="6E90D98F">
            <w:pPr>
              <w:adjustRightInd w:val="0"/>
              <w:snapToGrid w:val="0"/>
              <w:spacing w:line="280" w:lineRule="exact"/>
              <w:rPr>
                <w:rFonts w:ascii="宋体" w:hAnsi="宋体"/>
                <w:b w:val="0"/>
                <w:szCs w:val="21"/>
              </w:rPr>
            </w:pPr>
            <w:r>
              <w:rPr>
                <w:rFonts w:hint="eastAsia" w:ascii="宋体" w:hAnsi="宋体"/>
                <w:b w:val="0"/>
                <w:szCs w:val="21"/>
              </w:rPr>
              <w:t>储存于阴凉、干燥、通风良好的爆炸品专用仓库内。储存环境温度一般不得超过</w:t>
            </w:r>
            <w:r>
              <w:rPr>
                <w:rFonts w:ascii="宋体" w:hAnsi="宋体"/>
                <w:b w:val="0"/>
                <w:szCs w:val="21"/>
              </w:rPr>
              <w:t>40</w:t>
            </w:r>
            <w:r>
              <w:rPr>
                <w:rFonts w:hint="eastAsia" w:ascii="宋体" w:hAnsi="宋体"/>
                <w:b w:val="0"/>
                <w:szCs w:val="21"/>
              </w:rPr>
              <w:t>℃，特殊情况下可达</w:t>
            </w:r>
            <w:r>
              <w:rPr>
                <w:rFonts w:ascii="宋体" w:hAnsi="宋体"/>
                <w:b w:val="0"/>
                <w:szCs w:val="21"/>
              </w:rPr>
              <w:t>40</w:t>
            </w:r>
            <w:r>
              <w:rPr>
                <w:rFonts w:hint="eastAsia" w:ascii="宋体" w:hAnsi="宋体"/>
                <w:b w:val="0"/>
                <w:szCs w:val="21"/>
              </w:rPr>
              <w:t>～</w:t>
            </w:r>
            <w:r>
              <w:rPr>
                <w:rFonts w:ascii="宋体" w:hAnsi="宋体"/>
                <w:b w:val="0"/>
                <w:szCs w:val="21"/>
              </w:rPr>
              <w:t>50</w:t>
            </w:r>
            <w:r>
              <w:rPr>
                <w:rFonts w:hint="eastAsia" w:ascii="宋体" w:hAnsi="宋体"/>
                <w:b w:val="0"/>
                <w:szCs w:val="21"/>
              </w:rPr>
              <w:t>℃，但持续时间不得超过</w:t>
            </w:r>
            <w:r>
              <w:rPr>
                <w:rFonts w:ascii="宋体" w:hAnsi="宋体"/>
                <w:b w:val="0"/>
                <w:szCs w:val="21"/>
              </w:rPr>
              <w:t>48</w:t>
            </w:r>
            <w:r>
              <w:rPr>
                <w:rFonts w:hint="eastAsia" w:ascii="宋体" w:hAnsi="宋体"/>
                <w:b w:val="0"/>
                <w:szCs w:val="21"/>
              </w:rPr>
              <w:t>小时。按爆炸品配装表分类划区储运。搬运时轻装轻卸，防止碰撞而引起危险。</w:t>
            </w:r>
          </w:p>
        </w:tc>
      </w:tr>
    </w:tbl>
    <w:p w14:paraId="74A227AB">
      <w:pPr>
        <w:rPr>
          <w:rFonts w:ascii="黑体" w:hAnsi="黑体" w:eastAsia="黑体"/>
          <w:b w:val="0"/>
          <w:sz w:val="30"/>
          <w:szCs w:val="30"/>
        </w:rPr>
      </w:pPr>
      <w:bookmarkStart w:id="276" w:name="_Toc1522"/>
      <w:bookmarkStart w:id="277" w:name="_Toc53314970"/>
      <w:bookmarkStart w:id="278" w:name="_Toc148036990"/>
      <w:bookmarkStart w:id="279" w:name="_Toc58861989"/>
      <w:bookmarkStart w:id="280" w:name="_Toc145275195"/>
      <w:bookmarkStart w:id="281" w:name="_Toc58946821"/>
      <w:bookmarkStart w:id="282" w:name="_Toc173077661"/>
      <w:bookmarkStart w:id="283" w:name="_Toc60129104"/>
      <w:bookmarkStart w:id="284" w:name="_Toc181194068"/>
      <w:bookmarkStart w:id="285" w:name="_Toc335902402"/>
      <w:bookmarkStart w:id="286" w:name="_Toc303076672"/>
      <w:bookmarkStart w:id="287" w:name="_Toc35352241"/>
      <w:bookmarkStart w:id="288" w:name="_Toc271898752"/>
      <w:bookmarkStart w:id="289" w:name="_Toc294247814"/>
      <w:bookmarkStart w:id="290" w:name="_Toc271898753"/>
      <w:bookmarkStart w:id="291" w:name="_Toc294247815"/>
      <w:bookmarkStart w:id="292" w:name="_Toc335902403"/>
      <w:bookmarkStart w:id="293" w:name="_Toc237224713"/>
      <w:bookmarkStart w:id="294" w:name="_Toc213127078"/>
    </w:p>
    <w:p w14:paraId="278E450A">
      <w:pPr>
        <w:rPr>
          <w:rFonts w:ascii="黑体" w:hAnsi="黑体" w:eastAsia="黑体"/>
          <w:b w:val="0"/>
          <w:sz w:val="30"/>
          <w:szCs w:val="30"/>
        </w:rPr>
      </w:pPr>
      <w:r>
        <w:rPr>
          <w:rFonts w:hint="eastAsia" w:ascii="黑体" w:hAnsi="黑体" w:eastAsia="黑体"/>
          <w:b w:val="0"/>
          <w:sz w:val="30"/>
          <w:szCs w:val="30"/>
        </w:rPr>
        <w:t>3</w:t>
      </w:r>
      <w:bookmarkEnd w:id="276"/>
      <w:bookmarkEnd w:id="277"/>
      <w:r>
        <w:rPr>
          <w:rFonts w:hint="eastAsia" w:ascii="黑体" w:hAnsi="黑体" w:eastAsia="黑体"/>
          <w:b w:val="0"/>
          <w:sz w:val="30"/>
          <w:szCs w:val="30"/>
        </w:rPr>
        <w:t>.</w:t>
      </w:r>
      <w:r>
        <w:rPr>
          <w:rFonts w:ascii="黑体" w:hAnsi="黑体" w:eastAsia="黑体"/>
          <w:b w:val="0"/>
          <w:sz w:val="30"/>
          <w:szCs w:val="30"/>
        </w:rPr>
        <w:t>3</w:t>
      </w:r>
      <w:r>
        <w:rPr>
          <w:rFonts w:hint="eastAsia" w:ascii="黑体" w:hAnsi="黑体" w:eastAsia="黑体"/>
          <w:b w:val="0"/>
          <w:sz w:val="30"/>
          <w:szCs w:val="30"/>
        </w:rPr>
        <w:t>.6剧毒化学品、易制毒化学品、监控化学品、易制爆化学品辨识</w:t>
      </w:r>
      <w:bookmarkEnd w:id="278"/>
      <w:bookmarkEnd w:id="279"/>
      <w:bookmarkEnd w:id="280"/>
      <w:bookmarkEnd w:id="281"/>
      <w:bookmarkEnd w:id="282"/>
      <w:bookmarkEnd w:id="283"/>
      <w:bookmarkEnd w:id="284"/>
    </w:p>
    <w:p w14:paraId="1BAFE4E4">
      <w:pPr>
        <w:spacing w:line="360" w:lineRule="auto"/>
        <w:ind w:firstLine="560" w:firstLineChars="200"/>
        <w:rPr>
          <w:rFonts w:ascii="宋体" w:hAnsi="宋体"/>
          <w:b w:val="0"/>
          <w:sz w:val="28"/>
          <w:szCs w:val="28"/>
        </w:rPr>
      </w:pPr>
      <w:r>
        <w:rPr>
          <w:rFonts w:hint="eastAsia" w:ascii="宋体" w:hAnsi="宋体"/>
          <w:b w:val="0"/>
          <w:sz w:val="28"/>
          <w:szCs w:val="28"/>
        </w:rPr>
        <w:t>依据《危险化学品目录》（2026版）辨识，该企业在生产、储存中无剧毒化学品。依据《易制毒化学品管理条例》（国务院令〔2018〕第703号修改）中的附表《易制毒化学品的分类和品种目录》辨识，该企业在生产、储存中无易制毒化学品。依据《</w:t>
      </w:r>
      <w:r>
        <w:rPr>
          <w:rFonts w:ascii="宋体" w:hAnsi="宋体"/>
          <w:b w:val="0"/>
          <w:sz w:val="28"/>
          <w:szCs w:val="28"/>
        </w:rPr>
        <w:t>监控化学品管理条例</w:t>
      </w:r>
      <w:r>
        <w:rPr>
          <w:rFonts w:hint="eastAsia" w:ascii="宋体" w:hAnsi="宋体"/>
          <w:b w:val="0"/>
          <w:sz w:val="28"/>
          <w:szCs w:val="28"/>
        </w:rPr>
        <w:t>》（</w:t>
      </w:r>
      <w:r>
        <w:rPr>
          <w:rFonts w:ascii="宋体" w:hAnsi="宋体"/>
          <w:b w:val="0"/>
          <w:sz w:val="28"/>
          <w:szCs w:val="28"/>
        </w:rPr>
        <w:t>国务院令</w:t>
      </w:r>
      <w:r>
        <w:rPr>
          <w:rFonts w:hint="eastAsia" w:ascii="宋体" w:hAnsi="宋体"/>
          <w:b w:val="0"/>
          <w:sz w:val="28"/>
          <w:szCs w:val="28"/>
        </w:rPr>
        <w:t>〔2011〕</w:t>
      </w:r>
      <w:r>
        <w:rPr>
          <w:rFonts w:ascii="宋体" w:hAnsi="宋体"/>
          <w:b w:val="0"/>
          <w:sz w:val="28"/>
          <w:szCs w:val="28"/>
        </w:rPr>
        <w:t>第</w:t>
      </w:r>
      <w:r>
        <w:rPr>
          <w:rFonts w:hint="eastAsia" w:ascii="宋体" w:hAnsi="宋体"/>
          <w:b w:val="0"/>
          <w:sz w:val="28"/>
          <w:szCs w:val="28"/>
        </w:rPr>
        <w:t>588</w:t>
      </w:r>
      <w:r>
        <w:rPr>
          <w:rFonts w:ascii="宋体" w:hAnsi="宋体"/>
          <w:b w:val="0"/>
          <w:sz w:val="28"/>
          <w:szCs w:val="28"/>
        </w:rPr>
        <w:t>号</w:t>
      </w:r>
      <w:r>
        <w:rPr>
          <w:rFonts w:hint="eastAsia" w:ascii="宋体" w:hAnsi="宋体"/>
          <w:b w:val="0"/>
          <w:sz w:val="28"/>
          <w:szCs w:val="28"/>
        </w:rPr>
        <w:t>修改）中辨识，该企业在生产、储存中无监控化学品。</w:t>
      </w:r>
    </w:p>
    <w:p w14:paraId="33E28462">
      <w:pPr>
        <w:spacing w:line="360" w:lineRule="auto"/>
        <w:ind w:firstLine="560" w:firstLineChars="200"/>
        <w:rPr>
          <w:rFonts w:ascii="黑体" w:hAnsi="宋体" w:eastAsia="黑体"/>
          <w:b w:val="0"/>
          <w:sz w:val="24"/>
        </w:rPr>
      </w:pPr>
      <w:r>
        <w:rPr>
          <w:rFonts w:hint="eastAsia" w:ascii="宋体" w:hAnsi="宋体"/>
          <w:b w:val="0"/>
          <w:sz w:val="28"/>
          <w:szCs w:val="28"/>
        </w:rPr>
        <w:t>根据公安部《易制爆危险化学品名录》（2017年版），本项目涉及易制爆化学品辨识情况如表</w:t>
      </w:r>
      <w:r>
        <w:rPr>
          <w:rFonts w:ascii="宋体" w:hAnsi="宋体"/>
          <w:b w:val="0"/>
          <w:sz w:val="28"/>
          <w:szCs w:val="28"/>
        </w:rPr>
        <w:t>3.3-</w:t>
      </w:r>
      <w:r>
        <w:rPr>
          <w:rFonts w:hint="eastAsia" w:ascii="宋体" w:hAnsi="宋体"/>
          <w:b w:val="0"/>
          <w:sz w:val="28"/>
          <w:szCs w:val="28"/>
        </w:rPr>
        <w:t>21。</w:t>
      </w:r>
    </w:p>
    <w:p w14:paraId="4BD28359">
      <w:pPr>
        <w:jc w:val="center"/>
        <w:rPr>
          <w:rFonts w:ascii="黑体" w:hAnsi="宋体" w:eastAsia="黑体"/>
          <w:b w:val="0"/>
          <w:sz w:val="24"/>
        </w:rPr>
      </w:pPr>
      <w:r>
        <w:rPr>
          <w:rFonts w:hint="eastAsia" w:ascii="黑体" w:hAnsi="宋体" w:eastAsia="黑体"/>
          <w:b w:val="0"/>
          <w:sz w:val="24"/>
        </w:rPr>
        <w:t>表3.</w:t>
      </w:r>
      <w:r>
        <w:rPr>
          <w:rFonts w:ascii="黑体" w:hAnsi="宋体" w:eastAsia="黑体"/>
          <w:b w:val="0"/>
          <w:sz w:val="24"/>
        </w:rPr>
        <w:t>3</w:t>
      </w:r>
      <w:r>
        <w:rPr>
          <w:rFonts w:hint="eastAsia" w:ascii="黑体" w:hAnsi="宋体" w:eastAsia="黑体"/>
          <w:b w:val="0"/>
          <w:sz w:val="24"/>
        </w:rPr>
        <w:t>-21 易制爆危险化学品辨识表</w:t>
      </w:r>
    </w:p>
    <w:tbl>
      <w:tblPr>
        <w:tblStyle w:val="88"/>
        <w:tblW w:w="893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53"/>
        <w:gridCol w:w="1417"/>
        <w:gridCol w:w="1276"/>
        <w:gridCol w:w="1417"/>
        <w:gridCol w:w="4075"/>
      </w:tblGrid>
      <w:tr w14:paraId="3B0EF1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2" w:hRule="atLeast"/>
          <w:tblHeader/>
          <w:jc w:val="center"/>
        </w:trPr>
        <w:tc>
          <w:tcPr>
            <w:tcW w:w="753" w:type="dxa"/>
            <w:vAlign w:val="center"/>
          </w:tcPr>
          <w:p w14:paraId="678F4331">
            <w:pPr>
              <w:jc w:val="center"/>
              <w:rPr>
                <w:rFonts w:ascii="宋体" w:hAnsi="宋体"/>
                <w:szCs w:val="21"/>
              </w:rPr>
            </w:pPr>
            <w:r>
              <w:rPr>
                <w:rFonts w:hint="eastAsia" w:ascii="宋体" w:hAnsi="宋体"/>
                <w:szCs w:val="21"/>
              </w:rPr>
              <w:t>名录</w:t>
            </w:r>
            <w:r>
              <w:rPr>
                <w:rFonts w:ascii="宋体" w:hAnsi="宋体"/>
                <w:szCs w:val="21"/>
              </w:rPr>
              <w:t>序号</w:t>
            </w:r>
          </w:p>
        </w:tc>
        <w:tc>
          <w:tcPr>
            <w:tcW w:w="1417" w:type="dxa"/>
            <w:vAlign w:val="center"/>
          </w:tcPr>
          <w:p w14:paraId="4B4F281D">
            <w:pPr>
              <w:jc w:val="center"/>
              <w:rPr>
                <w:rFonts w:ascii="宋体" w:hAnsi="宋体"/>
                <w:szCs w:val="21"/>
              </w:rPr>
            </w:pPr>
            <w:r>
              <w:rPr>
                <w:rFonts w:ascii="宋体" w:hAnsi="宋体"/>
                <w:szCs w:val="21"/>
              </w:rPr>
              <w:t>品名</w:t>
            </w:r>
          </w:p>
        </w:tc>
        <w:tc>
          <w:tcPr>
            <w:tcW w:w="1276" w:type="dxa"/>
            <w:vAlign w:val="center"/>
          </w:tcPr>
          <w:p w14:paraId="0BFD13AA">
            <w:pPr>
              <w:jc w:val="center"/>
              <w:rPr>
                <w:rFonts w:ascii="宋体" w:hAnsi="宋体"/>
                <w:szCs w:val="21"/>
              </w:rPr>
            </w:pPr>
            <w:r>
              <w:rPr>
                <w:rFonts w:ascii="宋体" w:hAnsi="宋体"/>
                <w:szCs w:val="21"/>
              </w:rPr>
              <w:t>别名</w:t>
            </w:r>
          </w:p>
        </w:tc>
        <w:tc>
          <w:tcPr>
            <w:tcW w:w="1417" w:type="dxa"/>
            <w:vAlign w:val="center"/>
          </w:tcPr>
          <w:p w14:paraId="6F9B7EEF">
            <w:pPr>
              <w:jc w:val="center"/>
              <w:rPr>
                <w:rFonts w:ascii="宋体" w:hAnsi="宋体"/>
                <w:szCs w:val="21"/>
              </w:rPr>
            </w:pPr>
            <w:r>
              <w:rPr>
                <w:rFonts w:ascii="宋体" w:hAnsi="宋体"/>
                <w:szCs w:val="21"/>
              </w:rPr>
              <w:t>CAS号</w:t>
            </w:r>
          </w:p>
        </w:tc>
        <w:tc>
          <w:tcPr>
            <w:tcW w:w="4075" w:type="dxa"/>
            <w:vAlign w:val="center"/>
          </w:tcPr>
          <w:p w14:paraId="167C5954">
            <w:pPr>
              <w:ind w:left="4" w:leftChars="-9" w:hanging="23" w:hangingChars="11"/>
              <w:jc w:val="center"/>
              <w:rPr>
                <w:rFonts w:ascii="宋体" w:hAnsi="宋体"/>
                <w:szCs w:val="21"/>
              </w:rPr>
            </w:pPr>
            <w:r>
              <w:rPr>
                <w:rFonts w:ascii="宋体" w:hAnsi="宋体"/>
                <w:szCs w:val="21"/>
              </w:rPr>
              <w:t>主要的燃爆危险性分类</w:t>
            </w:r>
          </w:p>
        </w:tc>
      </w:tr>
      <w:tr w14:paraId="334017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4" w:hRule="atLeast"/>
          <w:jc w:val="center"/>
        </w:trPr>
        <w:tc>
          <w:tcPr>
            <w:tcW w:w="753" w:type="dxa"/>
            <w:vAlign w:val="center"/>
          </w:tcPr>
          <w:p w14:paraId="213F9C4F">
            <w:pPr>
              <w:jc w:val="center"/>
              <w:rPr>
                <w:rFonts w:ascii="宋体" w:hAnsi="宋体"/>
                <w:b w:val="0"/>
                <w:szCs w:val="21"/>
              </w:rPr>
            </w:pPr>
            <w:r>
              <w:rPr>
                <w:rFonts w:ascii="宋体" w:hAnsi="宋体"/>
                <w:b w:val="0"/>
                <w:szCs w:val="21"/>
              </w:rPr>
              <w:t>2.2</w:t>
            </w:r>
          </w:p>
        </w:tc>
        <w:tc>
          <w:tcPr>
            <w:tcW w:w="1417" w:type="dxa"/>
            <w:vAlign w:val="center"/>
          </w:tcPr>
          <w:p w14:paraId="3079BD6C">
            <w:pPr>
              <w:jc w:val="center"/>
              <w:rPr>
                <w:rFonts w:ascii="宋体" w:hAnsi="宋体"/>
                <w:b w:val="0"/>
                <w:szCs w:val="21"/>
              </w:rPr>
            </w:pPr>
            <w:r>
              <w:rPr>
                <w:rFonts w:ascii="宋体" w:hAnsi="宋体"/>
                <w:b w:val="0"/>
                <w:szCs w:val="21"/>
              </w:rPr>
              <w:t>硝酸钾</w:t>
            </w:r>
          </w:p>
        </w:tc>
        <w:tc>
          <w:tcPr>
            <w:tcW w:w="1276" w:type="dxa"/>
            <w:vAlign w:val="center"/>
          </w:tcPr>
          <w:p w14:paraId="5A9951F4">
            <w:pPr>
              <w:jc w:val="center"/>
              <w:rPr>
                <w:rFonts w:ascii="宋体" w:hAnsi="宋体"/>
                <w:b w:val="0"/>
                <w:szCs w:val="21"/>
              </w:rPr>
            </w:pPr>
            <w:r>
              <w:rPr>
                <w:rFonts w:hint="eastAsia" w:ascii="宋体" w:hAnsi="宋体"/>
                <w:b w:val="0"/>
                <w:szCs w:val="21"/>
              </w:rPr>
              <w:t>--</w:t>
            </w:r>
          </w:p>
        </w:tc>
        <w:tc>
          <w:tcPr>
            <w:tcW w:w="1417" w:type="dxa"/>
            <w:vAlign w:val="center"/>
          </w:tcPr>
          <w:p w14:paraId="11C18083">
            <w:pPr>
              <w:jc w:val="center"/>
              <w:rPr>
                <w:rFonts w:ascii="宋体" w:hAnsi="宋体"/>
                <w:b w:val="0"/>
                <w:szCs w:val="21"/>
              </w:rPr>
            </w:pPr>
            <w:r>
              <w:rPr>
                <w:rFonts w:ascii="宋体" w:hAnsi="宋体"/>
                <w:b w:val="0"/>
                <w:szCs w:val="21"/>
              </w:rPr>
              <w:t>7757-79-1</w:t>
            </w:r>
          </w:p>
        </w:tc>
        <w:tc>
          <w:tcPr>
            <w:tcW w:w="4075" w:type="dxa"/>
            <w:vAlign w:val="center"/>
          </w:tcPr>
          <w:p w14:paraId="7790EFFB">
            <w:pPr>
              <w:jc w:val="left"/>
              <w:rPr>
                <w:rFonts w:ascii="宋体" w:hAnsi="宋体"/>
                <w:b w:val="0"/>
                <w:szCs w:val="21"/>
              </w:rPr>
            </w:pPr>
            <w:r>
              <w:rPr>
                <w:rFonts w:ascii="宋体" w:hAnsi="宋体"/>
                <w:b w:val="0"/>
                <w:szCs w:val="21"/>
              </w:rPr>
              <w:t>氧化性固体，类别3</w:t>
            </w:r>
          </w:p>
        </w:tc>
      </w:tr>
      <w:tr w14:paraId="359BA0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5" w:hRule="atLeast"/>
          <w:jc w:val="center"/>
        </w:trPr>
        <w:tc>
          <w:tcPr>
            <w:tcW w:w="753" w:type="dxa"/>
            <w:vAlign w:val="center"/>
          </w:tcPr>
          <w:p w14:paraId="0AE2E82D">
            <w:pPr>
              <w:jc w:val="center"/>
              <w:rPr>
                <w:rFonts w:ascii="宋体" w:hAnsi="宋体"/>
                <w:b w:val="0"/>
                <w:szCs w:val="21"/>
              </w:rPr>
            </w:pPr>
            <w:r>
              <w:rPr>
                <w:rFonts w:ascii="宋体" w:hAnsi="宋体"/>
                <w:b w:val="0"/>
                <w:szCs w:val="21"/>
              </w:rPr>
              <w:t>2.7</w:t>
            </w:r>
          </w:p>
        </w:tc>
        <w:tc>
          <w:tcPr>
            <w:tcW w:w="1417" w:type="dxa"/>
            <w:vAlign w:val="center"/>
          </w:tcPr>
          <w:p w14:paraId="2C9B50F9">
            <w:pPr>
              <w:jc w:val="center"/>
              <w:rPr>
                <w:rFonts w:ascii="宋体" w:hAnsi="宋体"/>
                <w:b w:val="0"/>
                <w:szCs w:val="21"/>
              </w:rPr>
            </w:pPr>
            <w:r>
              <w:rPr>
                <w:rFonts w:ascii="宋体" w:hAnsi="宋体"/>
                <w:b w:val="0"/>
                <w:szCs w:val="21"/>
              </w:rPr>
              <w:t>硝酸钡</w:t>
            </w:r>
          </w:p>
        </w:tc>
        <w:tc>
          <w:tcPr>
            <w:tcW w:w="1276" w:type="dxa"/>
            <w:vAlign w:val="center"/>
          </w:tcPr>
          <w:p w14:paraId="0C129264">
            <w:pPr>
              <w:jc w:val="center"/>
              <w:rPr>
                <w:rFonts w:ascii="宋体" w:hAnsi="宋体"/>
                <w:b w:val="0"/>
                <w:szCs w:val="21"/>
              </w:rPr>
            </w:pPr>
            <w:r>
              <w:rPr>
                <w:rFonts w:hint="eastAsia" w:ascii="宋体" w:hAnsi="宋体"/>
                <w:b w:val="0"/>
                <w:szCs w:val="21"/>
              </w:rPr>
              <w:t>--</w:t>
            </w:r>
          </w:p>
        </w:tc>
        <w:tc>
          <w:tcPr>
            <w:tcW w:w="1417" w:type="dxa"/>
            <w:vAlign w:val="center"/>
          </w:tcPr>
          <w:p w14:paraId="792DC131">
            <w:pPr>
              <w:jc w:val="center"/>
              <w:rPr>
                <w:rFonts w:ascii="宋体" w:hAnsi="宋体"/>
                <w:b w:val="0"/>
                <w:szCs w:val="21"/>
              </w:rPr>
            </w:pPr>
            <w:r>
              <w:rPr>
                <w:rFonts w:ascii="宋体" w:hAnsi="宋体"/>
                <w:b w:val="0"/>
                <w:szCs w:val="21"/>
              </w:rPr>
              <w:t>10022-31-8</w:t>
            </w:r>
          </w:p>
        </w:tc>
        <w:tc>
          <w:tcPr>
            <w:tcW w:w="4075" w:type="dxa"/>
            <w:vAlign w:val="center"/>
          </w:tcPr>
          <w:p w14:paraId="7929172B">
            <w:pPr>
              <w:jc w:val="left"/>
              <w:rPr>
                <w:rFonts w:ascii="宋体" w:hAnsi="宋体"/>
                <w:b w:val="0"/>
                <w:szCs w:val="21"/>
              </w:rPr>
            </w:pPr>
            <w:r>
              <w:rPr>
                <w:rFonts w:ascii="宋体" w:hAnsi="宋体"/>
                <w:b w:val="0"/>
                <w:szCs w:val="21"/>
              </w:rPr>
              <w:t>氧化性固体，类别2</w:t>
            </w:r>
          </w:p>
        </w:tc>
      </w:tr>
      <w:tr w14:paraId="64FC49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9" w:hRule="atLeast"/>
          <w:jc w:val="center"/>
        </w:trPr>
        <w:tc>
          <w:tcPr>
            <w:tcW w:w="753" w:type="dxa"/>
            <w:shd w:val="clear" w:color="auto" w:fill="auto"/>
            <w:vAlign w:val="center"/>
          </w:tcPr>
          <w:p w14:paraId="6D102910">
            <w:pPr>
              <w:jc w:val="center"/>
              <w:rPr>
                <w:rFonts w:ascii="宋体" w:hAnsi="宋体"/>
                <w:b w:val="0"/>
                <w:szCs w:val="21"/>
              </w:rPr>
            </w:pPr>
            <w:r>
              <w:rPr>
                <w:rFonts w:ascii="宋体" w:hAnsi="宋体"/>
                <w:b w:val="0"/>
                <w:szCs w:val="21"/>
              </w:rPr>
              <w:t>4.3</w:t>
            </w:r>
          </w:p>
        </w:tc>
        <w:tc>
          <w:tcPr>
            <w:tcW w:w="1417" w:type="dxa"/>
            <w:shd w:val="clear" w:color="auto" w:fill="auto"/>
            <w:vAlign w:val="center"/>
          </w:tcPr>
          <w:p w14:paraId="2F06AD22">
            <w:pPr>
              <w:jc w:val="center"/>
              <w:rPr>
                <w:rFonts w:ascii="宋体" w:hAnsi="宋体"/>
                <w:b w:val="0"/>
                <w:szCs w:val="21"/>
              </w:rPr>
            </w:pPr>
            <w:r>
              <w:rPr>
                <w:rFonts w:ascii="宋体" w:hAnsi="宋体"/>
                <w:b w:val="0"/>
                <w:szCs w:val="21"/>
              </w:rPr>
              <w:t>高氯酸钾</w:t>
            </w:r>
          </w:p>
        </w:tc>
        <w:tc>
          <w:tcPr>
            <w:tcW w:w="1276" w:type="dxa"/>
            <w:shd w:val="clear" w:color="auto" w:fill="auto"/>
            <w:vAlign w:val="center"/>
          </w:tcPr>
          <w:p w14:paraId="5B8229A2">
            <w:pPr>
              <w:jc w:val="center"/>
              <w:rPr>
                <w:rFonts w:ascii="宋体" w:hAnsi="宋体"/>
                <w:b w:val="0"/>
                <w:szCs w:val="21"/>
              </w:rPr>
            </w:pPr>
            <w:r>
              <w:rPr>
                <w:rFonts w:ascii="宋体" w:hAnsi="宋体"/>
                <w:b w:val="0"/>
                <w:szCs w:val="21"/>
              </w:rPr>
              <w:t>过氯酸钾</w:t>
            </w:r>
          </w:p>
        </w:tc>
        <w:tc>
          <w:tcPr>
            <w:tcW w:w="1417" w:type="dxa"/>
            <w:shd w:val="clear" w:color="auto" w:fill="auto"/>
            <w:vAlign w:val="center"/>
          </w:tcPr>
          <w:p w14:paraId="6554A6A9">
            <w:pPr>
              <w:jc w:val="center"/>
              <w:rPr>
                <w:rFonts w:ascii="宋体" w:hAnsi="宋体"/>
                <w:b w:val="0"/>
                <w:szCs w:val="21"/>
              </w:rPr>
            </w:pPr>
            <w:r>
              <w:rPr>
                <w:rFonts w:ascii="宋体" w:hAnsi="宋体"/>
                <w:b w:val="0"/>
                <w:szCs w:val="21"/>
              </w:rPr>
              <w:t>7778-74-7</w:t>
            </w:r>
          </w:p>
        </w:tc>
        <w:tc>
          <w:tcPr>
            <w:tcW w:w="4075" w:type="dxa"/>
            <w:shd w:val="clear" w:color="auto" w:fill="auto"/>
            <w:vAlign w:val="center"/>
          </w:tcPr>
          <w:p w14:paraId="442BFEA4">
            <w:pPr>
              <w:jc w:val="left"/>
              <w:rPr>
                <w:rFonts w:ascii="宋体" w:hAnsi="宋体"/>
                <w:b w:val="0"/>
                <w:szCs w:val="21"/>
              </w:rPr>
            </w:pPr>
            <w:r>
              <w:rPr>
                <w:rFonts w:ascii="宋体" w:hAnsi="宋体"/>
                <w:b w:val="0"/>
                <w:szCs w:val="21"/>
              </w:rPr>
              <w:t>氧化性固体，类别1</w:t>
            </w:r>
          </w:p>
        </w:tc>
      </w:tr>
      <w:tr w14:paraId="7EE9F0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2" w:hRule="atLeast"/>
          <w:jc w:val="center"/>
        </w:trPr>
        <w:tc>
          <w:tcPr>
            <w:tcW w:w="753" w:type="dxa"/>
            <w:shd w:val="clear" w:color="auto" w:fill="auto"/>
            <w:vAlign w:val="center"/>
          </w:tcPr>
          <w:p w14:paraId="2BAD5800">
            <w:pPr>
              <w:jc w:val="center"/>
              <w:rPr>
                <w:rFonts w:ascii="宋体" w:hAnsi="宋体"/>
                <w:b w:val="0"/>
                <w:szCs w:val="21"/>
              </w:rPr>
            </w:pPr>
            <w:r>
              <w:rPr>
                <w:rFonts w:hint="eastAsia" w:ascii="宋体" w:hAnsi="宋体"/>
                <w:b w:val="0"/>
                <w:szCs w:val="21"/>
              </w:rPr>
              <w:t>4.4</w:t>
            </w:r>
          </w:p>
        </w:tc>
        <w:tc>
          <w:tcPr>
            <w:tcW w:w="1417" w:type="dxa"/>
            <w:shd w:val="clear" w:color="auto" w:fill="auto"/>
            <w:vAlign w:val="center"/>
          </w:tcPr>
          <w:p w14:paraId="1854048E">
            <w:pPr>
              <w:jc w:val="center"/>
              <w:rPr>
                <w:rFonts w:ascii="宋体" w:hAnsi="宋体"/>
                <w:b w:val="0"/>
                <w:szCs w:val="21"/>
              </w:rPr>
            </w:pPr>
            <w:r>
              <w:rPr>
                <w:rFonts w:hint="eastAsia" w:ascii="宋体" w:hAnsi="宋体"/>
                <w:b w:val="0"/>
                <w:szCs w:val="21"/>
              </w:rPr>
              <w:t>高氯酸铵</w:t>
            </w:r>
          </w:p>
        </w:tc>
        <w:tc>
          <w:tcPr>
            <w:tcW w:w="1276" w:type="dxa"/>
            <w:shd w:val="clear" w:color="auto" w:fill="auto"/>
            <w:vAlign w:val="center"/>
          </w:tcPr>
          <w:p w14:paraId="6B2191E5">
            <w:pPr>
              <w:jc w:val="center"/>
              <w:rPr>
                <w:rFonts w:ascii="宋体" w:hAnsi="宋体"/>
                <w:b w:val="0"/>
                <w:szCs w:val="21"/>
              </w:rPr>
            </w:pPr>
            <w:r>
              <w:rPr>
                <w:rFonts w:ascii="宋体" w:hAnsi="宋体"/>
                <w:b w:val="0"/>
                <w:szCs w:val="21"/>
              </w:rPr>
              <w:t>过氯酸铵</w:t>
            </w:r>
          </w:p>
        </w:tc>
        <w:tc>
          <w:tcPr>
            <w:tcW w:w="1417" w:type="dxa"/>
            <w:shd w:val="clear" w:color="auto" w:fill="auto"/>
            <w:vAlign w:val="center"/>
          </w:tcPr>
          <w:p w14:paraId="19822A1E">
            <w:pPr>
              <w:jc w:val="center"/>
              <w:rPr>
                <w:rFonts w:ascii="宋体" w:hAnsi="宋体"/>
                <w:b w:val="0"/>
                <w:szCs w:val="21"/>
              </w:rPr>
            </w:pPr>
            <w:r>
              <w:rPr>
                <w:rFonts w:ascii="宋体" w:hAnsi="宋体"/>
                <w:b w:val="0"/>
                <w:szCs w:val="21"/>
              </w:rPr>
              <w:t>7790-98-9</w:t>
            </w:r>
          </w:p>
        </w:tc>
        <w:tc>
          <w:tcPr>
            <w:tcW w:w="4075" w:type="dxa"/>
            <w:shd w:val="clear" w:color="auto" w:fill="auto"/>
            <w:vAlign w:val="center"/>
          </w:tcPr>
          <w:p w14:paraId="7F2FE381">
            <w:pPr>
              <w:jc w:val="left"/>
              <w:rPr>
                <w:rFonts w:ascii="宋体" w:hAnsi="宋体"/>
                <w:b w:val="0"/>
                <w:szCs w:val="21"/>
              </w:rPr>
            </w:pPr>
            <w:r>
              <w:rPr>
                <w:rFonts w:ascii="宋体" w:hAnsi="宋体"/>
                <w:b w:val="0"/>
                <w:szCs w:val="21"/>
              </w:rPr>
              <w:t>氧化性固体，类别1</w:t>
            </w:r>
            <w:r>
              <w:rPr>
                <w:rFonts w:hint="eastAsia" w:ascii="宋体" w:hAnsi="宋体"/>
                <w:b w:val="0"/>
                <w:szCs w:val="21"/>
              </w:rPr>
              <w:t>，</w:t>
            </w:r>
            <w:r>
              <w:rPr>
                <w:rFonts w:ascii="宋体" w:hAnsi="宋体"/>
                <w:b w:val="0"/>
                <w:szCs w:val="21"/>
              </w:rPr>
              <w:t>1.1项爆炸物</w:t>
            </w:r>
          </w:p>
        </w:tc>
      </w:tr>
      <w:tr w14:paraId="4CFD17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jc w:val="center"/>
        </w:trPr>
        <w:tc>
          <w:tcPr>
            <w:tcW w:w="753" w:type="dxa"/>
            <w:shd w:val="clear" w:color="auto" w:fill="auto"/>
            <w:vAlign w:val="center"/>
          </w:tcPr>
          <w:p w14:paraId="70684EC3">
            <w:pPr>
              <w:jc w:val="center"/>
              <w:rPr>
                <w:rFonts w:ascii="宋体" w:hAnsi="宋体"/>
                <w:b w:val="0"/>
                <w:szCs w:val="21"/>
              </w:rPr>
            </w:pPr>
            <w:r>
              <w:rPr>
                <w:rFonts w:ascii="宋体" w:hAnsi="宋体"/>
                <w:b w:val="0"/>
                <w:szCs w:val="21"/>
              </w:rPr>
              <w:t>7.8</w:t>
            </w:r>
          </w:p>
        </w:tc>
        <w:tc>
          <w:tcPr>
            <w:tcW w:w="1417" w:type="dxa"/>
            <w:shd w:val="clear" w:color="auto" w:fill="auto"/>
            <w:vAlign w:val="center"/>
          </w:tcPr>
          <w:p w14:paraId="79FF7F80">
            <w:pPr>
              <w:ind w:firstLine="132" w:firstLineChars="63"/>
              <w:jc w:val="center"/>
              <w:rPr>
                <w:rFonts w:ascii="宋体" w:hAnsi="宋体"/>
                <w:b w:val="0"/>
                <w:szCs w:val="21"/>
              </w:rPr>
            </w:pPr>
            <w:r>
              <w:rPr>
                <w:rFonts w:ascii="宋体" w:hAnsi="宋体"/>
                <w:b w:val="0"/>
                <w:szCs w:val="21"/>
              </w:rPr>
              <w:t>硫磺</w:t>
            </w:r>
          </w:p>
        </w:tc>
        <w:tc>
          <w:tcPr>
            <w:tcW w:w="1276" w:type="dxa"/>
            <w:shd w:val="clear" w:color="auto" w:fill="auto"/>
            <w:vAlign w:val="center"/>
          </w:tcPr>
          <w:p w14:paraId="1CFED0EB">
            <w:pPr>
              <w:jc w:val="center"/>
              <w:rPr>
                <w:rFonts w:ascii="宋体" w:hAnsi="宋体"/>
                <w:b w:val="0"/>
                <w:szCs w:val="21"/>
              </w:rPr>
            </w:pPr>
            <w:r>
              <w:rPr>
                <w:rFonts w:ascii="宋体" w:hAnsi="宋体"/>
                <w:b w:val="0"/>
                <w:szCs w:val="21"/>
              </w:rPr>
              <w:t>硫</w:t>
            </w:r>
          </w:p>
        </w:tc>
        <w:tc>
          <w:tcPr>
            <w:tcW w:w="1417" w:type="dxa"/>
            <w:shd w:val="clear" w:color="auto" w:fill="auto"/>
            <w:vAlign w:val="center"/>
          </w:tcPr>
          <w:p w14:paraId="3F3CB02B">
            <w:pPr>
              <w:jc w:val="center"/>
              <w:rPr>
                <w:rFonts w:ascii="宋体" w:hAnsi="宋体"/>
                <w:b w:val="0"/>
                <w:szCs w:val="21"/>
              </w:rPr>
            </w:pPr>
            <w:r>
              <w:rPr>
                <w:rFonts w:ascii="宋体" w:hAnsi="宋体"/>
                <w:b w:val="0"/>
                <w:szCs w:val="21"/>
              </w:rPr>
              <w:t>7704-34-9</w:t>
            </w:r>
          </w:p>
        </w:tc>
        <w:tc>
          <w:tcPr>
            <w:tcW w:w="4075" w:type="dxa"/>
            <w:shd w:val="clear" w:color="auto" w:fill="auto"/>
            <w:vAlign w:val="center"/>
          </w:tcPr>
          <w:p w14:paraId="026343DF">
            <w:pPr>
              <w:jc w:val="left"/>
              <w:rPr>
                <w:rFonts w:ascii="宋体" w:hAnsi="宋体"/>
                <w:b w:val="0"/>
                <w:szCs w:val="21"/>
              </w:rPr>
            </w:pPr>
            <w:r>
              <w:rPr>
                <w:rFonts w:ascii="宋体" w:hAnsi="宋体"/>
                <w:b w:val="0"/>
                <w:szCs w:val="21"/>
              </w:rPr>
              <w:t>易燃固体，类别2</w:t>
            </w:r>
          </w:p>
        </w:tc>
      </w:tr>
      <w:tr w14:paraId="26BB5C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8" w:hRule="atLeast"/>
          <w:jc w:val="center"/>
        </w:trPr>
        <w:tc>
          <w:tcPr>
            <w:tcW w:w="753" w:type="dxa"/>
            <w:shd w:val="clear" w:color="auto" w:fill="auto"/>
            <w:vAlign w:val="center"/>
          </w:tcPr>
          <w:p w14:paraId="03BEEFC8">
            <w:pPr>
              <w:jc w:val="center"/>
              <w:rPr>
                <w:rFonts w:ascii="宋体" w:hAnsi="宋体"/>
                <w:b w:val="0"/>
                <w:szCs w:val="21"/>
              </w:rPr>
            </w:pPr>
            <w:r>
              <w:rPr>
                <w:rFonts w:ascii="宋体" w:hAnsi="宋体"/>
                <w:b w:val="0"/>
                <w:szCs w:val="21"/>
              </w:rPr>
              <w:t>7.6</w:t>
            </w:r>
          </w:p>
        </w:tc>
        <w:tc>
          <w:tcPr>
            <w:tcW w:w="1417" w:type="dxa"/>
            <w:shd w:val="clear" w:color="auto" w:fill="auto"/>
            <w:vAlign w:val="center"/>
          </w:tcPr>
          <w:p w14:paraId="1AF286BA">
            <w:pPr>
              <w:ind w:firstLine="132" w:firstLineChars="63"/>
              <w:jc w:val="center"/>
              <w:rPr>
                <w:rFonts w:ascii="宋体" w:hAnsi="宋体"/>
                <w:b w:val="0"/>
                <w:szCs w:val="21"/>
              </w:rPr>
            </w:pPr>
            <w:r>
              <w:rPr>
                <w:rFonts w:ascii="宋体" w:hAnsi="宋体"/>
                <w:b w:val="0"/>
                <w:szCs w:val="21"/>
              </w:rPr>
              <w:t>铝粉</w:t>
            </w:r>
          </w:p>
        </w:tc>
        <w:tc>
          <w:tcPr>
            <w:tcW w:w="1276" w:type="dxa"/>
            <w:shd w:val="clear" w:color="auto" w:fill="auto"/>
            <w:vAlign w:val="center"/>
          </w:tcPr>
          <w:p w14:paraId="2A8457DC">
            <w:pPr>
              <w:ind w:firstLine="132" w:firstLineChars="63"/>
              <w:jc w:val="center"/>
              <w:rPr>
                <w:rFonts w:ascii="宋体" w:hAnsi="宋体"/>
                <w:b w:val="0"/>
                <w:szCs w:val="21"/>
              </w:rPr>
            </w:pPr>
            <w:r>
              <w:rPr>
                <w:rFonts w:hint="eastAsia" w:ascii="宋体" w:hAnsi="宋体"/>
                <w:b w:val="0"/>
                <w:szCs w:val="21"/>
              </w:rPr>
              <w:t>--</w:t>
            </w:r>
          </w:p>
        </w:tc>
        <w:tc>
          <w:tcPr>
            <w:tcW w:w="1417" w:type="dxa"/>
            <w:shd w:val="clear" w:color="auto" w:fill="auto"/>
            <w:vAlign w:val="center"/>
          </w:tcPr>
          <w:p w14:paraId="30A76600">
            <w:pPr>
              <w:jc w:val="center"/>
              <w:rPr>
                <w:rFonts w:ascii="宋体" w:hAnsi="宋体"/>
                <w:b w:val="0"/>
                <w:szCs w:val="21"/>
              </w:rPr>
            </w:pPr>
            <w:r>
              <w:rPr>
                <w:rFonts w:ascii="宋体" w:hAnsi="宋体"/>
                <w:b w:val="0"/>
                <w:szCs w:val="21"/>
              </w:rPr>
              <w:t>7429-90-5</w:t>
            </w:r>
          </w:p>
        </w:tc>
        <w:tc>
          <w:tcPr>
            <w:tcW w:w="4075" w:type="dxa"/>
            <w:shd w:val="clear" w:color="auto" w:fill="auto"/>
            <w:vAlign w:val="center"/>
          </w:tcPr>
          <w:p w14:paraId="15BBDA41">
            <w:pPr>
              <w:jc w:val="left"/>
              <w:rPr>
                <w:rFonts w:ascii="宋体" w:hAnsi="宋体"/>
                <w:b w:val="0"/>
                <w:szCs w:val="21"/>
              </w:rPr>
            </w:pPr>
            <w:r>
              <w:rPr>
                <w:rFonts w:ascii="宋体" w:hAnsi="宋体"/>
                <w:b w:val="0"/>
                <w:szCs w:val="21"/>
              </w:rPr>
              <w:t>（1）有涂层：易燃固体，类别1</w:t>
            </w:r>
          </w:p>
          <w:p w14:paraId="4648BA1B">
            <w:pPr>
              <w:jc w:val="left"/>
              <w:rPr>
                <w:rFonts w:ascii="宋体" w:hAnsi="宋体"/>
                <w:b w:val="0"/>
                <w:szCs w:val="21"/>
              </w:rPr>
            </w:pPr>
            <w:r>
              <w:rPr>
                <w:rFonts w:ascii="宋体" w:hAnsi="宋体"/>
                <w:b w:val="0"/>
                <w:szCs w:val="21"/>
              </w:rPr>
              <w:t>（2）无涂层：遇水放出易燃气体的物质和混合物，类别2</w:t>
            </w:r>
          </w:p>
        </w:tc>
      </w:tr>
    </w:tbl>
    <w:p w14:paraId="00E5F569">
      <w:pPr>
        <w:spacing w:before="120" w:beforeLines="50" w:line="360" w:lineRule="auto"/>
        <w:ind w:firstLine="560" w:firstLineChars="200"/>
        <w:rPr>
          <w:rFonts w:ascii="宋体" w:hAnsi="宋体"/>
          <w:b w:val="0"/>
          <w:sz w:val="24"/>
        </w:rPr>
      </w:pPr>
      <w:r>
        <w:rPr>
          <w:rFonts w:hint="eastAsia" w:ascii="宋体" w:hAnsi="宋体"/>
          <w:b w:val="0"/>
          <w:sz w:val="28"/>
          <w:szCs w:val="28"/>
        </w:rPr>
        <w:t>因此，该项目涉及的硝酸钾、硝酸钡、高氯酸钾、高氯酸铵、硫磺、铝粉属于易制爆危险化学品，应按相关要求对以上易制爆危险化学品加强安全管理和治安防范，并应按相关要求报相关部门机关备案。</w:t>
      </w:r>
    </w:p>
    <w:p w14:paraId="4A71195B">
      <w:pPr>
        <w:keepNext/>
        <w:keepLines/>
        <w:spacing w:before="120" w:beforeLines="50" w:line="360" w:lineRule="auto"/>
        <w:outlineLvl w:val="1"/>
        <w:rPr>
          <w:rFonts w:ascii="黑体" w:hAnsi="黑体" w:eastAsia="黑体"/>
          <w:b w:val="0"/>
          <w:bCs/>
          <w:snapToGrid w:val="0"/>
          <w:sz w:val="32"/>
          <w:szCs w:val="32"/>
        </w:rPr>
      </w:pPr>
      <w:bookmarkStart w:id="295" w:name="_Toc3345"/>
      <w:bookmarkStart w:id="296" w:name="_Toc173077662"/>
      <w:bookmarkStart w:id="297" w:name="_Toc227869283"/>
      <w:r>
        <w:rPr>
          <w:rFonts w:hint="eastAsia" w:ascii="黑体" w:hAnsi="黑体" w:eastAsia="黑体"/>
          <w:b w:val="0"/>
          <w:bCs/>
          <w:snapToGrid w:val="0"/>
          <w:sz w:val="32"/>
          <w:szCs w:val="32"/>
        </w:rPr>
        <w:t>3.</w:t>
      </w:r>
      <w:bookmarkEnd w:id="285"/>
      <w:bookmarkEnd w:id="286"/>
      <w:bookmarkEnd w:id="287"/>
      <w:r>
        <w:rPr>
          <w:rFonts w:ascii="黑体" w:hAnsi="黑体" w:eastAsia="黑体"/>
          <w:b w:val="0"/>
          <w:bCs/>
          <w:snapToGrid w:val="0"/>
          <w:sz w:val="32"/>
          <w:szCs w:val="32"/>
        </w:rPr>
        <w:t>4</w:t>
      </w:r>
      <w:r>
        <w:rPr>
          <w:rFonts w:hint="eastAsia" w:ascii="黑体" w:hAnsi="黑体" w:eastAsia="黑体"/>
          <w:b w:val="0"/>
          <w:bCs/>
          <w:snapToGrid w:val="0"/>
          <w:sz w:val="32"/>
          <w:szCs w:val="32"/>
        </w:rPr>
        <w:t>重大危险源辨识</w:t>
      </w:r>
      <w:bookmarkEnd w:id="295"/>
      <w:bookmarkEnd w:id="296"/>
      <w:bookmarkEnd w:id="297"/>
    </w:p>
    <w:bookmarkEnd w:id="288"/>
    <w:bookmarkEnd w:id="289"/>
    <w:p w14:paraId="45D8FE50">
      <w:pPr>
        <w:spacing w:line="360" w:lineRule="auto"/>
        <w:ind w:firstLine="560" w:firstLineChars="200"/>
        <w:rPr>
          <w:rFonts w:ascii="宋体" w:hAnsi="宋体"/>
          <w:b w:val="0"/>
          <w:sz w:val="28"/>
          <w:szCs w:val="28"/>
        </w:rPr>
      </w:pPr>
      <w:r>
        <w:rPr>
          <w:rFonts w:hint="eastAsia" w:ascii="宋体" w:hAnsi="宋体"/>
          <w:b w:val="0"/>
          <w:sz w:val="28"/>
          <w:szCs w:val="28"/>
        </w:rPr>
        <w:t>该项目以《烟花爆竹重大危险源辨识》（AQ4131-2023）为依据对该企业进行烟花爆竹重大危险源辨识。</w:t>
      </w:r>
    </w:p>
    <w:p w14:paraId="0081E80A">
      <w:pPr>
        <w:spacing w:line="360" w:lineRule="auto"/>
        <w:outlineLvl w:val="2"/>
        <w:rPr>
          <w:rFonts w:ascii="黑体" w:hAnsi="黑体" w:eastAsia="黑体"/>
          <w:b w:val="0"/>
          <w:sz w:val="30"/>
          <w:szCs w:val="30"/>
        </w:rPr>
      </w:pPr>
      <w:bookmarkStart w:id="298" w:name="_Toc60129106"/>
      <w:bookmarkStart w:id="299" w:name="_Toc58946823"/>
      <w:bookmarkStart w:id="300" w:name="_Toc58861991"/>
      <w:bookmarkStart w:id="301" w:name="_Toc145275197"/>
      <w:bookmarkStart w:id="302" w:name="_Toc173077663"/>
      <w:bookmarkStart w:id="303" w:name="_Toc148036992"/>
      <w:bookmarkStart w:id="304" w:name="_Toc181194070"/>
      <w:r>
        <w:rPr>
          <w:rFonts w:hint="eastAsia" w:ascii="黑体" w:hAnsi="黑体" w:eastAsia="黑体"/>
          <w:b w:val="0"/>
          <w:sz w:val="30"/>
          <w:szCs w:val="30"/>
        </w:rPr>
        <w:t>3.</w:t>
      </w:r>
      <w:r>
        <w:rPr>
          <w:rFonts w:ascii="黑体" w:hAnsi="黑体" w:eastAsia="黑体"/>
          <w:b w:val="0"/>
          <w:sz w:val="30"/>
          <w:szCs w:val="30"/>
        </w:rPr>
        <w:t>4</w:t>
      </w:r>
      <w:r>
        <w:rPr>
          <w:rFonts w:hint="eastAsia" w:ascii="黑体" w:hAnsi="黑体" w:eastAsia="黑体"/>
          <w:b w:val="0"/>
          <w:sz w:val="30"/>
          <w:szCs w:val="30"/>
        </w:rPr>
        <w:t>.1</w:t>
      </w:r>
      <w:bookmarkEnd w:id="298"/>
      <w:bookmarkEnd w:id="299"/>
      <w:bookmarkEnd w:id="300"/>
      <w:r>
        <w:rPr>
          <w:rFonts w:hint="eastAsia" w:ascii="黑体" w:hAnsi="黑体" w:eastAsia="黑体"/>
          <w:b w:val="0"/>
          <w:sz w:val="30"/>
          <w:szCs w:val="30"/>
        </w:rPr>
        <w:t>烟花爆竹重大危险源定义</w:t>
      </w:r>
      <w:bookmarkEnd w:id="301"/>
      <w:bookmarkEnd w:id="302"/>
      <w:bookmarkEnd w:id="303"/>
      <w:bookmarkEnd w:id="304"/>
    </w:p>
    <w:p w14:paraId="2F189538">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长期地或临时地生产、使用、储存烟花爆竹成品、半成品及生产烟花爆竹用化工原材料、烟火药（含黑火药、单基火药）、引火线等危险品，且危险品数量等于或超过临界量的单元。其中的单元是涉及危险品生产、储存的装置、设施或场所，分为生产单元和储存单元。</w:t>
      </w:r>
    </w:p>
    <w:p w14:paraId="2452A156">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生产单元是指危险品生产区，每栋工房、中转库或每个晾晒场划分为一个生产单元；当工房、中转库或晾晒场之间通过管道、传送带、转动装置等相连时，相连的所有工房、中转库或晾晒场划分为一个生产单元。</w:t>
      </w:r>
    </w:p>
    <w:p w14:paraId="4063FE83">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储存单元是指危险品仓库区，每个库区内所有的烟火药(含黑火药,单基火药)、引火线、硝化纤维素仓库划分为一个储存单元；每栋独立的烟花爆竹成品和半成品仓库划分为一个储存单元。</w:t>
      </w:r>
    </w:p>
    <w:p w14:paraId="2D803410">
      <w:pPr>
        <w:spacing w:line="360" w:lineRule="auto"/>
        <w:ind w:firstLine="560" w:firstLineChars="200"/>
        <w:rPr>
          <w:rFonts w:ascii="宋体" w:hAnsi="宋体"/>
          <w:b w:val="0"/>
          <w:sz w:val="28"/>
          <w:szCs w:val="28"/>
        </w:rPr>
      </w:pPr>
      <w:r>
        <w:rPr>
          <w:rFonts w:hint="eastAsia" w:ascii="宋体" w:hAnsi="宋体"/>
          <w:b w:val="0"/>
          <w:sz w:val="28"/>
          <w:szCs w:val="28"/>
        </w:rPr>
        <w:t>按式（1）计算单元的重大危险源辨识指标</w:t>
      </w:r>
    </w:p>
    <w:p w14:paraId="762C8A9E">
      <w:pPr>
        <w:spacing w:line="360" w:lineRule="auto"/>
        <w:ind w:firstLine="1134" w:firstLineChars="405"/>
        <w:jc w:val="left"/>
        <w:rPr>
          <w:rFonts w:ascii="宋体" w:hAnsi="宋体"/>
          <w:b w:val="0"/>
          <w:sz w:val="28"/>
          <w:szCs w:val="28"/>
        </w:rPr>
      </w:pPr>
      <w:r>
        <w:rPr>
          <w:rFonts w:hint="eastAsia" w:ascii="宋体" w:hAnsi="宋体"/>
          <w:b w:val="0"/>
          <w:sz w:val="28"/>
          <w:szCs w:val="28"/>
        </w:rPr>
        <w:t>S=q1/Q1＋q2/Q2…＋qn/Qn ……………………………（1）</w:t>
      </w:r>
    </w:p>
    <w:p w14:paraId="04C7C418">
      <w:pPr>
        <w:spacing w:line="360" w:lineRule="auto"/>
        <w:ind w:firstLine="560" w:firstLineChars="200"/>
        <w:rPr>
          <w:rFonts w:ascii="宋体" w:hAnsi="宋体"/>
          <w:b w:val="0"/>
          <w:sz w:val="28"/>
          <w:szCs w:val="28"/>
        </w:rPr>
      </w:pPr>
      <w:r>
        <w:rPr>
          <w:rFonts w:hint="eastAsia" w:ascii="宋体" w:hAnsi="宋体"/>
          <w:b w:val="0"/>
          <w:sz w:val="28"/>
          <w:szCs w:val="28"/>
        </w:rPr>
        <w:t>式中：</w:t>
      </w:r>
    </w:p>
    <w:p w14:paraId="68C89D2C">
      <w:pPr>
        <w:spacing w:line="360" w:lineRule="auto"/>
        <w:ind w:firstLine="1134" w:firstLineChars="405"/>
        <w:rPr>
          <w:rFonts w:ascii="宋体" w:hAnsi="宋体"/>
          <w:b w:val="0"/>
          <w:sz w:val="28"/>
          <w:szCs w:val="28"/>
        </w:rPr>
      </w:pPr>
      <w:r>
        <w:rPr>
          <w:rFonts w:hint="eastAsia" w:ascii="宋体" w:hAnsi="宋体"/>
          <w:b w:val="0"/>
          <w:sz w:val="28"/>
          <w:szCs w:val="28"/>
        </w:rPr>
        <w:t>S——重大危险源辨识指标；</w:t>
      </w:r>
    </w:p>
    <w:p w14:paraId="10DC234E">
      <w:pPr>
        <w:spacing w:line="360" w:lineRule="auto"/>
        <w:ind w:firstLine="1134" w:firstLineChars="405"/>
        <w:rPr>
          <w:rFonts w:ascii="宋体" w:hAnsi="宋体"/>
          <w:b w:val="0"/>
          <w:sz w:val="28"/>
          <w:szCs w:val="28"/>
        </w:rPr>
      </w:pPr>
      <w:r>
        <w:rPr>
          <w:rFonts w:hint="eastAsia" w:ascii="宋体" w:hAnsi="宋体"/>
          <w:b w:val="0"/>
          <w:sz w:val="28"/>
          <w:szCs w:val="28"/>
        </w:rPr>
        <w:t>q1，q2，…，qn——各种危险品的设计存放量，单位为吨（t）；</w:t>
      </w:r>
    </w:p>
    <w:p w14:paraId="615DD245">
      <w:pPr>
        <w:spacing w:line="360" w:lineRule="auto"/>
        <w:ind w:firstLine="1134" w:firstLineChars="405"/>
        <w:rPr>
          <w:rFonts w:ascii="宋体" w:hAnsi="宋体"/>
          <w:b w:val="0"/>
          <w:sz w:val="28"/>
          <w:szCs w:val="28"/>
        </w:rPr>
      </w:pPr>
      <w:r>
        <w:rPr>
          <w:rFonts w:hint="eastAsia" w:ascii="宋体" w:hAnsi="宋体"/>
          <w:b w:val="0"/>
          <w:sz w:val="28"/>
          <w:szCs w:val="28"/>
        </w:rPr>
        <w:t>Q1，Q2，…，Qn——各种危险品对应的临界量，单位为吨（t）。</w:t>
      </w:r>
    </w:p>
    <w:p w14:paraId="1AB77CA9">
      <w:pPr>
        <w:spacing w:line="360" w:lineRule="auto"/>
        <w:ind w:firstLine="560" w:firstLineChars="200"/>
        <w:rPr>
          <w:rFonts w:ascii="宋体" w:hAnsi="宋体"/>
          <w:b w:val="0"/>
          <w:sz w:val="28"/>
          <w:szCs w:val="28"/>
        </w:rPr>
      </w:pPr>
      <w:r>
        <w:rPr>
          <w:rFonts w:hint="eastAsia" w:ascii="宋体" w:hAnsi="宋体"/>
          <w:b w:val="0"/>
          <w:sz w:val="28"/>
          <w:szCs w:val="28"/>
        </w:rPr>
        <w:t>当单元的S≥1时，则该单元判定为重大危险源</w:t>
      </w:r>
      <w:r>
        <w:rPr>
          <w:rFonts w:ascii="宋体" w:hAnsi="宋体"/>
          <w:b w:val="0"/>
          <w:sz w:val="28"/>
          <w:szCs w:val="28"/>
        </w:rPr>
        <w:t>。</w:t>
      </w:r>
    </w:p>
    <w:p w14:paraId="48FB816D">
      <w:pPr>
        <w:spacing w:line="360" w:lineRule="auto"/>
        <w:outlineLvl w:val="2"/>
        <w:rPr>
          <w:rFonts w:ascii="黑体" w:hAnsi="黑体" w:eastAsia="黑体"/>
          <w:b w:val="0"/>
          <w:sz w:val="30"/>
          <w:szCs w:val="30"/>
        </w:rPr>
      </w:pPr>
      <w:bookmarkStart w:id="305" w:name="_Toc148036993"/>
      <w:bookmarkStart w:id="306" w:name="_Toc145275198"/>
      <w:bookmarkStart w:id="307" w:name="_Toc181194071"/>
      <w:bookmarkStart w:id="308" w:name="_Toc173077664"/>
      <w:r>
        <w:rPr>
          <w:rFonts w:hint="eastAsia" w:ascii="黑体" w:hAnsi="黑体" w:eastAsia="黑体"/>
          <w:b w:val="0"/>
          <w:sz w:val="30"/>
          <w:szCs w:val="30"/>
        </w:rPr>
        <w:t>3.</w:t>
      </w:r>
      <w:r>
        <w:rPr>
          <w:rFonts w:ascii="黑体" w:hAnsi="黑体" w:eastAsia="黑体"/>
          <w:b w:val="0"/>
          <w:sz w:val="30"/>
          <w:szCs w:val="30"/>
        </w:rPr>
        <w:t>4</w:t>
      </w:r>
      <w:r>
        <w:rPr>
          <w:rFonts w:hint="eastAsia" w:ascii="黑体" w:hAnsi="黑体" w:eastAsia="黑体"/>
          <w:b w:val="0"/>
          <w:sz w:val="30"/>
          <w:szCs w:val="30"/>
        </w:rPr>
        <w:t>.2</w:t>
      </w:r>
      <w:bookmarkStart w:id="309" w:name="_Toc141368184"/>
      <w:bookmarkStart w:id="310" w:name="_Toc144559734"/>
      <w:r>
        <w:rPr>
          <w:rFonts w:hint="eastAsia" w:ascii="黑体" w:hAnsi="黑体" w:eastAsia="黑体"/>
          <w:b w:val="0"/>
          <w:sz w:val="30"/>
          <w:szCs w:val="30"/>
        </w:rPr>
        <w:t>烟花爆竹重大危险源临界量</w:t>
      </w:r>
      <w:bookmarkEnd w:id="305"/>
      <w:bookmarkEnd w:id="306"/>
      <w:bookmarkEnd w:id="307"/>
      <w:bookmarkEnd w:id="308"/>
      <w:bookmarkEnd w:id="309"/>
      <w:bookmarkEnd w:id="310"/>
    </w:p>
    <w:p w14:paraId="52DF5612">
      <w:pPr>
        <w:spacing w:line="360" w:lineRule="auto"/>
        <w:ind w:firstLine="560" w:firstLineChars="200"/>
        <w:rPr>
          <w:rFonts w:ascii="宋体" w:hAnsi="宋体"/>
          <w:b w:val="0"/>
          <w:sz w:val="28"/>
          <w:szCs w:val="28"/>
        </w:rPr>
      </w:pPr>
      <w:r>
        <w:rPr>
          <w:rFonts w:hint="eastAsia" w:ascii="宋体" w:hAnsi="宋体"/>
          <w:b w:val="0"/>
          <w:sz w:val="28"/>
          <w:szCs w:val="28"/>
        </w:rPr>
        <w:t>根据《烟花爆竹重大危险源辨识》AQ4131-2023，烟花爆竹重大危险源临界量如下表1、表2、表3所示。</w:t>
      </w:r>
    </w:p>
    <w:p w14:paraId="055F5529">
      <w:pPr>
        <w:spacing w:line="360" w:lineRule="auto"/>
        <w:ind w:firstLine="536" w:firstLineChars="200"/>
        <w:rPr>
          <w:rFonts w:ascii="宋体" w:hAnsi="宋体"/>
          <w:b w:val="0"/>
          <w:snapToGrid w:val="0"/>
          <w:spacing w:val="-6"/>
          <w:sz w:val="28"/>
          <w:szCs w:val="28"/>
        </w:rPr>
      </w:pPr>
      <w:r>
        <w:rPr>
          <w:rFonts w:hint="eastAsia" w:ascii="宋体" w:hAnsi="宋体"/>
          <w:b w:val="0"/>
          <w:snapToGrid w:val="0"/>
          <w:spacing w:val="-6"/>
          <w:sz w:val="28"/>
          <w:szCs w:val="28"/>
        </w:rPr>
        <w:t>（1）</w:t>
      </w:r>
      <w:r>
        <w:rPr>
          <w:rFonts w:ascii="宋体" w:hAnsi="宋体"/>
          <w:b w:val="0"/>
          <w:snapToGrid w:val="0"/>
          <w:spacing w:val="-6"/>
          <w:sz w:val="28"/>
          <w:szCs w:val="28"/>
        </w:rPr>
        <w:t>生产烟花爆竹用化工原材料的临界量按AQ 4131确定，主要化工原材料的临界量见表1。</w:t>
      </w:r>
    </w:p>
    <w:p w14:paraId="52A0708F">
      <w:pPr>
        <w:jc w:val="center"/>
        <w:rPr>
          <w:rFonts w:ascii="黑体" w:hAnsi="宋体" w:eastAsia="黑体"/>
          <w:b w:val="0"/>
          <w:kern w:val="0"/>
          <w:sz w:val="24"/>
          <w:szCs w:val="28"/>
        </w:rPr>
      </w:pPr>
      <w:r>
        <w:rPr>
          <w:rFonts w:hint="eastAsia" w:ascii="黑体" w:hAnsi="宋体" w:eastAsia="黑体"/>
          <w:b w:val="0"/>
          <w:kern w:val="0"/>
          <w:sz w:val="24"/>
          <w:szCs w:val="28"/>
        </w:rPr>
        <w:t>表1  主要化工原材料临界量</w:t>
      </w:r>
    </w:p>
    <w:tbl>
      <w:tblPr>
        <w:tblStyle w:val="88"/>
        <w:tblW w:w="887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834"/>
        <w:gridCol w:w="5180"/>
        <w:gridCol w:w="1865"/>
      </w:tblGrid>
      <w:tr w14:paraId="452B6A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10" w:hRule="atLeast"/>
          <w:tblHeader/>
          <w:jc w:val="center"/>
        </w:trPr>
        <w:tc>
          <w:tcPr>
            <w:tcW w:w="1834" w:type="dxa"/>
            <w:vAlign w:val="center"/>
          </w:tcPr>
          <w:p w14:paraId="31D924D2">
            <w:pPr>
              <w:ind w:right="-65" w:rightChars="-31"/>
              <w:jc w:val="center"/>
              <w:rPr>
                <w:rFonts w:ascii="宋体" w:hAnsi="宋体"/>
                <w:szCs w:val="20"/>
              </w:rPr>
            </w:pPr>
            <w:r>
              <w:rPr>
                <w:rFonts w:ascii="宋体" w:hAnsi="宋体"/>
                <w:szCs w:val="20"/>
              </w:rPr>
              <w:t>类别</w:t>
            </w:r>
          </w:p>
        </w:tc>
        <w:tc>
          <w:tcPr>
            <w:tcW w:w="5180" w:type="dxa"/>
            <w:vAlign w:val="center"/>
          </w:tcPr>
          <w:p w14:paraId="288BB7D6">
            <w:pPr>
              <w:ind w:right="-65" w:rightChars="-31"/>
              <w:jc w:val="center"/>
              <w:rPr>
                <w:rFonts w:ascii="宋体" w:hAnsi="宋体"/>
                <w:szCs w:val="20"/>
              </w:rPr>
            </w:pPr>
            <w:r>
              <w:rPr>
                <w:rFonts w:ascii="宋体" w:hAnsi="宋体"/>
                <w:szCs w:val="20"/>
              </w:rPr>
              <w:t>名称</w:t>
            </w:r>
          </w:p>
        </w:tc>
        <w:tc>
          <w:tcPr>
            <w:tcW w:w="1865" w:type="dxa"/>
            <w:vAlign w:val="center"/>
          </w:tcPr>
          <w:p w14:paraId="015AD7C7">
            <w:pPr>
              <w:ind w:right="-65" w:rightChars="-31"/>
              <w:jc w:val="center"/>
              <w:rPr>
                <w:rFonts w:ascii="宋体" w:hAnsi="宋体"/>
                <w:szCs w:val="20"/>
              </w:rPr>
            </w:pPr>
            <w:r>
              <w:rPr>
                <w:rFonts w:ascii="宋体" w:hAnsi="宋体"/>
                <w:szCs w:val="20"/>
              </w:rPr>
              <w:t>临界量</w:t>
            </w:r>
            <w:r>
              <w:rPr>
                <w:rFonts w:hint="eastAsia" w:ascii="宋体" w:hAnsi="宋体"/>
                <w:szCs w:val="20"/>
              </w:rPr>
              <w:t>（吨）</w:t>
            </w:r>
          </w:p>
        </w:tc>
      </w:tr>
      <w:tr w14:paraId="2087E2D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1834" w:type="dxa"/>
            <w:vMerge w:val="restart"/>
            <w:vAlign w:val="center"/>
          </w:tcPr>
          <w:p w14:paraId="49A66A0D">
            <w:pPr>
              <w:jc w:val="center"/>
              <w:rPr>
                <w:rFonts w:ascii="宋体" w:hAnsi="宋体"/>
                <w:b w:val="0"/>
                <w:szCs w:val="21"/>
              </w:rPr>
            </w:pPr>
            <w:r>
              <w:rPr>
                <w:rFonts w:ascii="宋体" w:hAnsi="宋体"/>
                <w:b w:val="0"/>
                <w:szCs w:val="21"/>
              </w:rPr>
              <w:t>氧化剂</w:t>
            </w:r>
          </w:p>
        </w:tc>
        <w:tc>
          <w:tcPr>
            <w:tcW w:w="5180" w:type="dxa"/>
            <w:vAlign w:val="center"/>
          </w:tcPr>
          <w:p w14:paraId="1DD60C9C">
            <w:pPr>
              <w:jc w:val="center"/>
              <w:rPr>
                <w:rFonts w:ascii="宋体" w:hAnsi="宋体"/>
                <w:b w:val="0"/>
                <w:szCs w:val="21"/>
              </w:rPr>
            </w:pPr>
            <w:r>
              <w:rPr>
                <w:rFonts w:ascii="宋体" w:hAnsi="宋体"/>
                <w:b w:val="0"/>
                <w:szCs w:val="21"/>
              </w:rPr>
              <w:t>高氯酸铵</w:t>
            </w:r>
          </w:p>
        </w:tc>
        <w:tc>
          <w:tcPr>
            <w:tcW w:w="1865" w:type="dxa"/>
            <w:vAlign w:val="center"/>
          </w:tcPr>
          <w:p w14:paraId="467911EF">
            <w:pPr>
              <w:jc w:val="center"/>
              <w:rPr>
                <w:rFonts w:ascii="宋体" w:hAnsi="宋体"/>
                <w:b w:val="0"/>
                <w:szCs w:val="21"/>
              </w:rPr>
            </w:pPr>
            <w:r>
              <w:rPr>
                <w:rFonts w:ascii="宋体" w:hAnsi="宋体"/>
                <w:b w:val="0"/>
                <w:szCs w:val="21"/>
              </w:rPr>
              <w:t>20</w:t>
            </w:r>
          </w:p>
        </w:tc>
      </w:tr>
      <w:tr w14:paraId="554F4C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1834" w:type="dxa"/>
            <w:vMerge w:val="continue"/>
            <w:vAlign w:val="center"/>
          </w:tcPr>
          <w:p w14:paraId="4025B13C">
            <w:pPr>
              <w:jc w:val="center"/>
              <w:rPr>
                <w:rFonts w:ascii="宋体" w:hAnsi="宋体"/>
                <w:b w:val="0"/>
                <w:szCs w:val="21"/>
              </w:rPr>
            </w:pPr>
          </w:p>
        </w:tc>
        <w:tc>
          <w:tcPr>
            <w:tcW w:w="5180" w:type="dxa"/>
            <w:vAlign w:val="center"/>
          </w:tcPr>
          <w:p w14:paraId="5F28DC6D">
            <w:pPr>
              <w:jc w:val="center"/>
              <w:rPr>
                <w:rFonts w:ascii="宋体" w:hAnsi="宋体"/>
                <w:b w:val="0"/>
                <w:szCs w:val="21"/>
              </w:rPr>
            </w:pPr>
            <w:r>
              <w:rPr>
                <w:rFonts w:ascii="宋体" w:hAnsi="宋体"/>
                <w:b w:val="0"/>
                <w:szCs w:val="21"/>
              </w:rPr>
              <w:t>高氯酸钾、氯酸钾</w:t>
            </w:r>
          </w:p>
        </w:tc>
        <w:tc>
          <w:tcPr>
            <w:tcW w:w="1865" w:type="dxa"/>
            <w:vAlign w:val="center"/>
          </w:tcPr>
          <w:p w14:paraId="0526515C">
            <w:pPr>
              <w:jc w:val="center"/>
              <w:rPr>
                <w:rFonts w:ascii="宋体" w:hAnsi="宋体"/>
                <w:b w:val="0"/>
                <w:szCs w:val="21"/>
              </w:rPr>
            </w:pPr>
            <w:r>
              <w:rPr>
                <w:rFonts w:ascii="宋体" w:hAnsi="宋体"/>
                <w:b w:val="0"/>
                <w:szCs w:val="21"/>
              </w:rPr>
              <w:t>100</w:t>
            </w:r>
          </w:p>
        </w:tc>
      </w:tr>
      <w:tr w14:paraId="613E495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1834" w:type="dxa"/>
            <w:vMerge w:val="continue"/>
            <w:vAlign w:val="center"/>
          </w:tcPr>
          <w:p w14:paraId="120F119B">
            <w:pPr>
              <w:jc w:val="center"/>
              <w:rPr>
                <w:rFonts w:ascii="宋体" w:hAnsi="宋体"/>
                <w:b w:val="0"/>
                <w:szCs w:val="21"/>
              </w:rPr>
            </w:pPr>
          </w:p>
        </w:tc>
        <w:tc>
          <w:tcPr>
            <w:tcW w:w="5180" w:type="dxa"/>
            <w:vAlign w:val="center"/>
          </w:tcPr>
          <w:p w14:paraId="3A3A390C">
            <w:pPr>
              <w:jc w:val="center"/>
              <w:rPr>
                <w:rFonts w:ascii="宋体" w:hAnsi="宋体"/>
                <w:b w:val="0"/>
                <w:szCs w:val="21"/>
              </w:rPr>
            </w:pPr>
            <w:r>
              <w:rPr>
                <w:rFonts w:ascii="宋体" w:hAnsi="宋体"/>
                <w:b w:val="0"/>
                <w:szCs w:val="21"/>
              </w:rPr>
              <w:t>硝酸钡、硝酸锶、硝酸钠</w:t>
            </w:r>
          </w:p>
        </w:tc>
        <w:tc>
          <w:tcPr>
            <w:tcW w:w="1865" w:type="dxa"/>
            <w:vAlign w:val="center"/>
          </w:tcPr>
          <w:p w14:paraId="3C2BE487">
            <w:pPr>
              <w:jc w:val="center"/>
              <w:rPr>
                <w:rFonts w:ascii="宋体" w:hAnsi="宋体"/>
                <w:b w:val="0"/>
                <w:szCs w:val="21"/>
              </w:rPr>
            </w:pPr>
            <w:r>
              <w:rPr>
                <w:rFonts w:ascii="宋体" w:hAnsi="宋体"/>
                <w:b w:val="0"/>
                <w:szCs w:val="21"/>
              </w:rPr>
              <w:t>200</w:t>
            </w:r>
          </w:p>
        </w:tc>
      </w:tr>
      <w:tr w14:paraId="7EC802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1834" w:type="dxa"/>
            <w:vMerge w:val="continue"/>
            <w:vAlign w:val="center"/>
          </w:tcPr>
          <w:p w14:paraId="3D66AAF1">
            <w:pPr>
              <w:jc w:val="center"/>
              <w:rPr>
                <w:rFonts w:ascii="宋体" w:hAnsi="宋体"/>
                <w:b w:val="0"/>
                <w:szCs w:val="21"/>
              </w:rPr>
            </w:pPr>
          </w:p>
        </w:tc>
        <w:tc>
          <w:tcPr>
            <w:tcW w:w="5180" w:type="dxa"/>
            <w:vAlign w:val="center"/>
          </w:tcPr>
          <w:p w14:paraId="1697EC20">
            <w:pPr>
              <w:jc w:val="center"/>
              <w:rPr>
                <w:rFonts w:ascii="宋体" w:hAnsi="宋体"/>
                <w:b w:val="0"/>
                <w:szCs w:val="21"/>
              </w:rPr>
            </w:pPr>
            <w:r>
              <w:rPr>
                <w:rFonts w:ascii="宋体" w:hAnsi="宋体"/>
                <w:b w:val="0"/>
                <w:szCs w:val="21"/>
              </w:rPr>
              <w:t>硝酸钾</w:t>
            </w:r>
          </w:p>
        </w:tc>
        <w:tc>
          <w:tcPr>
            <w:tcW w:w="1865" w:type="dxa"/>
            <w:vAlign w:val="center"/>
          </w:tcPr>
          <w:p w14:paraId="48838AA7">
            <w:pPr>
              <w:jc w:val="center"/>
              <w:rPr>
                <w:rFonts w:ascii="宋体" w:hAnsi="宋体"/>
                <w:b w:val="0"/>
                <w:szCs w:val="21"/>
              </w:rPr>
            </w:pPr>
            <w:r>
              <w:rPr>
                <w:rFonts w:ascii="宋体" w:hAnsi="宋体"/>
                <w:b w:val="0"/>
                <w:szCs w:val="21"/>
              </w:rPr>
              <w:t>1000</w:t>
            </w:r>
          </w:p>
        </w:tc>
      </w:tr>
      <w:tr w14:paraId="14F6C1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1834" w:type="dxa"/>
            <w:vMerge w:val="restart"/>
            <w:vAlign w:val="center"/>
          </w:tcPr>
          <w:p w14:paraId="603C0073">
            <w:pPr>
              <w:jc w:val="center"/>
              <w:rPr>
                <w:rFonts w:ascii="宋体" w:hAnsi="宋体"/>
                <w:b w:val="0"/>
                <w:szCs w:val="21"/>
              </w:rPr>
            </w:pPr>
            <w:r>
              <w:rPr>
                <w:rFonts w:ascii="宋体" w:hAnsi="宋体"/>
                <w:b w:val="0"/>
                <w:szCs w:val="21"/>
              </w:rPr>
              <w:t>还原剂</w:t>
            </w:r>
          </w:p>
        </w:tc>
        <w:tc>
          <w:tcPr>
            <w:tcW w:w="5180" w:type="dxa"/>
            <w:vAlign w:val="center"/>
          </w:tcPr>
          <w:p w14:paraId="1A8E2F14">
            <w:pPr>
              <w:jc w:val="center"/>
              <w:rPr>
                <w:rFonts w:ascii="宋体" w:hAnsi="宋体"/>
                <w:b w:val="0"/>
                <w:szCs w:val="21"/>
              </w:rPr>
            </w:pPr>
            <w:r>
              <w:rPr>
                <w:rFonts w:ascii="宋体" w:hAnsi="宋体"/>
                <w:b w:val="0"/>
                <w:szCs w:val="21"/>
              </w:rPr>
              <w:t>铝镁合金粉</w:t>
            </w:r>
          </w:p>
        </w:tc>
        <w:tc>
          <w:tcPr>
            <w:tcW w:w="1865" w:type="dxa"/>
            <w:vAlign w:val="center"/>
          </w:tcPr>
          <w:p w14:paraId="2E3C4E5C">
            <w:pPr>
              <w:jc w:val="center"/>
              <w:rPr>
                <w:rFonts w:ascii="宋体" w:hAnsi="宋体"/>
                <w:b w:val="0"/>
                <w:szCs w:val="21"/>
              </w:rPr>
            </w:pPr>
            <w:r>
              <w:rPr>
                <w:rFonts w:ascii="宋体" w:hAnsi="宋体"/>
                <w:b w:val="0"/>
                <w:szCs w:val="21"/>
              </w:rPr>
              <w:t>50</w:t>
            </w:r>
          </w:p>
        </w:tc>
      </w:tr>
      <w:tr w14:paraId="6B839A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1834" w:type="dxa"/>
            <w:vMerge w:val="continue"/>
            <w:vAlign w:val="center"/>
          </w:tcPr>
          <w:p w14:paraId="0C5C4CC5">
            <w:pPr>
              <w:jc w:val="center"/>
              <w:rPr>
                <w:rFonts w:ascii="宋体" w:hAnsi="宋体"/>
                <w:b w:val="0"/>
                <w:szCs w:val="21"/>
              </w:rPr>
            </w:pPr>
          </w:p>
        </w:tc>
        <w:tc>
          <w:tcPr>
            <w:tcW w:w="5180" w:type="dxa"/>
            <w:vAlign w:val="center"/>
          </w:tcPr>
          <w:p w14:paraId="4B7A402D">
            <w:pPr>
              <w:jc w:val="center"/>
              <w:rPr>
                <w:rFonts w:ascii="宋体" w:hAnsi="宋体"/>
                <w:b w:val="0"/>
                <w:szCs w:val="21"/>
              </w:rPr>
            </w:pPr>
            <w:r>
              <w:rPr>
                <w:rFonts w:ascii="宋体" w:hAnsi="宋体"/>
                <w:b w:val="0"/>
                <w:szCs w:val="21"/>
              </w:rPr>
              <w:t>铝粉(又称银粉)、钛粉、赤磷、硫黄</w:t>
            </w:r>
          </w:p>
        </w:tc>
        <w:tc>
          <w:tcPr>
            <w:tcW w:w="1865" w:type="dxa"/>
            <w:vAlign w:val="center"/>
          </w:tcPr>
          <w:p w14:paraId="105A2107">
            <w:pPr>
              <w:jc w:val="center"/>
              <w:rPr>
                <w:rFonts w:ascii="宋体" w:hAnsi="宋体"/>
                <w:b w:val="0"/>
                <w:szCs w:val="21"/>
              </w:rPr>
            </w:pPr>
            <w:r>
              <w:rPr>
                <w:rFonts w:ascii="宋体" w:hAnsi="宋体"/>
                <w:b w:val="0"/>
                <w:szCs w:val="21"/>
              </w:rPr>
              <w:t>200</w:t>
            </w:r>
          </w:p>
        </w:tc>
      </w:tr>
      <w:tr w14:paraId="43AD3B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1834" w:type="dxa"/>
            <w:vAlign w:val="center"/>
          </w:tcPr>
          <w:p w14:paraId="42FFCAC1">
            <w:pPr>
              <w:jc w:val="center"/>
              <w:rPr>
                <w:rFonts w:ascii="宋体" w:hAnsi="宋体"/>
                <w:b w:val="0"/>
                <w:szCs w:val="21"/>
              </w:rPr>
            </w:pPr>
            <w:r>
              <w:rPr>
                <w:rFonts w:ascii="宋体" w:hAnsi="宋体"/>
                <w:b w:val="0"/>
                <w:szCs w:val="21"/>
              </w:rPr>
              <w:t>有机溶剂</w:t>
            </w:r>
          </w:p>
        </w:tc>
        <w:tc>
          <w:tcPr>
            <w:tcW w:w="5180" w:type="dxa"/>
            <w:vAlign w:val="center"/>
          </w:tcPr>
          <w:p w14:paraId="7BC507FD">
            <w:pPr>
              <w:jc w:val="center"/>
              <w:rPr>
                <w:rFonts w:ascii="宋体" w:hAnsi="宋体"/>
                <w:b w:val="0"/>
                <w:szCs w:val="21"/>
              </w:rPr>
            </w:pPr>
            <w:r>
              <w:rPr>
                <w:rFonts w:ascii="宋体" w:hAnsi="宋体"/>
                <w:b w:val="0"/>
                <w:szCs w:val="21"/>
              </w:rPr>
              <w:t>乙醇、丙酮</w:t>
            </w:r>
          </w:p>
        </w:tc>
        <w:tc>
          <w:tcPr>
            <w:tcW w:w="1865" w:type="dxa"/>
            <w:vAlign w:val="center"/>
          </w:tcPr>
          <w:p w14:paraId="192F866E">
            <w:pPr>
              <w:jc w:val="center"/>
              <w:rPr>
                <w:rFonts w:ascii="宋体" w:hAnsi="宋体"/>
                <w:b w:val="0"/>
                <w:szCs w:val="21"/>
              </w:rPr>
            </w:pPr>
            <w:r>
              <w:rPr>
                <w:rFonts w:ascii="宋体" w:hAnsi="宋体"/>
                <w:b w:val="0"/>
                <w:szCs w:val="21"/>
              </w:rPr>
              <w:t>500</w:t>
            </w:r>
          </w:p>
        </w:tc>
      </w:tr>
      <w:tr w14:paraId="1F7450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1834" w:type="dxa"/>
            <w:vMerge w:val="restart"/>
            <w:vAlign w:val="center"/>
          </w:tcPr>
          <w:p w14:paraId="19F10167">
            <w:pPr>
              <w:jc w:val="center"/>
              <w:rPr>
                <w:rFonts w:ascii="宋体" w:hAnsi="宋体"/>
                <w:b w:val="0"/>
                <w:szCs w:val="21"/>
              </w:rPr>
            </w:pPr>
            <w:r>
              <w:rPr>
                <w:rFonts w:ascii="宋体" w:hAnsi="宋体"/>
                <w:b w:val="0"/>
                <w:szCs w:val="21"/>
              </w:rPr>
              <w:t>硝化纤维素</w:t>
            </w:r>
          </w:p>
        </w:tc>
        <w:tc>
          <w:tcPr>
            <w:tcW w:w="5180" w:type="dxa"/>
            <w:vAlign w:val="center"/>
          </w:tcPr>
          <w:p w14:paraId="4ADD8256">
            <w:pPr>
              <w:jc w:val="center"/>
              <w:rPr>
                <w:rFonts w:ascii="宋体" w:hAnsi="宋体"/>
                <w:b w:val="0"/>
                <w:szCs w:val="21"/>
              </w:rPr>
            </w:pPr>
            <w:r>
              <w:rPr>
                <w:rFonts w:ascii="宋体" w:hAnsi="宋体"/>
                <w:b w:val="0"/>
                <w:szCs w:val="21"/>
              </w:rPr>
              <w:t>含水或乙醇小于25%</w:t>
            </w:r>
          </w:p>
        </w:tc>
        <w:tc>
          <w:tcPr>
            <w:tcW w:w="1865" w:type="dxa"/>
            <w:vAlign w:val="center"/>
          </w:tcPr>
          <w:p w14:paraId="5D1267D7">
            <w:pPr>
              <w:jc w:val="center"/>
              <w:rPr>
                <w:rFonts w:ascii="宋体" w:hAnsi="宋体"/>
                <w:b w:val="0"/>
                <w:szCs w:val="21"/>
              </w:rPr>
            </w:pPr>
            <w:r>
              <w:rPr>
                <w:rFonts w:ascii="宋体" w:hAnsi="宋体"/>
                <w:b w:val="0"/>
                <w:szCs w:val="21"/>
              </w:rPr>
              <w:t>1</w:t>
            </w:r>
          </w:p>
        </w:tc>
      </w:tr>
      <w:tr w14:paraId="7CE133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1834" w:type="dxa"/>
            <w:vMerge w:val="continue"/>
            <w:vAlign w:val="center"/>
          </w:tcPr>
          <w:p w14:paraId="6B7FEADA">
            <w:pPr>
              <w:jc w:val="center"/>
              <w:rPr>
                <w:rFonts w:ascii="宋体" w:hAnsi="宋体"/>
                <w:b w:val="0"/>
                <w:szCs w:val="21"/>
              </w:rPr>
            </w:pPr>
          </w:p>
        </w:tc>
        <w:tc>
          <w:tcPr>
            <w:tcW w:w="5180" w:type="dxa"/>
            <w:vAlign w:val="center"/>
          </w:tcPr>
          <w:p w14:paraId="553D45B4">
            <w:pPr>
              <w:jc w:val="center"/>
              <w:rPr>
                <w:rFonts w:ascii="宋体" w:hAnsi="宋体"/>
                <w:b w:val="0"/>
                <w:szCs w:val="21"/>
              </w:rPr>
            </w:pPr>
            <w:r>
              <w:rPr>
                <w:rFonts w:ascii="宋体" w:hAnsi="宋体"/>
                <w:b w:val="0"/>
                <w:szCs w:val="21"/>
              </w:rPr>
              <w:t>含乙醇大于等于25%</w:t>
            </w:r>
          </w:p>
        </w:tc>
        <w:tc>
          <w:tcPr>
            <w:tcW w:w="1865" w:type="dxa"/>
            <w:vAlign w:val="center"/>
          </w:tcPr>
          <w:p w14:paraId="327FE648">
            <w:pPr>
              <w:jc w:val="center"/>
              <w:rPr>
                <w:rFonts w:ascii="宋体" w:hAnsi="宋体"/>
                <w:b w:val="0"/>
                <w:szCs w:val="21"/>
              </w:rPr>
            </w:pPr>
            <w:r>
              <w:rPr>
                <w:rFonts w:ascii="宋体" w:hAnsi="宋体"/>
                <w:b w:val="0"/>
                <w:szCs w:val="21"/>
              </w:rPr>
              <w:t>10</w:t>
            </w:r>
          </w:p>
        </w:tc>
      </w:tr>
      <w:tr w14:paraId="55A6CF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1834" w:type="dxa"/>
            <w:vMerge w:val="continue"/>
            <w:vAlign w:val="center"/>
          </w:tcPr>
          <w:p w14:paraId="15FF80D6">
            <w:pPr>
              <w:jc w:val="center"/>
              <w:rPr>
                <w:rFonts w:ascii="宋体" w:hAnsi="宋体"/>
                <w:b w:val="0"/>
                <w:szCs w:val="21"/>
              </w:rPr>
            </w:pPr>
          </w:p>
        </w:tc>
        <w:tc>
          <w:tcPr>
            <w:tcW w:w="5180" w:type="dxa"/>
            <w:vAlign w:val="center"/>
          </w:tcPr>
          <w:p w14:paraId="6814C080">
            <w:pPr>
              <w:jc w:val="center"/>
              <w:rPr>
                <w:rFonts w:ascii="宋体" w:hAnsi="宋体"/>
                <w:b w:val="0"/>
                <w:szCs w:val="21"/>
              </w:rPr>
            </w:pPr>
            <w:r>
              <w:rPr>
                <w:rFonts w:ascii="宋体" w:hAnsi="宋体"/>
                <w:b w:val="0"/>
                <w:szCs w:val="21"/>
              </w:rPr>
              <w:t>含氮小于等于12.6%,或含水大于等于25%</w:t>
            </w:r>
          </w:p>
        </w:tc>
        <w:tc>
          <w:tcPr>
            <w:tcW w:w="1865" w:type="dxa"/>
            <w:vAlign w:val="center"/>
          </w:tcPr>
          <w:p w14:paraId="2C22CA07">
            <w:pPr>
              <w:jc w:val="center"/>
              <w:rPr>
                <w:rFonts w:ascii="宋体" w:hAnsi="宋体"/>
                <w:b w:val="0"/>
                <w:szCs w:val="21"/>
              </w:rPr>
            </w:pPr>
            <w:r>
              <w:rPr>
                <w:rFonts w:ascii="宋体" w:hAnsi="宋体"/>
                <w:b w:val="0"/>
                <w:szCs w:val="21"/>
              </w:rPr>
              <w:t>50</w:t>
            </w:r>
          </w:p>
        </w:tc>
      </w:tr>
    </w:tbl>
    <w:p w14:paraId="71DF47CE">
      <w:pPr>
        <w:spacing w:before="120" w:beforeLines="50" w:line="360" w:lineRule="auto"/>
        <w:ind w:firstLine="560" w:firstLineChars="200"/>
        <w:rPr>
          <w:rFonts w:ascii="黑体" w:hAnsi="黑体" w:eastAsia="黑体"/>
          <w:b w:val="0"/>
          <w:sz w:val="24"/>
        </w:rPr>
      </w:pPr>
      <w:r>
        <w:rPr>
          <w:rFonts w:hint="eastAsia" w:ascii="宋体" w:hAnsi="宋体"/>
          <w:b w:val="0"/>
          <w:sz w:val="28"/>
          <w:szCs w:val="28"/>
        </w:rPr>
        <w:t xml:space="preserve"> （2）</w:t>
      </w:r>
      <w:r>
        <w:rPr>
          <w:rFonts w:ascii="宋体" w:hAnsi="宋体"/>
          <w:b w:val="0"/>
          <w:sz w:val="28"/>
          <w:szCs w:val="28"/>
        </w:rPr>
        <w:t>生产烟花爆竹用烟火药(含黑火药、单基火药)、引火线的临界量按表2确定。</w:t>
      </w:r>
    </w:p>
    <w:p w14:paraId="00D6FAAF">
      <w:pPr>
        <w:widowControl/>
        <w:jc w:val="center"/>
        <w:rPr>
          <w:rFonts w:ascii="黑体" w:hAnsi="黑体" w:eastAsia="黑体"/>
          <w:b w:val="0"/>
          <w:sz w:val="24"/>
        </w:rPr>
      </w:pPr>
      <w:r>
        <w:rPr>
          <w:rFonts w:hint="eastAsia" w:ascii="黑体" w:hAnsi="黑体" w:eastAsia="黑体"/>
          <w:b w:val="0"/>
          <w:sz w:val="24"/>
        </w:rPr>
        <w:t>表2  烟火药（含黑火药）、引火线临界量</w:t>
      </w:r>
    </w:p>
    <w:tbl>
      <w:tblPr>
        <w:tblStyle w:val="88"/>
        <w:tblW w:w="8838"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826"/>
        <w:gridCol w:w="5456"/>
        <w:gridCol w:w="1556"/>
      </w:tblGrid>
      <w:tr w14:paraId="4E6422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826" w:type="dxa"/>
            <w:vAlign w:val="center"/>
          </w:tcPr>
          <w:p w14:paraId="098D2CE7">
            <w:pPr>
              <w:ind w:right="-65" w:rightChars="-31"/>
              <w:jc w:val="center"/>
              <w:rPr>
                <w:rFonts w:ascii="宋体" w:hAnsi="宋体"/>
                <w:szCs w:val="20"/>
              </w:rPr>
            </w:pPr>
            <w:r>
              <w:rPr>
                <w:rFonts w:ascii="宋体" w:hAnsi="宋体"/>
                <w:szCs w:val="20"/>
              </w:rPr>
              <w:t>种类</w:t>
            </w:r>
          </w:p>
        </w:tc>
        <w:tc>
          <w:tcPr>
            <w:tcW w:w="5456" w:type="dxa"/>
            <w:vAlign w:val="center"/>
          </w:tcPr>
          <w:p w14:paraId="1E8765FE">
            <w:pPr>
              <w:ind w:right="-65" w:rightChars="-31"/>
              <w:jc w:val="center"/>
              <w:rPr>
                <w:rFonts w:ascii="宋体" w:hAnsi="宋体"/>
                <w:szCs w:val="20"/>
              </w:rPr>
            </w:pPr>
            <w:r>
              <w:rPr>
                <w:rFonts w:ascii="宋体" w:hAnsi="宋体"/>
                <w:szCs w:val="20"/>
              </w:rPr>
              <w:t>规格(形态)</w:t>
            </w:r>
          </w:p>
        </w:tc>
        <w:tc>
          <w:tcPr>
            <w:tcW w:w="1556" w:type="dxa"/>
            <w:vAlign w:val="center"/>
          </w:tcPr>
          <w:p w14:paraId="3CA4AF1E">
            <w:pPr>
              <w:ind w:right="-65" w:rightChars="-31"/>
              <w:jc w:val="center"/>
              <w:rPr>
                <w:rFonts w:ascii="宋体" w:hAnsi="宋体"/>
                <w:szCs w:val="20"/>
              </w:rPr>
            </w:pPr>
            <w:r>
              <w:rPr>
                <w:rFonts w:ascii="宋体" w:hAnsi="宋体"/>
                <w:szCs w:val="20"/>
              </w:rPr>
              <w:t>临界量</w:t>
            </w:r>
            <w:r>
              <w:rPr>
                <w:rFonts w:hint="eastAsia" w:ascii="宋体" w:hAnsi="宋体"/>
                <w:szCs w:val="20"/>
              </w:rPr>
              <w:t>（吨）</w:t>
            </w:r>
          </w:p>
        </w:tc>
      </w:tr>
      <w:tr w14:paraId="46E0D88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92" w:hRule="exact"/>
          <w:jc w:val="center"/>
        </w:trPr>
        <w:tc>
          <w:tcPr>
            <w:tcW w:w="1826" w:type="dxa"/>
            <w:vMerge w:val="restart"/>
            <w:vAlign w:val="center"/>
          </w:tcPr>
          <w:p w14:paraId="117C2A8E">
            <w:pPr>
              <w:ind w:right="-65" w:rightChars="-31"/>
              <w:jc w:val="center"/>
              <w:rPr>
                <w:rFonts w:ascii="宋体" w:hAnsi="宋体"/>
                <w:b w:val="0"/>
                <w:szCs w:val="20"/>
              </w:rPr>
            </w:pPr>
            <w:r>
              <w:rPr>
                <w:rFonts w:ascii="宋体" w:hAnsi="宋体"/>
                <w:b w:val="0"/>
                <w:szCs w:val="20"/>
              </w:rPr>
              <w:t>烟火药</w:t>
            </w:r>
          </w:p>
        </w:tc>
        <w:tc>
          <w:tcPr>
            <w:tcW w:w="5456" w:type="dxa"/>
            <w:vAlign w:val="center"/>
          </w:tcPr>
          <w:p w14:paraId="24365395">
            <w:pPr>
              <w:ind w:right="-65" w:rightChars="-31"/>
              <w:jc w:val="center"/>
              <w:rPr>
                <w:rFonts w:ascii="宋体" w:hAnsi="宋体"/>
                <w:b w:val="0"/>
                <w:szCs w:val="20"/>
              </w:rPr>
            </w:pPr>
            <w:r>
              <w:rPr>
                <w:rFonts w:ascii="宋体" w:hAnsi="宋体"/>
                <w:b w:val="0"/>
                <w:szCs w:val="20"/>
              </w:rPr>
              <w:t>白药爆响药或白药开包药(如爆竹药、双响药、开包药等)</w:t>
            </w:r>
          </w:p>
        </w:tc>
        <w:tc>
          <w:tcPr>
            <w:tcW w:w="1556" w:type="dxa"/>
            <w:vAlign w:val="center"/>
          </w:tcPr>
          <w:p w14:paraId="29FB7963">
            <w:pPr>
              <w:ind w:right="-65" w:rightChars="-31"/>
              <w:jc w:val="center"/>
              <w:rPr>
                <w:rFonts w:ascii="宋体" w:hAnsi="宋体"/>
                <w:b w:val="0"/>
                <w:szCs w:val="20"/>
              </w:rPr>
            </w:pPr>
            <w:r>
              <w:rPr>
                <w:rFonts w:ascii="宋体" w:hAnsi="宋体"/>
                <w:b w:val="0"/>
                <w:szCs w:val="20"/>
              </w:rPr>
              <w:t>1</w:t>
            </w:r>
          </w:p>
        </w:tc>
      </w:tr>
      <w:tr w14:paraId="6ECC7B0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01" w:hRule="exact"/>
          <w:jc w:val="center"/>
        </w:trPr>
        <w:tc>
          <w:tcPr>
            <w:tcW w:w="1826" w:type="dxa"/>
            <w:vMerge w:val="continue"/>
            <w:vAlign w:val="center"/>
          </w:tcPr>
          <w:p w14:paraId="1A2D706D">
            <w:pPr>
              <w:ind w:right="-65" w:rightChars="-31"/>
              <w:jc w:val="center"/>
              <w:rPr>
                <w:rFonts w:ascii="宋体" w:hAnsi="宋体"/>
                <w:b w:val="0"/>
                <w:szCs w:val="20"/>
              </w:rPr>
            </w:pPr>
          </w:p>
        </w:tc>
        <w:tc>
          <w:tcPr>
            <w:tcW w:w="5456" w:type="dxa"/>
            <w:vAlign w:val="center"/>
          </w:tcPr>
          <w:p w14:paraId="35DD8290">
            <w:pPr>
              <w:ind w:right="-65" w:rightChars="-31"/>
              <w:jc w:val="center"/>
              <w:rPr>
                <w:rFonts w:ascii="宋体" w:hAnsi="宋体"/>
                <w:b w:val="0"/>
                <w:szCs w:val="20"/>
              </w:rPr>
            </w:pPr>
            <w:r>
              <w:rPr>
                <w:rFonts w:ascii="宋体" w:hAnsi="宋体"/>
                <w:b w:val="0"/>
                <w:szCs w:val="20"/>
              </w:rPr>
              <w:t>其他烟火药</w:t>
            </w:r>
          </w:p>
        </w:tc>
        <w:tc>
          <w:tcPr>
            <w:tcW w:w="1556" w:type="dxa"/>
            <w:vAlign w:val="center"/>
          </w:tcPr>
          <w:p w14:paraId="4497632D">
            <w:pPr>
              <w:ind w:right="-65" w:rightChars="-31"/>
              <w:jc w:val="center"/>
              <w:rPr>
                <w:rFonts w:ascii="宋体" w:hAnsi="宋体"/>
                <w:b w:val="0"/>
                <w:szCs w:val="20"/>
              </w:rPr>
            </w:pPr>
            <w:r>
              <w:rPr>
                <w:rFonts w:ascii="宋体" w:hAnsi="宋体"/>
                <w:b w:val="0"/>
                <w:szCs w:val="20"/>
              </w:rPr>
              <w:t>5</w:t>
            </w:r>
          </w:p>
        </w:tc>
      </w:tr>
      <w:tr w14:paraId="17EE95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99" w:hRule="exact"/>
          <w:jc w:val="center"/>
        </w:trPr>
        <w:tc>
          <w:tcPr>
            <w:tcW w:w="1826" w:type="dxa"/>
            <w:vAlign w:val="center"/>
          </w:tcPr>
          <w:p w14:paraId="140C86A0">
            <w:pPr>
              <w:ind w:right="-65" w:rightChars="-31"/>
              <w:jc w:val="center"/>
              <w:rPr>
                <w:rFonts w:ascii="宋体" w:hAnsi="宋体"/>
                <w:b w:val="0"/>
                <w:szCs w:val="20"/>
              </w:rPr>
            </w:pPr>
            <w:r>
              <w:rPr>
                <w:rFonts w:ascii="宋体" w:hAnsi="宋体"/>
                <w:b w:val="0"/>
                <w:szCs w:val="20"/>
              </w:rPr>
              <w:t>黑火药</w:t>
            </w:r>
          </w:p>
        </w:tc>
        <w:tc>
          <w:tcPr>
            <w:tcW w:w="5456" w:type="dxa"/>
            <w:vAlign w:val="center"/>
          </w:tcPr>
          <w:p w14:paraId="7B2B9771">
            <w:pPr>
              <w:ind w:right="-65" w:rightChars="-31"/>
              <w:jc w:val="center"/>
              <w:rPr>
                <w:rFonts w:ascii="宋体" w:hAnsi="宋体"/>
                <w:b w:val="0"/>
                <w:szCs w:val="20"/>
              </w:rPr>
            </w:pPr>
            <w:r>
              <w:rPr>
                <w:rFonts w:ascii="宋体" w:hAnsi="宋体"/>
                <w:b w:val="0"/>
                <w:szCs w:val="20"/>
              </w:rPr>
              <w:t>粉状、粒状</w:t>
            </w:r>
          </w:p>
        </w:tc>
        <w:tc>
          <w:tcPr>
            <w:tcW w:w="1556" w:type="dxa"/>
            <w:vAlign w:val="center"/>
          </w:tcPr>
          <w:p w14:paraId="17B23D4F">
            <w:pPr>
              <w:ind w:right="-65" w:rightChars="-31"/>
              <w:jc w:val="center"/>
              <w:rPr>
                <w:rFonts w:ascii="宋体" w:hAnsi="宋体"/>
                <w:b w:val="0"/>
                <w:szCs w:val="20"/>
              </w:rPr>
            </w:pPr>
            <w:r>
              <w:rPr>
                <w:rFonts w:ascii="宋体" w:hAnsi="宋体"/>
                <w:b w:val="0"/>
                <w:szCs w:val="20"/>
              </w:rPr>
              <w:t>5</w:t>
            </w:r>
          </w:p>
        </w:tc>
      </w:tr>
      <w:tr w14:paraId="796661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07" w:hRule="exact"/>
          <w:jc w:val="center"/>
        </w:trPr>
        <w:tc>
          <w:tcPr>
            <w:tcW w:w="1826" w:type="dxa"/>
            <w:vMerge w:val="restart"/>
            <w:vAlign w:val="center"/>
          </w:tcPr>
          <w:p w14:paraId="25ABDE40">
            <w:pPr>
              <w:ind w:right="-65" w:rightChars="-31"/>
              <w:jc w:val="center"/>
              <w:rPr>
                <w:rFonts w:ascii="宋体" w:hAnsi="宋体"/>
                <w:b w:val="0"/>
                <w:szCs w:val="20"/>
              </w:rPr>
            </w:pPr>
            <w:r>
              <w:rPr>
                <w:rFonts w:ascii="宋体" w:hAnsi="宋体"/>
                <w:b w:val="0"/>
                <w:szCs w:val="20"/>
              </w:rPr>
              <w:t>单基火药</w:t>
            </w:r>
          </w:p>
        </w:tc>
        <w:tc>
          <w:tcPr>
            <w:tcW w:w="5456" w:type="dxa"/>
            <w:vAlign w:val="center"/>
          </w:tcPr>
          <w:p w14:paraId="02D773D4">
            <w:pPr>
              <w:ind w:right="-65" w:rightChars="-31"/>
              <w:jc w:val="center"/>
              <w:rPr>
                <w:rFonts w:ascii="宋体" w:hAnsi="宋体"/>
                <w:b w:val="0"/>
                <w:szCs w:val="20"/>
              </w:rPr>
            </w:pPr>
            <w:r>
              <w:rPr>
                <w:rFonts w:ascii="宋体" w:hAnsi="宋体"/>
                <w:b w:val="0"/>
                <w:szCs w:val="20"/>
              </w:rPr>
              <w:t>含水或乙醇小于20%</w:t>
            </w:r>
          </w:p>
        </w:tc>
        <w:tc>
          <w:tcPr>
            <w:tcW w:w="1556" w:type="dxa"/>
            <w:vAlign w:val="center"/>
          </w:tcPr>
          <w:p w14:paraId="39D5E65D">
            <w:pPr>
              <w:ind w:right="-65" w:rightChars="-31"/>
              <w:jc w:val="center"/>
              <w:rPr>
                <w:rFonts w:ascii="宋体" w:hAnsi="宋体"/>
                <w:b w:val="0"/>
                <w:szCs w:val="20"/>
              </w:rPr>
            </w:pPr>
            <w:r>
              <w:rPr>
                <w:rFonts w:ascii="宋体" w:hAnsi="宋体"/>
                <w:b w:val="0"/>
                <w:szCs w:val="20"/>
              </w:rPr>
              <w:t>1</w:t>
            </w:r>
          </w:p>
        </w:tc>
      </w:tr>
      <w:tr w14:paraId="18CC8F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15" w:hRule="exact"/>
          <w:jc w:val="center"/>
        </w:trPr>
        <w:tc>
          <w:tcPr>
            <w:tcW w:w="1826" w:type="dxa"/>
            <w:vMerge w:val="continue"/>
            <w:vAlign w:val="center"/>
          </w:tcPr>
          <w:p w14:paraId="5310A9A4">
            <w:pPr>
              <w:ind w:right="-65" w:rightChars="-31"/>
              <w:jc w:val="center"/>
              <w:rPr>
                <w:rFonts w:ascii="宋体" w:hAnsi="宋体"/>
                <w:b w:val="0"/>
                <w:szCs w:val="20"/>
              </w:rPr>
            </w:pPr>
          </w:p>
        </w:tc>
        <w:tc>
          <w:tcPr>
            <w:tcW w:w="5456" w:type="dxa"/>
            <w:vAlign w:val="center"/>
          </w:tcPr>
          <w:p w14:paraId="02CF4574">
            <w:pPr>
              <w:ind w:right="-65" w:rightChars="-31"/>
              <w:jc w:val="center"/>
              <w:rPr>
                <w:rFonts w:ascii="宋体" w:hAnsi="宋体"/>
                <w:b w:val="0"/>
                <w:szCs w:val="20"/>
              </w:rPr>
            </w:pPr>
            <w:r>
              <w:rPr>
                <w:rFonts w:ascii="宋体" w:hAnsi="宋体"/>
                <w:b w:val="0"/>
                <w:szCs w:val="20"/>
              </w:rPr>
              <w:t>含水或乙醇大于等于20</w:t>
            </w:r>
          </w:p>
        </w:tc>
        <w:tc>
          <w:tcPr>
            <w:tcW w:w="1556" w:type="dxa"/>
            <w:vAlign w:val="center"/>
          </w:tcPr>
          <w:p w14:paraId="48CDC155">
            <w:pPr>
              <w:ind w:right="-65" w:rightChars="-31"/>
              <w:jc w:val="center"/>
              <w:rPr>
                <w:rFonts w:ascii="宋体" w:hAnsi="宋体"/>
                <w:b w:val="0"/>
                <w:szCs w:val="20"/>
              </w:rPr>
            </w:pPr>
            <w:r>
              <w:rPr>
                <w:rFonts w:ascii="宋体" w:hAnsi="宋体"/>
                <w:b w:val="0"/>
                <w:szCs w:val="20"/>
              </w:rPr>
              <w:t>8</w:t>
            </w:r>
          </w:p>
        </w:tc>
      </w:tr>
      <w:tr w14:paraId="2A4F68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11" w:hRule="exact"/>
          <w:jc w:val="center"/>
        </w:trPr>
        <w:tc>
          <w:tcPr>
            <w:tcW w:w="1826" w:type="dxa"/>
            <w:vMerge w:val="restart"/>
            <w:vAlign w:val="center"/>
          </w:tcPr>
          <w:p w14:paraId="4BB8D7CC">
            <w:pPr>
              <w:ind w:right="-65" w:rightChars="-31"/>
              <w:jc w:val="center"/>
              <w:rPr>
                <w:rFonts w:ascii="宋体" w:hAnsi="宋体"/>
                <w:b w:val="0"/>
                <w:szCs w:val="20"/>
              </w:rPr>
            </w:pPr>
            <w:r>
              <w:rPr>
                <w:rFonts w:ascii="宋体" w:hAnsi="宋体"/>
                <w:b w:val="0"/>
                <w:szCs w:val="20"/>
              </w:rPr>
              <w:t>引火线</w:t>
            </w:r>
          </w:p>
        </w:tc>
        <w:tc>
          <w:tcPr>
            <w:tcW w:w="5456" w:type="dxa"/>
            <w:vAlign w:val="center"/>
          </w:tcPr>
          <w:p w14:paraId="72E575E8">
            <w:pPr>
              <w:ind w:right="-65" w:rightChars="-31"/>
              <w:jc w:val="center"/>
              <w:rPr>
                <w:rFonts w:ascii="宋体" w:hAnsi="宋体"/>
                <w:b w:val="0"/>
                <w:szCs w:val="20"/>
              </w:rPr>
            </w:pPr>
            <w:r>
              <w:rPr>
                <w:rFonts w:ascii="宋体" w:hAnsi="宋体"/>
                <w:b w:val="0"/>
                <w:szCs w:val="20"/>
              </w:rPr>
              <w:t>燃速大于等于3.0cm/s的引火线(又称快速引火线)</w:t>
            </w:r>
          </w:p>
        </w:tc>
        <w:tc>
          <w:tcPr>
            <w:tcW w:w="1556" w:type="dxa"/>
            <w:vAlign w:val="center"/>
          </w:tcPr>
          <w:p w14:paraId="33F95350">
            <w:pPr>
              <w:ind w:right="-65" w:rightChars="-31"/>
              <w:jc w:val="center"/>
              <w:rPr>
                <w:rFonts w:ascii="宋体" w:hAnsi="宋体"/>
                <w:b w:val="0"/>
                <w:szCs w:val="20"/>
              </w:rPr>
            </w:pPr>
            <w:r>
              <w:rPr>
                <w:rFonts w:ascii="宋体" w:hAnsi="宋体"/>
                <w:b w:val="0"/>
                <w:szCs w:val="20"/>
              </w:rPr>
              <w:t>5</w:t>
            </w:r>
          </w:p>
        </w:tc>
      </w:tr>
      <w:tr w14:paraId="3A04B1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82" w:hRule="exact"/>
          <w:jc w:val="center"/>
        </w:trPr>
        <w:tc>
          <w:tcPr>
            <w:tcW w:w="1826" w:type="dxa"/>
            <w:vMerge w:val="continue"/>
            <w:vAlign w:val="center"/>
          </w:tcPr>
          <w:p w14:paraId="09983A76">
            <w:pPr>
              <w:ind w:right="-65" w:rightChars="-31"/>
              <w:jc w:val="center"/>
              <w:rPr>
                <w:rFonts w:ascii="宋体" w:hAnsi="宋体"/>
                <w:b w:val="0"/>
                <w:szCs w:val="20"/>
              </w:rPr>
            </w:pPr>
          </w:p>
        </w:tc>
        <w:tc>
          <w:tcPr>
            <w:tcW w:w="5456" w:type="dxa"/>
            <w:vAlign w:val="center"/>
          </w:tcPr>
          <w:p w14:paraId="0E712148">
            <w:pPr>
              <w:ind w:right="-65" w:rightChars="-31"/>
              <w:jc w:val="center"/>
              <w:rPr>
                <w:rFonts w:ascii="宋体" w:hAnsi="宋体"/>
                <w:b w:val="0"/>
                <w:szCs w:val="20"/>
              </w:rPr>
            </w:pPr>
            <w:r>
              <w:rPr>
                <w:rFonts w:ascii="宋体" w:hAnsi="宋体"/>
                <w:b w:val="0"/>
                <w:szCs w:val="20"/>
              </w:rPr>
              <w:t>燃速小于3.0 cm/s的引火线(又称慢速引火线)</w:t>
            </w:r>
          </w:p>
        </w:tc>
        <w:tc>
          <w:tcPr>
            <w:tcW w:w="1556" w:type="dxa"/>
            <w:vAlign w:val="center"/>
          </w:tcPr>
          <w:p w14:paraId="38EDDBD5">
            <w:pPr>
              <w:ind w:right="-65" w:rightChars="-31"/>
              <w:jc w:val="center"/>
              <w:rPr>
                <w:rFonts w:ascii="宋体" w:hAnsi="宋体"/>
                <w:b w:val="0"/>
                <w:szCs w:val="20"/>
              </w:rPr>
            </w:pPr>
            <w:r>
              <w:rPr>
                <w:rFonts w:ascii="宋体" w:hAnsi="宋体"/>
                <w:b w:val="0"/>
                <w:szCs w:val="20"/>
              </w:rPr>
              <w:t>8</w:t>
            </w:r>
          </w:p>
        </w:tc>
      </w:tr>
    </w:tbl>
    <w:p w14:paraId="2B721E2F">
      <w:pPr>
        <w:spacing w:before="120" w:beforeLines="50" w:line="360" w:lineRule="auto"/>
        <w:ind w:firstLine="560" w:firstLineChars="200"/>
        <w:rPr>
          <w:rFonts w:ascii="宋体" w:hAnsi="宋体"/>
          <w:b w:val="0"/>
          <w:sz w:val="28"/>
          <w:szCs w:val="28"/>
        </w:rPr>
      </w:pPr>
      <w:r>
        <w:rPr>
          <w:rFonts w:hint="eastAsia" w:ascii="宋体" w:hAnsi="宋体"/>
          <w:b w:val="0"/>
          <w:sz w:val="28"/>
          <w:szCs w:val="28"/>
        </w:rPr>
        <w:t xml:space="preserve"> </w:t>
      </w:r>
    </w:p>
    <w:p w14:paraId="36DEB0F8">
      <w:pPr>
        <w:spacing w:before="120" w:beforeLines="50" w:line="360" w:lineRule="auto"/>
        <w:ind w:firstLine="560" w:firstLineChars="200"/>
        <w:rPr>
          <w:rFonts w:ascii="宋体" w:hAnsi="宋体"/>
          <w:b w:val="0"/>
          <w:sz w:val="28"/>
          <w:szCs w:val="28"/>
        </w:rPr>
      </w:pPr>
      <w:r>
        <w:rPr>
          <w:rFonts w:hint="eastAsia" w:ascii="宋体" w:hAnsi="宋体"/>
          <w:b w:val="0"/>
          <w:sz w:val="28"/>
          <w:szCs w:val="28"/>
        </w:rPr>
        <w:t>（3）</w:t>
      </w:r>
      <w:r>
        <w:rPr>
          <w:rFonts w:ascii="宋体" w:hAnsi="宋体"/>
          <w:b w:val="0"/>
          <w:sz w:val="28"/>
          <w:szCs w:val="28"/>
        </w:rPr>
        <w:t>烟花爆竹成品和半成品的临界量按表3确定。</w:t>
      </w:r>
    </w:p>
    <w:p w14:paraId="0E86BFD2">
      <w:pPr>
        <w:tabs>
          <w:tab w:val="left" w:pos="900"/>
          <w:tab w:val="left" w:pos="1080"/>
        </w:tabs>
        <w:jc w:val="center"/>
        <w:rPr>
          <w:rFonts w:ascii="黑体" w:hAnsi="黑体" w:eastAsia="黑体"/>
          <w:b w:val="0"/>
          <w:sz w:val="24"/>
        </w:rPr>
      </w:pPr>
      <w:r>
        <w:rPr>
          <w:rFonts w:hint="eastAsia" w:ascii="黑体" w:hAnsi="黑体" w:eastAsia="黑体"/>
          <w:b w:val="0"/>
          <w:sz w:val="24"/>
        </w:rPr>
        <w:t>表3  烟花爆竹成品和半成品临界量</w:t>
      </w:r>
    </w:p>
    <w:tbl>
      <w:tblPr>
        <w:tblStyle w:val="88"/>
        <w:tblW w:w="881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7268"/>
        <w:gridCol w:w="1551"/>
      </w:tblGrid>
      <w:tr w14:paraId="474C5F7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02" w:hRule="atLeast"/>
          <w:jc w:val="center"/>
        </w:trPr>
        <w:tc>
          <w:tcPr>
            <w:tcW w:w="7268" w:type="dxa"/>
            <w:vAlign w:val="center"/>
          </w:tcPr>
          <w:p w14:paraId="6F705656">
            <w:pPr>
              <w:ind w:right="-65" w:rightChars="-31"/>
              <w:jc w:val="center"/>
              <w:rPr>
                <w:rFonts w:ascii="宋体" w:hAnsi="宋体"/>
                <w:szCs w:val="20"/>
              </w:rPr>
            </w:pPr>
            <w:r>
              <w:rPr>
                <w:rFonts w:ascii="宋体" w:hAnsi="宋体"/>
                <w:szCs w:val="20"/>
              </w:rPr>
              <w:t>种类</w:t>
            </w:r>
          </w:p>
        </w:tc>
        <w:tc>
          <w:tcPr>
            <w:tcW w:w="1551" w:type="dxa"/>
            <w:vAlign w:val="center"/>
          </w:tcPr>
          <w:p w14:paraId="784C4BD6">
            <w:pPr>
              <w:ind w:right="-65" w:rightChars="-31"/>
              <w:jc w:val="center"/>
              <w:rPr>
                <w:rFonts w:ascii="宋体" w:hAnsi="宋体"/>
                <w:szCs w:val="20"/>
              </w:rPr>
            </w:pPr>
            <w:r>
              <w:rPr>
                <w:rFonts w:ascii="宋体" w:hAnsi="宋体"/>
                <w:szCs w:val="20"/>
              </w:rPr>
              <w:t>临界量</w:t>
            </w:r>
            <w:r>
              <w:rPr>
                <w:rFonts w:hint="eastAsia" w:ascii="宋体" w:hAnsi="宋体"/>
                <w:szCs w:val="20"/>
              </w:rPr>
              <w:t>（吨）</w:t>
            </w:r>
          </w:p>
        </w:tc>
      </w:tr>
      <w:tr w14:paraId="416C5F5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49" w:hRule="atLeast"/>
          <w:jc w:val="center"/>
        </w:trPr>
        <w:tc>
          <w:tcPr>
            <w:tcW w:w="7268" w:type="dxa"/>
            <w:vAlign w:val="center"/>
          </w:tcPr>
          <w:p w14:paraId="454CC3D1">
            <w:pPr>
              <w:ind w:right="-65" w:rightChars="-31"/>
              <w:jc w:val="center"/>
              <w:rPr>
                <w:rFonts w:ascii="宋体" w:hAnsi="宋体"/>
                <w:b w:val="0"/>
                <w:szCs w:val="20"/>
              </w:rPr>
            </w:pPr>
            <w:r>
              <w:rPr>
                <w:rFonts w:ascii="宋体" w:hAnsi="宋体"/>
                <w:b w:val="0"/>
                <w:szCs w:val="20"/>
              </w:rPr>
              <w:t>含雷弹的礼花弹成品及其半成品；</w:t>
            </w:r>
          </w:p>
          <w:p w14:paraId="32D6517C">
            <w:pPr>
              <w:ind w:right="-65" w:rightChars="-31"/>
              <w:jc w:val="center"/>
              <w:rPr>
                <w:rFonts w:ascii="宋体" w:hAnsi="宋体"/>
                <w:b w:val="0"/>
                <w:szCs w:val="20"/>
              </w:rPr>
            </w:pPr>
            <w:r>
              <w:rPr>
                <w:rFonts w:ascii="宋体" w:hAnsi="宋体"/>
                <w:b w:val="0"/>
                <w:szCs w:val="20"/>
              </w:rPr>
              <w:t>7号及以上礼花弹成品及其半成品；</w:t>
            </w:r>
          </w:p>
          <w:p w14:paraId="63D41E57">
            <w:pPr>
              <w:ind w:right="-65" w:rightChars="-31"/>
              <w:jc w:val="center"/>
              <w:rPr>
                <w:rFonts w:ascii="宋体" w:hAnsi="宋体"/>
                <w:b w:val="0"/>
                <w:szCs w:val="20"/>
              </w:rPr>
            </w:pPr>
            <w:r>
              <w:rPr>
                <w:rFonts w:ascii="宋体" w:hAnsi="宋体"/>
                <w:b w:val="0"/>
                <w:szCs w:val="20"/>
              </w:rPr>
              <w:t>白药开包药大于7g的小礼花类、组合烟花类成品及其半成品</w:t>
            </w:r>
          </w:p>
        </w:tc>
        <w:tc>
          <w:tcPr>
            <w:tcW w:w="1551" w:type="dxa"/>
            <w:vAlign w:val="center"/>
          </w:tcPr>
          <w:p w14:paraId="37E03E40">
            <w:pPr>
              <w:ind w:right="-65" w:rightChars="-31"/>
              <w:jc w:val="center"/>
              <w:rPr>
                <w:rFonts w:ascii="宋体" w:hAnsi="宋体"/>
                <w:b w:val="0"/>
                <w:szCs w:val="20"/>
              </w:rPr>
            </w:pPr>
            <w:r>
              <w:rPr>
                <w:rFonts w:ascii="宋体" w:hAnsi="宋体"/>
                <w:b w:val="0"/>
                <w:szCs w:val="20"/>
              </w:rPr>
              <w:t>1</w:t>
            </w:r>
          </w:p>
        </w:tc>
      </w:tr>
      <w:tr w14:paraId="604BD04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574" w:hRule="atLeast"/>
          <w:jc w:val="center"/>
        </w:trPr>
        <w:tc>
          <w:tcPr>
            <w:tcW w:w="7268" w:type="dxa"/>
            <w:vAlign w:val="center"/>
          </w:tcPr>
          <w:p w14:paraId="33085689">
            <w:pPr>
              <w:ind w:right="-65" w:rightChars="-31"/>
              <w:jc w:val="center"/>
              <w:rPr>
                <w:rFonts w:ascii="宋体" w:hAnsi="宋体"/>
                <w:b w:val="0"/>
                <w:szCs w:val="20"/>
              </w:rPr>
            </w:pPr>
            <w:r>
              <w:rPr>
                <w:rFonts w:ascii="宋体" w:hAnsi="宋体"/>
                <w:b w:val="0"/>
                <w:szCs w:val="20"/>
              </w:rPr>
              <w:t>6号及以下礼花弹成品及其半成品；</w:t>
            </w:r>
          </w:p>
          <w:p w14:paraId="4BA0E24C">
            <w:pPr>
              <w:ind w:right="-65" w:rightChars="-31"/>
              <w:jc w:val="center"/>
              <w:rPr>
                <w:rFonts w:ascii="宋体" w:hAnsi="宋体"/>
                <w:b w:val="0"/>
                <w:szCs w:val="20"/>
              </w:rPr>
            </w:pPr>
            <w:r>
              <w:rPr>
                <w:rFonts w:ascii="宋体" w:hAnsi="宋体"/>
                <w:b w:val="0"/>
                <w:szCs w:val="20"/>
              </w:rPr>
              <w:t>除雷弹外的其他效果内筒；</w:t>
            </w:r>
          </w:p>
          <w:p w14:paraId="34F7E406">
            <w:pPr>
              <w:ind w:right="-65" w:rightChars="-31"/>
              <w:jc w:val="center"/>
              <w:rPr>
                <w:rFonts w:ascii="宋体" w:hAnsi="宋体"/>
                <w:b w:val="0"/>
                <w:szCs w:val="20"/>
              </w:rPr>
            </w:pPr>
            <w:r>
              <w:rPr>
                <w:rFonts w:ascii="宋体" w:hAnsi="宋体"/>
                <w:b w:val="0"/>
                <w:szCs w:val="20"/>
              </w:rPr>
              <w:t>白药开包药小于等于7g且大于个人燃放类中组合烟花类、小礼花类最大白药开包药药量的小礼花类、组合烟花类成品及其半成品；</w:t>
            </w:r>
          </w:p>
          <w:p w14:paraId="682A63B5">
            <w:pPr>
              <w:ind w:right="-65" w:rightChars="-31"/>
              <w:jc w:val="center"/>
              <w:rPr>
                <w:rFonts w:ascii="宋体" w:hAnsi="宋体"/>
                <w:b w:val="0"/>
                <w:szCs w:val="20"/>
              </w:rPr>
            </w:pPr>
            <w:r>
              <w:rPr>
                <w:rFonts w:ascii="宋体" w:hAnsi="宋体"/>
                <w:b w:val="0"/>
                <w:szCs w:val="20"/>
              </w:rPr>
              <w:t>双响成品及其半成品</w:t>
            </w:r>
          </w:p>
        </w:tc>
        <w:tc>
          <w:tcPr>
            <w:tcW w:w="1551" w:type="dxa"/>
            <w:vAlign w:val="center"/>
          </w:tcPr>
          <w:p w14:paraId="19C88D8F">
            <w:pPr>
              <w:ind w:right="-65" w:rightChars="-31"/>
              <w:jc w:val="center"/>
              <w:rPr>
                <w:rFonts w:ascii="宋体" w:hAnsi="宋体"/>
                <w:b w:val="0"/>
                <w:szCs w:val="20"/>
              </w:rPr>
            </w:pPr>
            <w:r>
              <w:rPr>
                <w:rFonts w:ascii="宋体" w:hAnsi="宋体"/>
                <w:b w:val="0"/>
                <w:szCs w:val="20"/>
              </w:rPr>
              <w:t>5</w:t>
            </w:r>
          </w:p>
        </w:tc>
      </w:tr>
      <w:tr w14:paraId="21A6D7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36" w:hRule="atLeast"/>
          <w:jc w:val="center"/>
        </w:trPr>
        <w:tc>
          <w:tcPr>
            <w:tcW w:w="7268" w:type="dxa"/>
            <w:vAlign w:val="center"/>
          </w:tcPr>
          <w:p w14:paraId="744A32A4">
            <w:pPr>
              <w:ind w:right="-65" w:rightChars="-31"/>
              <w:jc w:val="center"/>
              <w:rPr>
                <w:rFonts w:ascii="宋体" w:hAnsi="宋体"/>
                <w:b w:val="0"/>
                <w:szCs w:val="20"/>
              </w:rPr>
            </w:pPr>
            <w:r>
              <w:rPr>
                <w:rFonts w:ascii="宋体" w:hAnsi="宋体"/>
                <w:b w:val="0"/>
                <w:szCs w:val="20"/>
              </w:rPr>
              <w:t>单个爆竹白药药量超过0.14g的结鞭爆竹及其半成品；</w:t>
            </w:r>
          </w:p>
          <w:p w14:paraId="0BB9C9F9">
            <w:pPr>
              <w:ind w:right="-65" w:rightChars="-31"/>
              <w:jc w:val="center"/>
              <w:rPr>
                <w:rFonts w:ascii="宋体" w:hAnsi="宋体"/>
                <w:b w:val="0"/>
                <w:szCs w:val="20"/>
              </w:rPr>
            </w:pPr>
            <w:r>
              <w:rPr>
                <w:rFonts w:ascii="宋体" w:hAnsi="宋体"/>
                <w:b w:val="0"/>
                <w:szCs w:val="20"/>
              </w:rPr>
              <w:t>单个爆竹黑药药量超过1g的结鞭爆竹及其半成品</w:t>
            </w:r>
          </w:p>
        </w:tc>
        <w:tc>
          <w:tcPr>
            <w:tcW w:w="1551" w:type="dxa"/>
            <w:vAlign w:val="center"/>
          </w:tcPr>
          <w:p w14:paraId="49F3BEAA">
            <w:pPr>
              <w:ind w:right="-65" w:rightChars="-31"/>
              <w:jc w:val="center"/>
              <w:rPr>
                <w:rFonts w:ascii="宋体" w:hAnsi="宋体"/>
                <w:b w:val="0"/>
                <w:szCs w:val="20"/>
              </w:rPr>
            </w:pPr>
            <w:r>
              <w:rPr>
                <w:rFonts w:ascii="宋体" w:hAnsi="宋体"/>
                <w:b w:val="0"/>
                <w:szCs w:val="20"/>
              </w:rPr>
              <w:t>10</w:t>
            </w:r>
          </w:p>
        </w:tc>
      </w:tr>
      <w:tr w14:paraId="4183883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84" w:hRule="atLeast"/>
          <w:jc w:val="center"/>
        </w:trPr>
        <w:tc>
          <w:tcPr>
            <w:tcW w:w="7268" w:type="dxa"/>
            <w:vAlign w:val="center"/>
          </w:tcPr>
          <w:p w14:paraId="37910161">
            <w:pPr>
              <w:ind w:right="-65" w:rightChars="-31"/>
              <w:jc w:val="center"/>
              <w:rPr>
                <w:rFonts w:ascii="宋体" w:hAnsi="宋体"/>
                <w:b w:val="0"/>
                <w:szCs w:val="20"/>
              </w:rPr>
            </w:pPr>
            <w:r>
              <w:rPr>
                <w:rFonts w:ascii="宋体" w:hAnsi="宋体"/>
                <w:b w:val="0"/>
                <w:szCs w:val="20"/>
              </w:rPr>
              <w:t>个人燃放类组合烟花及其半成品；</w:t>
            </w:r>
          </w:p>
          <w:p w14:paraId="5723169F">
            <w:pPr>
              <w:ind w:right="-65" w:rightChars="-31"/>
              <w:jc w:val="center"/>
              <w:rPr>
                <w:rFonts w:ascii="宋体" w:hAnsi="宋体"/>
                <w:b w:val="0"/>
                <w:szCs w:val="20"/>
              </w:rPr>
            </w:pPr>
            <w:r>
              <w:rPr>
                <w:rFonts w:ascii="宋体" w:hAnsi="宋体"/>
                <w:b w:val="0"/>
                <w:szCs w:val="20"/>
              </w:rPr>
              <w:t>单个爆竹白药药量小于等于0.14g的结鞭爆竹及其半成品，单个爆竹黑药药量小于等于 1g的结鞭爆竹及其半成品</w:t>
            </w:r>
          </w:p>
        </w:tc>
        <w:tc>
          <w:tcPr>
            <w:tcW w:w="1551" w:type="dxa"/>
            <w:vAlign w:val="center"/>
          </w:tcPr>
          <w:p w14:paraId="01ACA441">
            <w:pPr>
              <w:ind w:right="-65" w:rightChars="-31"/>
              <w:jc w:val="center"/>
              <w:rPr>
                <w:rFonts w:ascii="宋体" w:hAnsi="宋体"/>
                <w:b w:val="0"/>
                <w:szCs w:val="20"/>
              </w:rPr>
            </w:pPr>
            <w:r>
              <w:rPr>
                <w:rFonts w:ascii="宋体" w:hAnsi="宋体"/>
                <w:b w:val="0"/>
                <w:szCs w:val="20"/>
              </w:rPr>
              <w:t>50</w:t>
            </w:r>
          </w:p>
        </w:tc>
      </w:tr>
    </w:tbl>
    <w:p w14:paraId="01CE2C9A">
      <w:pPr>
        <w:spacing w:line="360" w:lineRule="auto"/>
        <w:ind w:firstLine="396" w:firstLineChars="200"/>
        <w:rPr>
          <w:rFonts w:ascii="宋体" w:hAnsi="宋体"/>
          <w:b w:val="0"/>
          <w:spacing w:val="-6"/>
          <w:sz w:val="28"/>
          <w:szCs w:val="28"/>
        </w:rPr>
      </w:pPr>
      <w:r>
        <w:rPr>
          <w:rFonts w:hint="eastAsia" w:ascii="宋体" w:hAnsi="宋体"/>
          <w:b w:val="0"/>
          <w:snapToGrid w:val="0"/>
          <w:spacing w:val="-6"/>
          <w:szCs w:val="21"/>
        </w:rPr>
        <w:t>注：</w:t>
      </w:r>
      <w:r>
        <w:rPr>
          <w:rFonts w:ascii="宋体" w:hAnsi="宋体"/>
          <w:b w:val="0"/>
          <w:snapToGrid w:val="0"/>
          <w:spacing w:val="-6"/>
          <w:szCs w:val="21"/>
        </w:rPr>
        <w:t>表3中未规定临界量的，A 级烟花爆竹成品的临界量为</w:t>
      </w:r>
      <w:r>
        <w:rPr>
          <w:rFonts w:hint="eastAsia" w:ascii="宋体" w:hAnsi="宋体"/>
          <w:b w:val="0"/>
          <w:snapToGrid w:val="0"/>
          <w:spacing w:val="-6"/>
          <w:szCs w:val="21"/>
        </w:rPr>
        <w:t>5</w:t>
      </w:r>
      <w:r>
        <w:rPr>
          <w:rFonts w:ascii="宋体" w:hAnsi="宋体"/>
          <w:b w:val="0"/>
          <w:snapToGrid w:val="0"/>
          <w:spacing w:val="-6"/>
          <w:szCs w:val="21"/>
        </w:rPr>
        <w:t>t,B级烟花爆竹成品的临界量为10t,C级和D级烟花爆竹成品的临界量为50t。烟花爆竹半成品参照同一级别的烟花爆竹成品确定临界量。</w:t>
      </w:r>
    </w:p>
    <w:p w14:paraId="0DF7D0D2">
      <w:pPr>
        <w:spacing w:before="120" w:beforeLines="50" w:line="360" w:lineRule="auto"/>
        <w:outlineLvl w:val="2"/>
        <w:rPr>
          <w:rFonts w:ascii="黑体" w:hAnsi="黑体" w:eastAsia="黑体"/>
          <w:b w:val="0"/>
          <w:sz w:val="30"/>
          <w:szCs w:val="30"/>
        </w:rPr>
      </w:pPr>
      <w:bookmarkStart w:id="311" w:name="_Toc144559735"/>
      <w:bookmarkStart w:id="312" w:name="_Toc141114274"/>
      <w:bookmarkStart w:id="313" w:name="_Toc141368185"/>
      <w:bookmarkStart w:id="314" w:name="_Toc181194072"/>
      <w:bookmarkStart w:id="315" w:name="_Toc145275199"/>
      <w:bookmarkStart w:id="316" w:name="_Toc148036994"/>
      <w:bookmarkStart w:id="317" w:name="_Toc173077665"/>
      <w:r>
        <w:rPr>
          <w:rFonts w:hint="eastAsia" w:ascii="黑体" w:hAnsi="黑体" w:eastAsia="黑体"/>
          <w:b w:val="0"/>
          <w:sz w:val="30"/>
          <w:szCs w:val="30"/>
        </w:rPr>
        <w:t>3.</w:t>
      </w:r>
      <w:r>
        <w:rPr>
          <w:rFonts w:ascii="黑体" w:hAnsi="黑体" w:eastAsia="黑体"/>
          <w:b w:val="0"/>
          <w:sz w:val="30"/>
          <w:szCs w:val="30"/>
        </w:rPr>
        <w:t>4</w:t>
      </w:r>
      <w:r>
        <w:rPr>
          <w:rFonts w:hint="eastAsia" w:ascii="黑体" w:hAnsi="黑体" w:eastAsia="黑体"/>
          <w:b w:val="0"/>
          <w:sz w:val="30"/>
          <w:szCs w:val="30"/>
        </w:rPr>
        <w:t>.3</w:t>
      </w:r>
      <w:r>
        <w:rPr>
          <w:rFonts w:ascii="黑体" w:hAnsi="黑体" w:eastAsia="黑体"/>
          <w:b w:val="0"/>
          <w:sz w:val="30"/>
          <w:szCs w:val="30"/>
        </w:rPr>
        <w:t xml:space="preserve"> </w:t>
      </w:r>
      <w:r>
        <w:rPr>
          <w:rFonts w:hint="eastAsia" w:ascii="黑体" w:hAnsi="黑体" w:eastAsia="黑体"/>
          <w:b w:val="0"/>
          <w:sz w:val="30"/>
          <w:szCs w:val="30"/>
        </w:rPr>
        <w:t>烟花爆竹重大危险源辨识</w:t>
      </w:r>
      <w:bookmarkEnd w:id="311"/>
      <w:bookmarkEnd w:id="312"/>
      <w:bookmarkEnd w:id="313"/>
      <w:bookmarkEnd w:id="314"/>
      <w:bookmarkEnd w:id="315"/>
      <w:bookmarkEnd w:id="316"/>
      <w:bookmarkEnd w:id="317"/>
    </w:p>
    <w:p w14:paraId="16103609">
      <w:pPr>
        <w:spacing w:line="360" w:lineRule="auto"/>
        <w:ind w:firstLine="560" w:firstLineChars="200"/>
        <w:rPr>
          <w:rFonts w:ascii="宋体" w:hAnsi="宋体"/>
          <w:b w:val="0"/>
          <w:sz w:val="28"/>
          <w:szCs w:val="28"/>
        </w:rPr>
      </w:pPr>
      <w:r>
        <w:rPr>
          <w:rFonts w:hint="eastAsia" w:ascii="宋体" w:hAnsi="宋体"/>
          <w:b w:val="0"/>
          <w:sz w:val="28"/>
          <w:szCs w:val="28"/>
        </w:rPr>
        <w:t>本项目根据设计的储存量进行烟花爆竹重大危险源辨识，相关数据列于下表3.</w:t>
      </w:r>
      <w:r>
        <w:rPr>
          <w:rFonts w:ascii="宋体" w:hAnsi="宋体"/>
          <w:b w:val="0"/>
          <w:sz w:val="28"/>
          <w:szCs w:val="28"/>
        </w:rPr>
        <w:t>4</w:t>
      </w:r>
      <w:r>
        <w:rPr>
          <w:rFonts w:hint="eastAsia" w:ascii="宋体" w:hAnsi="宋体"/>
          <w:b w:val="0"/>
          <w:sz w:val="28"/>
          <w:szCs w:val="28"/>
        </w:rPr>
        <w:t>-1中。</w:t>
      </w:r>
    </w:p>
    <w:p w14:paraId="7803CE4F">
      <w:pPr>
        <w:jc w:val="center"/>
        <w:rPr>
          <w:rFonts w:ascii="黑体" w:hAnsi="黑体" w:eastAsia="黑体"/>
          <w:b w:val="0"/>
          <w:sz w:val="24"/>
        </w:rPr>
      </w:pPr>
      <w:r>
        <w:rPr>
          <w:rFonts w:hint="eastAsia" w:ascii="黑体" w:hAnsi="黑体" w:eastAsia="黑体"/>
          <w:b w:val="0"/>
          <w:sz w:val="24"/>
        </w:rPr>
        <w:t>表3</w:t>
      </w:r>
      <w:r>
        <w:rPr>
          <w:rFonts w:ascii="黑体" w:hAnsi="黑体" w:eastAsia="黑体"/>
          <w:b w:val="0"/>
          <w:sz w:val="24"/>
        </w:rPr>
        <w:t>.4-</w:t>
      </w:r>
      <w:r>
        <w:rPr>
          <w:rFonts w:hint="eastAsia" w:ascii="黑体" w:hAnsi="黑体" w:eastAsia="黑体"/>
          <w:b w:val="0"/>
          <w:sz w:val="24"/>
        </w:rPr>
        <w:t>1 烟花爆竹重大危险源辨识</w:t>
      </w:r>
    </w:p>
    <w:tbl>
      <w:tblPr>
        <w:tblStyle w:val="88"/>
        <w:tblW w:w="903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4" w:space="0"/>
        </w:tblBorders>
        <w:tblLayout w:type="fixed"/>
        <w:tblCellMar>
          <w:top w:w="0" w:type="dxa"/>
          <w:left w:w="108" w:type="dxa"/>
          <w:bottom w:w="0" w:type="dxa"/>
          <w:right w:w="108" w:type="dxa"/>
        </w:tblCellMar>
      </w:tblPr>
      <w:tblGrid>
        <w:gridCol w:w="1084"/>
        <w:gridCol w:w="418"/>
        <w:gridCol w:w="2130"/>
        <w:gridCol w:w="1409"/>
        <w:gridCol w:w="1342"/>
        <w:gridCol w:w="2655"/>
      </w:tblGrid>
      <w:tr w14:paraId="7EAB78F3">
        <w:tblPrEx>
          <w:tblBorders>
            <w:top w:val="single" w:color="auto" w:sz="12" w:space="0"/>
            <w:left w:val="single" w:color="auto" w:sz="12" w:space="0"/>
            <w:bottom w:val="single" w:color="auto" w:sz="12" w:space="0"/>
            <w:right w:val="single" w:color="auto" w:sz="12" w:space="0"/>
            <w:insideH w:val="single" w:color="auto" w:sz="6" w:space="0"/>
            <w:insideV w:val="single" w:color="auto" w:sz="4" w:space="0"/>
          </w:tblBorders>
          <w:tblCellMar>
            <w:top w:w="0" w:type="dxa"/>
            <w:left w:w="108" w:type="dxa"/>
            <w:bottom w:w="0" w:type="dxa"/>
            <w:right w:w="108" w:type="dxa"/>
          </w:tblCellMar>
        </w:tblPrEx>
        <w:trPr>
          <w:cantSplit/>
          <w:trHeight w:val="624" w:hRule="atLeast"/>
          <w:tblHeader/>
          <w:jc w:val="center"/>
        </w:trPr>
        <w:tc>
          <w:tcPr>
            <w:tcW w:w="1084" w:type="dxa"/>
            <w:vAlign w:val="center"/>
          </w:tcPr>
          <w:p w14:paraId="63550C5F">
            <w:pPr>
              <w:adjustRightInd w:val="0"/>
              <w:snapToGrid w:val="0"/>
              <w:jc w:val="center"/>
              <w:rPr>
                <w:rFonts w:ascii="宋体" w:hAnsi="宋体"/>
                <w:bCs/>
                <w:szCs w:val="21"/>
              </w:rPr>
            </w:pPr>
            <w:r>
              <w:rPr>
                <w:rFonts w:hint="eastAsia" w:ascii="宋体" w:hAnsi="宋体"/>
                <w:szCs w:val="21"/>
              </w:rPr>
              <w:t>辨识单元</w:t>
            </w:r>
          </w:p>
        </w:tc>
        <w:tc>
          <w:tcPr>
            <w:tcW w:w="2548" w:type="dxa"/>
            <w:gridSpan w:val="2"/>
            <w:vAlign w:val="center"/>
          </w:tcPr>
          <w:p w14:paraId="2D8A9447">
            <w:pPr>
              <w:adjustRightInd w:val="0"/>
              <w:snapToGrid w:val="0"/>
              <w:ind w:left="-107" w:leftChars="-51"/>
              <w:jc w:val="center"/>
              <w:rPr>
                <w:rFonts w:ascii="宋体" w:hAnsi="宋体"/>
                <w:bCs/>
                <w:szCs w:val="21"/>
              </w:rPr>
            </w:pPr>
            <w:r>
              <w:rPr>
                <w:rFonts w:hint="eastAsia" w:ascii="宋体" w:hAnsi="宋体"/>
                <w:bCs/>
                <w:szCs w:val="21"/>
              </w:rPr>
              <w:t>单元名称</w:t>
            </w:r>
          </w:p>
        </w:tc>
        <w:tc>
          <w:tcPr>
            <w:tcW w:w="1409" w:type="dxa"/>
            <w:vAlign w:val="center"/>
          </w:tcPr>
          <w:p w14:paraId="04105019">
            <w:pPr>
              <w:adjustRightInd w:val="0"/>
              <w:snapToGrid w:val="0"/>
              <w:jc w:val="center"/>
              <w:rPr>
                <w:rFonts w:ascii="宋体" w:hAnsi="宋体"/>
                <w:bCs/>
                <w:szCs w:val="21"/>
              </w:rPr>
            </w:pPr>
            <w:r>
              <w:rPr>
                <w:rFonts w:hint="eastAsia" w:ascii="宋体" w:hAnsi="宋体"/>
                <w:szCs w:val="21"/>
              </w:rPr>
              <w:t>单个</w:t>
            </w:r>
            <w:r>
              <w:rPr>
                <w:rFonts w:ascii="宋体" w:hAnsi="宋体"/>
                <w:szCs w:val="21"/>
              </w:rPr>
              <w:t>工房最大储存量</w:t>
            </w:r>
            <w:r>
              <w:rPr>
                <w:rFonts w:hint="eastAsia" w:ascii="宋体" w:hAnsi="宋体"/>
                <w:szCs w:val="21"/>
              </w:rPr>
              <w:t>(t)</w:t>
            </w:r>
          </w:p>
        </w:tc>
        <w:tc>
          <w:tcPr>
            <w:tcW w:w="1342" w:type="dxa"/>
            <w:vAlign w:val="center"/>
          </w:tcPr>
          <w:p w14:paraId="534E3D81">
            <w:pPr>
              <w:adjustRightInd w:val="0"/>
              <w:snapToGrid w:val="0"/>
              <w:jc w:val="center"/>
              <w:rPr>
                <w:rFonts w:ascii="宋体" w:hAnsi="宋体"/>
                <w:bCs/>
                <w:szCs w:val="21"/>
              </w:rPr>
            </w:pPr>
            <w:r>
              <w:rPr>
                <w:rFonts w:ascii="宋体" w:hAnsi="宋体"/>
                <w:bCs/>
                <w:szCs w:val="21"/>
              </w:rPr>
              <w:t>标准规定</w:t>
            </w:r>
          </w:p>
          <w:p w14:paraId="240F19B2">
            <w:pPr>
              <w:adjustRightInd w:val="0"/>
              <w:snapToGrid w:val="0"/>
              <w:jc w:val="center"/>
              <w:rPr>
                <w:rFonts w:ascii="宋体" w:hAnsi="宋体"/>
                <w:bCs/>
                <w:szCs w:val="21"/>
              </w:rPr>
            </w:pPr>
            <w:r>
              <w:rPr>
                <w:rFonts w:ascii="宋体" w:hAnsi="宋体"/>
                <w:bCs/>
                <w:szCs w:val="21"/>
              </w:rPr>
              <w:t>临界量</w:t>
            </w:r>
            <w:r>
              <w:rPr>
                <w:rFonts w:hint="eastAsia" w:ascii="宋体" w:hAnsi="宋体"/>
                <w:szCs w:val="21"/>
              </w:rPr>
              <w:t>(t)</w:t>
            </w:r>
          </w:p>
        </w:tc>
        <w:tc>
          <w:tcPr>
            <w:tcW w:w="2655" w:type="dxa"/>
            <w:vAlign w:val="center"/>
          </w:tcPr>
          <w:p w14:paraId="7C56F376">
            <w:pPr>
              <w:adjustRightInd w:val="0"/>
              <w:snapToGrid w:val="0"/>
              <w:jc w:val="center"/>
              <w:rPr>
                <w:rFonts w:ascii="宋体" w:hAnsi="宋体"/>
                <w:bCs/>
                <w:szCs w:val="21"/>
              </w:rPr>
            </w:pPr>
            <w:r>
              <w:rPr>
                <w:rFonts w:ascii="宋体" w:hAnsi="宋体"/>
                <w:bCs/>
                <w:szCs w:val="21"/>
              </w:rPr>
              <w:t>S=q</w:t>
            </w:r>
            <w:r>
              <w:rPr>
                <w:rFonts w:ascii="宋体" w:hAnsi="宋体"/>
                <w:bCs/>
                <w:szCs w:val="21"/>
                <w:vertAlign w:val="subscript"/>
              </w:rPr>
              <w:t>1</w:t>
            </w:r>
            <w:r>
              <w:rPr>
                <w:rFonts w:ascii="宋体" w:hAnsi="宋体"/>
                <w:bCs/>
                <w:szCs w:val="21"/>
              </w:rPr>
              <w:t>/Q</w:t>
            </w:r>
            <w:r>
              <w:rPr>
                <w:rFonts w:hint="eastAsia" w:ascii="宋体" w:hAnsi="宋体"/>
                <w:bCs/>
                <w:szCs w:val="21"/>
                <w:vertAlign w:val="subscript"/>
              </w:rPr>
              <w:t>1</w:t>
            </w:r>
            <w:r>
              <w:rPr>
                <w:rFonts w:ascii="宋体" w:hAnsi="宋体"/>
                <w:bCs/>
                <w:szCs w:val="21"/>
              </w:rPr>
              <w:t>+q</w:t>
            </w:r>
            <w:r>
              <w:rPr>
                <w:rFonts w:ascii="宋体" w:hAnsi="宋体"/>
                <w:bCs/>
                <w:szCs w:val="21"/>
                <w:vertAlign w:val="subscript"/>
              </w:rPr>
              <w:t>2</w:t>
            </w:r>
            <w:r>
              <w:rPr>
                <w:rFonts w:ascii="宋体" w:hAnsi="宋体"/>
                <w:bCs/>
                <w:szCs w:val="21"/>
              </w:rPr>
              <w:t>/Q</w:t>
            </w:r>
            <w:r>
              <w:rPr>
                <w:rFonts w:ascii="宋体" w:hAnsi="宋体"/>
                <w:bCs/>
                <w:szCs w:val="21"/>
                <w:vertAlign w:val="subscript"/>
              </w:rPr>
              <w:t>2</w:t>
            </w:r>
            <w:r>
              <w:rPr>
                <w:rFonts w:ascii="宋体" w:hAnsi="宋体"/>
                <w:bCs/>
                <w:szCs w:val="21"/>
              </w:rPr>
              <w:t>+…+ q</w:t>
            </w:r>
            <w:r>
              <w:rPr>
                <w:rFonts w:ascii="宋体" w:hAnsi="宋体"/>
                <w:bCs/>
                <w:szCs w:val="21"/>
                <w:vertAlign w:val="subscript"/>
              </w:rPr>
              <w:t>n</w:t>
            </w:r>
            <w:r>
              <w:rPr>
                <w:rFonts w:ascii="宋体" w:hAnsi="宋体"/>
                <w:bCs/>
                <w:szCs w:val="21"/>
              </w:rPr>
              <w:t>/Q</w:t>
            </w:r>
            <w:r>
              <w:rPr>
                <w:rFonts w:ascii="宋体" w:hAnsi="宋体"/>
                <w:bCs/>
                <w:szCs w:val="21"/>
                <w:vertAlign w:val="subscript"/>
              </w:rPr>
              <w:t>n</w:t>
            </w:r>
          </w:p>
        </w:tc>
      </w:tr>
      <w:tr w14:paraId="1D3810A9">
        <w:tblPrEx>
          <w:tblBorders>
            <w:top w:val="single" w:color="auto" w:sz="12" w:space="0"/>
            <w:left w:val="single" w:color="auto" w:sz="12" w:space="0"/>
            <w:bottom w:val="single" w:color="auto" w:sz="12" w:space="0"/>
            <w:right w:val="single" w:color="auto" w:sz="12" w:space="0"/>
            <w:insideH w:val="single" w:color="auto" w:sz="6" w:space="0"/>
            <w:insideV w:val="single" w:color="auto" w:sz="4" w:space="0"/>
          </w:tblBorders>
          <w:tblCellMar>
            <w:top w:w="0" w:type="dxa"/>
            <w:left w:w="108" w:type="dxa"/>
            <w:bottom w:w="0" w:type="dxa"/>
            <w:right w:w="108" w:type="dxa"/>
          </w:tblCellMar>
        </w:tblPrEx>
        <w:trPr>
          <w:cantSplit/>
          <w:trHeight w:val="442" w:hRule="atLeast"/>
          <w:jc w:val="center"/>
        </w:trPr>
        <w:tc>
          <w:tcPr>
            <w:tcW w:w="1084" w:type="dxa"/>
            <w:vMerge w:val="restart"/>
            <w:vAlign w:val="center"/>
          </w:tcPr>
          <w:p w14:paraId="09E89D65">
            <w:pPr>
              <w:adjustRightInd w:val="0"/>
              <w:snapToGrid w:val="0"/>
              <w:jc w:val="center"/>
              <w:rPr>
                <w:rFonts w:ascii="宋体" w:hAnsi="宋体"/>
                <w:b w:val="0"/>
                <w:szCs w:val="21"/>
              </w:rPr>
            </w:pPr>
            <w:r>
              <w:rPr>
                <w:rFonts w:hint="eastAsia" w:ascii="宋体" w:hAnsi="宋体"/>
                <w:b w:val="0"/>
                <w:szCs w:val="21"/>
              </w:rPr>
              <w:t>生产单元</w:t>
            </w:r>
          </w:p>
        </w:tc>
        <w:tc>
          <w:tcPr>
            <w:tcW w:w="2548" w:type="dxa"/>
            <w:gridSpan w:val="2"/>
            <w:shd w:val="clear" w:color="auto" w:fill="auto"/>
            <w:vAlign w:val="center"/>
          </w:tcPr>
          <w:p w14:paraId="2D617A8F">
            <w:pPr>
              <w:adjustRightInd w:val="0"/>
              <w:snapToGrid w:val="0"/>
              <w:ind w:left="-107" w:leftChars="-51"/>
              <w:jc w:val="center"/>
              <w:rPr>
                <w:rFonts w:ascii="宋体" w:hAnsi="宋体"/>
                <w:b w:val="0"/>
                <w:szCs w:val="21"/>
              </w:rPr>
            </w:pPr>
            <w:r>
              <w:rPr>
                <w:rFonts w:hint="eastAsia" w:ascii="宋体" w:hAnsi="宋体"/>
                <w:b w:val="0"/>
                <w:szCs w:val="21"/>
              </w:rPr>
              <w:t>1</w:t>
            </w:r>
            <w:r>
              <w:rPr>
                <w:rFonts w:ascii="宋体" w:hAnsi="宋体"/>
                <w:b w:val="0"/>
                <w:szCs w:val="21"/>
              </w:rPr>
              <w:t>9#</w:t>
            </w:r>
            <w:r>
              <w:rPr>
                <w:rFonts w:hint="eastAsia" w:ascii="宋体" w:hAnsi="宋体"/>
                <w:b w:val="0"/>
                <w:szCs w:val="21"/>
              </w:rPr>
              <w:t>半成品中转</w:t>
            </w:r>
          </w:p>
        </w:tc>
        <w:tc>
          <w:tcPr>
            <w:tcW w:w="1409" w:type="dxa"/>
            <w:shd w:val="clear" w:color="auto" w:fill="auto"/>
            <w:vAlign w:val="center"/>
          </w:tcPr>
          <w:p w14:paraId="47B686F0">
            <w:pPr>
              <w:adjustRightInd w:val="0"/>
              <w:snapToGrid w:val="0"/>
              <w:jc w:val="center"/>
              <w:rPr>
                <w:rFonts w:ascii="宋体" w:hAnsi="宋体"/>
                <w:b w:val="0"/>
                <w:szCs w:val="21"/>
              </w:rPr>
            </w:pPr>
            <w:r>
              <w:rPr>
                <w:rFonts w:hint="eastAsia" w:ascii="宋体" w:hAnsi="宋体"/>
                <w:b w:val="0"/>
                <w:szCs w:val="21"/>
              </w:rPr>
              <w:t>1</w:t>
            </w:r>
          </w:p>
        </w:tc>
        <w:tc>
          <w:tcPr>
            <w:tcW w:w="1342" w:type="dxa"/>
            <w:shd w:val="clear" w:color="auto" w:fill="auto"/>
            <w:vAlign w:val="center"/>
          </w:tcPr>
          <w:p w14:paraId="37F7CA4C">
            <w:pPr>
              <w:adjustRightInd w:val="0"/>
              <w:snapToGrid w:val="0"/>
              <w:jc w:val="center"/>
              <w:rPr>
                <w:rFonts w:ascii="宋体" w:hAnsi="宋体"/>
                <w:b w:val="0"/>
                <w:szCs w:val="21"/>
              </w:rPr>
            </w:pPr>
            <w:r>
              <w:rPr>
                <w:rFonts w:hint="eastAsia" w:ascii="宋体" w:hAnsi="宋体"/>
                <w:b w:val="0"/>
                <w:szCs w:val="21"/>
              </w:rPr>
              <w:t>5</w:t>
            </w:r>
            <w:r>
              <w:rPr>
                <w:rFonts w:ascii="宋体" w:hAnsi="宋体"/>
                <w:b w:val="0"/>
                <w:szCs w:val="21"/>
              </w:rPr>
              <w:t>0</w:t>
            </w:r>
          </w:p>
        </w:tc>
        <w:tc>
          <w:tcPr>
            <w:tcW w:w="2655" w:type="dxa"/>
            <w:shd w:val="clear" w:color="auto" w:fill="auto"/>
            <w:vAlign w:val="center"/>
          </w:tcPr>
          <w:p w14:paraId="63CE0914">
            <w:pPr>
              <w:jc w:val="center"/>
              <w:rPr>
                <w:rFonts w:ascii="宋体" w:hAnsi="宋体"/>
                <w:b w:val="0"/>
                <w:szCs w:val="21"/>
              </w:rPr>
            </w:pPr>
            <w:r>
              <w:rPr>
                <w:rFonts w:hint="eastAsia" w:ascii="宋体" w:hAnsi="宋体"/>
                <w:b w:val="0"/>
                <w:szCs w:val="21"/>
              </w:rPr>
              <w:t>1/5</w:t>
            </w:r>
            <w:r>
              <w:rPr>
                <w:rFonts w:ascii="宋体" w:hAnsi="宋体"/>
                <w:b w:val="0"/>
                <w:szCs w:val="21"/>
              </w:rPr>
              <w:t>0=0.0</w:t>
            </w:r>
            <w:r>
              <w:rPr>
                <w:rFonts w:hint="eastAsia" w:ascii="宋体" w:hAnsi="宋体"/>
                <w:b w:val="0"/>
                <w:szCs w:val="21"/>
              </w:rPr>
              <w:t>2＜1</w:t>
            </w:r>
          </w:p>
        </w:tc>
      </w:tr>
      <w:tr w14:paraId="1BE1D4BC">
        <w:tblPrEx>
          <w:tblBorders>
            <w:top w:val="single" w:color="auto" w:sz="12" w:space="0"/>
            <w:left w:val="single" w:color="auto" w:sz="12" w:space="0"/>
            <w:bottom w:val="single" w:color="auto" w:sz="12" w:space="0"/>
            <w:right w:val="single" w:color="auto" w:sz="12" w:space="0"/>
            <w:insideH w:val="single" w:color="auto" w:sz="6" w:space="0"/>
            <w:insideV w:val="single" w:color="auto" w:sz="4" w:space="0"/>
          </w:tblBorders>
          <w:tblCellMar>
            <w:top w:w="0" w:type="dxa"/>
            <w:left w:w="108" w:type="dxa"/>
            <w:bottom w:w="0" w:type="dxa"/>
            <w:right w:w="108" w:type="dxa"/>
          </w:tblCellMar>
        </w:tblPrEx>
        <w:trPr>
          <w:cantSplit/>
          <w:trHeight w:val="442" w:hRule="atLeast"/>
          <w:jc w:val="center"/>
        </w:trPr>
        <w:tc>
          <w:tcPr>
            <w:tcW w:w="1084" w:type="dxa"/>
            <w:vMerge w:val="continue"/>
            <w:vAlign w:val="center"/>
          </w:tcPr>
          <w:p w14:paraId="275BD348">
            <w:pPr>
              <w:adjustRightInd w:val="0"/>
              <w:snapToGrid w:val="0"/>
              <w:jc w:val="center"/>
              <w:rPr>
                <w:rFonts w:ascii="宋体" w:hAnsi="宋体"/>
                <w:b w:val="0"/>
                <w:szCs w:val="21"/>
              </w:rPr>
            </w:pPr>
          </w:p>
        </w:tc>
        <w:tc>
          <w:tcPr>
            <w:tcW w:w="2548" w:type="dxa"/>
            <w:gridSpan w:val="2"/>
            <w:shd w:val="clear" w:color="auto" w:fill="auto"/>
            <w:vAlign w:val="center"/>
          </w:tcPr>
          <w:p w14:paraId="7DCCEBBE">
            <w:pPr>
              <w:adjustRightInd w:val="0"/>
              <w:snapToGrid w:val="0"/>
              <w:ind w:left="-107" w:leftChars="-51"/>
              <w:jc w:val="center"/>
              <w:rPr>
                <w:rFonts w:ascii="宋体" w:hAnsi="宋体"/>
                <w:b w:val="0"/>
                <w:szCs w:val="21"/>
              </w:rPr>
            </w:pPr>
            <w:r>
              <w:rPr>
                <w:rFonts w:hint="eastAsia" w:ascii="宋体" w:hAnsi="宋体"/>
                <w:b w:val="0"/>
                <w:szCs w:val="21"/>
              </w:rPr>
              <w:t>46#药物中转</w:t>
            </w:r>
          </w:p>
        </w:tc>
        <w:tc>
          <w:tcPr>
            <w:tcW w:w="1409" w:type="dxa"/>
            <w:shd w:val="clear" w:color="auto" w:fill="auto"/>
            <w:vAlign w:val="center"/>
          </w:tcPr>
          <w:p w14:paraId="6E298A18">
            <w:pPr>
              <w:adjustRightInd w:val="0"/>
              <w:snapToGrid w:val="0"/>
              <w:jc w:val="center"/>
              <w:rPr>
                <w:rFonts w:ascii="宋体" w:hAnsi="宋体"/>
                <w:b w:val="0"/>
                <w:szCs w:val="21"/>
              </w:rPr>
            </w:pPr>
            <w:r>
              <w:rPr>
                <w:rFonts w:hint="eastAsia" w:ascii="宋体" w:hAnsi="宋体"/>
                <w:b w:val="0"/>
                <w:szCs w:val="21"/>
              </w:rPr>
              <w:t>0.1</w:t>
            </w:r>
          </w:p>
        </w:tc>
        <w:tc>
          <w:tcPr>
            <w:tcW w:w="1342" w:type="dxa"/>
            <w:shd w:val="clear" w:color="auto" w:fill="auto"/>
            <w:vAlign w:val="center"/>
          </w:tcPr>
          <w:p w14:paraId="732FE0DA">
            <w:pPr>
              <w:adjustRightInd w:val="0"/>
              <w:snapToGrid w:val="0"/>
              <w:jc w:val="center"/>
              <w:rPr>
                <w:rFonts w:ascii="宋体" w:hAnsi="宋体"/>
                <w:b w:val="0"/>
                <w:szCs w:val="21"/>
              </w:rPr>
            </w:pPr>
            <w:r>
              <w:rPr>
                <w:rFonts w:hint="eastAsia" w:ascii="宋体" w:hAnsi="宋体"/>
                <w:b w:val="0"/>
                <w:szCs w:val="21"/>
              </w:rPr>
              <w:t>5</w:t>
            </w:r>
          </w:p>
        </w:tc>
        <w:tc>
          <w:tcPr>
            <w:tcW w:w="2655" w:type="dxa"/>
            <w:shd w:val="clear" w:color="auto" w:fill="auto"/>
            <w:vAlign w:val="center"/>
          </w:tcPr>
          <w:p w14:paraId="4887B5B4">
            <w:pPr>
              <w:jc w:val="center"/>
              <w:rPr>
                <w:rFonts w:ascii="宋体" w:hAnsi="宋体"/>
                <w:b w:val="0"/>
                <w:szCs w:val="21"/>
              </w:rPr>
            </w:pPr>
            <w:r>
              <w:rPr>
                <w:rFonts w:hint="eastAsia" w:ascii="宋体" w:hAnsi="宋体"/>
                <w:b w:val="0"/>
                <w:szCs w:val="21"/>
              </w:rPr>
              <w:t>0.1/5</w:t>
            </w:r>
            <w:r>
              <w:rPr>
                <w:rFonts w:ascii="宋体" w:hAnsi="宋体"/>
                <w:b w:val="0"/>
                <w:szCs w:val="21"/>
              </w:rPr>
              <w:t>0=0.00</w:t>
            </w:r>
            <w:r>
              <w:rPr>
                <w:rFonts w:hint="eastAsia" w:ascii="宋体" w:hAnsi="宋体"/>
                <w:b w:val="0"/>
                <w:szCs w:val="21"/>
              </w:rPr>
              <w:t>2＜1</w:t>
            </w:r>
          </w:p>
        </w:tc>
      </w:tr>
      <w:tr w14:paraId="33F83730">
        <w:tblPrEx>
          <w:tblBorders>
            <w:top w:val="single" w:color="auto" w:sz="12" w:space="0"/>
            <w:left w:val="single" w:color="auto" w:sz="12" w:space="0"/>
            <w:bottom w:val="single" w:color="auto" w:sz="12" w:space="0"/>
            <w:right w:val="single" w:color="auto" w:sz="12" w:space="0"/>
            <w:insideH w:val="single" w:color="auto" w:sz="6" w:space="0"/>
            <w:insideV w:val="single" w:color="auto" w:sz="4" w:space="0"/>
          </w:tblBorders>
          <w:tblCellMar>
            <w:top w:w="0" w:type="dxa"/>
            <w:left w:w="108" w:type="dxa"/>
            <w:bottom w:w="0" w:type="dxa"/>
            <w:right w:w="108" w:type="dxa"/>
          </w:tblCellMar>
        </w:tblPrEx>
        <w:trPr>
          <w:cantSplit/>
          <w:trHeight w:val="442" w:hRule="atLeast"/>
          <w:jc w:val="center"/>
        </w:trPr>
        <w:tc>
          <w:tcPr>
            <w:tcW w:w="1084" w:type="dxa"/>
            <w:vMerge w:val="continue"/>
            <w:vAlign w:val="center"/>
          </w:tcPr>
          <w:p w14:paraId="5B0BFFA0">
            <w:pPr>
              <w:adjustRightInd w:val="0"/>
              <w:snapToGrid w:val="0"/>
              <w:jc w:val="center"/>
              <w:rPr>
                <w:rFonts w:ascii="宋体" w:hAnsi="宋体"/>
                <w:b w:val="0"/>
                <w:szCs w:val="21"/>
              </w:rPr>
            </w:pPr>
          </w:p>
        </w:tc>
        <w:tc>
          <w:tcPr>
            <w:tcW w:w="2548" w:type="dxa"/>
            <w:gridSpan w:val="2"/>
            <w:shd w:val="clear" w:color="auto" w:fill="auto"/>
            <w:vAlign w:val="center"/>
          </w:tcPr>
          <w:p w14:paraId="1CB3D2BD">
            <w:pPr>
              <w:adjustRightInd w:val="0"/>
              <w:snapToGrid w:val="0"/>
              <w:ind w:left="-107" w:leftChars="-51"/>
              <w:jc w:val="center"/>
              <w:rPr>
                <w:rFonts w:ascii="宋体" w:hAnsi="宋体"/>
                <w:b w:val="0"/>
                <w:szCs w:val="21"/>
              </w:rPr>
            </w:pPr>
            <w:r>
              <w:rPr>
                <w:rFonts w:hint="eastAsia" w:ascii="宋体" w:hAnsi="宋体"/>
                <w:b w:val="0"/>
                <w:szCs w:val="21"/>
              </w:rPr>
              <w:t>67</w:t>
            </w:r>
            <w:r>
              <w:rPr>
                <w:rFonts w:ascii="宋体" w:hAnsi="宋体"/>
                <w:b w:val="0"/>
                <w:szCs w:val="21"/>
              </w:rPr>
              <w:t>#</w:t>
            </w:r>
            <w:r>
              <w:rPr>
                <w:rFonts w:hint="eastAsia" w:ascii="宋体" w:hAnsi="宋体"/>
                <w:b w:val="0"/>
                <w:szCs w:val="21"/>
              </w:rPr>
              <w:t>电烘房/散热</w:t>
            </w:r>
          </w:p>
        </w:tc>
        <w:tc>
          <w:tcPr>
            <w:tcW w:w="1409" w:type="dxa"/>
            <w:shd w:val="clear" w:color="auto" w:fill="auto"/>
            <w:vAlign w:val="center"/>
          </w:tcPr>
          <w:p w14:paraId="6E531B69">
            <w:pPr>
              <w:adjustRightInd w:val="0"/>
              <w:snapToGrid w:val="0"/>
              <w:jc w:val="center"/>
              <w:rPr>
                <w:rFonts w:ascii="宋体" w:hAnsi="宋体"/>
                <w:b w:val="0"/>
                <w:szCs w:val="21"/>
              </w:rPr>
            </w:pPr>
            <w:r>
              <w:rPr>
                <w:rFonts w:hint="eastAsia" w:ascii="宋体" w:hAnsi="宋体"/>
                <w:b w:val="0"/>
                <w:szCs w:val="21"/>
              </w:rPr>
              <w:t>0</w:t>
            </w:r>
            <w:r>
              <w:rPr>
                <w:rFonts w:ascii="宋体" w:hAnsi="宋体"/>
                <w:b w:val="0"/>
                <w:szCs w:val="21"/>
              </w:rPr>
              <w:t>.</w:t>
            </w:r>
            <w:r>
              <w:rPr>
                <w:rFonts w:hint="eastAsia" w:ascii="宋体" w:hAnsi="宋体"/>
                <w:b w:val="0"/>
                <w:szCs w:val="21"/>
              </w:rPr>
              <w:t>5</w:t>
            </w:r>
          </w:p>
        </w:tc>
        <w:tc>
          <w:tcPr>
            <w:tcW w:w="1342" w:type="dxa"/>
            <w:shd w:val="clear" w:color="auto" w:fill="auto"/>
            <w:vAlign w:val="center"/>
          </w:tcPr>
          <w:p w14:paraId="0A00937A">
            <w:pPr>
              <w:adjustRightInd w:val="0"/>
              <w:snapToGrid w:val="0"/>
              <w:jc w:val="center"/>
              <w:rPr>
                <w:rFonts w:ascii="宋体" w:hAnsi="宋体"/>
                <w:b w:val="0"/>
                <w:szCs w:val="21"/>
              </w:rPr>
            </w:pPr>
            <w:r>
              <w:rPr>
                <w:rFonts w:hint="eastAsia" w:ascii="宋体" w:hAnsi="宋体"/>
                <w:b w:val="0"/>
                <w:szCs w:val="21"/>
              </w:rPr>
              <w:t>5</w:t>
            </w:r>
          </w:p>
        </w:tc>
        <w:tc>
          <w:tcPr>
            <w:tcW w:w="2655" w:type="dxa"/>
            <w:shd w:val="clear" w:color="auto" w:fill="auto"/>
            <w:vAlign w:val="center"/>
          </w:tcPr>
          <w:p w14:paraId="724AC6E3">
            <w:pPr>
              <w:jc w:val="center"/>
              <w:rPr>
                <w:rFonts w:ascii="宋体" w:hAnsi="宋体"/>
                <w:b w:val="0"/>
                <w:szCs w:val="21"/>
              </w:rPr>
            </w:pPr>
            <w:r>
              <w:rPr>
                <w:rFonts w:hint="eastAsia" w:ascii="宋体" w:hAnsi="宋体"/>
                <w:b w:val="0"/>
                <w:szCs w:val="21"/>
              </w:rPr>
              <w:t>0.5/5</w:t>
            </w:r>
            <w:r>
              <w:rPr>
                <w:rFonts w:ascii="宋体" w:hAnsi="宋体"/>
                <w:b w:val="0"/>
                <w:szCs w:val="21"/>
              </w:rPr>
              <w:t>=0.1</w:t>
            </w:r>
            <w:r>
              <w:rPr>
                <w:rFonts w:hint="eastAsia" w:ascii="宋体" w:hAnsi="宋体"/>
                <w:b w:val="0"/>
                <w:szCs w:val="21"/>
              </w:rPr>
              <w:t>＜1</w:t>
            </w:r>
          </w:p>
        </w:tc>
      </w:tr>
      <w:tr w14:paraId="0ADE68B4">
        <w:tblPrEx>
          <w:tblBorders>
            <w:top w:val="single" w:color="auto" w:sz="12" w:space="0"/>
            <w:left w:val="single" w:color="auto" w:sz="12" w:space="0"/>
            <w:bottom w:val="single" w:color="auto" w:sz="12" w:space="0"/>
            <w:right w:val="single" w:color="auto" w:sz="12" w:space="0"/>
            <w:insideH w:val="single" w:color="auto" w:sz="6" w:space="0"/>
            <w:insideV w:val="single" w:color="auto" w:sz="4" w:space="0"/>
          </w:tblBorders>
          <w:tblCellMar>
            <w:top w:w="0" w:type="dxa"/>
            <w:left w:w="108" w:type="dxa"/>
            <w:bottom w:w="0" w:type="dxa"/>
            <w:right w:w="108" w:type="dxa"/>
          </w:tblCellMar>
        </w:tblPrEx>
        <w:trPr>
          <w:cantSplit/>
          <w:trHeight w:val="442" w:hRule="atLeast"/>
          <w:jc w:val="center"/>
        </w:trPr>
        <w:tc>
          <w:tcPr>
            <w:tcW w:w="1084" w:type="dxa"/>
            <w:vMerge w:val="restart"/>
            <w:vAlign w:val="center"/>
          </w:tcPr>
          <w:p w14:paraId="2DE7602C">
            <w:pPr>
              <w:adjustRightInd w:val="0"/>
              <w:snapToGrid w:val="0"/>
              <w:ind w:left="-8" w:leftChars="-4"/>
              <w:jc w:val="center"/>
              <w:rPr>
                <w:rFonts w:ascii="宋体" w:hAnsi="宋体"/>
                <w:b w:val="0"/>
                <w:szCs w:val="21"/>
              </w:rPr>
            </w:pPr>
            <w:r>
              <w:rPr>
                <w:rFonts w:hint="eastAsia" w:ascii="宋体" w:hAnsi="宋体"/>
                <w:b w:val="0"/>
                <w:szCs w:val="21"/>
              </w:rPr>
              <w:t>储存</w:t>
            </w:r>
            <w:r>
              <w:rPr>
                <w:rFonts w:ascii="宋体" w:hAnsi="宋体"/>
                <w:b w:val="0"/>
                <w:szCs w:val="21"/>
              </w:rPr>
              <w:t>单元</w:t>
            </w:r>
          </w:p>
        </w:tc>
        <w:tc>
          <w:tcPr>
            <w:tcW w:w="2548" w:type="dxa"/>
            <w:gridSpan w:val="2"/>
            <w:shd w:val="clear" w:color="auto" w:fill="auto"/>
            <w:vAlign w:val="center"/>
          </w:tcPr>
          <w:p w14:paraId="134AD4B3">
            <w:pPr>
              <w:adjustRightInd w:val="0"/>
              <w:snapToGrid w:val="0"/>
              <w:jc w:val="center"/>
              <w:rPr>
                <w:rFonts w:ascii="宋体" w:hAnsi="宋体"/>
                <w:b w:val="0"/>
                <w:szCs w:val="21"/>
              </w:rPr>
            </w:pPr>
            <w:r>
              <w:rPr>
                <w:rFonts w:hint="eastAsia" w:ascii="宋体" w:hAnsi="宋体"/>
                <w:b w:val="0"/>
                <w:szCs w:val="21"/>
              </w:rPr>
              <w:t>81</w:t>
            </w:r>
            <w:r>
              <w:rPr>
                <w:rFonts w:ascii="宋体" w:hAnsi="宋体"/>
                <w:b w:val="0"/>
                <w:szCs w:val="21"/>
              </w:rPr>
              <w:t>#</w:t>
            </w:r>
            <w:r>
              <w:rPr>
                <w:rFonts w:hint="eastAsia" w:ascii="宋体" w:hAnsi="宋体"/>
                <w:b w:val="0"/>
                <w:szCs w:val="21"/>
              </w:rPr>
              <w:t>化工原材料库</w:t>
            </w:r>
          </w:p>
        </w:tc>
        <w:tc>
          <w:tcPr>
            <w:tcW w:w="1409" w:type="dxa"/>
            <w:shd w:val="clear" w:color="auto" w:fill="auto"/>
            <w:vAlign w:val="center"/>
          </w:tcPr>
          <w:p w14:paraId="4449B156">
            <w:pPr>
              <w:adjustRightInd w:val="0"/>
              <w:snapToGrid w:val="0"/>
              <w:jc w:val="center"/>
              <w:rPr>
                <w:rFonts w:ascii="宋体" w:hAnsi="宋体"/>
                <w:b w:val="0"/>
                <w:szCs w:val="21"/>
              </w:rPr>
            </w:pPr>
            <w:r>
              <w:rPr>
                <w:rFonts w:hint="eastAsia" w:ascii="宋体" w:hAnsi="宋体"/>
                <w:b w:val="0"/>
                <w:szCs w:val="21"/>
              </w:rPr>
              <w:t>4</w:t>
            </w:r>
            <w:r>
              <w:rPr>
                <w:rFonts w:ascii="宋体" w:hAnsi="宋体"/>
                <w:b w:val="0"/>
                <w:szCs w:val="21"/>
              </w:rPr>
              <w:t>0</w:t>
            </w:r>
          </w:p>
        </w:tc>
        <w:tc>
          <w:tcPr>
            <w:tcW w:w="1342" w:type="dxa"/>
            <w:shd w:val="clear" w:color="auto" w:fill="auto"/>
            <w:vAlign w:val="center"/>
          </w:tcPr>
          <w:p w14:paraId="61BC9B98">
            <w:pPr>
              <w:adjustRightInd w:val="0"/>
              <w:snapToGrid w:val="0"/>
              <w:jc w:val="center"/>
              <w:rPr>
                <w:rFonts w:ascii="宋体" w:hAnsi="宋体"/>
                <w:b w:val="0"/>
                <w:szCs w:val="21"/>
              </w:rPr>
            </w:pPr>
            <w:r>
              <w:rPr>
                <w:rFonts w:hint="eastAsia" w:ascii="宋体" w:hAnsi="宋体"/>
                <w:b w:val="0"/>
                <w:szCs w:val="21"/>
              </w:rPr>
              <w:t>5</w:t>
            </w:r>
            <w:r>
              <w:rPr>
                <w:rFonts w:ascii="宋体" w:hAnsi="宋体"/>
                <w:b w:val="0"/>
                <w:szCs w:val="21"/>
              </w:rPr>
              <w:t>0</w:t>
            </w:r>
          </w:p>
        </w:tc>
        <w:tc>
          <w:tcPr>
            <w:tcW w:w="2655" w:type="dxa"/>
            <w:shd w:val="clear" w:color="auto" w:fill="auto"/>
            <w:vAlign w:val="center"/>
          </w:tcPr>
          <w:p w14:paraId="58095003">
            <w:pPr>
              <w:jc w:val="center"/>
              <w:rPr>
                <w:rFonts w:ascii="宋体" w:hAnsi="宋体"/>
                <w:b w:val="0"/>
                <w:szCs w:val="21"/>
              </w:rPr>
            </w:pPr>
            <w:r>
              <w:rPr>
                <w:rFonts w:ascii="宋体" w:hAnsi="宋体"/>
                <w:b w:val="0"/>
                <w:szCs w:val="21"/>
              </w:rPr>
              <w:t>40/50=0.8</w:t>
            </w:r>
            <w:r>
              <w:rPr>
                <w:rFonts w:hint="eastAsia" w:ascii="宋体" w:hAnsi="宋体"/>
                <w:b w:val="0"/>
                <w:szCs w:val="21"/>
              </w:rPr>
              <w:t>＜1</w:t>
            </w:r>
          </w:p>
        </w:tc>
      </w:tr>
      <w:tr w14:paraId="2529E740">
        <w:tblPrEx>
          <w:tblBorders>
            <w:top w:val="single" w:color="auto" w:sz="12" w:space="0"/>
            <w:left w:val="single" w:color="auto" w:sz="12" w:space="0"/>
            <w:bottom w:val="single" w:color="auto" w:sz="12" w:space="0"/>
            <w:right w:val="single" w:color="auto" w:sz="12" w:space="0"/>
            <w:insideH w:val="single" w:color="auto" w:sz="6" w:space="0"/>
            <w:insideV w:val="single" w:color="auto" w:sz="4" w:space="0"/>
          </w:tblBorders>
          <w:tblCellMar>
            <w:top w:w="0" w:type="dxa"/>
            <w:left w:w="108" w:type="dxa"/>
            <w:bottom w:w="0" w:type="dxa"/>
            <w:right w:w="108" w:type="dxa"/>
          </w:tblCellMar>
        </w:tblPrEx>
        <w:trPr>
          <w:cantSplit/>
          <w:trHeight w:val="442" w:hRule="atLeast"/>
          <w:jc w:val="center"/>
        </w:trPr>
        <w:tc>
          <w:tcPr>
            <w:tcW w:w="1084" w:type="dxa"/>
            <w:vMerge w:val="continue"/>
            <w:vAlign w:val="center"/>
          </w:tcPr>
          <w:p w14:paraId="06D5D045">
            <w:pPr>
              <w:adjustRightInd w:val="0"/>
              <w:snapToGrid w:val="0"/>
              <w:ind w:left="-8" w:leftChars="-4"/>
              <w:jc w:val="center"/>
              <w:rPr>
                <w:rFonts w:ascii="宋体" w:hAnsi="宋体"/>
                <w:b w:val="0"/>
                <w:szCs w:val="21"/>
              </w:rPr>
            </w:pPr>
          </w:p>
        </w:tc>
        <w:tc>
          <w:tcPr>
            <w:tcW w:w="2548" w:type="dxa"/>
            <w:gridSpan w:val="2"/>
            <w:shd w:val="clear" w:color="auto" w:fill="auto"/>
            <w:vAlign w:val="center"/>
          </w:tcPr>
          <w:p w14:paraId="28A56A1B">
            <w:pPr>
              <w:adjustRightInd w:val="0"/>
              <w:snapToGrid w:val="0"/>
              <w:jc w:val="center"/>
              <w:rPr>
                <w:rFonts w:ascii="宋体" w:hAnsi="宋体"/>
                <w:b w:val="0"/>
                <w:szCs w:val="21"/>
              </w:rPr>
            </w:pPr>
            <w:r>
              <w:rPr>
                <w:rFonts w:hint="eastAsia" w:ascii="宋体" w:hAnsi="宋体"/>
                <w:b w:val="0"/>
                <w:szCs w:val="21"/>
              </w:rPr>
              <w:t>82#酒精库</w:t>
            </w:r>
          </w:p>
        </w:tc>
        <w:tc>
          <w:tcPr>
            <w:tcW w:w="1409" w:type="dxa"/>
            <w:shd w:val="clear" w:color="auto" w:fill="auto"/>
            <w:vAlign w:val="center"/>
          </w:tcPr>
          <w:p w14:paraId="511C0D6D">
            <w:pPr>
              <w:adjustRightInd w:val="0"/>
              <w:snapToGrid w:val="0"/>
              <w:jc w:val="center"/>
              <w:rPr>
                <w:rFonts w:ascii="宋体" w:hAnsi="宋体"/>
                <w:b w:val="0"/>
                <w:szCs w:val="21"/>
              </w:rPr>
            </w:pPr>
            <w:r>
              <w:rPr>
                <w:rFonts w:hint="eastAsia" w:ascii="宋体" w:hAnsi="宋体"/>
                <w:b w:val="0"/>
                <w:szCs w:val="21"/>
              </w:rPr>
              <w:t>2</w:t>
            </w:r>
          </w:p>
        </w:tc>
        <w:tc>
          <w:tcPr>
            <w:tcW w:w="1342" w:type="dxa"/>
            <w:shd w:val="clear" w:color="auto" w:fill="auto"/>
            <w:vAlign w:val="center"/>
          </w:tcPr>
          <w:p w14:paraId="4FB30799">
            <w:pPr>
              <w:adjustRightInd w:val="0"/>
              <w:snapToGrid w:val="0"/>
              <w:jc w:val="center"/>
              <w:rPr>
                <w:rFonts w:ascii="宋体" w:hAnsi="宋体"/>
                <w:b w:val="0"/>
                <w:szCs w:val="21"/>
              </w:rPr>
            </w:pPr>
            <w:r>
              <w:rPr>
                <w:rFonts w:hint="eastAsia" w:ascii="宋体" w:hAnsi="宋体"/>
                <w:b w:val="0"/>
                <w:szCs w:val="21"/>
              </w:rPr>
              <w:t>500</w:t>
            </w:r>
          </w:p>
        </w:tc>
        <w:tc>
          <w:tcPr>
            <w:tcW w:w="2655" w:type="dxa"/>
            <w:shd w:val="clear" w:color="auto" w:fill="auto"/>
            <w:vAlign w:val="center"/>
          </w:tcPr>
          <w:p w14:paraId="590FA439">
            <w:pPr>
              <w:jc w:val="center"/>
              <w:rPr>
                <w:rFonts w:ascii="宋体" w:hAnsi="宋体"/>
                <w:b w:val="0"/>
                <w:szCs w:val="21"/>
              </w:rPr>
            </w:pPr>
            <w:r>
              <w:rPr>
                <w:rFonts w:hint="eastAsia" w:ascii="宋体" w:hAnsi="宋体"/>
                <w:b w:val="0"/>
                <w:szCs w:val="21"/>
              </w:rPr>
              <w:t>2</w:t>
            </w:r>
            <w:r>
              <w:rPr>
                <w:rFonts w:ascii="宋体" w:hAnsi="宋体"/>
                <w:b w:val="0"/>
                <w:szCs w:val="21"/>
              </w:rPr>
              <w:t>/</w:t>
            </w:r>
            <w:r>
              <w:rPr>
                <w:rFonts w:hint="eastAsia" w:ascii="宋体" w:hAnsi="宋体"/>
                <w:b w:val="0"/>
                <w:szCs w:val="21"/>
              </w:rPr>
              <w:t>200</w:t>
            </w:r>
            <w:r>
              <w:rPr>
                <w:rFonts w:ascii="宋体" w:hAnsi="宋体"/>
                <w:b w:val="0"/>
                <w:szCs w:val="21"/>
              </w:rPr>
              <w:t>=0.</w:t>
            </w:r>
            <w:r>
              <w:rPr>
                <w:rFonts w:hint="eastAsia" w:ascii="宋体" w:hAnsi="宋体"/>
                <w:b w:val="0"/>
                <w:szCs w:val="21"/>
              </w:rPr>
              <w:t>01＜1</w:t>
            </w:r>
          </w:p>
        </w:tc>
      </w:tr>
      <w:tr w14:paraId="44A95979">
        <w:tblPrEx>
          <w:tblBorders>
            <w:top w:val="single" w:color="auto" w:sz="12" w:space="0"/>
            <w:left w:val="single" w:color="auto" w:sz="12" w:space="0"/>
            <w:bottom w:val="single" w:color="auto" w:sz="12" w:space="0"/>
            <w:right w:val="single" w:color="auto" w:sz="12" w:space="0"/>
            <w:insideH w:val="single" w:color="auto" w:sz="6" w:space="0"/>
            <w:insideV w:val="single" w:color="auto" w:sz="4" w:space="0"/>
          </w:tblBorders>
          <w:tblCellMar>
            <w:top w:w="0" w:type="dxa"/>
            <w:left w:w="108" w:type="dxa"/>
            <w:bottom w:w="0" w:type="dxa"/>
            <w:right w:w="108" w:type="dxa"/>
          </w:tblCellMar>
        </w:tblPrEx>
        <w:trPr>
          <w:cantSplit/>
          <w:trHeight w:val="442" w:hRule="atLeast"/>
          <w:jc w:val="center"/>
        </w:trPr>
        <w:tc>
          <w:tcPr>
            <w:tcW w:w="1084" w:type="dxa"/>
            <w:vMerge w:val="continue"/>
            <w:vAlign w:val="center"/>
          </w:tcPr>
          <w:p w14:paraId="65FF5F10">
            <w:pPr>
              <w:adjustRightInd w:val="0"/>
              <w:snapToGrid w:val="0"/>
              <w:ind w:left="-8" w:leftChars="-4"/>
              <w:jc w:val="center"/>
              <w:rPr>
                <w:rFonts w:ascii="宋体" w:hAnsi="宋体"/>
                <w:b w:val="0"/>
                <w:szCs w:val="21"/>
              </w:rPr>
            </w:pPr>
          </w:p>
        </w:tc>
        <w:tc>
          <w:tcPr>
            <w:tcW w:w="2548" w:type="dxa"/>
            <w:gridSpan w:val="2"/>
            <w:shd w:val="clear" w:color="auto" w:fill="auto"/>
            <w:vAlign w:val="center"/>
          </w:tcPr>
          <w:p w14:paraId="19101080">
            <w:pPr>
              <w:adjustRightInd w:val="0"/>
              <w:snapToGrid w:val="0"/>
              <w:jc w:val="center"/>
              <w:rPr>
                <w:rFonts w:ascii="宋体" w:hAnsi="宋体"/>
                <w:b w:val="0"/>
                <w:szCs w:val="21"/>
              </w:rPr>
            </w:pPr>
            <w:r>
              <w:rPr>
                <w:rFonts w:hint="eastAsia" w:ascii="宋体" w:hAnsi="宋体"/>
                <w:b w:val="0"/>
                <w:szCs w:val="21"/>
              </w:rPr>
              <w:t>89</w:t>
            </w:r>
            <w:r>
              <w:rPr>
                <w:rFonts w:ascii="宋体" w:hAnsi="宋体"/>
                <w:b w:val="0"/>
                <w:szCs w:val="21"/>
              </w:rPr>
              <w:t>#</w:t>
            </w:r>
            <w:r>
              <w:rPr>
                <w:rFonts w:hint="eastAsia" w:ascii="宋体" w:hAnsi="宋体"/>
                <w:b w:val="0"/>
                <w:szCs w:val="21"/>
              </w:rPr>
              <w:t>成品库</w:t>
            </w:r>
          </w:p>
        </w:tc>
        <w:tc>
          <w:tcPr>
            <w:tcW w:w="1409" w:type="dxa"/>
            <w:shd w:val="clear" w:color="auto" w:fill="auto"/>
            <w:vAlign w:val="center"/>
          </w:tcPr>
          <w:p w14:paraId="06F806E5">
            <w:pPr>
              <w:adjustRightInd w:val="0"/>
              <w:snapToGrid w:val="0"/>
              <w:jc w:val="center"/>
              <w:rPr>
                <w:rFonts w:ascii="宋体" w:hAnsi="宋体"/>
                <w:b w:val="0"/>
                <w:szCs w:val="21"/>
              </w:rPr>
            </w:pPr>
            <w:r>
              <w:rPr>
                <w:rFonts w:hint="eastAsia" w:ascii="宋体" w:hAnsi="宋体"/>
                <w:b w:val="0"/>
                <w:szCs w:val="21"/>
              </w:rPr>
              <w:t>5</w:t>
            </w:r>
          </w:p>
        </w:tc>
        <w:tc>
          <w:tcPr>
            <w:tcW w:w="1342" w:type="dxa"/>
            <w:shd w:val="clear" w:color="auto" w:fill="auto"/>
            <w:vAlign w:val="center"/>
          </w:tcPr>
          <w:p w14:paraId="4EC4317F">
            <w:pPr>
              <w:adjustRightInd w:val="0"/>
              <w:snapToGrid w:val="0"/>
              <w:jc w:val="center"/>
              <w:rPr>
                <w:rFonts w:ascii="宋体" w:hAnsi="宋体"/>
                <w:b w:val="0"/>
                <w:szCs w:val="21"/>
              </w:rPr>
            </w:pPr>
            <w:r>
              <w:rPr>
                <w:rFonts w:hint="eastAsia" w:ascii="宋体" w:hAnsi="宋体"/>
                <w:b w:val="0"/>
                <w:szCs w:val="21"/>
              </w:rPr>
              <w:t>5</w:t>
            </w:r>
            <w:r>
              <w:rPr>
                <w:rFonts w:ascii="宋体" w:hAnsi="宋体"/>
                <w:b w:val="0"/>
                <w:szCs w:val="21"/>
              </w:rPr>
              <w:t>0</w:t>
            </w:r>
          </w:p>
        </w:tc>
        <w:tc>
          <w:tcPr>
            <w:tcW w:w="2655" w:type="dxa"/>
            <w:shd w:val="clear" w:color="auto" w:fill="auto"/>
            <w:vAlign w:val="center"/>
          </w:tcPr>
          <w:p w14:paraId="7CBAA47B">
            <w:pPr>
              <w:jc w:val="center"/>
              <w:rPr>
                <w:rFonts w:ascii="宋体" w:hAnsi="宋体"/>
                <w:b w:val="0"/>
                <w:szCs w:val="21"/>
              </w:rPr>
            </w:pPr>
            <w:r>
              <w:rPr>
                <w:rFonts w:ascii="宋体" w:hAnsi="宋体"/>
                <w:b w:val="0"/>
                <w:szCs w:val="21"/>
              </w:rPr>
              <w:t>5</w:t>
            </w:r>
            <w:r>
              <w:rPr>
                <w:rFonts w:hint="eastAsia" w:ascii="宋体" w:hAnsi="宋体"/>
                <w:b w:val="0"/>
                <w:szCs w:val="21"/>
              </w:rPr>
              <w:t>/5</w:t>
            </w:r>
            <w:r>
              <w:rPr>
                <w:rFonts w:ascii="宋体" w:hAnsi="宋体"/>
                <w:b w:val="0"/>
                <w:szCs w:val="21"/>
              </w:rPr>
              <w:t>0=0.1</w:t>
            </w:r>
            <w:r>
              <w:rPr>
                <w:rFonts w:hint="eastAsia" w:ascii="宋体" w:hAnsi="宋体"/>
                <w:b w:val="0"/>
                <w:szCs w:val="21"/>
              </w:rPr>
              <w:t>＜1</w:t>
            </w:r>
          </w:p>
        </w:tc>
      </w:tr>
      <w:tr w14:paraId="5AF61A1C">
        <w:tblPrEx>
          <w:tblBorders>
            <w:top w:val="single" w:color="auto" w:sz="12" w:space="0"/>
            <w:left w:val="single" w:color="auto" w:sz="12" w:space="0"/>
            <w:bottom w:val="single" w:color="auto" w:sz="12" w:space="0"/>
            <w:right w:val="single" w:color="auto" w:sz="12" w:space="0"/>
            <w:insideH w:val="single" w:color="auto" w:sz="6" w:space="0"/>
            <w:insideV w:val="single" w:color="auto" w:sz="4" w:space="0"/>
          </w:tblBorders>
          <w:tblCellMar>
            <w:top w:w="0" w:type="dxa"/>
            <w:left w:w="108" w:type="dxa"/>
            <w:bottom w:w="0" w:type="dxa"/>
            <w:right w:w="108" w:type="dxa"/>
          </w:tblCellMar>
        </w:tblPrEx>
        <w:trPr>
          <w:cantSplit/>
          <w:trHeight w:val="442" w:hRule="atLeast"/>
          <w:jc w:val="center"/>
        </w:trPr>
        <w:tc>
          <w:tcPr>
            <w:tcW w:w="1084" w:type="dxa"/>
            <w:vMerge w:val="continue"/>
            <w:vAlign w:val="center"/>
          </w:tcPr>
          <w:p w14:paraId="24C48C56">
            <w:pPr>
              <w:adjustRightInd w:val="0"/>
              <w:snapToGrid w:val="0"/>
              <w:ind w:left="-8" w:leftChars="-4"/>
              <w:jc w:val="center"/>
              <w:rPr>
                <w:rFonts w:ascii="宋体" w:hAnsi="宋体"/>
                <w:b w:val="0"/>
                <w:szCs w:val="21"/>
              </w:rPr>
            </w:pPr>
          </w:p>
        </w:tc>
        <w:tc>
          <w:tcPr>
            <w:tcW w:w="2548" w:type="dxa"/>
            <w:gridSpan w:val="2"/>
            <w:shd w:val="clear" w:color="auto" w:fill="auto"/>
            <w:vAlign w:val="center"/>
          </w:tcPr>
          <w:p w14:paraId="777F7C92">
            <w:pPr>
              <w:adjustRightInd w:val="0"/>
              <w:snapToGrid w:val="0"/>
              <w:jc w:val="center"/>
              <w:rPr>
                <w:rFonts w:ascii="宋体" w:hAnsi="宋体"/>
                <w:b w:val="0"/>
                <w:szCs w:val="21"/>
              </w:rPr>
            </w:pPr>
            <w:r>
              <w:rPr>
                <w:rFonts w:hint="eastAsia" w:ascii="宋体" w:hAnsi="宋体"/>
                <w:b w:val="0"/>
                <w:szCs w:val="21"/>
              </w:rPr>
              <w:t>90</w:t>
            </w:r>
            <w:r>
              <w:rPr>
                <w:rFonts w:ascii="宋体" w:hAnsi="宋体"/>
                <w:b w:val="0"/>
                <w:szCs w:val="21"/>
              </w:rPr>
              <w:t>#</w:t>
            </w:r>
            <w:r>
              <w:rPr>
                <w:rFonts w:hint="eastAsia" w:ascii="宋体" w:hAnsi="宋体"/>
                <w:b w:val="0"/>
                <w:szCs w:val="21"/>
              </w:rPr>
              <w:t>成品库</w:t>
            </w:r>
          </w:p>
        </w:tc>
        <w:tc>
          <w:tcPr>
            <w:tcW w:w="1409" w:type="dxa"/>
            <w:shd w:val="clear" w:color="auto" w:fill="auto"/>
            <w:vAlign w:val="center"/>
          </w:tcPr>
          <w:p w14:paraId="4A03ED2C">
            <w:pPr>
              <w:adjustRightInd w:val="0"/>
              <w:snapToGrid w:val="0"/>
              <w:jc w:val="center"/>
              <w:rPr>
                <w:rFonts w:ascii="宋体" w:hAnsi="宋体"/>
                <w:b w:val="0"/>
                <w:szCs w:val="21"/>
              </w:rPr>
            </w:pPr>
            <w:r>
              <w:rPr>
                <w:rFonts w:hint="eastAsia" w:ascii="宋体" w:hAnsi="宋体"/>
                <w:b w:val="0"/>
                <w:szCs w:val="21"/>
              </w:rPr>
              <w:t>5</w:t>
            </w:r>
          </w:p>
        </w:tc>
        <w:tc>
          <w:tcPr>
            <w:tcW w:w="1342" w:type="dxa"/>
            <w:shd w:val="clear" w:color="auto" w:fill="auto"/>
            <w:vAlign w:val="center"/>
          </w:tcPr>
          <w:p w14:paraId="252A31A4">
            <w:pPr>
              <w:adjustRightInd w:val="0"/>
              <w:snapToGrid w:val="0"/>
              <w:jc w:val="center"/>
              <w:rPr>
                <w:rFonts w:ascii="宋体" w:hAnsi="宋体"/>
                <w:b w:val="0"/>
                <w:szCs w:val="21"/>
              </w:rPr>
            </w:pPr>
            <w:r>
              <w:rPr>
                <w:rFonts w:hint="eastAsia" w:ascii="宋体" w:hAnsi="宋体"/>
                <w:b w:val="0"/>
                <w:szCs w:val="21"/>
              </w:rPr>
              <w:t>5</w:t>
            </w:r>
            <w:r>
              <w:rPr>
                <w:rFonts w:ascii="宋体" w:hAnsi="宋体"/>
                <w:b w:val="0"/>
                <w:szCs w:val="21"/>
              </w:rPr>
              <w:t>0</w:t>
            </w:r>
          </w:p>
        </w:tc>
        <w:tc>
          <w:tcPr>
            <w:tcW w:w="2655" w:type="dxa"/>
            <w:shd w:val="clear" w:color="auto" w:fill="auto"/>
            <w:vAlign w:val="center"/>
          </w:tcPr>
          <w:p w14:paraId="7F8BB703">
            <w:pPr>
              <w:jc w:val="center"/>
              <w:rPr>
                <w:rFonts w:ascii="宋体" w:hAnsi="宋体"/>
                <w:b w:val="0"/>
                <w:szCs w:val="21"/>
              </w:rPr>
            </w:pPr>
            <w:r>
              <w:rPr>
                <w:rFonts w:ascii="宋体" w:hAnsi="宋体"/>
                <w:b w:val="0"/>
                <w:szCs w:val="21"/>
              </w:rPr>
              <w:t>5</w:t>
            </w:r>
            <w:r>
              <w:rPr>
                <w:rFonts w:hint="eastAsia" w:ascii="宋体" w:hAnsi="宋体"/>
                <w:b w:val="0"/>
                <w:szCs w:val="21"/>
              </w:rPr>
              <w:t>/5</w:t>
            </w:r>
            <w:r>
              <w:rPr>
                <w:rFonts w:ascii="宋体" w:hAnsi="宋体"/>
                <w:b w:val="0"/>
                <w:szCs w:val="21"/>
              </w:rPr>
              <w:t>0=0.1</w:t>
            </w:r>
            <w:r>
              <w:rPr>
                <w:rFonts w:hint="eastAsia" w:ascii="宋体" w:hAnsi="宋体"/>
                <w:b w:val="0"/>
                <w:szCs w:val="21"/>
              </w:rPr>
              <w:t>＜1</w:t>
            </w:r>
          </w:p>
        </w:tc>
      </w:tr>
      <w:tr w14:paraId="2C1269E5">
        <w:tblPrEx>
          <w:tblBorders>
            <w:top w:val="single" w:color="auto" w:sz="12" w:space="0"/>
            <w:left w:val="single" w:color="auto" w:sz="12" w:space="0"/>
            <w:bottom w:val="single" w:color="auto" w:sz="12" w:space="0"/>
            <w:right w:val="single" w:color="auto" w:sz="12" w:space="0"/>
            <w:insideH w:val="single" w:color="auto" w:sz="6" w:space="0"/>
            <w:insideV w:val="single" w:color="auto" w:sz="4" w:space="0"/>
          </w:tblBorders>
          <w:tblCellMar>
            <w:top w:w="0" w:type="dxa"/>
            <w:left w:w="108" w:type="dxa"/>
            <w:bottom w:w="0" w:type="dxa"/>
            <w:right w:w="108" w:type="dxa"/>
          </w:tblCellMar>
        </w:tblPrEx>
        <w:trPr>
          <w:cantSplit/>
          <w:trHeight w:val="442" w:hRule="atLeast"/>
          <w:jc w:val="center"/>
        </w:trPr>
        <w:tc>
          <w:tcPr>
            <w:tcW w:w="1084" w:type="dxa"/>
            <w:vMerge w:val="continue"/>
            <w:vAlign w:val="center"/>
          </w:tcPr>
          <w:p w14:paraId="03EE2EC8">
            <w:pPr>
              <w:adjustRightInd w:val="0"/>
              <w:snapToGrid w:val="0"/>
              <w:ind w:left="-8" w:leftChars="-4"/>
              <w:jc w:val="center"/>
              <w:rPr>
                <w:rFonts w:ascii="宋体" w:hAnsi="宋体"/>
                <w:b w:val="0"/>
                <w:szCs w:val="21"/>
              </w:rPr>
            </w:pPr>
          </w:p>
        </w:tc>
        <w:tc>
          <w:tcPr>
            <w:tcW w:w="418" w:type="dxa"/>
            <w:vMerge w:val="restart"/>
            <w:vAlign w:val="center"/>
          </w:tcPr>
          <w:p w14:paraId="57458BDE">
            <w:pPr>
              <w:jc w:val="center"/>
              <w:rPr>
                <w:rFonts w:ascii="宋体" w:hAnsi="宋体"/>
                <w:b w:val="0"/>
                <w:szCs w:val="21"/>
              </w:rPr>
            </w:pPr>
            <w:r>
              <w:rPr>
                <w:rFonts w:hint="eastAsia" w:ascii="宋体" w:hAnsi="宋体"/>
                <w:b w:val="0"/>
                <w:szCs w:val="21"/>
              </w:rPr>
              <w:t>药物库区</w:t>
            </w:r>
          </w:p>
        </w:tc>
        <w:tc>
          <w:tcPr>
            <w:tcW w:w="2130" w:type="dxa"/>
            <w:vAlign w:val="center"/>
          </w:tcPr>
          <w:p w14:paraId="67888B49">
            <w:pPr>
              <w:adjustRightInd w:val="0"/>
              <w:snapToGrid w:val="0"/>
              <w:jc w:val="center"/>
              <w:rPr>
                <w:rFonts w:ascii="宋体" w:hAnsi="宋体"/>
                <w:b w:val="0"/>
                <w:szCs w:val="21"/>
              </w:rPr>
            </w:pPr>
            <w:r>
              <w:rPr>
                <w:rFonts w:hint="eastAsia" w:ascii="宋体" w:hAnsi="宋体"/>
                <w:b w:val="0"/>
                <w:szCs w:val="21"/>
              </w:rPr>
              <w:t>54#亮珠库</w:t>
            </w:r>
          </w:p>
        </w:tc>
        <w:tc>
          <w:tcPr>
            <w:tcW w:w="1409" w:type="dxa"/>
            <w:vAlign w:val="center"/>
          </w:tcPr>
          <w:p w14:paraId="40356DEF">
            <w:pPr>
              <w:adjustRightInd w:val="0"/>
              <w:snapToGrid w:val="0"/>
              <w:jc w:val="center"/>
              <w:rPr>
                <w:rFonts w:ascii="宋体" w:hAnsi="宋体"/>
                <w:b w:val="0"/>
                <w:szCs w:val="21"/>
              </w:rPr>
            </w:pPr>
            <w:r>
              <w:rPr>
                <w:rFonts w:hint="eastAsia" w:ascii="宋体" w:hAnsi="宋体"/>
                <w:b w:val="0"/>
                <w:szCs w:val="21"/>
              </w:rPr>
              <w:t>1</w:t>
            </w:r>
          </w:p>
        </w:tc>
        <w:tc>
          <w:tcPr>
            <w:tcW w:w="1342" w:type="dxa"/>
            <w:vAlign w:val="center"/>
          </w:tcPr>
          <w:p w14:paraId="3482593D">
            <w:pPr>
              <w:adjustRightInd w:val="0"/>
              <w:snapToGrid w:val="0"/>
              <w:jc w:val="center"/>
              <w:rPr>
                <w:rFonts w:ascii="宋体" w:hAnsi="宋体"/>
                <w:b w:val="0"/>
                <w:szCs w:val="21"/>
              </w:rPr>
            </w:pPr>
            <w:r>
              <w:rPr>
                <w:rFonts w:hint="eastAsia" w:ascii="宋体" w:hAnsi="宋体"/>
                <w:b w:val="0"/>
                <w:szCs w:val="21"/>
              </w:rPr>
              <w:t>5</w:t>
            </w:r>
          </w:p>
        </w:tc>
        <w:tc>
          <w:tcPr>
            <w:tcW w:w="2655" w:type="dxa"/>
            <w:vMerge w:val="restart"/>
            <w:vAlign w:val="center"/>
          </w:tcPr>
          <w:p w14:paraId="287B47D1">
            <w:pPr>
              <w:jc w:val="center"/>
              <w:rPr>
                <w:rFonts w:ascii="宋体" w:hAnsi="宋体"/>
                <w:b w:val="0"/>
                <w:szCs w:val="21"/>
              </w:rPr>
            </w:pPr>
            <w:r>
              <w:rPr>
                <w:rFonts w:hint="eastAsia" w:ascii="宋体" w:hAnsi="宋体"/>
                <w:b w:val="0"/>
                <w:szCs w:val="21"/>
              </w:rPr>
              <w:t>（1</w:t>
            </w:r>
            <w:r>
              <w:rPr>
                <w:rFonts w:ascii="宋体" w:hAnsi="宋体"/>
                <w:b w:val="0"/>
                <w:szCs w:val="21"/>
              </w:rPr>
              <w:t>+</w:t>
            </w:r>
            <w:r>
              <w:rPr>
                <w:rFonts w:hint="eastAsia" w:ascii="宋体" w:hAnsi="宋体"/>
                <w:b w:val="0"/>
                <w:szCs w:val="21"/>
              </w:rPr>
              <w:t>1</w:t>
            </w:r>
            <w:r>
              <w:rPr>
                <w:rFonts w:ascii="宋体" w:hAnsi="宋体"/>
                <w:b w:val="0"/>
                <w:szCs w:val="21"/>
              </w:rPr>
              <w:t>+</w:t>
            </w:r>
            <w:r>
              <w:rPr>
                <w:rFonts w:hint="eastAsia" w:ascii="宋体" w:hAnsi="宋体"/>
                <w:b w:val="0"/>
                <w:szCs w:val="21"/>
              </w:rPr>
              <w:t>0.5</w:t>
            </w:r>
            <w:r>
              <w:rPr>
                <w:rFonts w:ascii="宋体" w:hAnsi="宋体"/>
                <w:b w:val="0"/>
                <w:szCs w:val="21"/>
              </w:rPr>
              <w:t>+1+</w:t>
            </w:r>
            <w:r>
              <w:rPr>
                <w:rFonts w:hint="eastAsia" w:ascii="宋体" w:hAnsi="宋体"/>
                <w:b w:val="0"/>
                <w:szCs w:val="21"/>
              </w:rPr>
              <w:t>1</w:t>
            </w:r>
            <w:r>
              <w:rPr>
                <w:rFonts w:ascii="宋体" w:hAnsi="宋体"/>
                <w:b w:val="0"/>
                <w:szCs w:val="21"/>
              </w:rPr>
              <w:t>+1+</w:t>
            </w:r>
            <w:r>
              <w:rPr>
                <w:rFonts w:hint="eastAsia" w:ascii="宋体" w:hAnsi="宋体"/>
                <w:b w:val="0"/>
                <w:szCs w:val="21"/>
              </w:rPr>
              <w:t>1</w:t>
            </w:r>
            <w:r>
              <w:rPr>
                <w:rFonts w:ascii="宋体" w:hAnsi="宋体"/>
                <w:b w:val="0"/>
                <w:szCs w:val="21"/>
              </w:rPr>
              <w:t>+0.5</w:t>
            </w:r>
            <w:r>
              <w:rPr>
                <w:rFonts w:hint="eastAsia" w:ascii="宋体" w:hAnsi="宋体"/>
                <w:b w:val="0"/>
                <w:szCs w:val="21"/>
              </w:rPr>
              <w:t>）/5</w:t>
            </w:r>
            <w:r>
              <w:rPr>
                <w:rFonts w:ascii="宋体" w:hAnsi="宋体"/>
                <w:b w:val="0"/>
                <w:szCs w:val="21"/>
              </w:rPr>
              <w:t>+</w:t>
            </w:r>
            <w:r>
              <w:rPr>
                <w:rFonts w:hint="eastAsia" w:ascii="宋体" w:hAnsi="宋体"/>
                <w:b w:val="0"/>
                <w:szCs w:val="21"/>
              </w:rPr>
              <w:t>（</w:t>
            </w:r>
            <w:r>
              <w:rPr>
                <w:rFonts w:ascii="宋体" w:hAnsi="宋体"/>
                <w:b w:val="0"/>
                <w:szCs w:val="21"/>
              </w:rPr>
              <w:t>0.5+0.5</w:t>
            </w:r>
            <w:r>
              <w:rPr>
                <w:rFonts w:hint="eastAsia" w:ascii="宋体" w:hAnsi="宋体"/>
                <w:b w:val="0"/>
                <w:szCs w:val="21"/>
              </w:rPr>
              <w:t>）/</w:t>
            </w:r>
            <w:r>
              <w:rPr>
                <w:rFonts w:ascii="宋体" w:hAnsi="宋体"/>
                <w:b w:val="0"/>
                <w:szCs w:val="21"/>
              </w:rPr>
              <w:t>8=</w:t>
            </w:r>
            <w:r>
              <w:rPr>
                <w:rFonts w:hint="eastAsia" w:ascii="宋体" w:hAnsi="宋体"/>
                <w:b w:val="0"/>
                <w:szCs w:val="21"/>
              </w:rPr>
              <w:t>1.4</w:t>
            </w:r>
            <w:r>
              <w:rPr>
                <w:rFonts w:ascii="宋体" w:hAnsi="宋体"/>
                <w:b w:val="0"/>
                <w:szCs w:val="21"/>
              </w:rPr>
              <w:t>+0.1</w:t>
            </w:r>
            <w:r>
              <w:rPr>
                <w:rFonts w:hint="eastAsia" w:ascii="宋体" w:hAnsi="宋体"/>
                <w:b w:val="0"/>
                <w:szCs w:val="21"/>
              </w:rPr>
              <w:t>25</w:t>
            </w:r>
            <w:r>
              <w:rPr>
                <w:rFonts w:ascii="宋体" w:hAnsi="宋体"/>
                <w:b w:val="0"/>
                <w:szCs w:val="21"/>
              </w:rPr>
              <w:t>=</w:t>
            </w:r>
            <w:r>
              <w:rPr>
                <w:rFonts w:hint="eastAsia" w:ascii="宋体" w:hAnsi="宋体"/>
                <w:b w:val="0"/>
                <w:szCs w:val="21"/>
              </w:rPr>
              <w:t>1.525</w:t>
            </w:r>
            <w:r>
              <w:rPr>
                <w:rFonts w:hint="eastAsia" w:ascii="微软雅黑" w:hAnsi="微软雅黑" w:eastAsia="微软雅黑" w:cs="微软雅黑"/>
                <w:b w:val="0"/>
                <w:szCs w:val="21"/>
              </w:rPr>
              <w:t>&gt;</w:t>
            </w:r>
            <w:r>
              <w:rPr>
                <w:rFonts w:hint="eastAsia" w:ascii="宋体" w:hAnsi="宋体"/>
                <w:b w:val="0"/>
                <w:szCs w:val="21"/>
              </w:rPr>
              <w:t>1</w:t>
            </w:r>
          </w:p>
        </w:tc>
      </w:tr>
      <w:tr w14:paraId="51BF415B">
        <w:tblPrEx>
          <w:tblBorders>
            <w:top w:val="single" w:color="auto" w:sz="12" w:space="0"/>
            <w:left w:val="single" w:color="auto" w:sz="12" w:space="0"/>
            <w:bottom w:val="single" w:color="auto" w:sz="12" w:space="0"/>
            <w:right w:val="single" w:color="auto" w:sz="12" w:space="0"/>
            <w:insideH w:val="single" w:color="auto" w:sz="6" w:space="0"/>
            <w:insideV w:val="single" w:color="auto" w:sz="4" w:space="0"/>
          </w:tblBorders>
          <w:tblCellMar>
            <w:top w:w="0" w:type="dxa"/>
            <w:left w:w="108" w:type="dxa"/>
            <w:bottom w:w="0" w:type="dxa"/>
            <w:right w:w="108" w:type="dxa"/>
          </w:tblCellMar>
        </w:tblPrEx>
        <w:trPr>
          <w:cantSplit/>
          <w:trHeight w:val="442" w:hRule="atLeast"/>
          <w:jc w:val="center"/>
        </w:trPr>
        <w:tc>
          <w:tcPr>
            <w:tcW w:w="1084" w:type="dxa"/>
            <w:vMerge w:val="continue"/>
            <w:vAlign w:val="center"/>
          </w:tcPr>
          <w:p w14:paraId="7F6D68FF">
            <w:pPr>
              <w:adjustRightInd w:val="0"/>
              <w:snapToGrid w:val="0"/>
              <w:ind w:left="-8" w:leftChars="-4"/>
              <w:jc w:val="center"/>
              <w:rPr>
                <w:rFonts w:ascii="宋体" w:hAnsi="宋体"/>
                <w:b w:val="0"/>
                <w:szCs w:val="21"/>
              </w:rPr>
            </w:pPr>
          </w:p>
        </w:tc>
        <w:tc>
          <w:tcPr>
            <w:tcW w:w="418" w:type="dxa"/>
            <w:vMerge w:val="continue"/>
            <w:vAlign w:val="center"/>
          </w:tcPr>
          <w:p w14:paraId="3F13F387">
            <w:pPr>
              <w:jc w:val="center"/>
              <w:rPr>
                <w:rFonts w:ascii="宋体" w:hAnsi="宋体"/>
                <w:b w:val="0"/>
                <w:szCs w:val="21"/>
              </w:rPr>
            </w:pPr>
          </w:p>
        </w:tc>
        <w:tc>
          <w:tcPr>
            <w:tcW w:w="2130" w:type="dxa"/>
            <w:vAlign w:val="center"/>
          </w:tcPr>
          <w:p w14:paraId="7D4EE9E6">
            <w:pPr>
              <w:adjustRightInd w:val="0"/>
              <w:snapToGrid w:val="0"/>
              <w:jc w:val="center"/>
              <w:rPr>
                <w:rFonts w:ascii="宋体" w:hAnsi="宋体"/>
                <w:b w:val="0"/>
                <w:szCs w:val="21"/>
              </w:rPr>
            </w:pPr>
            <w:r>
              <w:rPr>
                <w:rFonts w:hint="eastAsia" w:ascii="宋体" w:hAnsi="宋体"/>
                <w:b w:val="0"/>
                <w:szCs w:val="21"/>
              </w:rPr>
              <w:t>55#亮珠库</w:t>
            </w:r>
          </w:p>
        </w:tc>
        <w:tc>
          <w:tcPr>
            <w:tcW w:w="1409" w:type="dxa"/>
            <w:vAlign w:val="center"/>
          </w:tcPr>
          <w:p w14:paraId="4DB79E0F">
            <w:pPr>
              <w:adjustRightInd w:val="0"/>
              <w:snapToGrid w:val="0"/>
              <w:jc w:val="center"/>
              <w:rPr>
                <w:rFonts w:ascii="宋体" w:hAnsi="宋体"/>
                <w:b w:val="0"/>
                <w:szCs w:val="21"/>
              </w:rPr>
            </w:pPr>
            <w:r>
              <w:rPr>
                <w:rFonts w:hint="eastAsia" w:ascii="宋体" w:hAnsi="宋体"/>
                <w:b w:val="0"/>
                <w:szCs w:val="21"/>
              </w:rPr>
              <w:t>1</w:t>
            </w:r>
          </w:p>
        </w:tc>
        <w:tc>
          <w:tcPr>
            <w:tcW w:w="1342" w:type="dxa"/>
            <w:vAlign w:val="center"/>
          </w:tcPr>
          <w:p w14:paraId="5E16235A">
            <w:pPr>
              <w:adjustRightInd w:val="0"/>
              <w:snapToGrid w:val="0"/>
              <w:jc w:val="center"/>
              <w:rPr>
                <w:rFonts w:ascii="宋体" w:hAnsi="宋体"/>
                <w:b w:val="0"/>
                <w:szCs w:val="21"/>
              </w:rPr>
            </w:pPr>
            <w:r>
              <w:rPr>
                <w:rFonts w:hint="eastAsia" w:ascii="宋体" w:hAnsi="宋体"/>
                <w:b w:val="0"/>
                <w:szCs w:val="21"/>
              </w:rPr>
              <w:t>5</w:t>
            </w:r>
          </w:p>
        </w:tc>
        <w:tc>
          <w:tcPr>
            <w:tcW w:w="2655" w:type="dxa"/>
            <w:vMerge w:val="continue"/>
            <w:vAlign w:val="center"/>
          </w:tcPr>
          <w:p w14:paraId="2FF99DEA">
            <w:pPr>
              <w:jc w:val="center"/>
              <w:rPr>
                <w:rFonts w:ascii="宋体" w:hAnsi="宋体"/>
                <w:b w:val="0"/>
                <w:szCs w:val="21"/>
              </w:rPr>
            </w:pPr>
          </w:p>
        </w:tc>
      </w:tr>
      <w:tr w14:paraId="79BEA1FD">
        <w:tblPrEx>
          <w:tblBorders>
            <w:top w:val="single" w:color="auto" w:sz="12" w:space="0"/>
            <w:left w:val="single" w:color="auto" w:sz="12" w:space="0"/>
            <w:bottom w:val="single" w:color="auto" w:sz="12" w:space="0"/>
            <w:right w:val="single" w:color="auto" w:sz="12" w:space="0"/>
            <w:insideH w:val="single" w:color="auto" w:sz="6" w:space="0"/>
            <w:insideV w:val="single" w:color="auto" w:sz="4" w:space="0"/>
          </w:tblBorders>
          <w:tblCellMar>
            <w:top w:w="0" w:type="dxa"/>
            <w:left w:w="108" w:type="dxa"/>
            <w:bottom w:w="0" w:type="dxa"/>
            <w:right w:w="108" w:type="dxa"/>
          </w:tblCellMar>
        </w:tblPrEx>
        <w:trPr>
          <w:cantSplit/>
          <w:trHeight w:val="442" w:hRule="atLeast"/>
          <w:jc w:val="center"/>
        </w:trPr>
        <w:tc>
          <w:tcPr>
            <w:tcW w:w="1084" w:type="dxa"/>
            <w:vMerge w:val="continue"/>
            <w:vAlign w:val="center"/>
          </w:tcPr>
          <w:p w14:paraId="09655FA1">
            <w:pPr>
              <w:adjustRightInd w:val="0"/>
              <w:snapToGrid w:val="0"/>
              <w:ind w:left="-8" w:leftChars="-4"/>
              <w:jc w:val="center"/>
              <w:rPr>
                <w:rFonts w:ascii="宋体" w:hAnsi="宋体"/>
                <w:b w:val="0"/>
                <w:szCs w:val="21"/>
              </w:rPr>
            </w:pPr>
          </w:p>
        </w:tc>
        <w:tc>
          <w:tcPr>
            <w:tcW w:w="418" w:type="dxa"/>
            <w:vMerge w:val="continue"/>
            <w:vAlign w:val="center"/>
          </w:tcPr>
          <w:p w14:paraId="602493D7">
            <w:pPr>
              <w:jc w:val="center"/>
              <w:rPr>
                <w:rFonts w:ascii="宋体" w:hAnsi="宋体"/>
                <w:b w:val="0"/>
                <w:szCs w:val="21"/>
              </w:rPr>
            </w:pPr>
          </w:p>
        </w:tc>
        <w:tc>
          <w:tcPr>
            <w:tcW w:w="2130" w:type="dxa"/>
            <w:vAlign w:val="center"/>
          </w:tcPr>
          <w:p w14:paraId="091081C3">
            <w:pPr>
              <w:adjustRightInd w:val="0"/>
              <w:snapToGrid w:val="0"/>
              <w:jc w:val="center"/>
              <w:rPr>
                <w:rFonts w:ascii="宋体" w:hAnsi="宋体"/>
                <w:b w:val="0"/>
                <w:szCs w:val="21"/>
              </w:rPr>
            </w:pPr>
            <w:r>
              <w:rPr>
                <w:rFonts w:hint="eastAsia" w:ascii="宋体" w:hAnsi="宋体"/>
                <w:b w:val="0"/>
                <w:szCs w:val="21"/>
              </w:rPr>
              <w:t>56#亮珠库</w:t>
            </w:r>
          </w:p>
        </w:tc>
        <w:tc>
          <w:tcPr>
            <w:tcW w:w="1409" w:type="dxa"/>
            <w:vAlign w:val="center"/>
          </w:tcPr>
          <w:p w14:paraId="2FA0913B">
            <w:pPr>
              <w:adjustRightInd w:val="0"/>
              <w:snapToGrid w:val="0"/>
              <w:jc w:val="center"/>
              <w:rPr>
                <w:rFonts w:ascii="宋体" w:hAnsi="宋体"/>
                <w:b w:val="0"/>
                <w:szCs w:val="21"/>
              </w:rPr>
            </w:pPr>
            <w:r>
              <w:rPr>
                <w:rFonts w:hint="eastAsia" w:ascii="宋体" w:hAnsi="宋体"/>
                <w:b w:val="0"/>
                <w:szCs w:val="21"/>
              </w:rPr>
              <w:t>0.5</w:t>
            </w:r>
          </w:p>
        </w:tc>
        <w:tc>
          <w:tcPr>
            <w:tcW w:w="1342" w:type="dxa"/>
            <w:vAlign w:val="center"/>
          </w:tcPr>
          <w:p w14:paraId="4EC7B248">
            <w:pPr>
              <w:adjustRightInd w:val="0"/>
              <w:snapToGrid w:val="0"/>
              <w:jc w:val="center"/>
              <w:rPr>
                <w:rFonts w:ascii="宋体" w:hAnsi="宋体"/>
                <w:b w:val="0"/>
                <w:szCs w:val="21"/>
              </w:rPr>
            </w:pPr>
            <w:r>
              <w:rPr>
                <w:rFonts w:hint="eastAsia" w:ascii="宋体" w:hAnsi="宋体"/>
                <w:b w:val="0"/>
                <w:szCs w:val="21"/>
              </w:rPr>
              <w:t>5</w:t>
            </w:r>
          </w:p>
        </w:tc>
        <w:tc>
          <w:tcPr>
            <w:tcW w:w="2655" w:type="dxa"/>
            <w:vMerge w:val="continue"/>
            <w:vAlign w:val="center"/>
          </w:tcPr>
          <w:p w14:paraId="6240CEAA">
            <w:pPr>
              <w:jc w:val="center"/>
              <w:rPr>
                <w:rFonts w:ascii="宋体" w:hAnsi="宋体"/>
                <w:b w:val="0"/>
                <w:szCs w:val="21"/>
              </w:rPr>
            </w:pPr>
          </w:p>
        </w:tc>
      </w:tr>
      <w:tr w14:paraId="7415EB7E">
        <w:tblPrEx>
          <w:tblBorders>
            <w:top w:val="single" w:color="auto" w:sz="12" w:space="0"/>
            <w:left w:val="single" w:color="auto" w:sz="12" w:space="0"/>
            <w:bottom w:val="single" w:color="auto" w:sz="12" w:space="0"/>
            <w:right w:val="single" w:color="auto" w:sz="12" w:space="0"/>
            <w:insideH w:val="single" w:color="auto" w:sz="6" w:space="0"/>
            <w:insideV w:val="single" w:color="auto" w:sz="4" w:space="0"/>
          </w:tblBorders>
          <w:tblCellMar>
            <w:top w:w="0" w:type="dxa"/>
            <w:left w:w="108" w:type="dxa"/>
            <w:bottom w:w="0" w:type="dxa"/>
            <w:right w:w="108" w:type="dxa"/>
          </w:tblCellMar>
        </w:tblPrEx>
        <w:trPr>
          <w:cantSplit/>
          <w:trHeight w:val="442" w:hRule="atLeast"/>
          <w:jc w:val="center"/>
        </w:trPr>
        <w:tc>
          <w:tcPr>
            <w:tcW w:w="1084" w:type="dxa"/>
            <w:vMerge w:val="continue"/>
            <w:vAlign w:val="center"/>
          </w:tcPr>
          <w:p w14:paraId="77998632">
            <w:pPr>
              <w:adjustRightInd w:val="0"/>
              <w:snapToGrid w:val="0"/>
              <w:ind w:left="-8" w:leftChars="-4"/>
              <w:jc w:val="center"/>
              <w:rPr>
                <w:rFonts w:ascii="宋体" w:hAnsi="宋体"/>
                <w:b w:val="0"/>
                <w:szCs w:val="21"/>
              </w:rPr>
            </w:pPr>
          </w:p>
        </w:tc>
        <w:tc>
          <w:tcPr>
            <w:tcW w:w="418" w:type="dxa"/>
            <w:vMerge w:val="continue"/>
            <w:vAlign w:val="center"/>
          </w:tcPr>
          <w:p w14:paraId="7930D198">
            <w:pPr>
              <w:jc w:val="center"/>
              <w:rPr>
                <w:rFonts w:ascii="宋体" w:hAnsi="宋体"/>
                <w:b w:val="0"/>
                <w:szCs w:val="21"/>
              </w:rPr>
            </w:pPr>
          </w:p>
        </w:tc>
        <w:tc>
          <w:tcPr>
            <w:tcW w:w="2130" w:type="dxa"/>
            <w:vAlign w:val="center"/>
          </w:tcPr>
          <w:p w14:paraId="4A6098AD">
            <w:pPr>
              <w:adjustRightInd w:val="0"/>
              <w:snapToGrid w:val="0"/>
              <w:jc w:val="center"/>
              <w:rPr>
                <w:rFonts w:ascii="宋体" w:hAnsi="宋体"/>
                <w:b w:val="0"/>
                <w:szCs w:val="21"/>
              </w:rPr>
            </w:pPr>
            <w:r>
              <w:rPr>
                <w:rFonts w:hint="eastAsia" w:ascii="宋体" w:hAnsi="宋体"/>
                <w:b w:val="0"/>
                <w:szCs w:val="21"/>
              </w:rPr>
              <w:t>57#亮珠库</w:t>
            </w:r>
          </w:p>
        </w:tc>
        <w:tc>
          <w:tcPr>
            <w:tcW w:w="1409" w:type="dxa"/>
            <w:vAlign w:val="center"/>
          </w:tcPr>
          <w:p w14:paraId="37FA7961">
            <w:pPr>
              <w:adjustRightInd w:val="0"/>
              <w:snapToGrid w:val="0"/>
              <w:jc w:val="center"/>
              <w:rPr>
                <w:rFonts w:ascii="宋体" w:hAnsi="宋体"/>
                <w:b w:val="0"/>
                <w:szCs w:val="21"/>
              </w:rPr>
            </w:pPr>
            <w:r>
              <w:rPr>
                <w:rFonts w:hint="eastAsia" w:ascii="宋体" w:hAnsi="宋体"/>
                <w:b w:val="0"/>
                <w:szCs w:val="21"/>
              </w:rPr>
              <w:t>1</w:t>
            </w:r>
          </w:p>
        </w:tc>
        <w:tc>
          <w:tcPr>
            <w:tcW w:w="1342" w:type="dxa"/>
            <w:vAlign w:val="center"/>
          </w:tcPr>
          <w:p w14:paraId="25BE2BB9">
            <w:pPr>
              <w:adjustRightInd w:val="0"/>
              <w:snapToGrid w:val="0"/>
              <w:jc w:val="center"/>
              <w:rPr>
                <w:rFonts w:ascii="宋体" w:hAnsi="宋体"/>
                <w:b w:val="0"/>
                <w:szCs w:val="21"/>
              </w:rPr>
            </w:pPr>
            <w:r>
              <w:rPr>
                <w:rFonts w:hint="eastAsia" w:ascii="宋体" w:hAnsi="宋体"/>
                <w:b w:val="0"/>
                <w:szCs w:val="21"/>
              </w:rPr>
              <w:t>5</w:t>
            </w:r>
          </w:p>
        </w:tc>
        <w:tc>
          <w:tcPr>
            <w:tcW w:w="2655" w:type="dxa"/>
            <w:vMerge w:val="continue"/>
            <w:vAlign w:val="center"/>
          </w:tcPr>
          <w:p w14:paraId="207A0855">
            <w:pPr>
              <w:jc w:val="center"/>
              <w:rPr>
                <w:rFonts w:ascii="宋体" w:hAnsi="宋体"/>
                <w:b w:val="0"/>
                <w:szCs w:val="21"/>
              </w:rPr>
            </w:pPr>
          </w:p>
        </w:tc>
      </w:tr>
      <w:tr w14:paraId="2E85A361">
        <w:tblPrEx>
          <w:tblBorders>
            <w:top w:val="single" w:color="auto" w:sz="12" w:space="0"/>
            <w:left w:val="single" w:color="auto" w:sz="12" w:space="0"/>
            <w:bottom w:val="single" w:color="auto" w:sz="12" w:space="0"/>
            <w:right w:val="single" w:color="auto" w:sz="12" w:space="0"/>
            <w:insideH w:val="single" w:color="auto" w:sz="6" w:space="0"/>
            <w:insideV w:val="single" w:color="auto" w:sz="4" w:space="0"/>
          </w:tblBorders>
          <w:tblCellMar>
            <w:top w:w="0" w:type="dxa"/>
            <w:left w:w="108" w:type="dxa"/>
            <w:bottom w:w="0" w:type="dxa"/>
            <w:right w:w="108" w:type="dxa"/>
          </w:tblCellMar>
        </w:tblPrEx>
        <w:trPr>
          <w:cantSplit/>
          <w:trHeight w:val="442" w:hRule="atLeast"/>
          <w:jc w:val="center"/>
        </w:trPr>
        <w:tc>
          <w:tcPr>
            <w:tcW w:w="1084" w:type="dxa"/>
            <w:vMerge w:val="continue"/>
            <w:vAlign w:val="center"/>
          </w:tcPr>
          <w:p w14:paraId="66473568">
            <w:pPr>
              <w:adjustRightInd w:val="0"/>
              <w:snapToGrid w:val="0"/>
              <w:ind w:left="-8" w:leftChars="-4"/>
              <w:jc w:val="center"/>
              <w:rPr>
                <w:rFonts w:ascii="宋体" w:hAnsi="宋体"/>
                <w:b w:val="0"/>
                <w:szCs w:val="21"/>
              </w:rPr>
            </w:pPr>
          </w:p>
        </w:tc>
        <w:tc>
          <w:tcPr>
            <w:tcW w:w="418" w:type="dxa"/>
            <w:vMerge w:val="continue"/>
            <w:vAlign w:val="center"/>
          </w:tcPr>
          <w:p w14:paraId="421A847D">
            <w:pPr>
              <w:jc w:val="center"/>
              <w:rPr>
                <w:rFonts w:ascii="宋体" w:hAnsi="宋体"/>
                <w:b w:val="0"/>
                <w:szCs w:val="21"/>
              </w:rPr>
            </w:pPr>
          </w:p>
        </w:tc>
        <w:tc>
          <w:tcPr>
            <w:tcW w:w="2130" w:type="dxa"/>
            <w:vAlign w:val="center"/>
          </w:tcPr>
          <w:p w14:paraId="7E9380D1">
            <w:pPr>
              <w:adjustRightInd w:val="0"/>
              <w:snapToGrid w:val="0"/>
              <w:jc w:val="center"/>
              <w:rPr>
                <w:rFonts w:ascii="宋体" w:hAnsi="宋体"/>
                <w:b w:val="0"/>
                <w:szCs w:val="21"/>
              </w:rPr>
            </w:pPr>
            <w:r>
              <w:rPr>
                <w:rFonts w:hint="eastAsia" w:ascii="宋体" w:hAnsi="宋体"/>
                <w:b w:val="0"/>
                <w:szCs w:val="21"/>
              </w:rPr>
              <w:t>58#黑火药库</w:t>
            </w:r>
          </w:p>
        </w:tc>
        <w:tc>
          <w:tcPr>
            <w:tcW w:w="1409" w:type="dxa"/>
            <w:vAlign w:val="center"/>
          </w:tcPr>
          <w:p w14:paraId="7447EF31">
            <w:pPr>
              <w:adjustRightInd w:val="0"/>
              <w:snapToGrid w:val="0"/>
              <w:jc w:val="center"/>
              <w:rPr>
                <w:rFonts w:ascii="宋体" w:hAnsi="宋体"/>
                <w:b w:val="0"/>
                <w:szCs w:val="21"/>
              </w:rPr>
            </w:pPr>
            <w:r>
              <w:rPr>
                <w:rFonts w:hint="eastAsia" w:ascii="宋体" w:hAnsi="宋体"/>
                <w:b w:val="0"/>
                <w:szCs w:val="21"/>
              </w:rPr>
              <w:t>1</w:t>
            </w:r>
          </w:p>
        </w:tc>
        <w:tc>
          <w:tcPr>
            <w:tcW w:w="1342" w:type="dxa"/>
            <w:vAlign w:val="center"/>
          </w:tcPr>
          <w:p w14:paraId="7E6B3EBB">
            <w:pPr>
              <w:adjustRightInd w:val="0"/>
              <w:snapToGrid w:val="0"/>
              <w:jc w:val="center"/>
              <w:rPr>
                <w:rFonts w:ascii="宋体" w:hAnsi="宋体"/>
                <w:b w:val="0"/>
                <w:szCs w:val="21"/>
              </w:rPr>
            </w:pPr>
            <w:r>
              <w:rPr>
                <w:rFonts w:ascii="宋体" w:hAnsi="宋体"/>
                <w:b w:val="0"/>
                <w:szCs w:val="21"/>
              </w:rPr>
              <w:t>5</w:t>
            </w:r>
          </w:p>
        </w:tc>
        <w:tc>
          <w:tcPr>
            <w:tcW w:w="2655" w:type="dxa"/>
            <w:vMerge w:val="continue"/>
            <w:vAlign w:val="center"/>
          </w:tcPr>
          <w:p w14:paraId="5D95A3F0">
            <w:pPr>
              <w:jc w:val="center"/>
              <w:rPr>
                <w:rFonts w:ascii="宋体" w:hAnsi="宋体"/>
                <w:b w:val="0"/>
                <w:szCs w:val="21"/>
              </w:rPr>
            </w:pPr>
          </w:p>
        </w:tc>
      </w:tr>
      <w:tr w14:paraId="426021D0">
        <w:tblPrEx>
          <w:tblBorders>
            <w:top w:val="single" w:color="auto" w:sz="12" w:space="0"/>
            <w:left w:val="single" w:color="auto" w:sz="12" w:space="0"/>
            <w:bottom w:val="single" w:color="auto" w:sz="12" w:space="0"/>
            <w:right w:val="single" w:color="auto" w:sz="12" w:space="0"/>
            <w:insideH w:val="single" w:color="auto" w:sz="6" w:space="0"/>
            <w:insideV w:val="single" w:color="auto" w:sz="4" w:space="0"/>
          </w:tblBorders>
          <w:tblCellMar>
            <w:top w:w="0" w:type="dxa"/>
            <w:left w:w="108" w:type="dxa"/>
            <w:bottom w:w="0" w:type="dxa"/>
            <w:right w:w="108" w:type="dxa"/>
          </w:tblCellMar>
        </w:tblPrEx>
        <w:trPr>
          <w:cantSplit/>
          <w:trHeight w:val="442" w:hRule="atLeast"/>
          <w:jc w:val="center"/>
        </w:trPr>
        <w:tc>
          <w:tcPr>
            <w:tcW w:w="1084" w:type="dxa"/>
            <w:vMerge w:val="continue"/>
            <w:vAlign w:val="center"/>
          </w:tcPr>
          <w:p w14:paraId="1583EF2A">
            <w:pPr>
              <w:adjustRightInd w:val="0"/>
              <w:snapToGrid w:val="0"/>
              <w:ind w:left="-8" w:leftChars="-4"/>
              <w:jc w:val="center"/>
              <w:rPr>
                <w:rFonts w:ascii="宋体" w:hAnsi="宋体"/>
                <w:b w:val="0"/>
                <w:szCs w:val="21"/>
              </w:rPr>
            </w:pPr>
          </w:p>
        </w:tc>
        <w:tc>
          <w:tcPr>
            <w:tcW w:w="418" w:type="dxa"/>
            <w:vMerge w:val="continue"/>
            <w:vAlign w:val="center"/>
          </w:tcPr>
          <w:p w14:paraId="0E2FB9D6">
            <w:pPr>
              <w:jc w:val="center"/>
              <w:rPr>
                <w:rFonts w:ascii="宋体" w:hAnsi="宋体"/>
                <w:b w:val="0"/>
                <w:szCs w:val="21"/>
              </w:rPr>
            </w:pPr>
          </w:p>
        </w:tc>
        <w:tc>
          <w:tcPr>
            <w:tcW w:w="2130" w:type="dxa"/>
            <w:vAlign w:val="center"/>
          </w:tcPr>
          <w:p w14:paraId="3738A311">
            <w:pPr>
              <w:adjustRightInd w:val="0"/>
              <w:snapToGrid w:val="0"/>
              <w:jc w:val="center"/>
              <w:rPr>
                <w:rFonts w:ascii="宋体" w:hAnsi="宋体"/>
                <w:b w:val="0"/>
                <w:szCs w:val="21"/>
              </w:rPr>
            </w:pPr>
            <w:r>
              <w:rPr>
                <w:rFonts w:hint="eastAsia" w:ascii="宋体" w:hAnsi="宋体"/>
                <w:b w:val="0"/>
                <w:szCs w:val="21"/>
              </w:rPr>
              <w:t>59#黑火药库</w:t>
            </w:r>
          </w:p>
        </w:tc>
        <w:tc>
          <w:tcPr>
            <w:tcW w:w="1409" w:type="dxa"/>
            <w:vAlign w:val="center"/>
          </w:tcPr>
          <w:p w14:paraId="18F29E6D">
            <w:pPr>
              <w:adjustRightInd w:val="0"/>
              <w:snapToGrid w:val="0"/>
              <w:jc w:val="center"/>
              <w:rPr>
                <w:rFonts w:ascii="宋体" w:hAnsi="宋体"/>
                <w:b w:val="0"/>
                <w:szCs w:val="21"/>
              </w:rPr>
            </w:pPr>
            <w:r>
              <w:rPr>
                <w:rFonts w:hint="eastAsia" w:ascii="宋体" w:hAnsi="宋体"/>
                <w:b w:val="0"/>
                <w:szCs w:val="21"/>
              </w:rPr>
              <w:t>1</w:t>
            </w:r>
          </w:p>
        </w:tc>
        <w:tc>
          <w:tcPr>
            <w:tcW w:w="1342" w:type="dxa"/>
            <w:vAlign w:val="center"/>
          </w:tcPr>
          <w:p w14:paraId="3487B36F">
            <w:pPr>
              <w:adjustRightInd w:val="0"/>
              <w:snapToGrid w:val="0"/>
              <w:jc w:val="center"/>
              <w:rPr>
                <w:rFonts w:ascii="宋体" w:hAnsi="宋体"/>
                <w:b w:val="0"/>
                <w:szCs w:val="21"/>
              </w:rPr>
            </w:pPr>
            <w:r>
              <w:rPr>
                <w:rFonts w:hint="eastAsia" w:ascii="宋体" w:hAnsi="宋体"/>
                <w:b w:val="0"/>
                <w:szCs w:val="21"/>
              </w:rPr>
              <w:t>5</w:t>
            </w:r>
          </w:p>
        </w:tc>
        <w:tc>
          <w:tcPr>
            <w:tcW w:w="2655" w:type="dxa"/>
            <w:vMerge w:val="continue"/>
            <w:vAlign w:val="center"/>
          </w:tcPr>
          <w:p w14:paraId="5A4C5A37">
            <w:pPr>
              <w:jc w:val="center"/>
              <w:rPr>
                <w:rFonts w:ascii="宋体" w:hAnsi="宋体"/>
                <w:b w:val="0"/>
                <w:szCs w:val="21"/>
              </w:rPr>
            </w:pPr>
          </w:p>
        </w:tc>
      </w:tr>
      <w:tr w14:paraId="486C6223">
        <w:tblPrEx>
          <w:tblBorders>
            <w:top w:val="single" w:color="auto" w:sz="12" w:space="0"/>
            <w:left w:val="single" w:color="auto" w:sz="12" w:space="0"/>
            <w:bottom w:val="single" w:color="auto" w:sz="12" w:space="0"/>
            <w:right w:val="single" w:color="auto" w:sz="12" w:space="0"/>
            <w:insideH w:val="single" w:color="auto" w:sz="6" w:space="0"/>
            <w:insideV w:val="single" w:color="auto" w:sz="4" w:space="0"/>
          </w:tblBorders>
          <w:tblCellMar>
            <w:top w:w="0" w:type="dxa"/>
            <w:left w:w="108" w:type="dxa"/>
            <w:bottom w:w="0" w:type="dxa"/>
            <w:right w:w="108" w:type="dxa"/>
          </w:tblCellMar>
        </w:tblPrEx>
        <w:trPr>
          <w:cantSplit/>
          <w:trHeight w:val="442" w:hRule="atLeast"/>
          <w:jc w:val="center"/>
        </w:trPr>
        <w:tc>
          <w:tcPr>
            <w:tcW w:w="1084" w:type="dxa"/>
            <w:vMerge w:val="continue"/>
            <w:vAlign w:val="center"/>
          </w:tcPr>
          <w:p w14:paraId="157E098D">
            <w:pPr>
              <w:adjustRightInd w:val="0"/>
              <w:snapToGrid w:val="0"/>
              <w:ind w:left="-8" w:leftChars="-4"/>
              <w:jc w:val="center"/>
              <w:rPr>
                <w:rFonts w:ascii="宋体" w:hAnsi="宋体"/>
                <w:b w:val="0"/>
                <w:szCs w:val="21"/>
              </w:rPr>
            </w:pPr>
          </w:p>
        </w:tc>
        <w:tc>
          <w:tcPr>
            <w:tcW w:w="418" w:type="dxa"/>
            <w:vMerge w:val="continue"/>
            <w:vAlign w:val="center"/>
          </w:tcPr>
          <w:p w14:paraId="77F05742">
            <w:pPr>
              <w:jc w:val="center"/>
              <w:rPr>
                <w:rFonts w:ascii="宋体" w:hAnsi="宋体"/>
                <w:b w:val="0"/>
                <w:szCs w:val="21"/>
              </w:rPr>
            </w:pPr>
          </w:p>
        </w:tc>
        <w:tc>
          <w:tcPr>
            <w:tcW w:w="2130" w:type="dxa"/>
            <w:vAlign w:val="center"/>
          </w:tcPr>
          <w:p w14:paraId="1409F7CA">
            <w:pPr>
              <w:adjustRightInd w:val="0"/>
              <w:snapToGrid w:val="0"/>
              <w:jc w:val="center"/>
              <w:rPr>
                <w:rFonts w:ascii="宋体" w:hAnsi="宋体"/>
                <w:b w:val="0"/>
                <w:szCs w:val="21"/>
              </w:rPr>
            </w:pPr>
            <w:r>
              <w:rPr>
                <w:rFonts w:hint="eastAsia" w:ascii="宋体" w:hAnsi="宋体"/>
                <w:b w:val="0"/>
                <w:szCs w:val="21"/>
              </w:rPr>
              <w:t>60#黑火药库</w:t>
            </w:r>
          </w:p>
        </w:tc>
        <w:tc>
          <w:tcPr>
            <w:tcW w:w="1409" w:type="dxa"/>
            <w:vAlign w:val="center"/>
          </w:tcPr>
          <w:p w14:paraId="1855B60A">
            <w:pPr>
              <w:adjustRightInd w:val="0"/>
              <w:snapToGrid w:val="0"/>
              <w:jc w:val="center"/>
              <w:rPr>
                <w:rFonts w:ascii="宋体" w:hAnsi="宋体"/>
                <w:b w:val="0"/>
                <w:szCs w:val="21"/>
              </w:rPr>
            </w:pPr>
            <w:r>
              <w:rPr>
                <w:rFonts w:hint="eastAsia" w:ascii="宋体" w:hAnsi="宋体"/>
                <w:b w:val="0"/>
                <w:szCs w:val="21"/>
              </w:rPr>
              <w:t>1</w:t>
            </w:r>
          </w:p>
        </w:tc>
        <w:tc>
          <w:tcPr>
            <w:tcW w:w="1342" w:type="dxa"/>
            <w:vAlign w:val="center"/>
          </w:tcPr>
          <w:p w14:paraId="6D8A2504">
            <w:pPr>
              <w:adjustRightInd w:val="0"/>
              <w:snapToGrid w:val="0"/>
              <w:jc w:val="center"/>
              <w:rPr>
                <w:rFonts w:ascii="宋体" w:hAnsi="宋体"/>
                <w:b w:val="0"/>
                <w:szCs w:val="21"/>
              </w:rPr>
            </w:pPr>
            <w:r>
              <w:rPr>
                <w:rFonts w:hint="eastAsia" w:ascii="宋体" w:hAnsi="宋体"/>
                <w:b w:val="0"/>
                <w:szCs w:val="21"/>
              </w:rPr>
              <w:t>5</w:t>
            </w:r>
          </w:p>
        </w:tc>
        <w:tc>
          <w:tcPr>
            <w:tcW w:w="2655" w:type="dxa"/>
            <w:vMerge w:val="continue"/>
            <w:vAlign w:val="center"/>
          </w:tcPr>
          <w:p w14:paraId="54CEDB82">
            <w:pPr>
              <w:jc w:val="center"/>
              <w:rPr>
                <w:rFonts w:ascii="宋体" w:hAnsi="宋体"/>
                <w:b w:val="0"/>
                <w:szCs w:val="21"/>
              </w:rPr>
            </w:pPr>
          </w:p>
        </w:tc>
      </w:tr>
      <w:tr w14:paraId="220F4FBA">
        <w:tblPrEx>
          <w:tblBorders>
            <w:top w:val="single" w:color="auto" w:sz="12" w:space="0"/>
            <w:left w:val="single" w:color="auto" w:sz="12" w:space="0"/>
            <w:bottom w:val="single" w:color="auto" w:sz="12" w:space="0"/>
            <w:right w:val="single" w:color="auto" w:sz="12" w:space="0"/>
            <w:insideH w:val="single" w:color="auto" w:sz="6" w:space="0"/>
            <w:insideV w:val="single" w:color="auto" w:sz="4" w:space="0"/>
          </w:tblBorders>
          <w:tblCellMar>
            <w:top w:w="0" w:type="dxa"/>
            <w:left w:w="108" w:type="dxa"/>
            <w:bottom w:w="0" w:type="dxa"/>
            <w:right w:w="108" w:type="dxa"/>
          </w:tblCellMar>
        </w:tblPrEx>
        <w:trPr>
          <w:cantSplit/>
          <w:trHeight w:val="442" w:hRule="atLeast"/>
          <w:jc w:val="center"/>
        </w:trPr>
        <w:tc>
          <w:tcPr>
            <w:tcW w:w="1084" w:type="dxa"/>
            <w:vMerge w:val="continue"/>
            <w:vAlign w:val="center"/>
          </w:tcPr>
          <w:p w14:paraId="5F90EA7B">
            <w:pPr>
              <w:adjustRightInd w:val="0"/>
              <w:snapToGrid w:val="0"/>
              <w:ind w:left="-8" w:leftChars="-4"/>
              <w:jc w:val="center"/>
              <w:rPr>
                <w:rFonts w:ascii="宋体" w:hAnsi="宋体"/>
                <w:b w:val="0"/>
                <w:szCs w:val="21"/>
              </w:rPr>
            </w:pPr>
          </w:p>
        </w:tc>
        <w:tc>
          <w:tcPr>
            <w:tcW w:w="418" w:type="dxa"/>
            <w:vMerge w:val="continue"/>
            <w:vAlign w:val="center"/>
          </w:tcPr>
          <w:p w14:paraId="25901A7B">
            <w:pPr>
              <w:jc w:val="center"/>
              <w:rPr>
                <w:rFonts w:ascii="宋体" w:hAnsi="宋体"/>
                <w:b w:val="0"/>
                <w:szCs w:val="21"/>
              </w:rPr>
            </w:pPr>
          </w:p>
        </w:tc>
        <w:tc>
          <w:tcPr>
            <w:tcW w:w="2130" w:type="dxa"/>
            <w:vAlign w:val="center"/>
          </w:tcPr>
          <w:p w14:paraId="61DF57D6">
            <w:pPr>
              <w:adjustRightInd w:val="0"/>
              <w:snapToGrid w:val="0"/>
              <w:jc w:val="center"/>
              <w:rPr>
                <w:rFonts w:ascii="宋体" w:hAnsi="宋体"/>
                <w:b w:val="0"/>
                <w:szCs w:val="21"/>
              </w:rPr>
            </w:pPr>
            <w:r>
              <w:rPr>
                <w:rFonts w:hint="eastAsia" w:ascii="宋体" w:hAnsi="宋体"/>
                <w:b w:val="0"/>
                <w:szCs w:val="21"/>
              </w:rPr>
              <w:t>61#单基火药库(湿）</w:t>
            </w:r>
          </w:p>
        </w:tc>
        <w:tc>
          <w:tcPr>
            <w:tcW w:w="1409" w:type="dxa"/>
            <w:vAlign w:val="center"/>
          </w:tcPr>
          <w:p w14:paraId="32EF6DD4">
            <w:pPr>
              <w:adjustRightInd w:val="0"/>
              <w:snapToGrid w:val="0"/>
              <w:jc w:val="center"/>
              <w:rPr>
                <w:rFonts w:ascii="宋体" w:hAnsi="宋体"/>
                <w:b w:val="0"/>
                <w:szCs w:val="21"/>
              </w:rPr>
            </w:pPr>
            <w:r>
              <w:rPr>
                <w:rFonts w:hint="eastAsia" w:ascii="宋体" w:hAnsi="宋体"/>
                <w:b w:val="0"/>
                <w:szCs w:val="21"/>
              </w:rPr>
              <w:t>0.5</w:t>
            </w:r>
          </w:p>
        </w:tc>
        <w:tc>
          <w:tcPr>
            <w:tcW w:w="1342" w:type="dxa"/>
            <w:vAlign w:val="center"/>
          </w:tcPr>
          <w:p w14:paraId="7FB6891A">
            <w:pPr>
              <w:adjustRightInd w:val="0"/>
              <w:snapToGrid w:val="0"/>
              <w:jc w:val="center"/>
              <w:rPr>
                <w:rFonts w:ascii="宋体" w:hAnsi="宋体"/>
                <w:b w:val="0"/>
                <w:szCs w:val="21"/>
              </w:rPr>
            </w:pPr>
            <w:r>
              <w:rPr>
                <w:rFonts w:hint="eastAsia" w:ascii="宋体" w:hAnsi="宋体"/>
                <w:b w:val="0"/>
                <w:szCs w:val="21"/>
              </w:rPr>
              <w:t>8</w:t>
            </w:r>
          </w:p>
        </w:tc>
        <w:tc>
          <w:tcPr>
            <w:tcW w:w="2655" w:type="dxa"/>
            <w:vMerge w:val="continue"/>
            <w:vAlign w:val="center"/>
          </w:tcPr>
          <w:p w14:paraId="45D3C4EA">
            <w:pPr>
              <w:jc w:val="center"/>
              <w:rPr>
                <w:rFonts w:ascii="宋体" w:hAnsi="宋体"/>
                <w:b w:val="0"/>
                <w:szCs w:val="21"/>
              </w:rPr>
            </w:pPr>
          </w:p>
        </w:tc>
      </w:tr>
      <w:tr w14:paraId="21A6F6CE">
        <w:tblPrEx>
          <w:tblBorders>
            <w:top w:val="single" w:color="auto" w:sz="12" w:space="0"/>
            <w:left w:val="single" w:color="auto" w:sz="12" w:space="0"/>
            <w:bottom w:val="single" w:color="auto" w:sz="12" w:space="0"/>
            <w:right w:val="single" w:color="auto" w:sz="12" w:space="0"/>
            <w:insideH w:val="single" w:color="auto" w:sz="6" w:space="0"/>
            <w:insideV w:val="single" w:color="auto" w:sz="4" w:space="0"/>
          </w:tblBorders>
          <w:tblCellMar>
            <w:top w:w="0" w:type="dxa"/>
            <w:left w:w="108" w:type="dxa"/>
            <w:bottom w:w="0" w:type="dxa"/>
            <w:right w:w="108" w:type="dxa"/>
          </w:tblCellMar>
        </w:tblPrEx>
        <w:trPr>
          <w:cantSplit/>
          <w:trHeight w:val="442" w:hRule="atLeast"/>
          <w:jc w:val="center"/>
        </w:trPr>
        <w:tc>
          <w:tcPr>
            <w:tcW w:w="1084" w:type="dxa"/>
            <w:vMerge w:val="continue"/>
            <w:vAlign w:val="center"/>
          </w:tcPr>
          <w:p w14:paraId="6C570B14">
            <w:pPr>
              <w:adjustRightInd w:val="0"/>
              <w:snapToGrid w:val="0"/>
              <w:ind w:left="-8" w:leftChars="-4"/>
              <w:jc w:val="center"/>
              <w:rPr>
                <w:rFonts w:ascii="宋体" w:hAnsi="宋体"/>
                <w:b w:val="0"/>
                <w:szCs w:val="21"/>
              </w:rPr>
            </w:pPr>
          </w:p>
        </w:tc>
        <w:tc>
          <w:tcPr>
            <w:tcW w:w="418" w:type="dxa"/>
            <w:vMerge w:val="continue"/>
            <w:vAlign w:val="center"/>
          </w:tcPr>
          <w:p w14:paraId="11EE03DC">
            <w:pPr>
              <w:jc w:val="center"/>
              <w:rPr>
                <w:rFonts w:ascii="宋体" w:hAnsi="宋体"/>
                <w:b w:val="0"/>
                <w:szCs w:val="21"/>
              </w:rPr>
            </w:pPr>
          </w:p>
        </w:tc>
        <w:tc>
          <w:tcPr>
            <w:tcW w:w="2130" w:type="dxa"/>
            <w:vAlign w:val="center"/>
          </w:tcPr>
          <w:p w14:paraId="19DE10E2">
            <w:pPr>
              <w:adjustRightInd w:val="0"/>
              <w:snapToGrid w:val="0"/>
              <w:jc w:val="center"/>
              <w:rPr>
                <w:rFonts w:ascii="宋体" w:hAnsi="宋体"/>
                <w:b w:val="0"/>
                <w:szCs w:val="21"/>
              </w:rPr>
            </w:pPr>
            <w:r>
              <w:rPr>
                <w:rFonts w:hint="eastAsia" w:ascii="宋体" w:hAnsi="宋体"/>
                <w:b w:val="0"/>
                <w:szCs w:val="21"/>
              </w:rPr>
              <w:t>62#单基火药库(湿）</w:t>
            </w:r>
          </w:p>
        </w:tc>
        <w:tc>
          <w:tcPr>
            <w:tcW w:w="1409" w:type="dxa"/>
            <w:vAlign w:val="center"/>
          </w:tcPr>
          <w:p w14:paraId="7F651322">
            <w:pPr>
              <w:adjustRightInd w:val="0"/>
              <w:snapToGrid w:val="0"/>
              <w:jc w:val="center"/>
              <w:rPr>
                <w:rFonts w:ascii="宋体" w:hAnsi="宋体"/>
                <w:b w:val="0"/>
                <w:szCs w:val="21"/>
              </w:rPr>
            </w:pPr>
            <w:r>
              <w:rPr>
                <w:rFonts w:hint="eastAsia" w:ascii="宋体" w:hAnsi="宋体"/>
                <w:b w:val="0"/>
                <w:szCs w:val="21"/>
              </w:rPr>
              <w:t>0.5</w:t>
            </w:r>
          </w:p>
        </w:tc>
        <w:tc>
          <w:tcPr>
            <w:tcW w:w="1342" w:type="dxa"/>
            <w:vAlign w:val="center"/>
          </w:tcPr>
          <w:p w14:paraId="3E9B5687">
            <w:pPr>
              <w:adjustRightInd w:val="0"/>
              <w:snapToGrid w:val="0"/>
              <w:jc w:val="center"/>
              <w:rPr>
                <w:rFonts w:ascii="宋体" w:hAnsi="宋体"/>
                <w:b w:val="0"/>
                <w:szCs w:val="21"/>
              </w:rPr>
            </w:pPr>
            <w:r>
              <w:rPr>
                <w:rFonts w:hint="eastAsia" w:ascii="宋体" w:hAnsi="宋体"/>
                <w:b w:val="0"/>
                <w:szCs w:val="21"/>
              </w:rPr>
              <w:t>8</w:t>
            </w:r>
          </w:p>
        </w:tc>
        <w:tc>
          <w:tcPr>
            <w:tcW w:w="2655" w:type="dxa"/>
            <w:vMerge w:val="continue"/>
            <w:vAlign w:val="center"/>
          </w:tcPr>
          <w:p w14:paraId="09BCF072">
            <w:pPr>
              <w:jc w:val="center"/>
              <w:rPr>
                <w:rFonts w:ascii="宋体" w:hAnsi="宋体"/>
                <w:b w:val="0"/>
                <w:szCs w:val="21"/>
              </w:rPr>
            </w:pPr>
          </w:p>
        </w:tc>
      </w:tr>
      <w:tr w14:paraId="35E43F21">
        <w:tblPrEx>
          <w:tblBorders>
            <w:top w:val="single" w:color="auto" w:sz="12" w:space="0"/>
            <w:left w:val="single" w:color="auto" w:sz="12" w:space="0"/>
            <w:bottom w:val="single" w:color="auto" w:sz="12" w:space="0"/>
            <w:right w:val="single" w:color="auto" w:sz="12" w:space="0"/>
            <w:insideH w:val="single" w:color="auto" w:sz="6" w:space="0"/>
            <w:insideV w:val="single" w:color="auto" w:sz="4" w:space="0"/>
          </w:tblBorders>
          <w:tblCellMar>
            <w:top w:w="0" w:type="dxa"/>
            <w:left w:w="108" w:type="dxa"/>
            <w:bottom w:w="0" w:type="dxa"/>
            <w:right w:w="108" w:type="dxa"/>
          </w:tblCellMar>
        </w:tblPrEx>
        <w:trPr>
          <w:cantSplit/>
          <w:trHeight w:val="442" w:hRule="atLeast"/>
          <w:jc w:val="center"/>
        </w:trPr>
        <w:tc>
          <w:tcPr>
            <w:tcW w:w="1084" w:type="dxa"/>
            <w:vMerge w:val="continue"/>
            <w:vAlign w:val="center"/>
          </w:tcPr>
          <w:p w14:paraId="68CDD13B">
            <w:pPr>
              <w:adjustRightInd w:val="0"/>
              <w:snapToGrid w:val="0"/>
              <w:ind w:left="-8" w:leftChars="-4"/>
              <w:jc w:val="center"/>
              <w:rPr>
                <w:rFonts w:ascii="宋体" w:hAnsi="宋体"/>
                <w:b w:val="0"/>
                <w:szCs w:val="21"/>
              </w:rPr>
            </w:pPr>
          </w:p>
        </w:tc>
        <w:tc>
          <w:tcPr>
            <w:tcW w:w="418" w:type="dxa"/>
            <w:vMerge w:val="continue"/>
            <w:vAlign w:val="center"/>
          </w:tcPr>
          <w:p w14:paraId="3FD16826">
            <w:pPr>
              <w:jc w:val="center"/>
              <w:rPr>
                <w:rFonts w:ascii="宋体" w:hAnsi="宋体"/>
                <w:b w:val="0"/>
                <w:szCs w:val="21"/>
              </w:rPr>
            </w:pPr>
          </w:p>
        </w:tc>
        <w:tc>
          <w:tcPr>
            <w:tcW w:w="2130" w:type="dxa"/>
            <w:vAlign w:val="center"/>
          </w:tcPr>
          <w:p w14:paraId="17CAED2C">
            <w:pPr>
              <w:adjustRightInd w:val="0"/>
              <w:snapToGrid w:val="0"/>
              <w:jc w:val="center"/>
              <w:rPr>
                <w:rFonts w:ascii="宋体" w:hAnsi="宋体"/>
                <w:b w:val="0"/>
                <w:szCs w:val="21"/>
              </w:rPr>
            </w:pPr>
            <w:r>
              <w:rPr>
                <w:rFonts w:hint="eastAsia" w:ascii="宋体" w:hAnsi="宋体"/>
                <w:b w:val="0"/>
                <w:szCs w:val="21"/>
              </w:rPr>
              <w:t>63#引线库</w:t>
            </w:r>
          </w:p>
        </w:tc>
        <w:tc>
          <w:tcPr>
            <w:tcW w:w="1409" w:type="dxa"/>
            <w:vAlign w:val="center"/>
          </w:tcPr>
          <w:p w14:paraId="434BE019">
            <w:pPr>
              <w:adjustRightInd w:val="0"/>
              <w:snapToGrid w:val="0"/>
              <w:jc w:val="center"/>
              <w:rPr>
                <w:rFonts w:ascii="宋体" w:hAnsi="宋体"/>
                <w:b w:val="0"/>
                <w:szCs w:val="21"/>
              </w:rPr>
            </w:pPr>
            <w:r>
              <w:rPr>
                <w:rFonts w:hint="eastAsia" w:ascii="宋体" w:hAnsi="宋体"/>
                <w:b w:val="0"/>
                <w:szCs w:val="21"/>
              </w:rPr>
              <w:t>0.5</w:t>
            </w:r>
          </w:p>
        </w:tc>
        <w:tc>
          <w:tcPr>
            <w:tcW w:w="1342" w:type="dxa"/>
            <w:vAlign w:val="center"/>
          </w:tcPr>
          <w:p w14:paraId="26E18F7F">
            <w:pPr>
              <w:adjustRightInd w:val="0"/>
              <w:snapToGrid w:val="0"/>
              <w:jc w:val="center"/>
              <w:rPr>
                <w:rFonts w:ascii="宋体" w:hAnsi="宋体"/>
                <w:b w:val="0"/>
                <w:szCs w:val="21"/>
              </w:rPr>
            </w:pPr>
            <w:r>
              <w:rPr>
                <w:rFonts w:hint="eastAsia" w:ascii="宋体" w:hAnsi="宋体"/>
                <w:b w:val="0"/>
                <w:szCs w:val="21"/>
              </w:rPr>
              <w:t>5</w:t>
            </w:r>
          </w:p>
        </w:tc>
        <w:tc>
          <w:tcPr>
            <w:tcW w:w="2655" w:type="dxa"/>
            <w:vMerge w:val="continue"/>
            <w:vAlign w:val="center"/>
          </w:tcPr>
          <w:p w14:paraId="2CBC8500">
            <w:pPr>
              <w:jc w:val="center"/>
              <w:rPr>
                <w:rFonts w:ascii="宋体" w:hAnsi="宋体"/>
                <w:b w:val="0"/>
                <w:szCs w:val="21"/>
              </w:rPr>
            </w:pPr>
          </w:p>
        </w:tc>
      </w:tr>
      <w:tr w14:paraId="62A2C2C1">
        <w:tblPrEx>
          <w:tblBorders>
            <w:top w:val="single" w:color="auto" w:sz="12" w:space="0"/>
            <w:left w:val="single" w:color="auto" w:sz="12" w:space="0"/>
            <w:bottom w:val="single" w:color="auto" w:sz="12" w:space="0"/>
            <w:right w:val="single" w:color="auto" w:sz="12" w:space="0"/>
            <w:insideH w:val="single" w:color="auto" w:sz="6" w:space="0"/>
            <w:insideV w:val="single" w:color="auto" w:sz="4" w:space="0"/>
          </w:tblBorders>
          <w:tblCellMar>
            <w:top w:w="0" w:type="dxa"/>
            <w:left w:w="108" w:type="dxa"/>
            <w:bottom w:w="0" w:type="dxa"/>
            <w:right w:w="108" w:type="dxa"/>
          </w:tblCellMar>
        </w:tblPrEx>
        <w:trPr>
          <w:cantSplit/>
          <w:trHeight w:val="938" w:hRule="atLeast"/>
          <w:jc w:val="center"/>
        </w:trPr>
        <w:tc>
          <w:tcPr>
            <w:tcW w:w="9038" w:type="dxa"/>
            <w:gridSpan w:val="6"/>
            <w:vAlign w:val="center"/>
          </w:tcPr>
          <w:p w14:paraId="42C4ADB2">
            <w:pPr>
              <w:adjustRightInd w:val="0"/>
              <w:snapToGrid w:val="0"/>
              <w:rPr>
                <w:rFonts w:ascii="宋体" w:hAnsi="宋体" w:cs="宋体"/>
                <w:b w:val="0"/>
                <w:szCs w:val="21"/>
              </w:rPr>
            </w:pPr>
            <w:r>
              <w:rPr>
                <w:rFonts w:hint="eastAsia" w:ascii="宋体" w:hAnsi="宋体" w:cs="宋体"/>
                <w:b w:val="0"/>
                <w:szCs w:val="21"/>
              </w:rPr>
              <w:t>备注：（1）生产单元为了简化计算，</w:t>
            </w:r>
            <w:r>
              <w:rPr>
                <w:rFonts w:ascii="宋体" w:hAnsi="宋体" w:cs="宋体"/>
                <w:b w:val="0"/>
                <w:szCs w:val="21"/>
              </w:rPr>
              <w:t>1.1</w:t>
            </w:r>
            <w:r>
              <w:rPr>
                <w:rFonts w:hint="eastAsia" w:ascii="宋体" w:hAnsi="宋体" w:cs="宋体"/>
                <w:b w:val="0"/>
                <w:szCs w:val="21"/>
              </w:rPr>
              <w:t>级和</w:t>
            </w:r>
            <w:r>
              <w:rPr>
                <w:rFonts w:ascii="宋体" w:hAnsi="宋体" w:cs="宋体"/>
                <w:b w:val="0"/>
                <w:szCs w:val="21"/>
              </w:rPr>
              <w:t>1.3</w:t>
            </w:r>
            <w:r>
              <w:rPr>
                <w:rFonts w:hint="eastAsia" w:ascii="宋体" w:hAnsi="宋体" w:cs="宋体"/>
                <w:b w:val="0"/>
                <w:szCs w:val="21"/>
              </w:rPr>
              <w:t>级工房分别选取计算药量最大的工房为代表；</w:t>
            </w:r>
          </w:p>
          <w:p w14:paraId="106DF3CA">
            <w:pPr>
              <w:adjustRightInd w:val="0"/>
              <w:snapToGrid w:val="0"/>
              <w:ind w:firstLine="630" w:firstLineChars="300"/>
              <w:rPr>
                <w:rFonts w:ascii="宋体" w:hAnsi="宋体"/>
                <w:b w:val="0"/>
                <w:szCs w:val="21"/>
              </w:rPr>
            </w:pPr>
            <w:r>
              <w:rPr>
                <w:rFonts w:hint="eastAsia" w:ascii="宋体" w:hAnsi="宋体" w:cs="宋体"/>
                <w:b w:val="0"/>
                <w:szCs w:val="21"/>
              </w:rPr>
              <w:t>（2）81</w:t>
            </w:r>
            <w:r>
              <w:rPr>
                <w:rFonts w:ascii="宋体" w:hAnsi="宋体" w:cs="宋体"/>
                <w:b w:val="0"/>
                <w:szCs w:val="21"/>
              </w:rPr>
              <w:t>#</w:t>
            </w:r>
            <w:r>
              <w:rPr>
                <w:rFonts w:hint="eastAsia" w:ascii="宋体" w:hAnsi="宋体" w:cs="宋体"/>
                <w:b w:val="0"/>
                <w:szCs w:val="21"/>
              </w:rPr>
              <w:t>化工原材料库考虑到库存放物质较为复杂，各种物质临界量均不同，此处以储存的物质中临界量最小的铝镁合金粉为标准临界量取值计算；</w:t>
            </w:r>
          </w:p>
        </w:tc>
      </w:tr>
    </w:tbl>
    <w:p w14:paraId="028E13C9">
      <w:pPr>
        <w:spacing w:before="120" w:beforeLines="50" w:line="360" w:lineRule="auto"/>
        <w:ind w:firstLine="560" w:firstLineChars="200"/>
        <w:rPr>
          <w:rFonts w:ascii="宋体" w:hAnsi="宋体"/>
          <w:b w:val="0"/>
          <w:sz w:val="28"/>
          <w:szCs w:val="28"/>
        </w:rPr>
      </w:pPr>
      <w:r>
        <w:rPr>
          <w:rFonts w:hint="eastAsia" w:ascii="宋体" w:hAnsi="宋体"/>
          <w:b w:val="0"/>
          <w:sz w:val="28"/>
          <w:szCs w:val="28"/>
        </w:rPr>
        <w:t>根据以上计算，本项目</w:t>
      </w:r>
      <w:r>
        <w:rPr>
          <w:rFonts w:hint="eastAsia" w:ascii="宋体" w:hAnsi="宋体"/>
          <w:b w:val="0"/>
          <w:sz w:val="28"/>
          <w:szCs w:val="28"/>
          <w:lang w:val="en-GB"/>
        </w:rPr>
        <w:t>储存单元中</w:t>
      </w:r>
      <w:r>
        <w:rPr>
          <w:rFonts w:hint="eastAsia" w:ascii="宋体" w:hAnsi="宋体"/>
          <w:b w:val="0"/>
          <w:sz w:val="28"/>
          <w:szCs w:val="28"/>
        </w:rPr>
        <w:t>药物库区已构成烟花爆竹重大危险源，其他辨识单元均未构成烟花爆竹重大危险源。</w:t>
      </w:r>
    </w:p>
    <w:p w14:paraId="357E8A01">
      <w:pPr>
        <w:spacing w:before="120" w:beforeLines="50" w:line="360" w:lineRule="auto"/>
        <w:outlineLvl w:val="2"/>
        <w:rPr>
          <w:rFonts w:ascii="黑体" w:hAnsi="黑体" w:eastAsia="黑体"/>
          <w:b w:val="0"/>
          <w:sz w:val="30"/>
          <w:szCs w:val="30"/>
        </w:rPr>
      </w:pPr>
      <w:r>
        <w:rPr>
          <w:rFonts w:hint="eastAsia" w:ascii="黑体" w:hAnsi="黑体" w:eastAsia="黑体"/>
          <w:b w:val="0"/>
          <w:sz w:val="30"/>
          <w:szCs w:val="30"/>
        </w:rPr>
        <w:t>3.4.4 重大危险源分级</w:t>
      </w:r>
    </w:p>
    <w:p w14:paraId="137D97FC">
      <w:pPr>
        <w:spacing w:before="120" w:beforeLines="50" w:line="360" w:lineRule="auto"/>
        <w:ind w:firstLine="562" w:firstLineChars="200"/>
        <w:rPr>
          <w:rFonts w:ascii="宋体" w:hAnsi="宋体"/>
          <w:bCs/>
          <w:sz w:val="28"/>
          <w:szCs w:val="28"/>
          <w:lang w:val="en-GB"/>
        </w:rPr>
      </w:pPr>
      <w:r>
        <w:rPr>
          <w:rFonts w:hint="eastAsia" w:ascii="宋体" w:hAnsi="宋体"/>
          <w:bCs/>
          <w:sz w:val="28"/>
          <w:szCs w:val="28"/>
        </w:rPr>
        <w:t>1）</w:t>
      </w:r>
      <w:r>
        <w:rPr>
          <w:rFonts w:hint="eastAsia" w:ascii="宋体" w:hAnsi="宋体"/>
          <w:bCs/>
          <w:sz w:val="28"/>
          <w:szCs w:val="28"/>
          <w:lang w:val="en-GB"/>
        </w:rPr>
        <w:t>分级指标</w:t>
      </w:r>
    </w:p>
    <w:p w14:paraId="4C0F7BE4">
      <w:pPr>
        <w:spacing w:before="120" w:beforeLines="50" w:line="360" w:lineRule="auto"/>
        <w:ind w:firstLine="560" w:firstLineChars="200"/>
        <w:rPr>
          <w:rFonts w:ascii="宋体" w:hAnsi="宋体"/>
          <w:b w:val="0"/>
          <w:sz w:val="28"/>
          <w:szCs w:val="28"/>
          <w:lang w:val="en-GB"/>
        </w:rPr>
      </w:pPr>
      <w:r>
        <w:rPr>
          <w:rFonts w:hint="eastAsia" w:ascii="宋体" w:hAnsi="宋体"/>
          <w:b w:val="0"/>
          <w:sz w:val="28"/>
          <w:szCs w:val="28"/>
          <w:lang w:val="en-GB"/>
        </w:rPr>
        <w:t>采用单元内各种危险</w:t>
      </w:r>
      <w:r>
        <w:rPr>
          <w:rFonts w:hint="eastAsia" w:ascii="宋体" w:hAnsi="宋体"/>
          <w:b w:val="0"/>
          <w:sz w:val="28"/>
          <w:szCs w:val="28"/>
        </w:rPr>
        <w:t>物</w:t>
      </w:r>
      <w:r>
        <w:rPr>
          <w:rFonts w:hint="eastAsia" w:ascii="宋体" w:hAnsi="宋体"/>
          <w:b w:val="0"/>
          <w:sz w:val="28"/>
          <w:szCs w:val="28"/>
          <w:lang w:val="en-GB"/>
        </w:rPr>
        <w:t>品实际存在量与其规定的临界量比值，经校正系数校正后的比值之和R作为分级指标。</w:t>
      </w:r>
    </w:p>
    <w:p w14:paraId="7106BA1C">
      <w:pPr>
        <w:spacing w:before="120" w:beforeLines="50" w:line="360" w:lineRule="auto"/>
        <w:ind w:firstLine="562" w:firstLineChars="200"/>
        <w:rPr>
          <w:rFonts w:ascii="宋体" w:hAnsi="宋体"/>
          <w:bCs/>
          <w:sz w:val="28"/>
          <w:szCs w:val="28"/>
          <w:lang w:val="en-GB"/>
        </w:rPr>
      </w:pPr>
      <w:r>
        <w:rPr>
          <w:rFonts w:hint="eastAsia" w:ascii="宋体" w:hAnsi="宋体"/>
          <w:bCs/>
          <w:sz w:val="28"/>
          <w:szCs w:val="28"/>
        </w:rPr>
        <w:t>2）</w:t>
      </w:r>
      <w:r>
        <w:rPr>
          <w:rFonts w:hint="eastAsia" w:ascii="宋体" w:hAnsi="宋体"/>
          <w:bCs/>
          <w:sz w:val="28"/>
          <w:szCs w:val="28"/>
          <w:lang w:val="en-GB"/>
        </w:rPr>
        <w:t xml:space="preserve"> R的计算方法</w:t>
      </w:r>
    </w:p>
    <w:p w14:paraId="19B03F29">
      <w:pPr>
        <w:spacing w:before="120" w:beforeLines="50" w:line="360" w:lineRule="auto"/>
        <w:ind w:firstLine="480" w:firstLineChars="200"/>
        <w:jc w:val="center"/>
        <w:rPr>
          <w:rFonts w:ascii="宋体" w:hAnsi="宋体"/>
          <w:b w:val="0"/>
          <w:bCs/>
          <w:color w:val="000000"/>
          <w:kern w:val="0"/>
          <w:sz w:val="24"/>
          <w:szCs w:val="22"/>
          <w:lang w:val="en-GB"/>
        </w:rPr>
      </w:pPr>
      <w:r>
        <w:rPr>
          <w:rFonts w:hint="eastAsia" w:ascii="宋体" w:hAnsi="宋体"/>
          <w:b w:val="0"/>
          <w:bCs/>
          <w:color w:val="FFFFFF" w:themeColor="background1"/>
          <w:kern w:val="0"/>
          <w:sz w:val="24"/>
          <w:szCs w:val="22"/>
          <w:lang w:val="en-GB"/>
          <w14:textFill>
            <w14:solidFill>
              <w14:schemeClr w14:val="bg1"/>
            </w14:solidFill>
          </w14:textFill>
        </w:rPr>
        <w:object>
          <v:shape id="_x0000_i1026" o:spt="75" type="#_x0000_t75" style="height:46.2pt;width:216.75pt;" o:ole="t" fillcolor="#BBE0E3" filled="t" o:preferrelative="t" stroked="f" coordsize="21600,21600">
            <v:path/>
            <v:fill on="t" focussize="0,0"/>
            <v:stroke on="f" joinstyle="miter"/>
            <v:imagedata r:id="rId22" o:title=""/>
            <o:lock v:ext="edit" aspectratio="t"/>
            <w10:wrap type="none"/>
            <w10:anchorlock/>
          </v:shape>
          <o:OLEObject Type="Embed" ProgID="Equation.3" ShapeID="_x0000_i1026" DrawAspect="Content" ObjectID="_1468075726" r:id="rId21">
            <o:LockedField>false</o:LockedField>
          </o:OLEObject>
        </w:object>
      </w:r>
    </w:p>
    <w:p w14:paraId="2BAD3CD6">
      <w:pPr>
        <w:spacing w:before="120" w:beforeLines="50" w:line="360" w:lineRule="auto"/>
        <w:ind w:firstLine="560" w:firstLineChars="200"/>
        <w:rPr>
          <w:rFonts w:ascii="宋体" w:hAnsi="宋体"/>
          <w:b w:val="0"/>
          <w:sz w:val="28"/>
          <w:szCs w:val="28"/>
          <w:lang w:val="en-GB"/>
        </w:rPr>
      </w:pPr>
      <w:r>
        <w:rPr>
          <w:rFonts w:hint="eastAsia" w:ascii="宋体" w:hAnsi="宋体"/>
          <w:b w:val="0"/>
          <w:sz w:val="28"/>
          <w:szCs w:val="28"/>
          <w:lang w:val="en-GB"/>
        </w:rPr>
        <w:t>式中：</w:t>
      </w:r>
    </w:p>
    <w:p w14:paraId="76AFFC06">
      <w:pPr>
        <w:spacing w:before="120" w:beforeLines="50" w:line="360" w:lineRule="auto"/>
        <w:ind w:firstLine="560" w:firstLineChars="200"/>
        <w:rPr>
          <w:rFonts w:ascii="宋体" w:hAnsi="宋体"/>
          <w:b w:val="0"/>
          <w:sz w:val="28"/>
          <w:szCs w:val="28"/>
          <w:lang w:val="en-GB"/>
        </w:rPr>
      </w:pPr>
      <w:r>
        <w:rPr>
          <w:rFonts w:hint="eastAsia" w:ascii="宋体" w:hAnsi="宋体"/>
          <w:b w:val="0"/>
          <w:sz w:val="28"/>
          <w:szCs w:val="28"/>
          <w:lang w:val="en-GB"/>
        </w:rPr>
        <w:t>q1,q2,…,qn —每种危险物品实际存在（在线）量（单位：吨）；</w:t>
      </w:r>
    </w:p>
    <w:p w14:paraId="42050C3F">
      <w:pPr>
        <w:spacing w:before="120" w:beforeLines="50" w:line="360" w:lineRule="auto"/>
        <w:ind w:firstLine="560" w:firstLineChars="200"/>
        <w:rPr>
          <w:rFonts w:ascii="宋体" w:hAnsi="宋体"/>
          <w:b w:val="0"/>
          <w:sz w:val="28"/>
          <w:szCs w:val="28"/>
          <w:lang w:val="en-GB"/>
        </w:rPr>
      </w:pPr>
      <w:r>
        <w:rPr>
          <w:rFonts w:hint="eastAsia" w:ascii="宋体" w:hAnsi="宋体"/>
          <w:b w:val="0"/>
          <w:sz w:val="28"/>
          <w:szCs w:val="28"/>
          <w:lang w:val="en-GB"/>
        </w:rPr>
        <w:t>Q1,Q2,…,Qn —与各危险物品相对应的临界量（单位：吨）；</w:t>
      </w:r>
    </w:p>
    <w:p w14:paraId="6D535B5D">
      <w:pPr>
        <w:spacing w:before="120" w:beforeLines="50" w:line="360" w:lineRule="auto"/>
        <w:ind w:firstLine="560" w:firstLineChars="200"/>
        <w:rPr>
          <w:rFonts w:ascii="宋体" w:hAnsi="宋体"/>
          <w:b w:val="0"/>
          <w:sz w:val="28"/>
          <w:szCs w:val="28"/>
          <w:lang w:val="en-GB"/>
        </w:rPr>
      </w:pPr>
      <w:r>
        <w:rPr>
          <w:rFonts w:hint="eastAsia" w:ascii="宋体" w:hAnsi="宋体"/>
          <w:b w:val="0"/>
          <w:sz w:val="28"/>
          <w:szCs w:val="28"/>
          <w:lang w:val="en-GB"/>
        </w:rPr>
        <w:t>β1，β2…,βn— 与各危险物品相对应的校正系数；</w:t>
      </w:r>
    </w:p>
    <w:p w14:paraId="410BA3A2">
      <w:pPr>
        <w:spacing w:before="120" w:beforeLines="50" w:line="360" w:lineRule="auto"/>
        <w:ind w:firstLine="560" w:firstLineChars="200"/>
        <w:rPr>
          <w:rFonts w:ascii="宋体" w:hAnsi="宋体"/>
          <w:b w:val="0"/>
          <w:sz w:val="28"/>
          <w:szCs w:val="28"/>
          <w:lang w:val="en-GB"/>
        </w:rPr>
      </w:pPr>
      <w:r>
        <w:rPr>
          <w:rFonts w:hint="eastAsia" w:ascii="宋体" w:hAnsi="宋体"/>
          <w:b w:val="0"/>
          <w:sz w:val="28"/>
          <w:szCs w:val="28"/>
          <w:lang w:val="en-GB"/>
        </w:rPr>
        <w:t>α— 该危险物品重大危险源厂区外暴露人员的校正系数。</w:t>
      </w:r>
    </w:p>
    <w:p w14:paraId="3C4593D6">
      <w:pPr>
        <w:spacing w:before="120" w:beforeLines="50" w:line="360" w:lineRule="auto"/>
        <w:ind w:firstLine="562" w:firstLineChars="200"/>
        <w:rPr>
          <w:rFonts w:ascii="宋体" w:hAnsi="宋体"/>
          <w:bCs/>
          <w:sz w:val="28"/>
          <w:szCs w:val="28"/>
          <w:lang w:val="en-GB"/>
        </w:rPr>
      </w:pPr>
      <w:r>
        <w:rPr>
          <w:rFonts w:hint="eastAsia" w:ascii="宋体" w:hAnsi="宋体"/>
          <w:bCs/>
          <w:sz w:val="28"/>
          <w:szCs w:val="28"/>
        </w:rPr>
        <w:t>3）</w:t>
      </w:r>
      <w:r>
        <w:rPr>
          <w:rFonts w:hint="eastAsia" w:ascii="宋体" w:hAnsi="宋体"/>
          <w:bCs/>
          <w:sz w:val="28"/>
          <w:szCs w:val="28"/>
          <w:lang w:val="en-GB"/>
        </w:rPr>
        <w:t xml:space="preserve"> 校正系数β的取值</w:t>
      </w:r>
    </w:p>
    <w:p w14:paraId="4C4A2EFA">
      <w:pPr>
        <w:spacing w:before="120" w:beforeLines="50" w:line="360" w:lineRule="auto"/>
        <w:ind w:firstLine="560" w:firstLineChars="200"/>
        <w:rPr>
          <w:rFonts w:ascii="宋体" w:hAnsi="宋体"/>
          <w:b w:val="0"/>
          <w:sz w:val="28"/>
          <w:szCs w:val="28"/>
          <w:lang w:val="en-GB"/>
        </w:rPr>
      </w:pPr>
      <w:r>
        <w:rPr>
          <w:rFonts w:hint="eastAsia" w:ascii="宋体" w:hAnsi="宋体"/>
          <w:b w:val="0"/>
          <w:sz w:val="28"/>
          <w:szCs w:val="28"/>
          <w:lang w:val="en-GB"/>
        </w:rPr>
        <w:t>根据单元内危险物品的类别不同，设定校正系数β值见表：</w:t>
      </w:r>
    </w:p>
    <w:p w14:paraId="2436A189">
      <w:pPr>
        <w:spacing w:line="360" w:lineRule="auto"/>
        <w:ind w:firstLine="480" w:firstLineChars="200"/>
        <w:jc w:val="center"/>
        <w:rPr>
          <w:rFonts w:ascii="黑体" w:hAnsi="黑体" w:eastAsia="黑体"/>
          <w:b w:val="0"/>
          <w:bCs/>
          <w:color w:val="000000"/>
          <w:sz w:val="24"/>
        </w:rPr>
      </w:pPr>
      <w:r>
        <w:rPr>
          <w:rFonts w:hint="eastAsia" w:ascii="黑体" w:hAnsi="黑体" w:eastAsia="黑体"/>
          <w:b w:val="0"/>
          <w:bCs/>
          <w:color w:val="000000"/>
          <w:sz w:val="24"/>
        </w:rPr>
        <w:t>表3.4-2  校正系数β取值表</w:t>
      </w:r>
    </w:p>
    <w:tbl>
      <w:tblPr>
        <w:tblStyle w:val="88"/>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632"/>
        <w:gridCol w:w="3103"/>
        <w:gridCol w:w="3103"/>
      </w:tblGrid>
      <w:tr w14:paraId="07FFE2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2632" w:type="dxa"/>
            <w:tcBorders>
              <w:left w:val="single" w:color="auto" w:sz="12" w:space="0"/>
            </w:tcBorders>
            <w:vAlign w:val="center"/>
          </w:tcPr>
          <w:p w14:paraId="495C81B4">
            <w:pPr>
              <w:jc w:val="center"/>
              <w:rPr>
                <w:rFonts w:ascii="宋体" w:hAnsi="宋体"/>
                <w:b w:val="0"/>
                <w:color w:val="000000"/>
                <w:szCs w:val="21"/>
              </w:rPr>
            </w:pPr>
            <w:r>
              <w:rPr>
                <w:rFonts w:hint="eastAsia" w:ascii="宋体" w:hAnsi="宋体"/>
                <w:b w:val="0"/>
                <w:color w:val="000000"/>
                <w:szCs w:val="21"/>
              </w:rPr>
              <w:t>危险物品</w:t>
            </w:r>
          </w:p>
          <w:p w14:paraId="4ECAB56D">
            <w:pPr>
              <w:jc w:val="center"/>
              <w:rPr>
                <w:rFonts w:ascii="宋体" w:hAnsi="宋体"/>
                <w:b w:val="0"/>
                <w:color w:val="000000"/>
                <w:szCs w:val="21"/>
              </w:rPr>
            </w:pPr>
            <w:r>
              <w:rPr>
                <w:rFonts w:hint="eastAsia" w:ascii="宋体" w:hAnsi="宋体"/>
                <w:b w:val="0"/>
                <w:color w:val="000000"/>
                <w:szCs w:val="21"/>
              </w:rPr>
              <w:t>类别</w:t>
            </w:r>
          </w:p>
        </w:tc>
        <w:tc>
          <w:tcPr>
            <w:tcW w:w="3103" w:type="dxa"/>
            <w:vAlign w:val="center"/>
          </w:tcPr>
          <w:p w14:paraId="0034A9BA">
            <w:pPr>
              <w:jc w:val="center"/>
              <w:rPr>
                <w:rFonts w:ascii="宋体" w:hAnsi="宋体"/>
                <w:b w:val="0"/>
                <w:color w:val="000000"/>
                <w:szCs w:val="21"/>
              </w:rPr>
            </w:pPr>
            <w:r>
              <w:rPr>
                <w:rFonts w:hint="eastAsia" w:ascii="宋体" w:hAnsi="宋体"/>
                <w:b w:val="0"/>
                <w:color w:val="000000"/>
                <w:szCs w:val="21"/>
              </w:rPr>
              <w:t>爆炸品</w:t>
            </w:r>
          </w:p>
        </w:tc>
        <w:tc>
          <w:tcPr>
            <w:tcW w:w="3103" w:type="dxa"/>
            <w:tcBorders>
              <w:right w:val="single" w:color="auto" w:sz="12" w:space="0"/>
            </w:tcBorders>
            <w:vAlign w:val="center"/>
          </w:tcPr>
          <w:p w14:paraId="7219F69D">
            <w:pPr>
              <w:jc w:val="center"/>
              <w:rPr>
                <w:rFonts w:ascii="宋体" w:hAnsi="宋体"/>
                <w:b w:val="0"/>
                <w:color w:val="000000"/>
                <w:szCs w:val="21"/>
              </w:rPr>
            </w:pPr>
            <w:r>
              <w:rPr>
                <w:rFonts w:hint="eastAsia" w:ascii="宋体" w:hAnsi="宋体"/>
                <w:b w:val="0"/>
                <w:color w:val="000000"/>
                <w:szCs w:val="21"/>
              </w:rPr>
              <w:t>其他类</w:t>
            </w:r>
          </w:p>
          <w:p w14:paraId="538508B5">
            <w:pPr>
              <w:jc w:val="center"/>
              <w:rPr>
                <w:rFonts w:ascii="宋体" w:hAnsi="宋体"/>
                <w:b w:val="0"/>
                <w:color w:val="000000"/>
                <w:szCs w:val="21"/>
              </w:rPr>
            </w:pPr>
            <w:r>
              <w:rPr>
                <w:rFonts w:hint="eastAsia" w:ascii="宋体" w:hAnsi="宋体"/>
                <w:b w:val="0"/>
                <w:color w:val="000000"/>
                <w:szCs w:val="21"/>
              </w:rPr>
              <w:t>危险化学品</w:t>
            </w:r>
          </w:p>
        </w:tc>
      </w:tr>
      <w:tr w14:paraId="0E02A8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2632" w:type="dxa"/>
            <w:tcBorders>
              <w:left w:val="single" w:color="auto" w:sz="12" w:space="0"/>
            </w:tcBorders>
            <w:vAlign w:val="center"/>
          </w:tcPr>
          <w:p w14:paraId="6F4340C2">
            <w:pPr>
              <w:jc w:val="center"/>
              <w:rPr>
                <w:rFonts w:ascii="宋体" w:hAnsi="宋体"/>
                <w:b w:val="0"/>
                <w:color w:val="000000"/>
                <w:szCs w:val="21"/>
              </w:rPr>
            </w:pPr>
            <w:r>
              <w:rPr>
                <w:rFonts w:hint="eastAsia" w:ascii="宋体" w:hAnsi="宋体"/>
                <w:b w:val="0"/>
                <w:color w:val="000000"/>
                <w:szCs w:val="21"/>
              </w:rPr>
              <w:t>β</w:t>
            </w:r>
          </w:p>
        </w:tc>
        <w:tc>
          <w:tcPr>
            <w:tcW w:w="3103" w:type="dxa"/>
            <w:vAlign w:val="center"/>
          </w:tcPr>
          <w:p w14:paraId="34447B5B">
            <w:pPr>
              <w:jc w:val="center"/>
              <w:rPr>
                <w:rFonts w:ascii="宋体" w:hAnsi="宋体"/>
                <w:b w:val="0"/>
                <w:color w:val="000000"/>
                <w:szCs w:val="21"/>
              </w:rPr>
            </w:pPr>
            <w:r>
              <w:rPr>
                <w:rFonts w:hint="eastAsia" w:ascii="宋体" w:hAnsi="宋体"/>
                <w:b w:val="0"/>
                <w:color w:val="000000"/>
                <w:szCs w:val="21"/>
              </w:rPr>
              <w:t>2</w:t>
            </w:r>
          </w:p>
        </w:tc>
        <w:tc>
          <w:tcPr>
            <w:tcW w:w="3103" w:type="dxa"/>
            <w:tcBorders>
              <w:right w:val="single" w:color="auto" w:sz="12" w:space="0"/>
            </w:tcBorders>
            <w:vAlign w:val="center"/>
          </w:tcPr>
          <w:p w14:paraId="0E0703B2">
            <w:pPr>
              <w:jc w:val="center"/>
              <w:rPr>
                <w:rFonts w:ascii="宋体" w:hAnsi="宋体"/>
                <w:b w:val="0"/>
                <w:color w:val="000000"/>
                <w:szCs w:val="21"/>
              </w:rPr>
            </w:pPr>
            <w:r>
              <w:rPr>
                <w:rFonts w:hint="eastAsia" w:ascii="宋体" w:hAnsi="宋体"/>
                <w:b w:val="0"/>
                <w:color w:val="000000"/>
                <w:szCs w:val="21"/>
              </w:rPr>
              <w:t>1</w:t>
            </w:r>
          </w:p>
        </w:tc>
      </w:tr>
    </w:tbl>
    <w:p w14:paraId="5243C4AE">
      <w:pPr>
        <w:spacing w:before="120" w:beforeLines="50" w:line="360" w:lineRule="auto"/>
        <w:ind w:firstLine="560" w:firstLineChars="200"/>
        <w:rPr>
          <w:rFonts w:ascii="宋体" w:hAnsi="宋体"/>
          <w:b w:val="0"/>
          <w:sz w:val="28"/>
          <w:szCs w:val="28"/>
          <w:lang w:val="en-GB"/>
        </w:rPr>
      </w:pPr>
      <w:r>
        <w:rPr>
          <w:rFonts w:hint="eastAsia" w:ascii="宋体" w:hAnsi="宋体"/>
          <w:b w:val="0"/>
          <w:sz w:val="28"/>
          <w:szCs w:val="28"/>
          <w:lang w:val="en-GB"/>
        </w:rPr>
        <w:t>注：危险物品类别依据《危险货物品名表》中分类标准确定。</w:t>
      </w:r>
    </w:p>
    <w:p w14:paraId="4D057F37">
      <w:pPr>
        <w:spacing w:before="120" w:beforeLines="50" w:line="360" w:lineRule="auto"/>
        <w:ind w:firstLine="562" w:firstLineChars="200"/>
        <w:rPr>
          <w:rFonts w:ascii="宋体" w:hAnsi="宋体"/>
          <w:bCs/>
          <w:sz w:val="28"/>
          <w:szCs w:val="28"/>
          <w:lang w:val="en-GB"/>
        </w:rPr>
      </w:pPr>
      <w:r>
        <w:rPr>
          <w:rFonts w:hint="eastAsia" w:ascii="宋体" w:hAnsi="宋体"/>
          <w:bCs/>
          <w:sz w:val="28"/>
          <w:szCs w:val="28"/>
        </w:rPr>
        <w:t>4）</w:t>
      </w:r>
      <w:r>
        <w:rPr>
          <w:rFonts w:hint="eastAsia" w:ascii="宋体" w:hAnsi="宋体"/>
          <w:bCs/>
          <w:sz w:val="28"/>
          <w:szCs w:val="28"/>
          <w:lang w:val="en-GB"/>
        </w:rPr>
        <w:t xml:space="preserve"> 校正系数α的取值</w:t>
      </w:r>
    </w:p>
    <w:p w14:paraId="41309C45">
      <w:pPr>
        <w:spacing w:before="120" w:beforeLines="50" w:line="360" w:lineRule="auto"/>
        <w:ind w:firstLine="560" w:firstLineChars="200"/>
        <w:rPr>
          <w:rFonts w:ascii="宋体" w:hAnsi="宋体"/>
          <w:b w:val="0"/>
          <w:bCs/>
          <w:color w:val="000000"/>
          <w:kern w:val="0"/>
          <w:sz w:val="24"/>
          <w:szCs w:val="22"/>
          <w:lang w:val="en-GB"/>
        </w:rPr>
      </w:pPr>
      <w:r>
        <w:rPr>
          <w:rFonts w:hint="eastAsia" w:ascii="宋体" w:hAnsi="宋体"/>
          <w:b w:val="0"/>
          <w:sz w:val="28"/>
          <w:szCs w:val="28"/>
          <w:lang w:val="en-GB"/>
        </w:rPr>
        <w:t>根据重大危险源的厂区边界向外扩展500米范围内常住人口数量，设定厂外暴露人员校正系数α值见表：</w:t>
      </w:r>
    </w:p>
    <w:p w14:paraId="0E0CBD4B">
      <w:pPr>
        <w:spacing w:line="360" w:lineRule="auto"/>
        <w:ind w:firstLine="480" w:firstLineChars="200"/>
        <w:jc w:val="center"/>
        <w:rPr>
          <w:rFonts w:ascii="黑体" w:hAnsi="黑体" w:eastAsia="黑体"/>
          <w:b w:val="0"/>
          <w:bCs/>
          <w:color w:val="000000"/>
          <w:sz w:val="24"/>
        </w:rPr>
      </w:pPr>
      <w:r>
        <w:rPr>
          <w:rFonts w:hint="eastAsia" w:ascii="黑体" w:hAnsi="黑体" w:eastAsia="黑体"/>
          <w:b w:val="0"/>
          <w:bCs/>
          <w:color w:val="000000"/>
          <w:sz w:val="24"/>
        </w:rPr>
        <w:t>表3.4-3   校正系数α取值表</w:t>
      </w:r>
    </w:p>
    <w:tbl>
      <w:tblPr>
        <w:tblStyle w:val="88"/>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99"/>
        <w:gridCol w:w="4400"/>
      </w:tblGrid>
      <w:tr w14:paraId="7AB73A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9" w:hRule="exact"/>
          <w:jc w:val="center"/>
        </w:trPr>
        <w:tc>
          <w:tcPr>
            <w:tcW w:w="4399" w:type="dxa"/>
            <w:tcBorders>
              <w:left w:val="single" w:color="auto" w:sz="12" w:space="0"/>
            </w:tcBorders>
            <w:vAlign w:val="center"/>
          </w:tcPr>
          <w:p w14:paraId="00295EAD">
            <w:pPr>
              <w:jc w:val="center"/>
              <w:rPr>
                <w:rFonts w:ascii="宋体" w:hAnsi="宋体"/>
                <w:b w:val="0"/>
                <w:color w:val="000000"/>
                <w:szCs w:val="21"/>
              </w:rPr>
            </w:pPr>
            <w:r>
              <w:rPr>
                <w:rFonts w:hint="eastAsia" w:ascii="宋体" w:hAnsi="宋体"/>
                <w:b w:val="0"/>
                <w:color w:val="000000"/>
                <w:szCs w:val="21"/>
              </w:rPr>
              <w:t>厂外可能暴露人员数量</w:t>
            </w:r>
          </w:p>
        </w:tc>
        <w:tc>
          <w:tcPr>
            <w:tcW w:w="4400" w:type="dxa"/>
            <w:tcBorders>
              <w:right w:val="single" w:color="auto" w:sz="12" w:space="0"/>
            </w:tcBorders>
            <w:vAlign w:val="center"/>
          </w:tcPr>
          <w:p w14:paraId="0A92C42B">
            <w:pPr>
              <w:jc w:val="center"/>
              <w:rPr>
                <w:rFonts w:ascii="宋体" w:hAnsi="宋体"/>
                <w:b w:val="0"/>
                <w:color w:val="000000"/>
                <w:szCs w:val="21"/>
              </w:rPr>
            </w:pPr>
            <w:r>
              <w:rPr>
                <w:rFonts w:hint="eastAsia" w:ascii="宋体" w:hAnsi="宋体"/>
                <w:b w:val="0"/>
                <w:color w:val="000000"/>
                <w:szCs w:val="21"/>
              </w:rPr>
              <w:t>α</w:t>
            </w:r>
          </w:p>
        </w:tc>
      </w:tr>
      <w:tr w14:paraId="75DF9F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9" w:hRule="exact"/>
          <w:jc w:val="center"/>
        </w:trPr>
        <w:tc>
          <w:tcPr>
            <w:tcW w:w="4399" w:type="dxa"/>
            <w:tcBorders>
              <w:left w:val="single" w:color="auto" w:sz="12" w:space="0"/>
            </w:tcBorders>
            <w:vAlign w:val="center"/>
          </w:tcPr>
          <w:p w14:paraId="7D0B7BE1">
            <w:pPr>
              <w:jc w:val="center"/>
              <w:rPr>
                <w:rFonts w:ascii="宋体" w:hAnsi="宋体"/>
                <w:b w:val="0"/>
                <w:color w:val="000000"/>
                <w:szCs w:val="21"/>
              </w:rPr>
            </w:pPr>
            <w:r>
              <w:rPr>
                <w:rFonts w:hint="eastAsia" w:ascii="宋体" w:hAnsi="宋体"/>
                <w:b w:val="0"/>
                <w:color w:val="000000"/>
                <w:szCs w:val="21"/>
              </w:rPr>
              <w:t>100人以上</w:t>
            </w:r>
          </w:p>
        </w:tc>
        <w:tc>
          <w:tcPr>
            <w:tcW w:w="4400" w:type="dxa"/>
            <w:tcBorders>
              <w:right w:val="single" w:color="auto" w:sz="12" w:space="0"/>
            </w:tcBorders>
            <w:vAlign w:val="center"/>
          </w:tcPr>
          <w:p w14:paraId="66006EB6">
            <w:pPr>
              <w:jc w:val="center"/>
              <w:rPr>
                <w:rFonts w:ascii="宋体" w:hAnsi="宋体"/>
                <w:b w:val="0"/>
                <w:color w:val="000000"/>
                <w:szCs w:val="21"/>
              </w:rPr>
            </w:pPr>
            <w:r>
              <w:rPr>
                <w:rFonts w:hint="eastAsia" w:ascii="宋体" w:hAnsi="宋体"/>
                <w:b w:val="0"/>
                <w:color w:val="000000"/>
                <w:szCs w:val="21"/>
              </w:rPr>
              <w:t>2.0</w:t>
            </w:r>
          </w:p>
        </w:tc>
      </w:tr>
      <w:tr w14:paraId="419B77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9" w:hRule="exact"/>
          <w:jc w:val="center"/>
        </w:trPr>
        <w:tc>
          <w:tcPr>
            <w:tcW w:w="4399" w:type="dxa"/>
            <w:tcBorders>
              <w:left w:val="single" w:color="auto" w:sz="12" w:space="0"/>
            </w:tcBorders>
            <w:vAlign w:val="center"/>
          </w:tcPr>
          <w:p w14:paraId="783C342F">
            <w:pPr>
              <w:jc w:val="center"/>
              <w:rPr>
                <w:rFonts w:ascii="宋体" w:hAnsi="宋体"/>
                <w:b w:val="0"/>
                <w:color w:val="000000"/>
                <w:szCs w:val="21"/>
              </w:rPr>
            </w:pPr>
            <w:r>
              <w:rPr>
                <w:rFonts w:hint="eastAsia" w:ascii="宋体" w:hAnsi="宋体"/>
                <w:b w:val="0"/>
                <w:color w:val="000000"/>
                <w:szCs w:val="21"/>
              </w:rPr>
              <w:t>50人～99人</w:t>
            </w:r>
          </w:p>
        </w:tc>
        <w:tc>
          <w:tcPr>
            <w:tcW w:w="4400" w:type="dxa"/>
            <w:tcBorders>
              <w:right w:val="single" w:color="auto" w:sz="12" w:space="0"/>
            </w:tcBorders>
            <w:vAlign w:val="center"/>
          </w:tcPr>
          <w:p w14:paraId="27EC2B47">
            <w:pPr>
              <w:jc w:val="center"/>
              <w:rPr>
                <w:rFonts w:ascii="宋体" w:hAnsi="宋体"/>
                <w:b w:val="0"/>
                <w:color w:val="000000"/>
                <w:szCs w:val="21"/>
              </w:rPr>
            </w:pPr>
            <w:r>
              <w:rPr>
                <w:rFonts w:hint="eastAsia" w:ascii="宋体" w:hAnsi="宋体"/>
                <w:b w:val="0"/>
                <w:color w:val="000000"/>
                <w:szCs w:val="21"/>
              </w:rPr>
              <w:t>1.5</w:t>
            </w:r>
          </w:p>
        </w:tc>
      </w:tr>
      <w:tr w14:paraId="5620AA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9" w:hRule="exact"/>
          <w:jc w:val="center"/>
        </w:trPr>
        <w:tc>
          <w:tcPr>
            <w:tcW w:w="4399" w:type="dxa"/>
            <w:tcBorders>
              <w:top w:val="single" w:color="auto" w:sz="4" w:space="0"/>
              <w:left w:val="single" w:color="auto" w:sz="12" w:space="0"/>
            </w:tcBorders>
            <w:vAlign w:val="center"/>
          </w:tcPr>
          <w:p w14:paraId="098F8672">
            <w:pPr>
              <w:jc w:val="center"/>
              <w:rPr>
                <w:rFonts w:ascii="宋体" w:hAnsi="宋体"/>
                <w:b w:val="0"/>
                <w:color w:val="000000"/>
                <w:szCs w:val="21"/>
              </w:rPr>
            </w:pPr>
            <w:r>
              <w:rPr>
                <w:rFonts w:hint="eastAsia" w:ascii="宋体" w:hAnsi="宋体"/>
                <w:b w:val="0"/>
                <w:color w:val="000000"/>
                <w:szCs w:val="21"/>
              </w:rPr>
              <w:t>30人～49人</w:t>
            </w:r>
          </w:p>
        </w:tc>
        <w:tc>
          <w:tcPr>
            <w:tcW w:w="4400" w:type="dxa"/>
            <w:tcBorders>
              <w:top w:val="single" w:color="auto" w:sz="4" w:space="0"/>
              <w:right w:val="single" w:color="auto" w:sz="12" w:space="0"/>
            </w:tcBorders>
            <w:vAlign w:val="center"/>
          </w:tcPr>
          <w:p w14:paraId="1D9719E3">
            <w:pPr>
              <w:jc w:val="center"/>
              <w:rPr>
                <w:rFonts w:ascii="宋体" w:hAnsi="宋体"/>
                <w:b w:val="0"/>
                <w:color w:val="000000"/>
                <w:szCs w:val="21"/>
              </w:rPr>
            </w:pPr>
            <w:r>
              <w:rPr>
                <w:rFonts w:hint="eastAsia" w:ascii="宋体" w:hAnsi="宋体"/>
                <w:b w:val="0"/>
                <w:color w:val="000000"/>
                <w:szCs w:val="21"/>
              </w:rPr>
              <w:t>1.2</w:t>
            </w:r>
          </w:p>
        </w:tc>
      </w:tr>
      <w:tr w14:paraId="5ABC34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9" w:hRule="exact"/>
          <w:jc w:val="center"/>
        </w:trPr>
        <w:tc>
          <w:tcPr>
            <w:tcW w:w="4399" w:type="dxa"/>
            <w:tcBorders>
              <w:left w:val="single" w:color="auto" w:sz="12" w:space="0"/>
            </w:tcBorders>
            <w:vAlign w:val="center"/>
          </w:tcPr>
          <w:p w14:paraId="647191A6">
            <w:pPr>
              <w:jc w:val="center"/>
              <w:rPr>
                <w:rFonts w:ascii="宋体" w:hAnsi="宋体"/>
                <w:b w:val="0"/>
                <w:color w:val="000000"/>
                <w:szCs w:val="21"/>
              </w:rPr>
            </w:pPr>
            <w:r>
              <w:rPr>
                <w:rFonts w:hint="eastAsia" w:ascii="宋体" w:hAnsi="宋体"/>
                <w:b w:val="0"/>
                <w:color w:val="000000"/>
                <w:szCs w:val="21"/>
              </w:rPr>
              <w:t>1～29人</w:t>
            </w:r>
          </w:p>
        </w:tc>
        <w:tc>
          <w:tcPr>
            <w:tcW w:w="4400" w:type="dxa"/>
            <w:tcBorders>
              <w:right w:val="single" w:color="auto" w:sz="12" w:space="0"/>
            </w:tcBorders>
            <w:vAlign w:val="center"/>
          </w:tcPr>
          <w:p w14:paraId="08DC9184">
            <w:pPr>
              <w:jc w:val="center"/>
              <w:rPr>
                <w:rFonts w:ascii="宋体" w:hAnsi="宋体"/>
                <w:b w:val="0"/>
                <w:color w:val="000000"/>
                <w:szCs w:val="21"/>
              </w:rPr>
            </w:pPr>
            <w:r>
              <w:rPr>
                <w:rFonts w:hint="eastAsia" w:ascii="宋体" w:hAnsi="宋体"/>
                <w:b w:val="0"/>
                <w:color w:val="000000"/>
                <w:szCs w:val="21"/>
              </w:rPr>
              <w:t>1.0</w:t>
            </w:r>
          </w:p>
        </w:tc>
      </w:tr>
      <w:tr w14:paraId="50AA0E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2" w:hRule="exact"/>
          <w:jc w:val="center"/>
        </w:trPr>
        <w:tc>
          <w:tcPr>
            <w:tcW w:w="4399" w:type="dxa"/>
            <w:tcBorders>
              <w:left w:val="single" w:color="auto" w:sz="12" w:space="0"/>
            </w:tcBorders>
            <w:vAlign w:val="center"/>
          </w:tcPr>
          <w:p w14:paraId="4C58071E">
            <w:pPr>
              <w:jc w:val="center"/>
              <w:rPr>
                <w:rFonts w:ascii="宋体" w:hAnsi="宋体"/>
                <w:b w:val="0"/>
                <w:color w:val="000000"/>
                <w:szCs w:val="21"/>
              </w:rPr>
            </w:pPr>
            <w:r>
              <w:rPr>
                <w:rFonts w:hint="eastAsia" w:ascii="宋体" w:hAnsi="宋体"/>
                <w:b w:val="0"/>
                <w:color w:val="000000"/>
                <w:szCs w:val="21"/>
              </w:rPr>
              <w:t>0人</w:t>
            </w:r>
          </w:p>
        </w:tc>
        <w:tc>
          <w:tcPr>
            <w:tcW w:w="4400" w:type="dxa"/>
            <w:tcBorders>
              <w:right w:val="single" w:color="auto" w:sz="12" w:space="0"/>
            </w:tcBorders>
            <w:vAlign w:val="center"/>
          </w:tcPr>
          <w:p w14:paraId="39DD2A5C">
            <w:pPr>
              <w:jc w:val="center"/>
              <w:rPr>
                <w:rFonts w:ascii="宋体" w:hAnsi="宋体"/>
                <w:b w:val="0"/>
                <w:color w:val="000000"/>
                <w:szCs w:val="21"/>
              </w:rPr>
            </w:pPr>
            <w:r>
              <w:rPr>
                <w:rFonts w:hint="eastAsia" w:ascii="宋体" w:hAnsi="宋体"/>
                <w:b w:val="0"/>
                <w:color w:val="000000"/>
                <w:szCs w:val="21"/>
              </w:rPr>
              <w:t>0.5</w:t>
            </w:r>
          </w:p>
        </w:tc>
      </w:tr>
    </w:tbl>
    <w:p w14:paraId="21C1F5A5">
      <w:pPr>
        <w:spacing w:before="120" w:beforeLines="50" w:line="360" w:lineRule="auto"/>
        <w:ind w:firstLine="562" w:firstLineChars="200"/>
        <w:rPr>
          <w:rFonts w:ascii="宋体" w:hAnsi="宋体"/>
          <w:bCs/>
          <w:sz w:val="28"/>
          <w:szCs w:val="28"/>
          <w:lang w:val="en-GB"/>
        </w:rPr>
      </w:pPr>
      <w:r>
        <w:rPr>
          <w:rFonts w:hint="eastAsia" w:ascii="宋体" w:hAnsi="宋体"/>
          <w:bCs/>
          <w:sz w:val="28"/>
          <w:szCs w:val="28"/>
        </w:rPr>
        <w:t>5）</w:t>
      </w:r>
      <w:r>
        <w:rPr>
          <w:rFonts w:hint="eastAsia" w:ascii="宋体" w:hAnsi="宋体"/>
          <w:bCs/>
          <w:sz w:val="28"/>
          <w:szCs w:val="28"/>
          <w:lang w:val="en-GB"/>
        </w:rPr>
        <w:t xml:space="preserve"> 分级标准</w:t>
      </w:r>
    </w:p>
    <w:p w14:paraId="16E0AF8B">
      <w:pPr>
        <w:spacing w:before="120" w:beforeLines="50" w:line="360" w:lineRule="auto"/>
        <w:ind w:firstLine="560" w:firstLineChars="200"/>
        <w:rPr>
          <w:rFonts w:ascii="宋体" w:hAnsi="宋体"/>
          <w:b w:val="0"/>
          <w:sz w:val="28"/>
          <w:szCs w:val="28"/>
          <w:lang w:val="en-GB"/>
        </w:rPr>
      </w:pPr>
      <w:r>
        <w:rPr>
          <w:rFonts w:hint="eastAsia" w:ascii="宋体" w:hAnsi="宋体"/>
          <w:b w:val="0"/>
          <w:sz w:val="28"/>
          <w:szCs w:val="28"/>
          <w:lang w:val="en-GB"/>
        </w:rPr>
        <w:t>根据计算出来的R值，按表3.</w:t>
      </w:r>
      <w:r>
        <w:rPr>
          <w:rFonts w:hint="eastAsia" w:ascii="宋体" w:hAnsi="宋体"/>
          <w:b w:val="0"/>
          <w:sz w:val="28"/>
          <w:szCs w:val="28"/>
        </w:rPr>
        <w:t>4</w:t>
      </w:r>
      <w:r>
        <w:rPr>
          <w:rFonts w:hint="eastAsia" w:ascii="宋体" w:hAnsi="宋体"/>
          <w:b w:val="0"/>
          <w:sz w:val="28"/>
          <w:szCs w:val="28"/>
          <w:lang w:val="en-GB"/>
        </w:rPr>
        <w:t>-</w:t>
      </w:r>
      <w:r>
        <w:rPr>
          <w:rFonts w:hint="eastAsia" w:ascii="宋体" w:hAnsi="宋体"/>
          <w:b w:val="0"/>
          <w:sz w:val="28"/>
          <w:szCs w:val="28"/>
        </w:rPr>
        <w:t>4</w:t>
      </w:r>
      <w:r>
        <w:rPr>
          <w:rFonts w:hint="eastAsia" w:ascii="宋体" w:hAnsi="宋体"/>
          <w:b w:val="0"/>
          <w:sz w:val="28"/>
          <w:szCs w:val="28"/>
          <w:lang w:val="en-GB"/>
        </w:rPr>
        <w:t>确定危险化学品重大危险源的级别。</w:t>
      </w:r>
    </w:p>
    <w:p w14:paraId="09A559E6">
      <w:pPr>
        <w:spacing w:line="360" w:lineRule="auto"/>
        <w:ind w:firstLine="480" w:firstLineChars="200"/>
        <w:jc w:val="center"/>
        <w:rPr>
          <w:rFonts w:ascii="黑体" w:hAnsi="黑体" w:eastAsia="黑体"/>
          <w:b w:val="0"/>
          <w:bCs/>
          <w:color w:val="000000"/>
          <w:sz w:val="24"/>
        </w:rPr>
      </w:pPr>
      <w:r>
        <w:rPr>
          <w:rFonts w:hint="eastAsia" w:ascii="黑体" w:hAnsi="黑体" w:eastAsia="黑体"/>
          <w:b w:val="0"/>
          <w:bCs/>
          <w:color w:val="000000"/>
          <w:sz w:val="24"/>
        </w:rPr>
        <w:t>表3.4-4  烟花爆竹重大危险源级别和R值的对应关系</w:t>
      </w:r>
    </w:p>
    <w:tbl>
      <w:tblPr>
        <w:tblStyle w:val="88"/>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24"/>
        <w:gridCol w:w="4355"/>
      </w:tblGrid>
      <w:tr w14:paraId="5D08CE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4524" w:type="dxa"/>
            <w:tcBorders>
              <w:left w:val="single" w:color="auto" w:sz="12" w:space="0"/>
            </w:tcBorders>
            <w:vAlign w:val="center"/>
          </w:tcPr>
          <w:p w14:paraId="45EB7B6F">
            <w:pPr>
              <w:jc w:val="center"/>
              <w:rPr>
                <w:rFonts w:ascii="宋体" w:hAnsi="宋体"/>
                <w:b w:val="0"/>
                <w:color w:val="000000"/>
                <w:szCs w:val="21"/>
              </w:rPr>
            </w:pPr>
            <w:r>
              <w:rPr>
                <w:rFonts w:hint="eastAsia" w:ascii="宋体" w:hAnsi="宋体"/>
                <w:b w:val="0"/>
                <w:color w:val="000000"/>
                <w:szCs w:val="21"/>
              </w:rPr>
              <w:t>危险物品重大危险源级别</w:t>
            </w:r>
          </w:p>
        </w:tc>
        <w:tc>
          <w:tcPr>
            <w:tcW w:w="4355" w:type="dxa"/>
            <w:tcBorders>
              <w:right w:val="single" w:color="auto" w:sz="12" w:space="0"/>
            </w:tcBorders>
            <w:vAlign w:val="center"/>
          </w:tcPr>
          <w:p w14:paraId="037E35F2">
            <w:pPr>
              <w:jc w:val="center"/>
              <w:rPr>
                <w:rFonts w:ascii="宋体" w:hAnsi="宋体"/>
                <w:b w:val="0"/>
                <w:color w:val="000000"/>
                <w:szCs w:val="21"/>
              </w:rPr>
            </w:pPr>
            <w:r>
              <w:rPr>
                <w:rFonts w:hint="eastAsia" w:ascii="宋体" w:hAnsi="宋体"/>
                <w:b w:val="0"/>
                <w:color w:val="000000"/>
                <w:szCs w:val="21"/>
              </w:rPr>
              <w:t>R值</w:t>
            </w:r>
          </w:p>
        </w:tc>
      </w:tr>
      <w:tr w14:paraId="4353C0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4524" w:type="dxa"/>
            <w:tcBorders>
              <w:left w:val="single" w:color="auto" w:sz="12" w:space="0"/>
            </w:tcBorders>
            <w:vAlign w:val="center"/>
          </w:tcPr>
          <w:p w14:paraId="45EDA9CE">
            <w:pPr>
              <w:jc w:val="center"/>
              <w:rPr>
                <w:rFonts w:ascii="宋体" w:hAnsi="宋体"/>
                <w:b w:val="0"/>
                <w:color w:val="000000"/>
                <w:szCs w:val="21"/>
              </w:rPr>
            </w:pPr>
            <w:r>
              <w:rPr>
                <w:rFonts w:hint="eastAsia" w:ascii="宋体" w:hAnsi="宋体"/>
                <w:b w:val="0"/>
                <w:color w:val="000000"/>
                <w:szCs w:val="21"/>
              </w:rPr>
              <w:t>一级</w:t>
            </w:r>
          </w:p>
        </w:tc>
        <w:tc>
          <w:tcPr>
            <w:tcW w:w="4355" w:type="dxa"/>
            <w:tcBorders>
              <w:right w:val="single" w:color="auto" w:sz="12" w:space="0"/>
            </w:tcBorders>
            <w:vAlign w:val="center"/>
          </w:tcPr>
          <w:p w14:paraId="14EBF585">
            <w:pPr>
              <w:jc w:val="center"/>
              <w:rPr>
                <w:rFonts w:ascii="宋体" w:hAnsi="宋体"/>
                <w:b w:val="0"/>
                <w:color w:val="000000"/>
                <w:szCs w:val="21"/>
              </w:rPr>
            </w:pPr>
            <w:r>
              <w:rPr>
                <w:rFonts w:hint="eastAsia" w:ascii="宋体" w:hAnsi="宋体"/>
                <w:b w:val="0"/>
                <w:color w:val="000000"/>
                <w:szCs w:val="21"/>
              </w:rPr>
              <w:t>R≥100</w:t>
            </w:r>
          </w:p>
        </w:tc>
      </w:tr>
      <w:tr w14:paraId="2DC547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4524" w:type="dxa"/>
            <w:tcBorders>
              <w:left w:val="single" w:color="auto" w:sz="12" w:space="0"/>
            </w:tcBorders>
            <w:vAlign w:val="center"/>
          </w:tcPr>
          <w:p w14:paraId="2199C6B0">
            <w:pPr>
              <w:jc w:val="center"/>
              <w:rPr>
                <w:rFonts w:ascii="宋体" w:hAnsi="宋体"/>
                <w:b w:val="0"/>
                <w:color w:val="000000"/>
                <w:szCs w:val="21"/>
              </w:rPr>
            </w:pPr>
            <w:r>
              <w:rPr>
                <w:rFonts w:hint="eastAsia" w:ascii="宋体" w:hAnsi="宋体"/>
                <w:b w:val="0"/>
                <w:color w:val="000000"/>
                <w:szCs w:val="21"/>
              </w:rPr>
              <w:t>二级</w:t>
            </w:r>
          </w:p>
        </w:tc>
        <w:tc>
          <w:tcPr>
            <w:tcW w:w="4355" w:type="dxa"/>
            <w:tcBorders>
              <w:right w:val="single" w:color="auto" w:sz="12" w:space="0"/>
            </w:tcBorders>
            <w:vAlign w:val="center"/>
          </w:tcPr>
          <w:p w14:paraId="4A4EB623">
            <w:pPr>
              <w:jc w:val="center"/>
              <w:rPr>
                <w:rFonts w:ascii="宋体" w:hAnsi="宋体"/>
                <w:b w:val="0"/>
                <w:color w:val="000000"/>
                <w:szCs w:val="21"/>
              </w:rPr>
            </w:pPr>
            <w:r>
              <w:rPr>
                <w:rFonts w:hint="eastAsia" w:ascii="宋体" w:hAnsi="宋体"/>
                <w:b w:val="0"/>
                <w:color w:val="000000"/>
                <w:szCs w:val="21"/>
              </w:rPr>
              <w:t>100&gt;R≥50</w:t>
            </w:r>
          </w:p>
        </w:tc>
      </w:tr>
      <w:tr w14:paraId="1ED34A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4524" w:type="dxa"/>
            <w:tcBorders>
              <w:left w:val="single" w:color="auto" w:sz="12" w:space="0"/>
            </w:tcBorders>
            <w:vAlign w:val="center"/>
          </w:tcPr>
          <w:p w14:paraId="5EABDF96">
            <w:pPr>
              <w:jc w:val="center"/>
              <w:rPr>
                <w:rFonts w:ascii="宋体" w:hAnsi="宋体"/>
                <w:b w:val="0"/>
                <w:color w:val="000000"/>
                <w:szCs w:val="21"/>
              </w:rPr>
            </w:pPr>
            <w:r>
              <w:rPr>
                <w:rFonts w:hint="eastAsia" w:ascii="宋体" w:hAnsi="宋体"/>
                <w:b w:val="0"/>
                <w:color w:val="000000"/>
                <w:szCs w:val="21"/>
              </w:rPr>
              <w:t>三级</w:t>
            </w:r>
          </w:p>
        </w:tc>
        <w:tc>
          <w:tcPr>
            <w:tcW w:w="4355" w:type="dxa"/>
            <w:tcBorders>
              <w:right w:val="single" w:color="auto" w:sz="12" w:space="0"/>
            </w:tcBorders>
            <w:vAlign w:val="center"/>
          </w:tcPr>
          <w:p w14:paraId="1872708C">
            <w:pPr>
              <w:jc w:val="center"/>
              <w:rPr>
                <w:rFonts w:ascii="宋体" w:hAnsi="宋体"/>
                <w:b w:val="0"/>
                <w:color w:val="000000"/>
                <w:szCs w:val="21"/>
              </w:rPr>
            </w:pPr>
            <w:r>
              <w:rPr>
                <w:rFonts w:hint="eastAsia" w:ascii="宋体" w:hAnsi="宋体"/>
                <w:b w:val="0"/>
                <w:color w:val="000000"/>
                <w:szCs w:val="21"/>
              </w:rPr>
              <w:t>50&gt;R≥10</w:t>
            </w:r>
          </w:p>
        </w:tc>
      </w:tr>
      <w:tr w14:paraId="089C18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2" w:hRule="exact"/>
          <w:jc w:val="center"/>
        </w:trPr>
        <w:tc>
          <w:tcPr>
            <w:tcW w:w="4524" w:type="dxa"/>
            <w:tcBorders>
              <w:left w:val="single" w:color="auto" w:sz="12" w:space="0"/>
            </w:tcBorders>
            <w:vAlign w:val="center"/>
          </w:tcPr>
          <w:p w14:paraId="7D69DAAD">
            <w:pPr>
              <w:jc w:val="center"/>
              <w:rPr>
                <w:rFonts w:ascii="宋体" w:hAnsi="宋体"/>
                <w:b w:val="0"/>
                <w:color w:val="000000"/>
                <w:szCs w:val="21"/>
              </w:rPr>
            </w:pPr>
            <w:r>
              <w:rPr>
                <w:rFonts w:hint="eastAsia" w:ascii="宋体" w:hAnsi="宋体"/>
                <w:b w:val="0"/>
                <w:color w:val="000000"/>
                <w:szCs w:val="21"/>
              </w:rPr>
              <w:t>四级</w:t>
            </w:r>
          </w:p>
        </w:tc>
        <w:tc>
          <w:tcPr>
            <w:tcW w:w="4355" w:type="dxa"/>
            <w:tcBorders>
              <w:right w:val="single" w:color="auto" w:sz="12" w:space="0"/>
            </w:tcBorders>
            <w:vAlign w:val="center"/>
          </w:tcPr>
          <w:p w14:paraId="04AED7E6">
            <w:pPr>
              <w:jc w:val="center"/>
              <w:rPr>
                <w:rFonts w:ascii="宋体" w:hAnsi="宋体"/>
                <w:b w:val="0"/>
                <w:color w:val="000000"/>
                <w:szCs w:val="21"/>
              </w:rPr>
            </w:pPr>
            <w:r>
              <w:rPr>
                <w:rFonts w:hint="eastAsia" w:ascii="宋体" w:hAnsi="宋体"/>
                <w:b w:val="0"/>
                <w:color w:val="000000"/>
                <w:szCs w:val="21"/>
              </w:rPr>
              <w:t>R&lt;10</w:t>
            </w:r>
          </w:p>
        </w:tc>
      </w:tr>
    </w:tbl>
    <w:p w14:paraId="1951C5C9">
      <w:pPr>
        <w:rPr>
          <w:rFonts w:hint="eastAsia" w:ascii="宋体" w:hAnsi="宋体"/>
          <w:b w:val="0"/>
          <w:sz w:val="28"/>
          <w:szCs w:val="28"/>
          <w:lang w:val="en-GB"/>
        </w:rPr>
      </w:pPr>
      <w:r>
        <w:rPr>
          <w:rFonts w:hint="eastAsia" w:ascii="宋体" w:hAnsi="宋体"/>
          <w:b w:val="0"/>
          <w:sz w:val="28"/>
          <w:szCs w:val="28"/>
          <w:lang w:val="en-GB"/>
        </w:rPr>
        <w:br w:type="page"/>
      </w:r>
    </w:p>
    <w:p w14:paraId="0DDB3732">
      <w:pPr>
        <w:spacing w:before="120" w:beforeLines="50" w:line="360" w:lineRule="auto"/>
        <w:ind w:firstLine="560" w:firstLineChars="200"/>
        <w:rPr>
          <w:rFonts w:ascii="宋体" w:hAnsi="宋体" w:cs="仿宋"/>
          <w:b w:val="0"/>
          <w:sz w:val="24"/>
          <w:lang w:val="en-GB"/>
        </w:rPr>
      </w:pPr>
      <w:r>
        <w:rPr>
          <w:rFonts w:hint="eastAsia" w:ascii="宋体" w:hAnsi="宋体"/>
          <w:b w:val="0"/>
          <w:sz w:val="28"/>
          <w:szCs w:val="28"/>
          <w:lang w:val="en-GB"/>
        </w:rPr>
        <w:t>由此可以计算出：</w:t>
      </w:r>
    </w:p>
    <w:tbl>
      <w:tblPr>
        <w:tblStyle w:val="88"/>
        <w:tblW w:w="8801" w:type="dxa"/>
        <w:tblInd w:w="23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33"/>
        <w:gridCol w:w="1800"/>
        <w:gridCol w:w="4767"/>
        <w:gridCol w:w="1701"/>
      </w:tblGrid>
      <w:tr w14:paraId="6B0616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63" w:hRule="atLeast"/>
        </w:trPr>
        <w:tc>
          <w:tcPr>
            <w:tcW w:w="2333" w:type="dxa"/>
            <w:gridSpan w:val="2"/>
            <w:vAlign w:val="center"/>
          </w:tcPr>
          <w:p w14:paraId="424E7BF2">
            <w:pPr>
              <w:adjustRightInd w:val="0"/>
              <w:snapToGrid w:val="0"/>
              <w:jc w:val="center"/>
              <w:rPr>
                <w:rFonts w:ascii="宋体" w:hAnsi="宋体"/>
                <w:b w:val="0"/>
              </w:rPr>
            </w:pPr>
            <w:bookmarkStart w:id="318" w:name="_Hlk96975421"/>
            <w:r>
              <w:rPr>
                <w:rFonts w:hint="eastAsia" w:ascii="宋体" w:hAnsi="宋体"/>
                <w:b w:val="0"/>
              </w:rPr>
              <w:t>辨识</w:t>
            </w:r>
          </w:p>
          <w:p w14:paraId="22470B4E">
            <w:pPr>
              <w:adjustRightInd w:val="0"/>
              <w:snapToGrid w:val="0"/>
              <w:jc w:val="center"/>
              <w:rPr>
                <w:rFonts w:ascii="宋体" w:hAnsi="宋体"/>
                <w:b w:val="0"/>
              </w:rPr>
            </w:pPr>
            <w:r>
              <w:rPr>
                <w:rFonts w:hint="eastAsia" w:ascii="宋体" w:hAnsi="宋体"/>
                <w:b w:val="0"/>
              </w:rPr>
              <w:t>单元</w:t>
            </w:r>
          </w:p>
        </w:tc>
        <w:tc>
          <w:tcPr>
            <w:tcW w:w="4767" w:type="dxa"/>
            <w:vAlign w:val="center"/>
          </w:tcPr>
          <w:p w14:paraId="6B5E23CC">
            <w:pPr>
              <w:adjustRightInd w:val="0"/>
              <w:snapToGrid w:val="0"/>
              <w:rPr>
                <w:rFonts w:ascii="宋体" w:hAnsi="宋体"/>
                <w:b w:val="0"/>
              </w:rPr>
            </w:pPr>
            <w:r>
              <w:rPr>
                <w:rFonts w:hint="eastAsia" w:ascii="宋体" w:hAnsi="宋体"/>
                <w:position w:val="-32"/>
              </w:rPr>
              <w:object>
                <v:shape id="_x0000_i1027" o:spt="75" type="#_x0000_t75" style="height:35.3pt;width:225.4pt;" o:ole="t" filled="f" o:preferrelative="t" stroked="f" coordsize="21600,21600">
                  <v:path/>
                  <v:fill on="f" focussize="0,0"/>
                  <v:stroke on="f" joinstyle="miter"/>
                  <v:imagedata r:id="rId24" o:title=""/>
                  <o:lock v:ext="edit" aspectratio="t"/>
                  <w10:wrap type="none"/>
                  <w10:anchorlock/>
                </v:shape>
                <o:OLEObject Type="Embed" ProgID="Equation.3" ShapeID="_x0000_i1027" DrawAspect="Content" ObjectID="_1468075727" r:id="rId23">
                  <o:LockedField>false</o:LockedField>
                </o:OLEObject>
              </w:object>
            </w:r>
          </w:p>
        </w:tc>
        <w:tc>
          <w:tcPr>
            <w:tcW w:w="1701" w:type="dxa"/>
            <w:vAlign w:val="center"/>
          </w:tcPr>
          <w:p w14:paraId="068D6CE4">
            <w:pPr>
              <w:adjustRightInd w:val="0"/>
              <w:snapToGrid w:val="0"/>
              <w:jc w:val="center"/>
              <w:rPr>
                <w:rFonts w:ascii="宋体" w:hAnsi="宋体"/>
                <w:b w:val="0"/>
              </w:rPr>
            </w:pPr>
            <w:r>
              <w:rPr>
                <w:rFonts w:hint="eastAsia" w:ascii="宋体" w:hAnsi="宋体"/>
                <w:b w:val="0"/>
              </w:rPr>
              <w:t>重大危险源等级</w:t>
            </w:r>
          </w:p>
        </w:tc>
      </w:tr>
      <w:tr w14:paraId="76BF0F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5" w:hRule="exact"/>
        </w:trPr>
        <w:tc>
          <w:tcPr>
            <w:tcW w:w="533" w:type="dxa"/>
            <w:vMerge w:val="restart"/>
            <w:tcBorders>
              <w:right w:val="single" w:color="auto" w:sz="4" w:space="0"/>
            </w:tcBorders>
            <w:textDirection w:val="tbRlV"/>
            <w:vAlign w:val="center"/>
          </w:tcPr>
          <w:p w14:paraId="4852AA50">
            <w:pPr>
              <w:adjustRightInd w:val="0"/>
              <w:snapToGrid w:val="0"/>
              <w:ind w:left="113" w:right="113"/>
              <w:jc w:val="center"/>
              <w:rPr>
                <w:rFonts w:ascii="宋体" w:hAnsi="宋体"/>
                <w:b w:val="0"/>
                <w:bCs/>
              </w:rPr>
            </w:pPr>
            <w:r>
              <w:rPr>
                <w:rFonts w:hint="eastAsia" w:ascii="宋体" w:hAnsi="宋体"/>
                <w:b w:val="0"/>
                <w:bCs/>
              </w:rPr>
              <w:t xml:space="preserve">储  存 </w:t>
            </w:r>
            <w:r>
              <w:rPr>
                <w:rFonts w:ascii="宋体" w:hAnsi="宋体"/>
                <w:b w:val="0"/>
                <w:bCs/>
              </w:rPr>
              <w:t xml:space="preserve"> </w:t>
            </w:r>
            <w:r>
              <w:rPr>
                <w:rFonts w:hint="eastAsia" w:ascii="宋体" w:hAnsi="宋体"/>
                <w:b w:val="0"/>
                <w:bCs/>
              </w:rPr>
              <w:t xml:space="preserve">单 </w:t>
            </w:r>
            <w:r>
              <w:rPr>
                <w:rFonts w:ascii="宋体" w:hAnsi="宋体"/>
                <w:b w:val="0"/>
                <w:bCs/>
              </w:rPr>
              <w:t xml:space="preserve"> </w:t>
            </w:r>
            <w:r>
              <w:rPr>
                <w:rFonts w:hint="eastAsia" w:ascii="宋体" w:hAnsi="宋体"/>
                <w:b w:val="0"/>
                <w:bCs/>
              </w:rPr>
              <w:t>元</w:t>
            </w:r>
          </w:p>
        </w:tc>
        <w:tc>
          <w:tcPr>
            <w:tcW w:w="1800" w:type="dxa"/>
            <w:tcBorders>
              <w:left w:val="single" w:color="auto" w:sz="4" w:space="0"/>
            </w:tcBorders>
            <w:vAlign w:val="center"/>
          </w:tcPr>
          <w:p w14:paraId="3F5A9325">
            <w:pPr>
              <w:adjustRightInd w:val="0"/>
              <w:snapToGrid w:val="0"/>
              <w:jc w:val="center"/>
              <w:rPr>
                <w:rFonts w:ascii="宋体" w:hAnsi="宋体"/>
                <w:b w:val="0"/>
                <w:bCs/>
              </w:rPr>
            </w:pPr>
            <w:r>
              <w:rPr>
                <w:rFonts w:hint="eastAsia" w:ascii="宋体" w:hAnsi="宋体"/>
                <w:b w:val="0"/>
                <w:szCs w:val="21"/>
              </w:rPr>
              <w:t>54#亮珠库</w:t>
            </w:r>
          </w:p>
        </w:tc>
        <w:tc>
          <w:tcPr>
            <w:tcW w:w="4767" w:type="dxa"/>
            <w:vMerge w:val="restart"/>
            <w:vAlign w:val="center"/>
          </w:tcPr>
          <w:p w14:paraId="4B56418B">
            <w:pPr>
              <w:adjustRightInd w:val="0"/>
              <w:snapToGrid w:val="0"/>
              <w:jc w:val="center"/>
              <w:rPr>
                <w:rFonts w:ascii="宋体" w:hAnsi="宋体"/>
                <w:b w:val="0"/>
                <w:bCs/>
                <w:position w:val="-26"/>
                <w:szCs w:val="21"/>
              </w:rPr>
            </w:pPr>
            <w:r>
              <w:rPr>
                <w:rFonts w:hint="eastAsia" w:ascii="宋体" w:hAnsi="宋体" w:cs="宋体"/>
                <w:b w:val="0"/>
                <w:color w:val="000000"/>
              </w:rPr>
              <w:t>R=2×｛</w:t>
            </w:r>
            <w:r>
              <w:rPr>
                <w:rFonts w:hint="eastAsia" w:ascii="宋体" w:hAnsi="宋体" w:cs="宋体"/>
                <w:b w:val="0"/>
                <w:color w:val="000000"/>
                <w:szCs w:val="21"/>
              </w:rPr>
              <w:t>2</w:t>
            </w:r>
            <w:r>
              <w:rPr>
                <w:rFonts w:hint="eastAsia" w:ascii="宋体" w:hAnsi="宋体" w:cs="宋体"/>
                <w:b w:val="0"/>
                <w:color w:val="000000"/>
              </w:rPr>
              <w:t>×</w:t>
            </w:r>
            <w:r>
              <w:rPr>
                <w:rFonts w:hint="eastAsia" w:ascii="宋体" w:hAnsi="宋体"/>
                <w:b w:val="0"/>
                <w:szCs w:val="21"/>
              </w:rPr>
              <w:t>（</w:t>
            </w:r>
            <w:r>
              <w:rPr>
                <w:rFonts w:ascii="宋体" w:hAnsi="宋体"/>
                <w:b w:val="0"/>
                <w:szCs w:val="21"/>
              </w:rPr>
              <w:t>0.5+0.5</w:t>
            </w:r>
            <w:r>
              <w:rPr>
                <w:rFonts w:hint="eastAsia" w:ascii="宋体" w:hAnsi="宋体"/>
                <w:b w:val="0"/>
                <w:szCs w:val="21"/>
              </w:rPr>
              <w:t>）/</w:t>
            </w:r>
            <w:r>
              <w:rPr>
                <w:rFonts w:ascii="宋体" w:hAnsi="宋体"/>
                <w:b w:val="0"/>
                <w:szCs w:val="21"/>
              </w:rPr>
              <w:t>8</w:t>
            </w:r>
            <w:r>
              <w:rPr>
                <w:rFonts w:hint="eastAsia" w:ascii="宋体" w:hAnsi="宋体" w:cs="宋体"/>
                <w:b w:val="0"/>
                <w:color w:val="000000"/>
                <w:szCs w:val="21"/>
              </w:rPr>
              <w:t>＋2</w:t>
            </w:r>
            <w:r>
              <w:rPr>
                <w:rFonts w:hint="eastAsia" w:ascii="宋体" w:hAnsi="宋体" w:cs="宋体"/>
                <w:b w:val="0"/>
                <w:color w:val="000000"/>
              </w:rPr>
              <w:t>×</w:t>
            </w:r>
            <w:r>
              <w:rPr>
                <w:rFonts w:hint="eastAsia" w:ascii="宋体" w:hAnsi="宋体"/>
                <w:b w:val="0"/>
                <w:szCs w:val="21"/>
              </w:rPr>
              <w:t>（1</w:t>
            </w:r>
            <w:r>
              <w:rPr>
                <w:rFonts w:ascii="宋体" w:hAnsi="宋体"/>
                <w:b w:val="0"/>
                <w:szCs w:val="21"/>
              </w:rPr>
              <w:t>+</w:t>
            </w:r>
            <w:r>
              <w:rPr>
                <w:rFonts w:hint="eastAsia" w:ascii="宋体" w:hAnsi="宋体"/>
                <w:b w:val="0"/>
                <w:szCs w:val="21"/>
              </w:rPr>
              <w:t>1</w:t>
            </w:r>
            <w:r>
              <w:rPr>
                <w:rFonts w:ascii="宋体" w:hAnsi="宋体"/>
                <w:b w:val="0"/>
                <w:szCs w:val="21"/>
              </w:rPr>
              <w:t>+</w:t>
            </w:r>
            <w:r>
              <w:rPr>
                <w:rFonts w:hint="eastAsia" w:ascii="宋体" w:hAnsi="宋体"/>
                <w:b w:val="0"/>
                <w:szCs w:val="21"/>
              </w:rPr>
              <w:t>0.5</w:t>
            </w:r>
            <w:r>
              <w:rPr>
                <w:rFonts w:ascii="宋体" w:hAnsi="宋体"/>
                <w:b w:val="0"/>
                <w:szCs w:val="21"/>
              </w:rPr>
              <w:t>+1+</w:t>
            </w:r>
            <w:r>
              <w:rPr>
                <w:rFonts w:hint="eastAsia" w:ascii="宋体" w:hAnsi="宋体"/>
                <w:b w:val="0"/>
                <w:szCs w:val="21"/>
              </w:rPr>
              <w:t>1</w:t>
            </w:r>
            <w:r>
              <w:rPr>
                <w:rFonts w:ascii="宋体" w:hAnsi="宋体"/>
                <w:b w:val="0"/>
                <w:szCs w:val="21"/>
              </w:rPr>
              <w:t>+1+</w:t>
            </w:r>
            <w:r>
              <w:rPr>
                <w:rFonts w:hint="eastAsia" w:ascii="宋体" w:hAnsi="宋体"/>
                <w:b w:val="0"/>
                <w:szCs w:val="21"/>
              </w:rPr>
              <w:t>1</w:t>
            </w:r>
            <w:r>
              <w:rPr>
                <w:rFonts w:ascii="宋体" w:hAnsi="宋体"/>
                <w:b w:val="0"/>
                <w:szCs w:val="21"/>
              </w:rPr>
              <w:t>+0.5</w:t>
            </w:r>
            <w:r>
              <w:rPr>
                <w:rFonts w:hint="eastAsia" w:ascii="宋体" w:hAnsi="宋体"/>
                <w:b w:val="0"/>
                <w:szCs w:val="21"/>
              </w:rPr>
              <w:t>）/5</w:t>
            </w:r>
            <w:r>
              <w:rPr>
                <w:rFonts w:hint="eastAsia" w:ascii="宋体" w:hAnsi="宋体" w:cs="宋体"/>
                <w:b w:val="0"/>
                <w:color w:val="000000"/>
              </w:rPr>
              <w:t>｝</w:t>
            </w:r>
            <w:r>
              <w:rPr>
                <w:rFonts w:hint="eastAsia" w:ascii="宋体" w:hAnsi="宋体" w:cs="宋体"/>
                <w:b w:val="0"/>
                <w:color w:val="000000"/>
                <w:szCs w:val="21"/>
              </w:rPr>
              <w:t>=6.1</w:t>
            </w:r>
          </w:p>
        </w:tc>
        <w:tc>
          <w:tcPr>
            <w:tcW w:w="1701" w:type="dxa"/>
            <w:vMerge w:val="restart"/>
            <w:vAlign w:val="center"/>
          </w:tcPr>
          <w:p w14:paraId="31029D34">
            <w:pPr>
              <w:adjustRightInd w:val="0"/>
              <w:snapToGrid w:val="0"/>
              <w:jc w:val="center"/>
              <w:rPr>
                <w:rFonts w:ascii="宋体" w:hAnsi="宋体"/>
                <w:b w:val="0"/>
                <w:bCs/>
              </w:rPr>
            </w:pPr>
            <w:r>
              <w:rPr>
                <w:rFonts w:hint="eastAsia" w:ascii="宋体" w:hAnsi="宋体"/>
                <w:b w:val="0"/>
                <w:bCs/>
              </w:rPr>
              <w:t>四级</w:t>
            </w:r>
          </w:p>
        </w:tc>
      </w:tr>
      <w:tr w14:paraId="636756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5" w:hRule="exact"/>
        </w:trPr>
        <w:tc>
          <w:tcPr>
            <w:tcW w:w="533" w:type="dxa"/>
            <w:vMerge w:val="continue"/>
            <w:tcBorders>
              <w:right w:val="single" w:color="auto" w:sz="4" w:space="0"/>
            </w:tcBorders>
            <w:textDirection w:val="tbRlV"/>
            <w:vAlign w:val="center"/>
          </w:tcPr>
          <w:p w14:paraId="4A51F2EF">
            <w:pPr>
              <w:adjustRightInd w:val="0"/>
              <w:snapToGrid w:val="0"/>
              <w:ind w:left="113" w:right="113"/>
              <w:jc w:val="center"/>
              <w:rPr>
                <w:rFonts w:ascii="宋体" w:hAnsi="宋体"/>
                <w:b w:val="0"/>
                <w:bCs/>
              </w:rPr>
            </w:pPr>
          </w:p>
        </w:tc>
        <w:tc>
          <w:tcPr>
            <w:tcW w:w="1800" w:type="dxa"/>
            <w:tcBorders>
              <w:left w:val="single" w:color="auto" w:sz="4" w:space="0"/>
            </w:tcBorders>
            <w:vAlign w:val="center"/>
          </w:tcPr>
          <w:p w14:paraId="34E4627D">
            <w:pPr>
              <w:adjustRightInd w:val="0"/>
              <w:snapToGrid w:val="0"/>
              <w:jc w:val="center"/>
              <w:rPr>
                <w:rFonts w:ascii="宋体" w:hAnsi="宋体"/>
                <w:b w:val="0"/>
                <w:bCs/>
              </w:rPr>
            </w:pPr>
            <w:r>
              <w:rPr>
                <w:rFonts w:hint="eastAsia" w:ascii="宋体" w:hAnsi="宋体"/>
                <w:b w:val="0"/>
                <w:szCs w:val="21"/>
              </w:rPr>
              <w:t>55#亮珠库</w:t>
            </w:r>
          </w:p>
        </w:tc>
        <w:tc>
          <w:tcPr>
            <w:tcW w:w="4767" w:type="dxa"/>
            <w:vMerge w:val="continue"/>
            <w:vAlign w:val="center"/>
          </w:tcPr>
          <w:p w14:paraId="443BA557">
            <w:pPr>
              <w:adjustRightInd w:val="0"/>
              <w:snapToGrid w:val="0"/>
              <w:jc w:val="center"/>
              <w:rPr>
                <w:rFonts w:ascii="宋体" w:hAnsi="宋体"/>
                <w:b w:val="0"/>
                <w:bCs/>
              </w:rPr>
            </w:pPr>
          </w:p>
        </w:tc>
        <w:tc>
          <w:tcPr>
            <w:tcW w:w="1701" w:type="dxa"/>
            <w:vMerge w:val="continue"/>
            <w:vAlign w:val="center"/>
          </w:tcPr>
          <w:p w14:paraId="4A545815">
            <w:pPr>
              <w:adjustRightInd w:val="0"/>
              <w:snapToGrid w:val="0"/>
              <w:jc w:val="center"/>
              <w:rPr>
                <w:rFonts w:ascii="宋体" w:hAnsi="宋体"/>
                <w:b w:val="0"/>
                <w:bCs/>
              </w:rPr>
            </w:pPr>
          </w:p>
        </w:tc>
      </w:tr>
      <w:tr w14:paraId="16706D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5" w:hRule="exact"/>
        </w:trPr>
        <w:tc>
          <w:tcPr>
            <w:tcW w:w="533" w:type="dxa"/>
            <w:vMerge w:val="continue"/>
            <w:tcBorders>
              <w:right w:val="single" w:color="auto" w:sz="4" w:space="0"/>
            </w:tcBorders>
            <w:textDirection w:val="tbRlV"/>
            <w:vAlign w:val="center"/>
          </w:tcPr>
          <w:p w14:paraId="4F378D8F">
            <w:pPr>
              <w:adjustRightInd w:val="0"/>
              <w:snapToGrid w:val="0"/>
              <w:ind w:left="113" w:right="113"/>
              <w:jc w:val="center"/>
              <w:rPr>
                <w:rFonts w:ascii="宋体" w:hAnsi="宋体"/>
                <w:b w:val="0"/>
                <w:bCs/>
              </w:rPr>
            </w:pPr>
          </w:p>
        </w:tc>
        <w:tc>
          <w:tcPr>
            <w:tcW w:w="1800" w:type="dxa"/>
            <w:tcBorders>
              <w:left w:val="single" w:color="auto" w:sz="4" w:space="0"/>
            </w:tcBorders>
            <w:vAlign w:val="center"/>
          </w:tcPr>
          <w:p w14:paraId="0BADAD60">
            <w:pPr>
              <w:adjustRightInd w:val="0"/>
              <w:snapToGrid w:val="0"/>
              <w:jc w:val="center"/>
              <w:rPr>
                <w:rFonts w:ascii="宋体" w:hAnsi="宋体"/>
                <w:b w:val="0"/>
                <w:bCs/>
              </w:rPr>
            </w:pPr>
            <w:r>
              <w:rPr>
                <w:rFonts w:hint="eastAsia" w:ascii="宋体" w:hAnsi="宋体"/>
                <w:b w:val="0"/>
                <w:szCs w:val="21"/>
              </w:rPr>
              <w:t>56#亮珠库</w:t>
            </w:r>
          </w:p>
        </w:tc>
        <w:tc>
          <w:tcPr>
            <w:tcW w:w="4767" w:type="dxa"/>
            <w:vMerge w:val="continue"/>
            <w:vAlign w:val="center"/>
          </w:tcPr>
          <w:p w14:paraId="40A3176A">
            <w:pPr>
              <w:adjustRightInd w:val="0"/>
              <w:snapToGrid w:val="0"/>
              <w:jc w:val="center"/>
              <w:rPr>
                <w:rFonts w:ascii="宋体" w:hAnsi="宋体"/>
                <w:b w:val="0"/>
                <w:bCs/>
              </w:rPr>
            </w:pPr>
          </w:p>
        </w:tc>
        <w:tc>
          <w:tcPr>
            <w:tcW w:w="1701" w:type="dxa"/>
            <w:vMerge w:val="continue"/>
            <w:vAlign w:val="center"/>
          </w:tcPr>
          <w:p w14:paraId="40B2DDAF">
            <w:pPr>
              <w:adjustRightInd w:val="0"/>
              <w:snapToGrid w:val="0"/>
              <w:jc w:val="center"/>
              <w:rPr>
                <w:rFonts w:ascii="宋体" w:hAnsi="宋体"/>
                <w:b w:val="0"/>
                <w:bCs/>
              </w:rPr>
            </w:pPr>
          </w:p>
        </w:tc>
      </w:tr>
      <w:tr w14:paraId="60A490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5" w:hRule="exact"/>
        </w:trPr>
        <w:tc>
          <w:tcPr>
            <w:tcW w:w="533" w:type="dxa"/>
            <w:vMerge w:val="continue"/>
            <w:tcBorders>
              <w:right w:val="single" w:color="auto" w:sz="4" w:space="0"/>
            </w:tcBorders>
            <w:textDirection w:val="tbRlV"/>
            <w:vAlign w:val="center"/>
          </w:tcPr>
          <w:p w14:paraId="4FBEDA4E">
            <w:pPr>
              <w:adjustRightInd w:val="0"/>
              <w:snapToGrid w:val="0"/>
              <w:ind w:left="113" w:right="113"/>
              <w:jc w:val="center"/>
              <w:rPr>
                <w:rFonts w:ascii="宋体" w:hAnsi="宋体"/>
                <w:b w:val="0"/>
                <w:bCs/>
              </w:rPr>
            </w:pPr>
          </w:p>
        </w:tc>
        <w:tc>
          <w:tcPr>
            <w:tcW w:w="1800" w:type="dxa"/>
            <w:tcBorders>
              <w:left w:val="single" w:color="auto" w:sz="4" w:space="0"/>
            </w:tcBorders>
            <w:vAlign w:val="center"/>
          </w:tcPr>
          <w:p w14:paraId="1FB62B6F">
            <w:pPr>
              <w:adjustRightInd w:val="0"/>
              <w:snapToGrid w:val="0"/>
              <w:jc w:val="center"/>
              <w:rPr>
                <w:rFonts w:ascii="宋体" w:hAnsi="宋体"/>
                <w:b w:val="0"/>
                <w:bCs/>
              </w:rPr>
            </w:pPr>
            <w:r>
              <w:rPr>
                <w:rFonts w:hint="eastAsia" w:ascii="宋体" w:hAnsi="宋体"/>
                <w:b w:val="0"/>
                <w:szCs w:val="21"/>
              </w:rPr>
              <w:t>57#亮珠库</w:t>
            </w:r>
          </w:p>
        </w:tc>
        <w:tc>
          <w:tcPr>
            <w:tcW w:w="4767" w:type="dxa"/>
            <w:vMerge w:val="continue"/>
            <w:vAlign w:val="center"/>
          </w:tcPr>
          <w:p w14:paraId="228F72D2">
            <w:pPr>
              <w:adjustRightInd w:val="0"/>
              <w:snapToGrid w:val="0"/>
              <w:jc w:val="center"/>
              <w:rPr>
                <w:rFonts w:ascii="宋体" w:hAnsi="宋体"/>
                <w:b w:val="0"/>
                <w:bCs/>
              </w:rPr>
            </w:pPr>
          </w:p>
        </w:tc>
        <w:tc>
          <w:tcPr>
            <w:tcW w:w="1701" w:type="dxa"/>
            <w:vMerge w:val="continue"/>
            <w:vAlign w:val="center"/>
          </w:tcPr>
          <w:p w14:paraId="28F726D7">
            <w:pPr>
              <w:adjustRightInd w:val="0"/>
              <w:snapToGrid w:val="0"/>
              <w:jc w:val="center"/>
              <w:rPr>
                <w:rFonts w:ascii="宋体" w:hAnsi="宋体"/>
                <w:b w:val="0"/>
                <w:bCs/>
              </w:rPr>
            </w:pPr>
          </w:p>
        </w:tc>
      </w:tr>
      <w:tr w14:paraId="09379F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5" w:hRule="exact"/>
        </w:trPr>
        <w:tc>
          <w:tcPr>
            <w:tcW w:w="533" w:type="dxa"/>
            <w:vMerge w:val="continue"/>
            <w:tcBorders>
              <w:right w:val="single" w:color="auto" w:sz="4" w:space="0"/>
            </w:tcBorders>
            <w:textDirection w:val="tbRlV"/>
            <w:vAlign w:val="center"/>
          </w:tcPr>
          <w:p w14:paraId="02E65FFD">
            <w:pPr>
              <w:adjustRightInd w:val="0"/>
              <w:snapToGrid w:val="0"/>
              <w:ind w:left="113" w:right="113"/>
              <w:jc w:val="center"/>
              <w:rPr>
                <w:rFonts w:ascii="宋体" w:hAnsi="宋体"/>
                <w:b w:val="0"/>
                <w:bCs/>
              </w:rPr>
            </w:pPr>
          </w:p>
        </w:tc>
        <w:tc>
          <w:tcPr>
            <w:tcW w:w="1800" w:type="dxa"/>
            <w:tcBorders>
              <w:left w:val="single" w:color="auto" w:sz="4" w:space="0"/>
            </w:tcBorders>
            <w:vAlign w:val="center"/>
          </w:tcPr>
          <w:p w14:paraId="36A2A9BD">
            <w:pPr>
              <w:adjustRightInd w:val="0"/>
              <w:snapToGrid w:val="0"/>
              <w:jc w:val="center"/>
              <w:rPr>
                <w:rFonts w:ascii="宋体" w:hAnsi="宋体"/>
                <w:b w:val="0"/>
                <w:bCs/>
              </w:rPr>
            </w:pPr>
            <w:r>
              <w:rPr>
                <w:rFonts w:hint="eastAsia" w:ascii="宋体" w:hAnsi="宋体"/>
                <w:b w:val="0"/>
                <w:szCs w:val="21"/>
              </w:rPr>
              <w:t>58#黑火药库</w:t>
            </w:r>
          </w:p>
        </w:tc>
        <w:tc>
          <w:tcPr>
            <w:tcW w:w="4767" w:type="dxa"/>
            <w:vMerge w:val="continue"/>
            <w:vAlign w:val="center"/>
          </w:tcPr>
          <w:p w14:paraId="74AC4423">
            <w:pPr>
              <w:adjustRightInd w:val="0"/>
              <w:snapToGrid w:val="0"/>
              <w:jc w:val="center"/>
              <w:rPr>
                <w:rFonts w:ascii="宋体" w:hAnsi="宋体"/>
                <w:b w:val="0"/>
                <w:bCs/>
              </w:rPr>
            </w:pPr>
          </w:p>
        </w:tc>
        <w:tc>
          <w:tcPr>
            <w:tcW w:w="1701" w:type="dxa"/>
            <w:vMerge w:val="continue"/>
            <w:vAlign w:val="center"/>
          </w:tcPr>
          <w:p w14:paraId="6CBC69B0">
            <w:pPr>
              <w:adjustRightInd w:val="0"/>
              <w:snapToGrid w:val="0"/>
              <w:jc w:val="center"/>
              <w:rPr>
                <w:rFonts w:ascii="宋体" w:hAnsi="宋体"/>
                <w:b w:val="0"/>
                <w:bCs/>
              </w:rPr>
            </w:pPr>
          </w:p>
        </w:tc>
      </w:tr>
      <w:tr w14:paraId="72095C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5" w:hRule="exact"/>
        </w:trPr>
        <w:tc>
          <w:tcPr>
            <w:tcW w:w="533" w:type="dxa"/>
            <w:vMerge w:val="continue"/>
            <w:tcBorders>
              <w:right w:val="single" w:color="auto" w:sz="4" w:space="0"/>
            </w:tcBorders>
            <w:textDirection w:val="tbRlV"/>
            <w:vAlign w:val="center"/>
          </w:tcPr>
          <w:p w14:paraId="72D374A7">
            <w:pPr>
              <w:adjustRightInd w:val="0"/>
              <w:snapToGrid w:val="0"/>
              <w:ind w:left="113" w:right="113"/>
              <w:jc w:val="center"/>
              <w:rPr>
                <w:rFonts w:ascii="宋体" w:hAnsi="宋体"/>
                <w:b w:val="0"/>
                <w:bCs/>
              </w:rPr>
            </w:pPr>
          </w:p>
        </w:tc>
        <w:tc>
          <w:tcPr>
            <w:tcW w:w="1800" w:type="dxa"/>
            <w:tcBorders>
              <w:left w:val="single" w:color="auto" w:sz="4" w:space="0"/>
            </w:tcBorders>
            <w:vAlign w:val="center"/>
          </w:tcPr>
          <w:p w14:paraId="4386536D">
            <w:pPr>
              <w:adjustRightInd w:val="0"/>
              <w:snapToGrid w:val="0"/>
              <w:jc w:val="center"/>
              <w:rPr>
                <w:rFonts w:ascii="宋体" w:hAnsi="宋体"/>
                <w:b w:val="0"/>
                <w:szCs w:val="21"/>
              </w:rPr>
            </w:pPr>
            <w:r>
              <w:rPr>
                <w:rFonts w:hint="eastAsia" w:ascii="宋体" w:hAnsi="宋体"/>
                <w:b w:val="0"/>
                <w:szCs w:val="21"/>
              </w:rPr>
              <w:t>59#黑火药库</w:t>
            </w:r>
          </w:p>
        </w:tc>
        <w:tc>
          <w:tcPr>
            <w:tcW w:w="4767" w:type="dxa"/>
            <w:vMerge w:val="continue"/>
            <w:vAlign w:val="center"/>
          </w:tcPr>
          <w:p w14:paraId="430D3757">
            <w:pPr>
              <w:adjustRightInd w:val="0"/>
              <w:snapToGrid w:val="0"/>
              <w:jc w:val="center"/>
              <w:rPr>
                <w:rFonts w:ascii="宋体" w:hAnsi="宋体"/>
                <w:b w:val="0"/>
                <w:bCs/>
              </w:rPr>
            </w:pPr>
          </w:p>
        </w:tc>
        <w:tc>
          <w:tcPr>
            <w:tcW w:w="1701" w:type="dxa"/>
            <w:vMerge w:val="continue"/>
            <w:vAlign w:val="center"/>
          </w:tcPr>
          <w:p w14:paraId="3143596B">
            <w:pPr>
              <w:adjustRightInd w:val="0"/>
              <w:snapToGrid w:val="0"/>
              <w:jc w:val="center"/>
              <w:rPr>
                <w:rFonts w:ascii="宋体" w:hAnsi="宋体"/>
                <w:b w:val="0"/>
                <w:bCs/>
              </w:rPr>
            </w:pPr>
          </w:p>
        </w:tc>
      </w:tr>
      <w:tr w14:paraId="3BE6C7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5" w:hRule="exact"/>
        </w:trPr>
        <w:tc>
          <w:tcPr>
            <w:tcW w:w="533" w:type="dxa"/>
            <w:vMerge w:val="continue"/>
            <w:tcBorders>
              <w:right w:val="single" w:color="auto" w:sz="4" w:space="0"/>
            </w:tcBorders>
            <w:textDirection w:val="tbRlV"/>
            <w:vAlign w:val="center"/>
          </w:tcPr>
          <w:p w14:paraId="658CE74A">
            <w:pPr>
              <w:adjustRightInd w:val="0"/>
              <w:snapToGrid w:val="0"/>
              <w:ind w:left="113" w:right="113"/>
              <w:jc w:val="center"/>
              <w:rPr>
                <w:rFonts w:ascii="宋体" w:hAnsi="宋体"/>
                <w:b w:val="0"/>
                <w:bCs/>
              </w:rPr>
            </w:pPr>
          </w:p>
        </w:tc>
        <w:tc>
          <w:tcPr>
            <w:tcW w:w="1800" w:type="dxa"/>
            <w:tcBorders>
              <w:left w:val="single" w:color="auto" w:sz="4" w:space="0"/>
            </w:tcBorders>
            <w:vAlign w:val="center"/>
          </w:tcPr>
          <w:p w14:paraId="6E05E47F">
            <w:pPr>
              <w:adjustRightInd w:val="0"/>
              <w:snapToGrid w:val="0"/>
              <w:jc w:val="center"/>
              <w:rPr>
                <w:rFonts w:ascii="宋体" w:hAnsi="宋体"/>
                <w:b w:val="0"/>
                <w:szCs w:val="21"/>
              </w:rPr>
            </w:pPr>
            <w:r>
              <w:rPr>
                <w:rFonts w:hint="eastAsia" w:ascii="宋体" w:hAnsi="宋体"/>
                <w:b w:val="0"/>
                <w:szCs w:val="21"/>
              </w:rPr>
              <w:t>60#黑火药库</w:t>
            </w:r>
          </w:p>
        </w:tc>
        <w:tc>
          <w:tcPr>
            <w:tcW w:w="4767" w:type="dxa"/>
            <w:vMerge w:val="continue"/>
            <w:vAlign w:val="center"/>
          </w:tcPr>
          <w:p w14:paraId="4C05E3EB">
            <w:pPr>
              <w:adjustRightInd w:val="0"/>
              <w:snapToGrid w:val="0"/>
              <w:jc w:val="center"/>
              <w:rPr>
                <w:rFonts w:ascii="宋体" w:hAnsi="宋体"/>
                <w:b w:val="0"/>
                <w:bCs/>
              </w:rPr>
            </w:pPr>
          </w:p>
        </w:tc>
        <w:tc>
          <w:tcPr>
            <w:tcW w:w="1701" w:type="dxa"/>
            <w:vMerge w:val="continue"/>
            <w:vAlign w:val="center"/>
          </w:tcPr>
          <w:p w14:paraId="2EBC9365">
            <w:pPr>
              <w:adjustRightInd w:val="0"/>
              <w:snapToGrid w:val="0"/>
              <w:jc w:val="center"/>
              <w:rPr>
                <w:rFonts w:ascii="宋体" w:hAnsi="宋体"/>
                <w:b w:val="0"/>
                <w:bCs/>
              </w:rPr>
            </w:pPr>
          </w:p>
        </w:tc>
      </w:tr>
      <w:tr w14:paraId="6B499A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48" w:hRule="exact"/>
        </w:trPr>
        <w:tc>
          <w:tcPr>
            <w:tcW w:w="533" w:type="dxa"/>
            <w:vMerge w:val="continue"/>
            <w:tcBorders>
              <w:right w:val="single" w:color="auto" w:sz="4" w:space="0"/>
            </w:tcBorders>
            <w:textDirection w:val="tbRlV"/>
            <w:vAlign w:val="center"/>
          </w:tcPr>
          <w:p w14:paraId="60D53980">
            <w:pPr>
              <w:adjustRightInd w:val="0"/>
              <w:snapToGrid w:val="0"/>
              <w:ind w:left="113" w:right="113"/>
              <w:jc w:val="center"/>
              <w:rPr>
                <w:rFonts w:ascii="宋体" w:hAnsi="宋体"/>
                <w:b w:val="0"/>
                <w:bCs/>
              </w:rPr>
            </w:pPr>
          </w:p>
        </w:tc>
        <w:tc>
          <w:tcPr>
            <w:tcW w:w="1800" w:type="dxa"/>
            <w:tcBorders>
              <w:left w:val="single" w:color="auto" w:sz="4" w:space="0"/>
            </w:tcBorders>
            <w:vAlign w:val="center"/>
          </w:tcPr>
          <w:p w14:paraId="1DF2FDF6">
            <w:pPr>
              <w:adjustRightInd w:val="0"/>
              <w:snapToGrid w:val="0"/>
              <w:jc w:val="center"/>
              <w:rPr>
                <w:rFonts w:ascii="宋体" w:hAnsi="宋体"/>
                <w:b w:val="0"/>
                <w:bCs/>
              </w:rPr>
            </w:pPr>
            <w:r>
              <w:rPr>
                <w:rFonts w:hint="eastAsia" w:ascii="宋体" w:hAnsi="宋体"/>
                <w:b w:val="0"/>
                <w:szCs w:val="21"/>
              </w:rPr>
              <w:t>61#单基火药库(湿）</w:t>
            </w:r>
          </w:p>
        </w:tc>
        <w:tc>
          <w:tcPr>
            <w:tcW w:w="4767" w:type="dxa"/>
            <w:vMerge w:val="continue"/>
            <w:vAlign w:val="center"/>
          </w:tcPr>
          <w:p w14:paraId="7120811F">
            <w:pPr>
              <w:adjustRightInd w:val="0"/>
              <w:snapToGrid w:val="0"/>
              <w:jc w:val="center"/>
              <w:rPr>
                <w:rFonts w:ascii="宋体" w:hAnsi="宋体"/>
                <w:b w:val="0"/>
                <w:bCs/>
              </w:rPr>
            </w:pPr>
          </w:p>
        </w:tc>
        <w:tc>
          <w:tcPr>
            <w:tcW w:w="1701" w:type="dxa"/>
            <w:vMerge w:val="continue"/>
            <w:vAlign w:val="center"/>
          </w:tcPr>
          <w:p w14:paraId="26CAE364">
            <w:pPr>
              <w:adjustRightInd w:val="0"/>
              <w:snapToGrid w:val="0"/>
              <w:jc w:val="center"/>
              <w:rPr>
                <w:rFonts w:ascii="宋体" w:hAnsi="宋体"/>
                <w:b w:val="0"/>
                <w:bCs/>
              </w:rPr>
            </w:pPr>
          </w:p>
        </w:tc>
      </w:tr>
      <w:tr w14:paraId="0F4921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82" w:hRule="exact"/>
        </w:trPr>
        <w:tc>
          <w:tcPr>
            <w:tcW w:w="533" w:type="dxa"/>
            <w:vMerge w:val="continue"/>
            <w:tcBorders>
              <w:right w:val="single" w:color="auto" w:sz="4" w:space="0"/>
            </w:tcBorders>
            <w:textDirection w:val="tbRlV"/>
            <w:vAlign w:val="center"/>
          </w:tcPr>
          <w:p w14:paraId="1365005E">
            <w:pPr>
              <w:adjustRightInd w:val="0"/>
              <w:snapToGrid w:val="0"/>
              <w:ind w:left="113" w:right="113"/>
              <w:jc w:val="center"/>
              <w:rPr>
                <w:rFonts w:ascii="宋体" w:hAnsi="宋体"/>
                <w:b w:val="0"/>
                <w:bCs/>
              </w:rPr>
            </w:pPr>
          </w:p>
        </w:tc>
        <w:tc>
          <w:tcPr>
            <w:tcW w:w="1800" w:type="dxa"/>
            <w:tcBorders>
              <w:left w:val="single" w:color="auto" w:sz="4" w:space="0"/>
            </w:tcBorders>
            <w:vAlign w:val="center"/>
          </w:tcPr>
          <w:p w14:paraId="218DF912">
            <w:pPr>
              <w:adjustRightInd w:val="0"/>
              <w:snapToGrid w:val="0"/>
              <w:jc w:val="center"/>
              <w:rPr>
                <w:rFonts w:ascii="宋体" w:hAnsi="宋体"/>
                <w:b w:val="0"/>
                <w:bCs/>
              </w:rPr>
            </w:pPr>
            <w:r>
              <w:rPr>
                <w:rFonts w:hint="eastAsia" w:ascii="宋体" w:hAnsi="宋体"/>
                <w:b w:val="0"/>
                <w:szCs w:val="21"/>
              </w:rPr>
              <w:t>62#单基火药库(湿）</w:t>
            </w:r>
          </w:p>
        </w:tc>
        <w:tc>
          <w:tcPr>
            <w:tcW w:w="4767" w:type="dxa"/>
            <w:vMerge w:val="continue"/>
            <w:vAlign w:val="center"/>
          </w:tcPr>
          <w:p w14:paraId="3385A08B">
            <w:pPr>
              <w:adjustRightInd w:val="0"/>
              <w:snapToGrid w:val="0"/>
              <w:jc w:val="center"/>
              <w:rPr>
                <w:rFonts w:ascii="宋体" w:hAnsi="宋体"/>
                <w:b w:val="0"/>
                <w:bCs/>
                <w:szCs w:val="21"/>
              </w:rPr>
            </w:pPr>
          </w:p>
        </w:tc>
        <w:tc>
          <w:tcPr>
            <w:tcW w:w="1701" w:type="dxa"/>
            <w:vMerge w:val="continue"/>
            <w:vAlign w:val="center"/>
          </w:tcPr>
          <w:p w14:paraId="488320CA">
            <w:pPr>
              <w:adjustRightInd w:val="0"/>
              <w:snapToGrid w:val="0"/>
              <w:jc w:val="center"/>
              <w:rPr>
                <w:rFonts w:ascii="宋体" w:hAnsi="宋体"/>
                <w:b w:val="0"/>
                <w:bCs/>
              </w:rPr>
            </w:pPr>
          </w:p>
        </w:tc>
      </w:tr>
      <w:tr w14:paraId="739FBE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5" w:hRule="exact"/>
        </w:trPr>
        <w:tc>
          <w:tcPr>
            <w:tcW w:w="533" w:type="dxa"/>
            <w:vMerge w:val="continue"/>
            <w:tcBorders>
              <w:right w:val="single" w:color="auto" w:sz="4" w:space="0"/>
            </w:tcBorders>
            <w:textDirection w:val="tbRlV"/>
            <w:vAlign w:val="center"/>
          </w:tcPr>
          <w:p w14:paraId="02E31DAF">
            <w:pPr>
              <w:adjustRightInd w:val="0"/>
              <w:snapToGrid w:val="0"/>
              <w:ind w:left="113" w:right="113"/>
              <w:jc w:val="center"/>
              <w:rPr>
                <w:rFonts w:ascii="宋体" w:hAnsi="宋体"/>
                <w:b w:val="0"/>
                <w:bCs/>
              </w:rPr>
            </w:pPr>
          </w:p>
        </w:tc>
        <w:tc>
          <w:tcPr>
            <w:tcW w:w="1800" w:type="dxa"/>
            <w:tcBorders>
              <w:left w:val="single" w:color="auto" w:sz="4" w:space="0"/>
              <w:bottom w:val="single" w:color="000000" w:sz="4" w:space="0"/>
            </w:tcBorders>
            <w:vAlign w:val="center"/>
          </w:tcPr>
          <w:p w14:paraId="737B9CFB">
            <w:pPr>
              <w:adjustRightInd w:val="0"/>
              <w:snapToGrid w:val="0"/>
              <w:jc w:val="center"/>
              <w:rPr>
                <w:rFonts w:ascii="宋体" w:hAnsi="宋体"/>
                <w:b w:val="0"/>
                <w:bCs/>
              </w:rPr>
            </w:pPr>
            <w:r>
              <w:rPr>
                <w:rFonts w:hint="eastAsia" w:ascii="宋体" w:hAnsi="宋体"/>
                <w:b w:val="0"/>
                <w:szCs w:val="21"/>
              </w:rPr>
              <w:t>63#引线库</w:t>
            </w:r>
          </w:p>
        </w:tc>
        <w:tc>
          <w:tcPr>
            <w:tcW w:w="4767" w:type="dxa"/>
            <w:vMerge w:val="continue"/>
            <w:tcBorders>
              <w:bottom w:val="single" w:color="000000" w:sz="4" w:space="0"/>
            </w:tcBorders>
            <w:vAlign w:val="center"/>
          </w:tcPr>
          <w:p w14:paraId="04C65BCA">
            <w:pPr>
              <w:adjustRightInd w:val="0"/>
              <w:snapToGrid w:val="0"/>
              <w:jc w:val="center"/>
              <w:rPr>
                <w:rFonts w:ascii="宋体" w:hAnsi="宋体"/>
                <w:b w:val="0"/>
                <w:bCs/>
                <w:szCs w:val="21"/>
              </w:rPr>
            </w:pPr>
          </w:p>
        </w:tc>
        <w:tc>
          <w:tcPr>
            <w:tcW w:w="1701" w:type="dxa"/>
            <w:vMerge w:val="continue"/>
            <w:tcBorders>
              <w:bottom w:val="single" w:color="000000" w:sz="4" w:space="0"/>
            </w:tcBorders>
            <w:vAlign w:val="center"/>
          </w:tcPr>
          <w:p w14:paraId="45B89973">
            <w:pPr>
              <w:adjustRightInd w:val="0"/>
              <w:snapToGrid w:val="0"/>
              <w:jc w:val="center"/>
              <w:rPr>
                <w:rFonts w:ascii="宋体" w:hAnsi="宋体"/>
                <w:b w:val="0"/>
                <w:bCs/>
              </w:rPr>
            </w:pPr>
          </w:p>
        </w:tc>
      </w:tr>
      <w:tr w14:paraId="281028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09" w:hRule="atLeast"/>
        </w:trPr>
        <w:tc>
          <w:tcPr>
            <w:tcW w:w="8801" w:type="dxa"/>
            <w:gridSpan w:val="4"/>
            <w:vAlign w:val="center"/>
          </w:tcPr>
          <w:p w14:paraId="7A5554C7">
            <w:pPr>
              <w:widowControl/>
              <w:adjustRightInd w:val="0"/>
              <w:snapToGrid w:val="0"/>
              <w:jc w:val="left"/>
              <w:rPr>
                <w:rFonts w:ascii="宋体" w:hAnsi="宋体"/>
                <w:b w:val="0"/>
                <w:szCs w:val="21"/>
              </w:rPr>
            </w:pPr>
            <w:r>
              <w:rPr>
                <w:rFonts w:hint="eastAsia" w:ascii="宋体" w:hAnsi="宋体"/>
                <w:b w:val="0"/>
                <w:szCs w:val="21"/>
              </w:rPr>
              <w:t>注：此处</w:t>
            </w:r>
            <w:r>
              <w:rPr>
                <w:rFonts w:hint="eastAsia" w:ascii="宋体" w:hAnsi="宋体"/>
                <w:szCs w:val="21"/>
              </w:rPr>
              <w:drawing>
                <wp:inline distT="0" distB="0" distL="114300" distR="114300">
                  <wp:extent cx="142875" cy="133350"/>
                  <wp:effectExtent l="0" t="0" r="9525" b="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25"/>
                          <a:stretch>
                            <a:fillRect/>
                          </a:stretch>
                        </pic:blipFill>
                        <pic:spPr>
                          <a:xfrm>
                            <a:off x="0" y="0"/>
                            <a:ext cx="142875" cy="133350"/>
                          </a:xfrm>
                          <a:prstGeom prst="rect">
                            <a:avLst/>
                          </a:prstGeom>
                          <a:noFill/>
                          <a:ln>
                            <a:noFill/>
                          </a:ln>
                        </pic:spPr>
                      </pic:pic>
                    </a:graphicData>
                  </a:graphic>
                </wp:inline>
              </w:drawing>
            </w:r>
            <w:r>
              <w:rPr>
                <w:rFonts w:hint="eastAsia" w:ascii="宋体" w:hAnsi="宋体"/>
                <w:b w:val="0"/>
                <w:szCs w:val="21"/>
              </w:rPr>
              <w:t>取值为2，爆炸品的β取值为2，其他化学品的β取值为1。</w:t>
            </w:r>
          </w:p>
        </w:tc>
      </w:tr>
      <w:bookmarkEnd w:id="318"/>
    </w:tbl>
    <w:p w14:paraId="777E602F">
      <w:pPr>
        <w:spacing w:before="120" w:beforeLines="50" w:line="360" w:lineRule="auto"/>
        <w:ind w:firstLine="560" w:firstLineChars="200"/>
        <w:rPr>
          <w:rFonts w:ascii="宋体" w:hAnsi="宋体"/>
          <w:b w:val="0"/>
          <w:sz w:val="28"/>
          <w:szCs w:val="28"/>
          <w:lang w:val="en-GB"/>
        </w:rPr>
      </w:pPr>
      <w:r>
        <w:rPr>
          <w:rFonts w:hint="eastAsia" w:ascii="宋体" w:hAnsi="宋体"/>
          <w:b w:val="0"/>
          <w:sz w:val="28"/>
          <w:szCs w:val="28"/>
          <w:lang w:val="en-GB"/>
        </w:rPr>
        <w:t>由上述可知：本项目储存单元中药物总库区辨识单元已构成烟花爆竹重大危险源，为四级重大危险源，其他辨识单元均未构成烟花爆竹重大危险源。该烟花爆竹重大危险源的危险因素主要是</w:t>
      </w:r>
      <w:r>
        <w:rPr>
          <w:rFonts w:hint="eastAsia" w:ascii="宋体" w:hAnsi="宋体"/>
          <w:b w:val="0"/>
          <w:sz w:val="28"/>
          <w:szCs w:val="28"/>
        </w:rPr>
        <w:t>火灾和烟花爆竹</w:t>
      </w:r>
      <w:r>
        <w:rPr>
          <w:rFonts w:hint="eastAsia" w:ascii="宋体" w:hAnsi="宋体"/>
          <w:b w:val="0"/>
          <w:sz w:val="28"/>
          <w:szCs w:val="28"/>
          <w:lang w:val="en-GB"/>
        </w:rPr>
        <w:t>爆炸。</w:t>
      </w:r>
    </w:p>
    <w:p w14:paraId="1570C20E">
      <w:pPr>
        <w:spacing w:before="120" w:beforeLines="50" w:line="360" w:lineRule="auto"/>
        <w:outlineLvl w:val="2"/>
        <w:rPr>
          <w:rFonts w:ascii="黑体" w:hAnsi="黑体" w:eastAsia="黑体"/>
          <w:b w:val="0"/>
          <w:sz w:val="30"/>
          <w:szCs w:val="30"/>
        </w:rPr>
      </w:pPr>
      <w:r>
        <w:rPr>
          <w:rFonts w:hint="eastAsia" w:ascii="黑体" w:hAnsi="黑体" w:eastAsia="黑体"/>
          <w:b w:val="0"/>
          <w:sz w:val="30"/>
          <w:szCs w:val="30"/>
        </w:rPr>
        <w:t>3.4.5重大危险源辨识结论</w:t>
      </w:r>
    </w:p>
    <w:p w14:paraId="6F822651">
      <w:pPr>
        <w:spacing w:before="120" w:beforeLines="50" w:line="360" w:lineRule="auto"/>
        <w:ind w:firstLine="560" w:firstLineChars="200"/>
        <w:rPr>
          <w:rFonts w:ascii="宋体" w:hAnsi="宋体"/>
          <w:b w:val="0"/>
          <w:sz w:val="28"/>
          <w:szCs w:val="28"/>
          <w:lang w:val="en-GB"/>
        </w:rPr>
      </w:pPr>
      <w:r>
        <w:rPr>
          <w:rFonts w:hint="eastAsia" w:ascii="宋体" w:hAnsi="宋体"/>
          <w:b w:val="0"/>
          <w:sz w:val="28"/>
          <w:szCs w:val="28"/>
          <w:lang w:val="en-GB"/>
        </w:rPr>
        <w:t>综上分析，本项目储存单元中232#1.1级成品库单元和药物总库区均已构成烟花爆竹重大危险源，为四级重大危险源。</w:t>
      </w:r>
    </w:p>
    <w:p w14:paraId="6E15F652">
      <w:pPr>
        <w:keepNext/>
        <w:keepLines/>
        <w:spacing w:before="120" w:beforeLines="50" w:line="360" w:lineRule="auto"/>
        <w:outlineLvl w:val="1"/>
        <w:rPr>
          <w:rFonts w:ascii="黑体" w:hAnsi="黑体" w:eastAsia="黑体"/>
          <w:b w:val="0"/>
          <w:bCs/>
          <w:snapToGrid w:val="0"/>
          <w:sz w:val="32"/>
          <w:szCs w:val="32"/>
        </w:rPr>
      </w:pPr>
      <w:bookmarkStart w:id="319" w:name="_Toc227869284"/>
      <w:bookmarkStart w:id="320" w:name="_Toc9669"/>
      <w:bookmarkStart w:id="321" w:name="_Toc173077667"/>
      <w:r>
        <w:rPr>
          <w:rFonts w:hint="eastAsia" w:ascii="黑体" w:hAnsi="黑体" w:eastAsia="黑体"/>
          <w:b w:val="0"/>
          <w:bCs/>
          <w:snapToGrid w:val="0"/>
          <w:sz w:val="32"/>
          <w:szCs w:val="32"/>
        </w:rPr>
        <w:t>3.</w:t>
      </w:r>
      <w:r>
        <w:rPr>
          <w:rFonts w:ascii="黑体" w:hAnsi="黑体" w:eastAsia="黑体"/>
          <w:b w:val="0"/>
          <w:bCs/>
          <w:snapToGrid w:val="0"/>
          <w:sz w:val="32"/>
          <w:szCs w:val="32"/>
        </w:rPr>
        <w:t>5</w:t>
      </w:r>
      <w:r>
        <w:rPr>
          <w:rFonts w:hint="eastAsia" w:ascii="黑体" w:hAnsi="黑体" w:eastAsia="黑体"/>
          <w:b w:val="0"/>
          <w:bCs/>
          <w:snapToGrid w:val="0"/>
          <w:sz w:val="32"/>
          <w:szCs w:val="32"/>
        </w:rPr>
        <w:t>工艺过程危险有害因素分析</w:t>
      </w:r>
      <w:bookmarkEnd w:id="290"/>
      <w:bookmarkEnd w:id="291"/>
      <w:bookmarkEnd w:id="292"/>
      <w:bookmarkEnd w:id="293"/>
      <w:bookmarkEnd w:id="319"/>
      <w:bookmarkEnd w:id="320"/>
      <w:bookmarkEnd w:id="321"/>
    </w:p>
    <w:p w14:paraId="770F27D4">
      <w:pPr>
        <w:spacing w:before="120" w:beforeLines="50" w:line="360" w:lineRule="auto"/>
        <w:outlineLvl w:val="2"/>
        <w:rPr>
          <w:rFonts w:ascii="黑体" w:hAnsi="黑体" w:eastAsia="黑体"/>
          <w:b w:val="0"/>
          <w:sz w:val="30"/>
          <w:szCs w:val="30"/>
        </w:rPr>
      </w:pPr>
      <w:bookmarkStart w:id="322" w:name="_Toc294247650"/>
      <w:bookmarkStart w:id="323" w:name="_Toc294247816"/>
      <w:bookmarkStart w:id="324" w:name="_Toc271898754"/>
      <w:bookmarkStart w:id="325" w:name="_Toc173077668"/>
      <w:bookmarkStart w:id="326" w:name="_Toc148036997"/>
      <w:bookmarkStart w:id="327" w:name="_Toc60129109"/>
      <w:bookmarkStart w:id="328" w:name="_Toc181194075"/>
      <w:bookmarkStart w:id="329" w:name="_Toc58946826"/>
      <w:bookmarkStart w:id="330" w:name="_Toc145275202"/>
      <w:bookmarkStart w:id="331" w:name="_Toc58861994"/>
      <w:bookmarkStart w:id="332" w:name="_Toc335902404"/>
      <w:r>
        <w:rPr>
          <w:rFonts w:hint="eastAsia" w:ascii="黑体" w:hAnsi="黑体" w:eastAsia="黑体"/>
          <w:b w:val="0"/>
          <w:sz w:val="30"/>
          <w:szCs w:val="30"/>
        </w:rPr>
        <w:t>3.</w:t>
      </w:r>
      <w:r>
        <w:rPr>
          <w:rFonts w:ascii="黑体" w:hAnsi="黑体" w:eastAsia="黑体"/>
          <w:b w:val="0"/>
          <w:sz w:val="30"/>
          <w:szCs w:val="30"/>
        </w:rPr>
        <w:t>5</w:t>
      </w:r>
      <w:r>
        <w:rPr>
          <w:rFonts w:hint="eastAsia" w:ascii="黑体" w:hAnsi="黑体" w:eastAsia="黑体"/>
          <w:b w:val="0"/>
          <w:sz w:val="30"/>
          <w:szCs w:val="30"/>
        </w:rPr>
        <w:t>.1</w:t>
      </w:r>
      <w:bookmarkEnd w:id="322"/>
      <w:bookmarkEnd w:id="323"/>
      <w:bookmarkEnd w:id="324"/>
      <w:r>
        <w:rPr>
          <w:rFonts w:hint="eastAsia" w:ascii="黑体" w:hAnsi="黑体" w:eastAsia="黑体"/>
          <w:b w:val="0"/>
          <w:sz w:val="30"/>
          <w:szCs w:val="30"/>
        </w:rPr>
        <w:t>工艺过程危险有害因素</w:t>
      </w:r>
      <w:bookmarkEnd w:id="325"/>
      <w:bookmarkEnd w:id="326"/>
      <w:bookmarkEnd w:id="327"/>
      <w:bookmarkEnd w:id="328"/>
      <w:bookmarkEnd w:id="329"/>
      <w:bookmarkEnd w:id="330"/>
      <w:bookmarkEnd w:id="331"/>
      <w:bookmarkEnd w:id="332"/>
    </w:p>
    <w:p w14:paraId="6327A5D5">
      <w:pPr>
        <w:widowControl/>
        <w:spacing w:before="120" w:beforeLines="50" w:line="360" w:lineRule="auto"/>
        <w:ind w:firstLine="560" w:firstLineChars="200"/>
        <w:rPr>
          <w:rFonts w:ascii="宋体" w:hAnsi="宋体"/>
          <w:b w:val="0"/>
          <w:kern w:val="0"/>
          <w:sz w:val="28"/>
        </w:rPr>
      </w:pPr>
      <w:r>
        <w:rPr>
          <w:rFonts w:hint="eastAsia" w:ascii="宋体" w:hAnsi="宋体"/>
          <w:b w:val="0"/>
          <w:kern w:val="0"/>
          <w:sz w:val="28"/>
        </w:rPr>
        <w:t>该企业申请生产：</w:t>
      </w:r>
      <w:r>
        <w:rPr>
          <w:rFonts w:hint="eastAsia" w:ascii="宋体" w:hAnsi="宋体"/>
          <w:b w:val="0"/>
          <w:bCs/>
          <w:sz w:val="28"/>
          <w:szCs w:val="28"/>
        </w:rPr>
        <w:t>喷花类（C1级、C2级、D级）、组合烟花（喷花组合，C1级、C2级、D级））</w:t>
      </w:r>
      <w:r>
        <w:rPr>
          <w:rFonts w:hint="eastAsia" w:ascii="宋体" w:hAnsi="宋体"/>
          <w:b w:val="0"/>
          <w:kern w:val="0"/>
          <w:sz w:val="28"/>
        </w:rPr>
        <w:t>产品，本次评价选择危险性较大的操作工艺进行分析，主要从烟火药制作、各类产品制作工艺及其他工艺等三个方面进行详细分析。主要危险有害因素：整个工艺过程都存在火灾或爆炸等危险。</w:t>
      </w:r>
    </w:p>
    <w:p w14:paraId="69D4D443">
      <w:pPr>
        <w:spacing w:line="360" w:lineRule="auto"/>
        <w:ind w:firstLine="422" w:firstLineChars="150"/>
        <w:rPr>
          <w:rFonts w:ascii="宋体" w:hAnsi="宋体"/>
          <w:bCs/>
          <w:kern w:val="0"/>
          <w:sz w:val="28"/>
          <w:szCs w:val="28"/>
        </w:rPr>
      </w:pPr>
      <w:r>
        <w:rPr>
          <w:rFonts w:hint="eastAsia" w:ascii="宋体" w:hAnsi="宋体"/>
          <w:bCs/>
          <w:kern w:val="0"/>
          <w:sz w:val="28"/>
          <w:szCs w:val="28"/>
        </w:rPr>
        <w:t>一、烟火药制作</w:t>
      </w:r>
    </w:p>
    <w:p w14:paraId="24A8C695">
      <w:pPr>
        <w:spacing w:line="360" w:lineRule="auto"/>
        <w:ind w:firstLine="560" w:firstLineChars="200"/>
        <w:rPr>
          <w:rFonts w:ascii="宋体" w:hAnsi="宋体" w:cs="宋体"/>
          <w:b w:val="0"/>
          <w:sz w:val="28"/>
          <w:szCs w:val="28"/>
        </w:rPr>
      </w:pPr>
      <w:bookmarkStart w:id="333" w:name="_Toc219869624"/>
      <w:r>
        <w:rPr>
          <w:rFonts w:hint="eastAsia" w:ascii="宋体" w:hAnsi="宋体"/>
          <w:b w:val="0"/>
          <w:snapToGrid w:val="0"/>
          <w:sz w:val="28"/>
          <w:szCs w:val="28"/>
        </w:rPr>
        <w:t>烟火药主要由氧化剂与还原剂等组成的通过着火源作用燃烧（爆炸）时能产生声、光、气、色、烟雾等效果的机械混合物。该企业烟火药制作主要是制作喷花药、亮珠药。其主要危险工艺包括：原材料准备、粉碎、称料、机械药混合、单基火药干燥、单基火药包装、造粒、筛选、亮珠干燥、散热、亮珠包装等</w:t>
      </w:r>
      <w:r>
        <w:rPr>
          <w:rFonts w:hint="eastAsia" w:ascii="宋体" w:hAnsi="宋体" w:cs="宋体"/>
          <w:b w:val="0"/>
          <w:sz w:val="28"/>
          <w:szCs w:val="28"/>
        </w:rPr>
        <w:t>。</w:t>
      </w:r>
    </w:p>
    <w:bookmarkEnd w:id="333"/>
    <w:p w14:paraId="6E4E0CFB">
      <w:pPr>
        <w:widowControl/>
        <w:spacing w:line="360" w:lineRule="auto"/>
        <w:ind w:firstLine="422" w:firstLineChars="150"/>
        <w:rPr>
          <w:rFonts w:ascii="宋体" w:hAnsi="宋体"/>
          <w:kern w:val="0"/>
          <w:sz w:val="28"/>
          <w:szCs w:val="20"/>
        </w:rPr>
      </w:pPr>
      <w:bookmarkStart w:id="334" w:name="_Toc294247817"/>
      <w:bookmarkStart w:id="335" w:name="_Toc219869637"/>
      <w:bookmarkStart w:id="336" w:name="_Toc294247651"/>
      <w:r>
        <w:rPr>
          <w:rFonts w:hint="eastAsia" w:ascii="宋体" w:hAnsi="宋体"/>
          <w:kern w:val="0"/>
          <w:sz w:val="28"/>
          <w:szCs w:val="20"/>
        </w:rPr>
        <w:t>（1）原材料准备</w:t>
      </w:r>
    </w:p>
    <w:p w14:paraId="4C670619">
      <w:pPr>
        <w:widowControl/>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①工艺说明</w:t>
      </w:r>
    </w:p>
    <w:p w14:paraId="79442766">
      <w:pPr>
        <w:widowControl/>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原材料准备是在烟火药制作过程称料、配药或配料前进行的一项基础性工作，它包括原材料质量检测、分类并运送到各烟火药生产线的原材料中转间。</w:t>
      </w:r>
    </w:p>
    <w:p w14:paraId="128DAB65">
      <w:pPr>
        <w:widowControl/>
        <w:spacing w:line="360" w:lineRule="auto"/>
        <w:ind w:firstLine="560" w:firstLineChars="200"/>
        <w:rPr>
          <w:rFonts w:ascii="宋体" w:hAnsi="宋体"/>
          <w:b w:val="0"/>
          <w:snapToGrid w:val="0"/>
          <w:sz w:val="28"/>
          <w:szCs w:val="28"/>
        </w:rPr>
      </w:pPr>
      <w:bookmarkStart w:id="337" w:name="_Toc219869625"/>
      <w:r>
        <w:rPr>
          <w:rFonts w:hint="eastAsia" w:ascii="宋体" w:hAnsi="宋体"/>
          <w:b w:val="0"/>
          <w:snapToGrid w:val="0"/>
          <w:sz w:val="28"/>
          <w:szCs w:val="28"/>
        </w:rPr>
        <w:t>②主要危险有害因素</w:t>
      </w:r>
      <w:bookmarkEnd w:id="337"/>
    </w:p>
    <w:p w14:paraId="6C74BE4B">
      <w:pPr>
        <w:widowControl/>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原材料的质量直接关系到产品的性能及安全可靠性。若使用不合格的原材料，会增加药物感度，增大燃烧、爆炸事故发生的可能性。在烟花生产中，原材料若混入了水份、酸性物质，氯酸钾、纯镁粉等禁用（或部分禁用）的原材料，砂子、铁渣等硬颗粒，会增加药物的感度，在生产过程中要特别注意。</w:t>
      </w:r>
    </w:p>
    <w:p w14:paraId="10572957">
      <w:pPr>
        <w:widowControl/>
        <w:spacing w:line="360" w:lineRule="auto"/>
        <w:ind w:firstLine="422" w:firstLineChars="150"/>
        <w:rPr>
          <w:rFonts w:ascii="宋体" w:hAnsi="宋体"/>
          <w:kern w:val="0"/>
          <w:sz w:val="28"/>
          <w:szCs w:val="20"/>
        </w:rPr>
      </w:pPr>
      <w:bookmarkStart w:id="338" w:name="_Toc219869629"/>
      <w:r>
        <w:rPr>
          <w:rFonts w:hint="eastAsia" w:ascii="宋体" w:hAnsi="宋体"/>
          <w:kern w:val="0"/>
          <w:sz w:val="28"/>
          <w:szCs w:val="20"/>
        </w:rPr>
        <w:t>（2）粉碎</w:t>
      </w:r>
    </w:p>
    <w:p w14:paraId="69BE5058">
      <w:pPr>
        <w:pStyle w:val="35"/>
        <w:ind w:firstLine="560"/>
        <w:rPr>
          <w:rFonts w:ascii="宋体" w:hAnsi="宋体" w:eastAsia="宋体"/>
          <w:b w:val="0"/>
          <w:bCs/>
          <w:szCs w:val="28"/>
        </w:rPr>
      </w:pPr>
      <w:r>
        <w:rPr>
          <w:rFonts w:hint="eastAsia" w:ascii="宋体" w:hAnsi="宋体" w:eastAsia="宋体"/>
          <w:b w:val="0"/>
          <w:bCs/>
          <w:szCs w:val="28"/>
        </w:rPr>
        <w:t>①工艺说明</w:t>
      </w:r>
    </w:p>
    <w:p w14:paraId="0D9A4A41">
      <w:pPr>
        <w:pStyle w:val="35"/>
        <w:ind w:firstLine="560"/>
        <w:rPr>
          <w:rFonts w:ascii="宋体" w:hAnsi="宋体" w:eastAsia="宋体"/>
          <w:b w:val="0"/>
          <w:bCs/>
          <w:szCs w:val="28"/>
        </w:rPr>
      </w:pPr>
      <w:r>
        <w:rPr>
          <w:rFonts w:hint="eastAsia" w:ascii="宋体" w:hAnsi="宋体" w:eastAsia="宋体"/>
          <w:b w:val="0"/>
          <w:bCs/>
          <w:szCs w:val="28"/>
        </w:rPr>
        <w:t>粉碎是在原材料准备过程中，将粒状（或结晶）的原料粉碎成粉末状，在药混合前按照烟火药要达到的性能，进行分筛，达到其目数要求。</w:t>
      </w:r>
    </w:p>
    <w:p w14:paraId="430D9BE8">
      <w:pPr>
        <w:pStyle w:val="35"/>
        <w:ind w:firstLine="560"/>
        <w:rPr>
          <w:rFonts w:ascii="宋体" w:hAnsi="宋体" w:eastAsia="宋体"/>
          <w:b w:val="0"/>
          <w:bCs/>
          <w:szCs w:val="28"/>
        </w:rPr>
      </w:pPr>
      <w:r>
        <w:rPr>
          <w:rFonts w:hint="eastAsia" w:ascii="宋体" w:hAnsi="宋体" w:eastAsia="宋体"/>
          <w:b w:val="0"/>
          <w:bCs/>
          <w:szCs w:val="28"/>
        </w:rPr>
        <w:t>②主要危险有害因素</w:t>
      </w:r>
    </w:p>
    <w:p w14:paraId="046F1C90">
      <w:pPr>
        <w:pStyle w:val="35"/>
        <w:widowControl w:val="0"/>
        <w:ind w:firstLine="561"/>
        <w:rPr>
          <w:rFonts w:ascii="宋体" w:hAnsi="宋体" w:eastAsia="宋体"/>
          <w:b w:val="0"/>
          <w:bCs/>
          <w:szCs w:val="28"/>
        </w:rPr>
      </w:pPr>
      <w:r>
        <w:rPr>
          <w:rFonts w:hint="eastAsia" w:ascii="宋体" w:hAnsi="宋体" w:eastAsia="宋体"/>
          <w:b w:val="0"/>
          <w:bCs/>
          <w:spacing w:val="-6"/>
          <w:szCs w:val="28"/>
        </w:rPr>
        <w:t>当粉尘浓度达到爆炸极限存在爆炸危险，电气线路短路引起火灾；存在机械致害、触电等危险有害因素。如粉碎多种原料时，在粉碎前未清洗粉碎机，可能会引起不同物质之间的反应，产生燃烧和爆炸</w:t>
      </w:r>
      <w:r>
        <w:rPr>
          <w:rFonts w:hint="eastAsia" w:ascii="宋体" w:hAnsi="宋体" w:eastAsia="宋体"/>
          <w:b w:val="0"/>
          <w:bCs/>
          <w:szCs w:val="28"/>
        </w:rPr>
        <w:t>。</w:t>
      </w:r>
    </w:p>
    <w:p w14:paraId="483E965B">
      <w:pPr>
        <w:widowControl/>
        <w:spacing w:line="360" w:lineRule="auto"/>
        <w:ind w:firstLine="422" w:firstLineChars="150"/>
        <w:rPr>
          <w:rFonts w:ascii="宋体" w:hAnsi="宋体"/>
          <w:kern w:val="0"/>
          <w:sz w:val="28"/>
          <w:szCs w:val="20"/>
        </w:rPr>
      </w:pPr>
      <w:r>
        <w:rPr>
          <w:rFonts w:hint="eastAsia" w:ascii="宋体" w:hAnsi="宋体"/>
          <w:kern w:val="0"/>
          <w:sz w:val="28"/>
          <w:szCs w:val="20"/>
        </w:rPr>
        <w:t>（3）称料</w:t>
      </w:r>
      <w:bookmarkEnd w:id="338"/>
    </w:p>
    <w:p w14:paraId="6CB8AD57">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①工艺说明</w:t>
      </w:r>
    </w:p>
    <w:p w14:paraId="48E446DA">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称料是将烟火药需要的几种原料根据配比进行称量的过程。</w:t>
      </w:r>
    </w:p>
    <w:p w14:paraId="0BA24EE7">
      <w:pPr>
        <w:spacing w:line="360" w:lineRule="auto"/>
        <w:ind w:firstLine="560" w:firstLineChars="200"/>
        <w:rPr>
          <w:rFonts w:ascii="宋体" w:hAnsi="宋体"/>
          <w:b w:val="0"/>
          <w:snapToGrid w:val="0"/>
          <w:sz w:val="28"/>
          <w:szCs w:val="28"/>
        </w:rPr>
      </w:pPr>
      <w:bookmarkStart w:id="339" w:name="_Toc219869630"/>
      <w:r>
        <w:rPr>
          <w:rFonts w:hint="eastAsia" w:ascii="宋体" w:hAnsi="宋体"/>
          <w:b w:val="0"/>
          <w:snapToGrid w:val="0"/>
          <w:sz w:val="28"/>
          <w:szCs w:val="28"/>
        </w:rPr>
        <w:t>②主要危险有害因素</w:t>
      </w:r>
      <w:bookmarkEnd w:id="339"/>
    </w:p>
    <w:p w14:paraId="5D78C8DD">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原材料质量问题，特别是铝镁合金粉有受潮发热现象未被察觉，称料时将多种原料混装在同一器具内，氧化剂与还原剂发生反应有火灾、爆炸危险；粉尘健康危害。</w:t>
      </w:r>
    </w:p>
    <w:p w14:paraId="3B6F04C4">
      <w:pPr>
        <w:widowControl/>
        <w:spacing w:line="360" w:lineRule="auto"/>
        <w:ind w:firstLine="422" w:firstLineChars="150"/>
        <w:rPr>
          <w:rFonts w:ascii="宋体" w:hAnsi="宋体"/>
          <w:kern w:val="0"/>
          <w:sz w:val="28"/>
          <w:szCs w:val="20"/>
        </w:rPr>
      </w:pPr>
      <w:r>
        <w:rPr>
          <w:rFonts w:hint="eastAsia" w:ascii="宋体" w:hAnsi="宋体"/>
          <w:kern w:val="0"/>
          <w:sz w:val="28"/>
          <w:szCs w:val="20"/>
        </w:rPr>
        <w:t>（4）机械药混合</w:t>
      </w:r>
    </w:p>
    <w:p w14:paraId="6AF377D2">
      <w:pPr>
        <w:spacing w:line="360" w:lineRule="auto"/>
        <w:ind w:firstLine="560" w:firstLineChars="200"/>
        <w:rPr>
          <w:rFonts w:ascii="宋体" w:hAnsi="宋体"/>
          <w:b w:val="0"/>
          <w:snapToGrid w:val="0"/>
          <w:sz w:val="28"/>
          <w:szCs w:val="28"/>
        </w:rPr>
      </w:pPr>
      <w:bookmarkStart w:id="340" w:name="_Toc219869633"/>
      <w:r>
        <w:rPr>
          <w:rFonts w:hint="eastAsia" w:ascii="宋体" w:hAnsi="宋体"/>
          <w:b w:val="0"/>
          <w:snapToGrid w:val="0"/>
          <w:sz w:val="28"/>
          <w:szCs w:val="28"/>
        </w:rPr>
        <w:t>①工艺说明</w:t>
      </w:r>
      <w:bookmarkEnd w:id="340"/>
    </w:p>
    <w:p w14:paraId="283F2995">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机械药混合是将称料后的各种化工原材料采用机械混合成具有各种特定效果的烟火药，该企业药混合主要是喷花、亮珠用原料药。</w:t>
      </w:r>
    </w:p>
    <w:p w14:paraId="4C1E4B50">
      <w:pPr>
        <w:spacing w:line="360" w:lineRule="auto"/>
        <w:ind w:firstLine="560" w:firstLineChars="200"/>
        <w:rPr>
          <w:rFonts w:ascii="宋体" w:hAnsi="宋体"/>
          <w:b w:val="0"/>
          <w:snapToGrid w:val="0"/>
          <w:sz w:val="28"/>
          <w:szCs w:val="28"/>
        </w:rPr>
      </w:pPr>
      <w:bookmarkStart w:id="341" w:name="_Toc219869634"/>
      <w:r>
        <w:rPr>
          <w:rFonts w:hint="eastAsia" w:ascii="宋体" w:hAnsi="宋体"/>
          <w:b w:val="0"/>
          <w:snapToGrid w:val="0"/>
          <w:sz w:val="28"/>
          <w:szCs w:val="28"/>
        </w:rPr>
        <w:t>②主要危险有害因素</w:t>
      </w:r>
      <w:bookmarkEnd w:id="341"/>
    </w:p>
    <w:p w14:paraId="556D206E">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铝粉、铝镁合金粉等物质受潮发热引起火灾、爆炸；原材料含有杂质混合摩擦产生静电引起火灾、爆炸；混合药前原料未经单独粉碎过筛完全，中、大颗粒药物在混合过程中破碎时有引起燃烧爆炸的危险；设备接地电阻不达标，操作人员自身静电未消除，因静电引燃引爆药物而发生火灾爆炸危险；与药物有接触的运动零部件与其他零部件产生相对运动，传动部位（如齿轮、链轮）无防护罩或密封不严，药尘进入传动部位，因设备运转摩擦而发生火灾、爆炸危险；自动控制系统失灵，自动报警装置失效，设备在失控状态下，因摩擦、撞击、静电、电气火花发生火灾爆炸危险；设备维修时，未清理设备内的药物、药尘，在拆卸过程中，因摩擦、撞击而引燃积聚在机器、设备内的药物而发生火灾爆炸危险；粉尘健康危害，机械致害。</w:t>
      </w:r>
    </w:p>
    <w:bookmarkEnd w:id="294"/>
    <w:bookmarkEnd w:id="334"/>
    <w:bookmarkEnd w:id="335"/>
    <w:bookmarkEnd w:id="336"/>
    <w:p w14:paraId="5A7A9642">
      <w:pPr>
        <w:spacing w:line="360" w:lineRule="auto"/>
        <w:ind w:firstLine="562" w:firstLineChars="200"/>
        <w:rPr>
          <w:rFonts w:ascii="宋体" w:hAnsi="宋体"/>
          <w:kern w:val="0"/>
          <w:sz w:val="28"/>
          <w:szCs w:val="28"/>
        </w:rPr>
      </w:pPr>
      <w:bookmarkStart w:id="342" w:name="OLE_LINK8"/>
      <w:bookmarkStart w:id="343" w:name="OLE_LINK15"/>
      <w:r>
        <w:rPr>
          <w:rFonts w:hint="eastAsia" w:ascii="宋体" w:hAnsi="宋体"/>
          <w:kern w:val="0"/>
          <w:sz w:val="28"/>
          <w:szCs w:val="28"/>
        </w:rPr>
        <w:t>（5）单基火药干燥</w:t>
      </w:r>
    </w:p>
    <w:p w14:paraId="73CDD57A">
      <w:pPr>
        <w:pStyle w:val="35"/>
        <w:widowControl w:val="0"/>
        <w:ind w:left="561" w:firstLine="0"/>
        <w:rPr>
          <w:rFonts w:ascii="宋体" w:hAnsi="宋体" w:eastAsia="宋体"/>
          <w:b w:val="0"/>
          <w:color w:val="000000"/>
          <w:szCs w:val="28"/>
        </w:rPr>
      </w:pPr>
      <w:r>
        <w:rPr>
          <w:rFonts w:hint="eastAsia" w:ascii="宋体" w:hAnsi="宋体" w:eastAsia="宋体"/>
          <w:b w:val="0"/>
          <w:color w:val="000000"/>
          <w:szCs w:val="28"/>
        </w:rPr>
        <w:t>①工艺说明</w:t>
      </w:r>
    </w:p>
    <w:p w14:paraId="5253E159">
      <w:pPr>
        <w:pStyle w:val="35"/>
        <w:widowControl w:val="0"/>
        <w:ind w:firstLine="560" w:firstLineChars="200"/>
        <w:rPr>
          <w:rFonts w:ascii="宋体" w:hAnsi="宋体" w:eastAsia="宋体"/>
          <w:b w:val="0"/>
          <w:color w:val="000000"/>
          <w:szCs w:val="28"/>
        </w:rPr>
      </w:pPr>
      <w:r>
        <w:rPr>
          <w:rFonts w:hint="eastAsia" w:ascii="宋体" w:hAnsi="宋体" w:eastAsia="宋体"/>
          <w:b w:val="0"/>
          <w:color w:val="000000"/>
          <w:szCs w:val="28"/>
        </w:rPr>
        <w:t>单基火药干燥是去除溶剂（如乙醇、乙醚等）及水分，使火药达到稳定的理化性能。保证火药机械强度、燃烧速度和储存安全性。</w:t>
      </w:r>
    </w:p>
    <w:p w14:paraId="57A4D501">
      <w:pPr>
        <w:pStyle w:val="35"/>
        <w:widowControl w:val="0"/>
        <w:rPr>
          <w:rFonts w:ascii="宋体" w:hAnsi="宋体" w:eastAsia="宋体"/>
          <w:b w:val="0"/>
          <w:color w:val="000000"/>
          <w:szCs w:val="28"/>
        </w:rPr>
      </w:pPr>
      <w:bookmarkStart w:id="344" w:name="OLE_LINK16"/>
      <w:bookmarkStart w:id="345" w:name="OLE_LINK17"/>
      <w:r>
        <w:rPr>
          <w:rFonts w:hint="eastAsia" w:ascii="宋体" w:hAnsi="宋体" w:eastAsia="宋体"/>
          <w:b w:val="0"/>
          <w:color w:val="000000"/>
          <w:szCs w:val="28"/>
        </w:rPr>
        <w:t>②主要危险有害因素</w:t>
      </w:r>
    </w:p>
    <w:bookmarkEnd w:id="344"/>
    <w:bookmarkEnd w:id="345"/>
    <w:p w14:paraId="07CD92AE">
      <w:pPr>
        <w:spacing w:line="360" w:lineRule="auto"/>
        <w:ind w:firstLine="560" w:firstLineChars="200"/>
        <w:rPr>
          <w:rFonts w:ascii="宋体" w:hAnsi="宋体"/>
          <w:b w:val="0"/>
          <w:bCs/>
          <w:kern w:val="0"/>
          <w:sz w:val="28"/>
          <w:szCs w:val="28"/>
        </w:rPr>
      </w:pPr>
      <w:r>
        <w:rPr>
          <w:rFonts w:hint="eastAsia" w:ascii="宋体" w:hAnsi="宋体"/>
          <w:b w:val="0"/>
          <w:bCs/>
          <w:kern w:val="0"/>
          <w:sz w:val="28"/>
          <w:szCs w:val="28"/>
        </w:rPr>
        <w:t>进行日光直晒时因气温过高，有引起药物燃烧爆炸的危险。晒场场地不平整且混入杂质在收取的过程中可产生燃烧爆炸危险。在非专用晒场晾晒药物或因晒场与生产场所、仓库距离不符合安全要求，有增大危险的可能。晒场无专人管理，可增大发生意外的可能。</w:t>
      </w:r>
    </w:p>
    <w:bookmarkEnd w:id="342"/>
    <w:bookmarkEnd w:id="343"/>
    <w:p w14:paraId="5D1BC2EA">
      <w:pPr>
        <w:spacing w:line="360" w:lineRule="auto"/>
        <w:ind w:firstLine="562" w:firstLineChars="200"/>
        <w:rPr>
          <w:rFonts w:ascii="宋体" w:hAnsi="宋体"/>
          <w:kern w:val="0"/>
          <w:sz w:val="28"/>
          <w:szCs w:val="28"/>
        </w:rPr>
      </w:pPr>
      <w:r>
        <w:rPr>
          <w:rFonts w:hint="eastAsia" w:ascii="宋体" w:hAnsi="宋体"/>
          <w:kern w:val="0"/>
          <w:sz w:val="28"/>
          <w:szCs w:val="28"/>
        </w:rPr>
        <w:t>（6）单基火药包装</w:t>
      </w:r>
    </w:p>
    <w:p w14:paraId="44482A24">
      <w:pPr>
        <w:pStyle w:val="35"/>
        <w:widowControl w:val="0"/>
        <w:ind w:left="561" w:firstLine="0"/>
        <w:rPr>
          <w:rFonts w:ascii="宋体" w:hAnsi="宋体" w:eastAsia="宋体"/>
          <w:b w:val="0"/>
          <w:color w:val="000000"/>
          <w:szCs w:val="28"/>
        </w:rPr>
      </w:pPr>
      <w:r>
        <w:rPr>
          <w:rFonts w:hint="eastAsia" w:ascii="宋体" w:hAnsi="宋体" w:eastAsia="宋体"/>
          <w:b w:val="0"/>
          <w:color w:val="000000"/>
          <w:szCs w:val="28"/>
        </w:rPr>
        <w:t>①工艺说明</w:t>
      </w:r>
    </w:p>
    <w:p w14:paraId="61A0E9AA">
      <w:pPr>
        <w:pStyle w:val="35"/>
        <w:widowControl w:val="0"/>
        <w:ind w:firstLine="560" w:firstLineChars="200"/>
        <w:rPr>
          <w:rFonts w:ascii="宋体" w:hAnsi="宋体" w:eastAsia="宋体"/>
          <w:b w:val="0"/>
          <w:color w:val="000000"/>
          <w:szCs w:val="28"/>
        </w:rPr>
      </w:pPr>
      <w:r>
        <w:rPr>
          <w:rFonts w:hint="eastAsia" w:ascii="宋体" w:hAnsi="宋体" w:eastAsia="宋体"/>
          <w:b w:val="0"/>
          <w:color w:val="000000"/>
          <w:szCs w:val="28"/>
        </w:rPr>
        <w:t>单基火药包装是将干燥合格后的单基火药进行规整分装、密封封装、贴标入库的工序，通过规范包装作业隔绝外界潮气、杂质、静电及机械摩擦影响，稳定火药理化性能，保障火药储存稳定性、运输安全性。</w:t>
      </w:r>
    </w:p>
    <w:p w14:paraId="137B1725">
      <w:pPr>
        <w:pStyle w:val="35"/>
        <w:widowControl w:val="0"/>
        <w:rPr>
          <w:rFonts w:ascii="宋体" w:hAnsi="宋体" w:eastAsia="宋体"/>
          <w:b w:val="0"/>
          <w:color w:val="000000"/>
          <w:szCs w:val="28"/>
        </w:rPr>
      </w:pPr>
      <w:r>
        <w:rPr>
          <w:rFonts w:hint="eastAsia" w:ascii="宋体" w:hAnsi="宋体" w:eastAsia="宋体"/>
          <w:b w:val="0"/>
          <w:color w:val="000000"/>
          <w:szCs w:val="28"/>
        </w:rPr>
        <w:t>②主要危险有害因素</w:t>
      </w:r>
    </w:p>
    <w:p w14:paraId="563D8BB5">
      <w:pPr>
        <w:pStyle w:val="35"/>
        <w:widowControl w:val="0"/>
        <w:ind w:firstLine="560" w:firstLineChars="200"/>
        <w:rPr>
          <w:rFonts w:ascii="宋体" w:hAnsi="宋体" w:eastAsia="宋体"/>
          <w:b w:val="0"/>
          <w:color w:val="000000"/>
          <w:szCs w:val="28"/>
        </w:rPr>
      </w:pPr>
      <w:r>
        <w:rPr>
          <w:rFonts w:hint="eastAsia" w:ascii="宋体" w:hAnsi="宋体" w:eastAsia="宋体"/>
          <w:b w:val="0"/>
          <w:color w:val="000000"/>
          <w:szCs w:val="28"/>
        </w:rPr>
        <w:t>包装作业过程中操作不规范、物料摩擦撞击，易产生机械作用能量，存在引发药物燃烧爆炸的危险；包装工位不洁净、混入硬质杂质，在装药、封袋、堆叠过程中易摩擦撞击药剂，引发燃爆风险。包装作业未在专用防静电工房内开展、作业环境不符合安全规范，会大幅增大药物意外燃爆风险。作业人员未穿戴防静电劳保用品、操作动作粗暴，易产生静电及机械冲击，诱发安全事故。</w:t>
      </w:r>
    </w:p>
    <w:p w14:paraId="6C2890A3">
      <w:pPr>
        <w:spacing w:line="360" w:lineRule="auto"/>
        <w:ind w:firstLine="562" w:firstLineChars="200"/>
        <w:rPr>
          <w:rFonts w:ascii="宋体" w:hAnsi="宋体"/>
          <w:kern w:val="0"/>
          <w:sz w:val="28"/>
          <w:szCs w:val="28"/>
        </w:rPr>
      </w:pPr>
      <w:r>
        <w:rPr>
          <w:rFonts w:hint="eastAsia" w:ascii="宋体" w:hAnsi="宋体"/>
          <w:kern w:val="0"/>
          <w:sz w:val="28"/>
          <w:szCs w:val="28"/>
        </w:rPr>
        <w:t>（7）造粒</w:t>
      </w:r>
    </w:p>
    <w:p w14:paraId="4C2C058A">
      <w:pPr>
        <w:pStyle w:val="35"/>
        <w:widowControl w:val="0"/>
        <w:ind w:firstLine="560" w:firstLineChars="200"/>
        <w:rPr>
          <w:rFonts w:ascii="宋体" w:hAnsi="宋体" w:eastAsia="宋体"/>
          <w:b w:val="0"/>
          <w:color w:val="000000"/>
          <w:szCs w:val="28"/>
        </w:rPr>
      </w:pPr>
      <w:r>
        <w:rPr>
          <w:rFonts w:hint="eastAsia" w:ascii="宋体" w:hAnsi="宋体" w:eastAsia="宋体"/>
          <w:b w:val="0"/>
          <w:color w:val="000000"/>
          <w:szCs w:val="28"/>
        </w:rPr>
        <w:t>①工艺说明</w:t>
      </w:r>
    </w:p>
    <w:p w14:paraId="7D7F1E8E">
      <w:pPr>
        <w:pStyle w:val="35"/>
        <w:widowControl w:val="0"/>
        <w:ind w:firstLine="560" w:firstLineChars="200"/>
        <w:rPr>
          <w:rFonts w:ascii="宋体" w:hAnsi="宋体" w:eastAsia="宋体"/>
          <w:b w:val="0"/>
          <w:color w:val="000000"/>
          <w:szCs w:val="28"/>
        </w:rPr>
      </w:pPr>
      <w:r>
        <w:rPr>
          <w:rFonts w:hint="eastAsia" w:ascii="宋体" w:hAnsi="宋体" w:eastAsia="宋体"/>
          <w:b w:val="0"/>
          <w:color w:val="000000"/>
          <w:szCs w:val="28"/>
        </w:rPr>
        <w:t>造粒是利用混合好的烟火药原料加水、粘合剂在造粒机罐内搅拌，使之成为具有特定效果的粒状效果件（亮珠）。</w:t>
      </w:r>
    </w:p>
    <w:p w14:paraId="581D03F8">
      <w:pPr>
        <w:pStyle w:val="35"/>
        <w:widowControl w:val="0"/>
        <w:ind w:firstLine="560" w:firstLineChars="200"/>
        <w:rPr>
          <w:rFonts w:ascii="宋体" w:hAnsi="宋体" w:eastAsia="宋体"/>
          <w:b w:val="0"/>
          <w:color w:val="000000"/>
          <w:szCs w:val="28"/>
        </w:rPr>
      </w:pPr>
      <w:bookmarkStart w:id="346" w:name="_Toc219869638"/>
      <w:r>
        <w:rPr>
          <w:rFonts w:hint="eastAsia" w:ascii="宋体" w:hAnsi="宋体" w:eastAsia="宋体"/>
          <w:b w:val="0"/>
          <w:color w:val="000000"/>
          <w:szCs w:val="28"/>
        </w:rPr>
        <w:t>②主要危险有害因素</w:t>
      </w:r>
      <w:bookmarkEnd w:id="346"/>
    </w:p>
    <w:p w14:paraId="18EDDA55">
      <w:pPr>
        <w:pStyle w:val="35"/>
        <w:widowControl w:val="0"/>
        <w:ind w:firstLine="560" w:firstLineChars="200"/>
        <w:rPr>
          <w:rFonts w:ascii="宋体" w:hAnsi="宋体" w:eastAsia="宋体"/>
          <w:b w:val="0"/>
          <w:color w:val="000000"/>
          <w:szCs w:val="28"/>
        </w:rPr>
      </w:pPr>
      <w:r>
        <w:rPr>
          <w:rFonts w:hint="eastAsia" w:ascii="宋体" w:hAnsi="宋体" w:eastAsia="宋体"/>
          <w:b w:val="0"/>
          <w:color w:val="000000"/>
          <w:szCs w:val="28"/>
        </w:rPr>
        <w:t>摩擦、撞击、静电引起的火灾、爆炸危险。电气线路短路引起电气火灾引发爆炸；造粒机传动轴处有空隙，粉尘渗入电动机房（非防爆电机）引发电气设备爆炸；粉尘健康危害；机械致害。</w:t>
      </w:r>
    </w:p>
    <w:p w14:paraId="2C24BFF8">
      <w:pPr>
        <w:spacing w:line="360" w:lineRule="auto"/>
        <w:ind w:firstLine="562" w:firstLineChars="200"/>
        <w:rPr>
          <w:rFonts w:ascii="宋体" w:hAnsi="宋体"/>
          <w:kern w:val="0"/>
          <w:sz w:val="28"/>
          <w:szCs w:val="28"/>
        </w:rPr>
      </w:pPr>
      <w:r>
        <w:rPr>
          <w:rFonts w:hint="eastAsia" w:ascii="宋体" w:hAnsi="宋体"/>
          <w:kern w:val="0"/>
          <w:sz w:val="28"/>
          <w:szCs w:val="28"/>
        </w:rPr>
        <w:t>（8）筛选</w:t>
      </w:r>
    </w:p>
    <w:p w14:paraId="72868A64">
      <w:pPr>
        <w:pStyle w:val="35"/>
        <w:widowControl w:val="0"/>
        <w:ind w:firstLine="560" w:firstLineChars="200"/>
        <w:rPr>
          <w:rFonts w:ascii="宋体" w:hAnsi="宋体" w:eastAsia="宋体"/>
          <w:b w:val="0"/>
          <w:color w:val="000000"/>
          <w:szCs w:val="28"/>
        </w:rPr>
      </w:pPr>
      <w:r>
        <w:rPr>
          <w:rFonts w:hint="eastAsia" w:ascii="宋体" w:hAnsi="宋体" w:eastAsia="宋体"/>
          <w:b w:val="0"/>
          <w:color w:val="000000"/>
          <w:szCs w:val="28"/>
        </w:rPr>
        <w:t>①工艺说明</w:t>
      </w:r>
    </w:p>
    <w:p w14:paraId="620BDC7C">
      <w:pPr>
        <w:pStyle w:val="35"/>
        <w:widowControl w:val="0"/>
        <w:ind w:firstLine="560" w:firstLineChars="200"/>
        <w:rPr>
          <w:rFonts w:ascii="宋体" w:hAnsi="宋体" w:eastAsia="宋体"/>
          <w:b w:val="0"/>
          <w:color w:val="000000"/>
          <w:szCs w:val="28"/>
        </w:rPr>
      </w:pPr>
      <w:r>
        <w:rPr>
          <w:rFonts w:hint="eastAsia" w:ascii="宋体" w:hAnsi="宋体" w:eastAsia="宋体"/>
          <w:b w:val="0"/>
          <w:color w:val="000000"/>
          <w:szCs w:val="28"/>
        </w:rPr>
        <w:t>筛选是将造成粒后的亮珠根据实际需要进行分级筛选。</w:t>
      </w:r>
    </w:p>
    <w:p w14:paraId="6C34C697">
      <w:pPr>
        <w:pStyle w:val="35"/>
        <w:widowControl w:val="0"/>
        <w:ind w:firstLine="560" w:firstLineChars="200"/>
        <w:rPr>
          <w:rFonts w:ascii="宋体" w:hAnsi="宋体" w:eastAsia="宋体"/>
          <w:b w:val="0"/>
          <w:color w:val="000000"/>
          <w:szCs w:val="28"/>
        </w:rPr>
      </w:pPr>
      <w:r>
        <w:rPr>
          <w:rFonts w:hint="eastAsia" w:ascii="宋体" w:hAnsi="宋体" w:eastAsia="宋体"/>
          <w:b w:val="0"/>
          <w:color w:val="000000"/>
          <w:szCs w:val="28"/>
        </w:rPr>
        <w:t>②主要危险有害因素</w:t>
      </w:r>
    </w:p>
    <w:p w14:paraId="5AEE5F62">
      <w:pPr>
        <w:pStyle w:val="35"/>
        <w:widowControl w:val="0"/>
        <w:ind w:firstLine="560" w:firstLineChars="200"/>
        <w:rPr>
          <w:rFonts w:ascii="宋体" w:hAnsi="宋体" w:eastAsia="宋体"/>
          <w:b w:val="0"/>
          <w:color w:val="000000"/>
          <w:szCs w:val="28"/>
        </w:rPr>
      </w:pPr>
      <w:r>
        <w:rPr>
          <w:rFonts w:hint="eastAsia" w:ascii="宋体" w:hAnsi="宋体" w:eastAsia="宋体"/>
          <w:b w:val="0"/>
          <w:color w:val="000000"/>
          <w:szCs w:val="28"/>
        </w:rPr>
        <w:t>摩擦、撞击、静电引起的火灾、爆炸危险。</w:t>
      </w:r>
    </w:p>
    <w:p w14:paraId="68108866">
      <w:pPr>
        <w:spacing w:line="360" w:lineRule="auto"/>
        <w:ind w:firstLine="562" w:firstLineChars="200"/>
        <w:rPr>
          <w:rFonts w:ascii="宋体" w:hAnsi="宋体"/>
          <w:kern w:val="0"/>
          <w:sz w:val="28"/>
          <w:szCs w:val="28"/>
        </w:rPr>
      </w:pPr>
      <w:r>
        <w:rPr>
          <w:rFonts w:hint="eastAsia" w:ascii="宋体" w:hAnsi="宋体"/>
          <w:kern w:val="0"/>
          <w:sz w:val="28"/>
          <w:szCs w:val="28"/>
        </w:rPr>
        <w:t>（9）亮珠干燥</w:t>
      </w:r>
    </w:p>
    <w:p w14:paraId="1EA54AC1">
      <w:pPr>
        <w:pStyle w:val="35"/>
        <w:widowControl w:val="0"/>
        <w:ind w:firstLine="560" w:firstLineChars="200"/>
        <w:rPr>
          <w:rFonts w:ascii="宋体" w:hAnsi="宋体" w:eastAsia="宋体"/>
          <w:b w:val="0"/>
          <w:color w:val="000000"/>
          <w:szCs w:val="28"/>
        </w:rPr>
      </w:pPr>
      <w:r>
        <w:rPr>
          <w:rFonts w:hint="eastAsia" w:ascii="宋体" w:hAnsi="宋体" w:eastAsia="宋体"/>
          <w:b w:val="0"/>
          <w:color w:val="000000"/>
          <w:szCs w:val="28"/>
        </w:rPr>
        <w:t>①工艺说明</w:t>
      </w:r>
    </w:p>
    <w:p w14:paraId="76AF3328">
      <w:pPr>
        <w:pStyle w:val="35"/>
        <w:widowControl w:val="0"/>
        <w:ind w:firstLine="560" w:firstLineChars="200"/>
        <w:rPr>
          <w:rFonts w:ascii="宋体" w:hAnsi="宋体" w:eastAsia="宋体"/>
          <w:b w:val="0"/>
          <w:color w:val="000000"/>
          <w:szCs w:val="28"/>
          <w:lang w:val="en-GB"/>
        </w:rPr>
      </w:pPr>
      <w:r>
        <w:rPr>
          <w:rFonts w:hint="eastAsia" w:ascii="宋体" w:hAnsi="宋体" w:eastAsia="宋体"/>
          <w:b w:val="0"/>
          <w:color w:val="000000"/>
          <w:szCs w:val="28"/>
          <w:lang w:val="en-GB"/>
        </w:rPr>
        <w:t>该企业</w:t>
      </w:r>
      <w:r>
        <w:rPr>
          <w:rFonts w:hint="eastAsia" w:ascii="宋体" w:hAnsi="宋体" w:eastAsia="宋体"/>
          <w:b w:val="0"/>
          <w:color w:val="000000"/>
          <w:szCs w:val="28"/>
        </w:rPr>
        <w:t>亮珠</w:t>
      </w:r>
      <w:r>
        <w:rPr>
          <w:rFonts w:hint="eastAsia" w:ascii="宋体" w:hAnsi="宋体" w:eastAsia="宋体"/>
          <w:b w:val="0"/>
          <w:color w:val="000000"/>
          <w:szCs w:val="28"/>
          <w:lang w:val="en-GB"/>
        </w:rPr>
        <w:t>干燥</w:t>
      </w:r>
      <w:r>
        <w:rPr>
          <w:rFonts w:hint="eastAsia" w:ascii="宋体" w:hAnsi="宋体" w:eastAsia="宋体"/>
          <w:b w:val="0"/>
          <w:color w:val="000000"/>
          <w:szCs w:val="28"/>
        </w:rPr>
        <w:t>方式为</w:t>
      </w:r>
      <w:r>
        <w:rPr>
          <w:rFonts w:hint="eastAsia" w:ascii="宋体" w:hAnsi="宋体" w:eastAsia="宋体"/>
          <w:b w:val="0"/>
          <w:color w:val="000000"/>
          <w:szCs w:val="28"/>
          <w:lang w:val="en-GB"/>
        </w:rPr>
        <w:t>热能干燥，是将制作好的效果件采用加温吸热使之内部水分蒸发，达到所要求的干燥程度（含水量）。该企业</w:t>
      </w:r>
      <w:r>
        <w:rPr>
          <w:rFonts w:hint="eastAsia" w:ascii="宋体" w:hAnsi="宋体" w:eastAsia="宋体"/>
          <w:b w:val="0"/>
          <w:color w:val="000000"/>
          <w:szCs w:val="28"/>
        </w:rPr>
        <w:t>设置有</w:t>
      </w:r>
      <w:r>
        <w:rPr>
          <w:rFonts w:hint="eastAsia" w:ascii="宋体" w:hAnsi="宋体" w:eastAsia="宋体"/>
          <w:b w:val="0"/>
          <w:color w:val="000000"/>
          <w:szCs w:val="28"/>
          <w:lang w:val="en-GB"/>
        </w:rPr>
        <w:t>电烘房，亮珠干燥形式采用热能干燥。</w:t>
      </w:r>
    </w:p>
    <w:p w14:paraId="09FCA7C1">
      <w:pPr>
        <w:pStyle w:val="35"/>
        <w:widowControl w:val="0"/>
        <w:ind w:firstLine="560" w:firstLineChars="200"/>
        <w:rPr>
          <w:rFonts w:ascii="宋体" w:hAnsi="宋体" w:eastAsia="宋体"/>
          <w:b w:val="0"/>
          <w:color w:val="000000"/>
          <w:szCs w:val="28"/>
        </w:rPr>
      </w:pPr>
      <w:r>
        <w:rPr>
          <w:rFonts w:hint="eastAsia" w:ascii="宋体" w:hAnsi="宋体" w:eastAsia="宋体"/>
          <w:b w:val="0"/>
          <w:color w:val="000000"/>
          <w:szCs w:val="28"/>
        </w:rPr>
        <w:t>②主要危险有害因素</w:t>
      </w:r>
    </w:p>
    <w:p w14:paraId="1E7B1D70">
      <w:pPr>
        <w:pStyle w:val="35"/>
        <w:widowControl w:val="0"/>
        <w:ind w:firstLine="560" w:firstLineChars="200"/>
        <w:rPr>
          <w:rFonts w:ascii="宋体" w:hAnsi="宋体" w:eastAsia="宋体"/>
          <w:b w:val="0"/>
          <w:color w:val="000000"/>
          <w:szCs w:val="28"/>
          <w:lang w:val="en-GB"/>
        </w:rPr>
      </w:pPr>
      <w:bookmarkStart w:id="347" w:name="_Toc219869653"/>
      <w:r>
        <w:rPr>
          <w:rFonts w:hint="eastAsia" w:ascii="宋体" w:hAnsi="宋体" w:eastAsia="宋体"/>
          <w:b w:val="0"/>
          <w:color w:val="000000"/>
          <w:szCs w:val="28"/>
          <w:lang w:val="en-GB"/>
        </w:rPr>
        <w:t>采用电源提供热风干燥，因摩擦、撞击等机械能，静电火花、电气火花等电能及其它能量有引起燃烧或爆炸危险；散热过程中因翻动、撞击、磨擦、静电等引起燃烧爆炸危险。因送风设备因温度控制失效造成干燥房温度过高引起药物燃烧与爆炸，与生产场所、仓库距离不符合安全要求，有增大危险的可能。无专人管理，可增大发生意外的可能。</w:t>
      </w:r>
    </w:p>
    <w:p w14:paraId="6BDEA21E">
      <w:pPr>
        <w:spacing w:line="360" w:lineRule="auto"/>
        <w:ind w:firstLine="562" w:firstLineChars="200"/>
        <w:rPr>
          <w:rFonts w:ascii="宋体" w:hAnsi="宋体"/>
          <w:kern w:val="0"/>
          <w:sz w:val="28"/>
          <w:szCs w:val="28"/>
          <w:lang w:val="en-GB"/>
        </w:rPr>
      </w:pPr>
      <w:r>
        <w:rPr>
          <w:rFonts w:hint="eastAsia" w:ascii="宋体" w:hAnsi="宋体"/>
          <w:kern w:val="0"/>
          <w:sz w:val="28"/>
          <w:szCs w:val="28"/>
        </w:rPr>
        <w:t>（10）亮珠</w:t>
      </w:r>
      <w:r>
        <w:rPr>
          <w:rFonts w:hint="eastAsia" w:ascii="宋体" w:hAnsi="宋体"/>
          <w:kern w:val="0"/>
          <w:sz w:val="28"/>
          <w:szCs w:val="28"/>
          <w:lang w:val="en-GB"/>
        </w:rPr>
        <w:t>散热</w:t>
      </w:r>
    </w:p>
    <w:p w14:paraId="170A76B5">
      <w:pPr>
        <w:pStyle w:val="35"/>
        <w:widowControl w:val="0"/>
        <w:ind w:firstLine="560" w:firstLineChars="200"/>
        <w:rPr>
          <w:rFonts w:ascii="宋体" w:hAnsi="宋体" w:eastAsia="宋体"/>
          <w:b w:val="0"/>
          <w:color w:val="000000"/>
          <w:szCs w:val="28"/>
          <w:lang w:val="en-GB"/>
        </w:rPr>
      </w:pPr>
      <w:r>
        <w:rPr>
          <w:rFonts w:hint="eastAsia" w:ascii="宋体" w:hAnsi="宋体" w:eastAsia="宋体"/>
          <w:b w:val="0"/>
          <w:color w:val="000000"/>
          <w:szCs w:val="28"/>
        </w:rPr>
        <w:t>①</w:t>
      </w:r>
      <w:r>
        <w:rPr>
          <w:rFonts w:hint="eastAsia" w:ascii="宋体" w:hAnsi="宋体" w:eastAsia="宋体"/>
          <w:b w:val="0"/>
          <w:color w:val="000000"/>
          <w:szCs w:val="28"/>
          <w:lang w:val="en-GB"/>
        </w:rPr>
        <w:t>工艺说明</w:t>
      </w:r>
    </w:p>
    <w:p w14:paraId="21800DA6">
      <w:pPr>
        <w:pStyle w:val="35"/>
        <w:widowControl w:val="0"/>
        <w:ind w:firstLine="560" w:firstLineChars="200"/>
        <w:rPr>
          <w:rFonts w:ascii="宋体" w:hAnsi="宋体" w:eastAsia="宋体"/>
          <w:b w:val="0"/>
          <w:color w:val="000000"/>
          <w:szCs w:val="28"/>
          <w:lang w:val="en-GB"/>
        </w:rPr>
      </w:pPr>
      <w:r>
        <w:rPr>
          <w:rFonts w:hint="eastAsia" w:ascii="宋体" w:hAnsi="宋体" w:eastAsia="宋体"/>
          <w:b w:val="0"/>
          <w:color w:val="000000"/>
          <w:szCs w:val="28"/>
          <w:lang w:val="en-GB"/>
        </w:rPr>
        <w:t>散热是将已经加热干燥后留有余温的效果件置于阴凉、通风处进行彻底降温的工艺过程。该企业</w:t>
      </w:r>
      <w:r>
        <w:rPr>
          <w:rFonts w:hint="eastAsia" w:ascii="宋体" w:hAnsi="宋体" w:eastAsia="宋体"/>
          <w:b w:val="0"/>
          <w:color w:val="000000"/>
          <w:szCs w:val="28"/>
        </w:rPr>
        <w:t>亮珠</w:t>
      </w:r>
      <w:r>
        <w:rPr>
          <w:rFonts w:hint="eastAsia" w:ascii="宋体" w:hAnsi="宋体" w:eastAsia="宋体"/>
          <w:b w:val="0"/>
          <w:color w:val="000000"/>
          <w:szCs w:val="28"/>
          <w:lang w:val="en-GB"/>
        </w:rPr>
        <w:t>散热主要是指亮珠经干燥后</w:t>
      </w:r>
      <w:r>
        <w:rPr>
          <w:rFonts w:hint="eastAsia" w:ascii="宋体" w:hAnsi="宋体" w:eastAsia="宋体"/>
          <w:b w:val="0"/>
          <w:color w:val="000000"/>
          <w:szCs w:val="28"/>
        </w:rPr>
        <w:t>继续置留在烘房内</w:t>
      </w:r>
      <w:r>
        <w:rPr>
          <w:rFonts w:hint="eastAsia" w:ascii="宋体" w:hAnsi="宋体" w:eastAsia="宋体"/>
          <w:b w:val="0"/>
          <w:color w:val="000000"/>
          <w:szCs w:val="28"/>
          <w:lang w:val="en-GB"/>
        </w:rPr>
        <w:t>进行降温的操作过程。</w:t>
      </w:r>
    </w:p>
    <w:p w14:paraId="32CAEDB2">
      <w:pPr>
        <w:pStyle w:val="35"/>
        <w:widowControl w:val="0"/>
        <w:ind w:firstLine="560" w:firstLineChars="200"/>
        <w:rPr>
          <w:rFonts w:ascii="宋体" w:hAnsi="宋体" w:eastAsia="宋体"/>
          <w:b w:val="0"/>
          <w:color w:val="000000"/>
          <w:szCs w:val="28"/>
          <w:lang w:val="en-GB"/>
        </w:rPr>
      </w:pPr>
      <w:r>
        <w:rPr>
          <w:rFonts w:hint="eastAsia" w:ascii="宋体" w:hAnsi="宋体" w:eastAsia="宋体"/>
          <w:b w:val="0"/>
          <w:color w:val="000000"/>
          <w:szCs w:val="28"/>
        </w:rPr>
        <w:t>②</w:t>
      </w:r>
      <w:r>
        <w:rPr>
          <w:rFonts w:hint="eastAsia" w:ascii="宋体" w:hAnsi="宋体" w:eastAsia="宋体"/>
          <w:b w:val="0"/>
          <w:color w:val="000000"/>
          <w:szCs w:val="28"/>
          <w:lang w:val="en-GB"/>
        </w:rPr>
        <w:t>主要危险有害因素</w:t>
      </w:r>
    </w:p>
    <w:p w14:paraId="6A5F1E50">
      <w:pPr>
        <w:pStyle w:val="35"/>
        <w:widowControl w:val="0"/>
        <w:ind w:firstLine="560" w:firstLineChars="200"/>
        <w:rPr>
          <w:rFonts w:ascii="宋体" w:hAnsi="宋体" w:eastAsia="宋体"/>
          <w:b w:val="0"/>
          <w:color w:val="000000"/>
          <w:szCs w:val="28"/>
          <w:lang w:val="en-GB"/>
        </w:rPr>
      </w:pPr>
      <w:r>
        <w:rPr>
          <w:rFonts w:hint="eastAsia" w:ascii="宋体" w:hAnsi="宋体" w:eastAsia="宋体"/>
          <w:b w:val="0"/>
          <w:color w:val="000000"/>
          <w:szCs w:val="28"/>
          <w:lang w:val="en-GB"/>
        </w:rPr>
        <w:t>摩擦、撞击、静电引起的火灾、爆炸危险，不适当的操作会引起燃烧、爆炸。</w:t>
      </w:r>
    </w:p>
    <w:p w14:paraId="68B64277">
      <w:pPr>
        <w:spacing w:line="360" w:lineRule="auto"/>
        <w:ind w:firstLine="562" w:firstLineChars="200"/>
        <w:rPr>
          <w:rFonts w:ascii="宋体" w:hAnsi="宋体"/>
          <w:kern w:val="0"/>
          <w:sz w:val="28"/>
          <w:szCs w:val="28"/>
          <w:lang w:val="en-GB"/>
        </w:rPr>
      </w:pPr>
      <w:r>
        <w:rPr>
          <w:rFonts w:hint="eastAsia" w:ascii="宋体" w:hAnsi="宋体"/>
          <w:kern w:val="0"/>
          <w:sz w:val="28"/>
          <w:szCs w:val="28"/>
        </w:rPr>
        <w:t>（11）亮珠包装</w:t>
      </w:r>
      <w:bookmarkEnd w:id="347"/>
    </w:p>
    <w:p w14:paraId="30ED2A35">
      <w:pPr>
        <w:pStyle w:val="35"/>
        <w:widowControl w:val="0"/>
        <w:ind w:firstLine="560" w:firstLineChars="200"/>
        <w:rPr>
          <w:rFonts w:ascii="宋体" w:hAnsi="宋体" w:eastAsia="宋体"/>
          <w:b w:val="0"/>
          <w:color w:val="000000"/>
          <w:szCs w:val="28"/>
        </w:rPr>
      </w:pPr>
      <w:r>
        <w:rPr>
          <w:rFonts w:hint="eastAsia" w:ascii="宋体" w:hAnsi="宋体" w:eastAsia="宋体"/>
          <w:b w:val="0"/>
          <w:color w:val="000000"/>
          <w:szCs w:val="28"/>
        </w:rPr>
        <w:t>①工艺说明</w:t>
      </w:r>
    </w:p>
    <w:p w14:paraId="3C06E8F8">
      <w:pPr>
        <w:pStyle w:val="35"/>
        <w:widowControl w:val="0"/>
        <w:ind w:firstLine="560" w:firstLineChars="200"/>
        <w:rPr>
          <w:rFonts w:ascii="宋体" w:hAnsi="宋体" w:eastAsia="宋体"/>
          <w:b w:val="0"/>
          <w:color w:val="000000"/>
          <w:szCs w:val="28"/>
        </w:rPr>
      </w:pPr>
      <w:r>
        <w:rPr>
          <w:rFonts w:hint="eastAsia" w:ascii="宋体" w:hAnsi="宋体" w:eastAsia="宋体"/>
          <w:b w:val="0"/>
          <w:color w:val="000000"/>
          <w:szCs w:val="28"/>
        </w:rPr>
        <w:t>包装是将亮珠用导静电器具盛装，然后进行分类、标识。</w:t>
      </w:r>
    </w:p>
    <w:p w14:paraId="7A7802DC">
      <w:pPr>
        <w:pStyle w:val="35"/>
        <w:widowControl w:val="0"/>
        <w:ind w:firstLine="560" w:firstLineChars="200"/>
        <w:rPr>
          <w:rFonts w:ascii="宋体" w:hAnsi="宋体" w:eastAsia="宋体"/>
          <w:b w:val="0"/>
          <w:color w:val="000000"/>
          <w:szCs w:val="28"/>
        </w:rPr>
      </w:pPr>
      <w:r>
        <w:rPr>
          <w:rFonts w:hint="eastAsia" w:ascii="宋体" w:hAnsi="宋体" w:eastAsia="宋体"/>
          <w:b w:val="0"/>
          <w:color w:val="000000"/>
          <w:szCs w:val="28"/>
        </w:rPr>
        <w:t>②主要危险有害因素</w:t>
      </w:r>
    </w:p>
    <w:p w14:paraId="62F5F129">
      <w:pPr>
        <w:pStyle w:val="35"/>
        <w:widowControl w:val="0"/>
        <w:ind w:firstLine="560" w:firstLineChars="200"/>
        <w:rPr>
          <w:rFonts w:ascii="宋体" w:hAnsi="宋体" w:eastAsia="宋体"/>
          <w:b w:val="0"/>
          <w:color w:val="000000"/>
          <w:szCs w:val="28"/>
        </w:rPr>
      </w:pPr>
      <w:r>
        <w:rPr>
          <w:rFonts w:hint="eastAsia" w:ascii="宋体" w:hAnsi="宋体" w:eastAsia="宋体"/>
          <w:b w:val="0"/>
          <w:color w:val="000000"/>
          <w:szCs w:val="28"/>
        </w:rPr>
        <w:t>包装过程中，由于亮珠敏感度较大，包装过程中有撞击、摩擦作用，不适当的操作会引起燃烧、爆炸。</w:t>
      </w:r>
    </w:p>
    <w:p w14:paraId="6B8418F0">
      <w:pPr>
        <w:pStyle w:val="35"/>
        <w:widowControl w:val="0"/>
        <w:ind w:firstLine="560" w:firstLineChars="200"/>
        <w:rPr>
          <w:rFonts w:ascii="宋体" w:hAnsi="宋体" w:eastAsia="宋体"/>
          <w:b w:val="0"/>
          <w:color w:val="000000"/>
          <w:szCs w:val="28"/>
        </w:rPr>
      </w:pPr>
    </w:p>
    <w:p w14:paraId="785318DE">
      <w:pPr>
        <w:spacing w:line="360" w:lineRule="auto"/>
        <w:ind w:firstLine="562" w:firstLineChars="200"/>
        <w:rPr>
          <w:rFonts w:ascii="宋体" w:hAnsi="宋体"/>
          <w:kern w:val="0"/>
          <w:sz w:val="28"/>
          <w:szCs w:val="28"/>
        </w:rPr>
      </w:pPr>
      <w:r>
        <w:rPr>
          <w:rFonts w:hint="eastAsia" w:ascii="宋体" w:hAnsi="宋体"/>
          <w:kern w:val="0"/>
          <w:sz w:val="28"/>
          <w:szCs w:val="28"/>
        </w:rPr>
        <w:t>二、产品制作</w:t>
      </w:r>
    </w:p>
    <w:p w14:paraId="01152AF6">
      <w:pPr>
        <w:autoSpaceDE w:val="0"/>
        <w:autoSpaceDN w:val="0"/>
        <w:adjustRightInd w:val="0"/>
        <w:spacing w:line="360" w:lineRule="auto"/>
        <w:ind w:firstLine="560" w:firstLineChars="200"/>
        <w:rPr>
          <w:rFonts w:ascii="宋体" w:cs="宋体"/>
          <w:b w:val="0"/>
          <w:sz w:val="28"/>
          <w:szCs w:val="28"/>
          <w:lang w:val="zh-CN"/>
        </w:rPr>
      </w:pPr>
      <w:bookmarkStart w:id="348" w:name="_Toc219869684"/>
      <w:bookmarkStart w:id="349" w:name="_Hlk203845029"/>
      <w:r>
        <w:rPr>
          <w:rFonts w:hint="eastAsia" w:ascii="宋体" w:hAnsi="宋体"/>
          <w:b w:val="0"/>
          <w:kern w:val="0"/>
          <w:sz w:val="28"/>
          <w:szCs w:val="28"/>
        </w:rPr>
        <w:t>根据该企业生产的各类产品生产工艺流程图中的产品制作工艺进行分析，</w:t>
      </w:r>
      <w:r>
        <w:rPr>
          <w:rFonts w:hint="eastAsia" w:ascii="宋体" w:cs="宋体"/>
          <w:b w:val="0"/>
          <w:sz w:val="28"/>
          <w:szCs w:val="28"/>
          <w:lang w:val="zh-CN"/>
        </w:rPr>
        <w:t>产品制作过程都需涉及的有药生产工序为：包装、成箱；</w:t>
      </w:r>
      <w:r>
        <w:rPr>
          <w:rFonts w:hint="eastAsia" w:ascii="宋体" w:hAnsi="宋体"/>
          <w:b w:val="0"/>
          <w:kern w:val="0"/>
          <w:sz w:val="28"/>
          <w:szCs w:val="28"/>
        </w:rPr>
        <w:t>喷花类、组合烟花（喷花组合）类产品制作涉及的主要有药生产工序有：机械药混合、筑药、装药/压药、安引、组装等</w:t>
      </w:r>
      <w:r>
        <w:rPr>
          <w:rFonts w:hint="eastAsia" w:ascii="宋体" w:cs="宋体"/>
          <w:b w:val="0"/>
          <w:sz w:val="28"/>
          <w:szCs w:val="28"/>
          <w:lang w:val="zh-CN"/>
        </w:rPr>
        <w:t>。</w:t>
      </w:r>
    </w:p>
    <w:p w14:paraId="6BC011E6">
      <w:pPr>
        <w:autoSpaceDE w:val="0"/>
        <w:autoSpaceDN w:val="0"/>
        <w:adjustRightInd w:val="0"/>
        <w:spacing w:line="360" w:lineRule="auto"/>
        <w:ind w:firstLine="560" w:firstLineChars="200"/>
        <w:rPr>
          <w:rFonts w:ascii="宋体" w:cs="宋体"/>
          <w:b w:val="0"/>
          <w:sz w:val="28"/>
          <w:szCs w:val="28"/>
          <w:lang w:val="zh-CN"/>
        </w:rPr>
      </w:pPr>
      <w:r>
        <w:rPr>
          <w:rFonts w:hint="eastAsia" w:ascii="宋体" w:cs="宋体"/>
          <w:b w:val="0"/>
          <w:sz w:val="28"/>
          <w:szCs w:val="28"/>
          <w:lang w:val="zh-CN"/>
        </w:rPr>
        <w:t>本次评价依次按：</w:t>
      </w:r>
      <w:bookmarkStart w:id="350" w:name="_Hlk203838422"/>
      <w:r>
        <w:rPr>
          <w:rFonts w:hint="eastAsia" w:ascii="宋体" w:cs="宋体"/>
          <w:b w:val="0"/>
          <w:sz w:val="28"/>
          <w:szCs w:val="28"/>
        </w:rPr>
        <w:t>机械</w:t>
      </w:r>
      <w:r>
        <w:rPr>
          <w:rFonts w:hint="eastAsia" w:ascii="宋体" w:hAnsi="宋体"/>
          <w:b w:val="0"/>
          <w:kern w:val="0"/>
          <w:sz w:val="28"/>
          <w:szCs w:val="28"/>
        </w:rPr>
        <w:t>药混合（亮珠/单基火药、黑火药）、</w:t>
      </w:r>
      <w:r>
        <w:rPr>
          <w:rFonts w:hint="eastAsia" w:ascii="宋体" w:cs="宋体"/>
          <w:b w:val="0"/>
          <w:sz w:val="28"/>
          <w:szCs w:val="28"/>
          <w:lang w:val="zh-CN"/>
        </w:rPr>
        <w:t>筑药、装药/压药、安引、组装、包装、成箱进行分析。</w:t>
      </w:r>
    </w:p>
    <w:p w14:paraId="5D7D91BD">
      <w:pPr>
        <w:spacing w:line="360" w:lineRule="auto"/>
        <w:ind w:firstLine="703" w:firstLineChars="250"/>
        <w:rPr>
          <w:rFonts w:ascii="宋体" w:hAnsi="宋体"/>
          <w:kern w:val="0"/>
          <w:sz w:val="28"/>
          <w:szCs w:val="28"/>
          <w:lang w:val="en-GB"/>
        </w:rPr>
      </w:pPr>
      <w:r>
        <w:rPr>
          <w:rFonts w:hint="eastAsia" w:ascii="宋体" w:hAnsi="宋体"/>
          <w:kern w:val="0"/>
          <w:sz w:val="28"/>
          <w:szCs w:val="28"/>
          <w:lang w:val="en-GB"/>
        </w:rPr>
        <w:t>（</w:t>
      </w:r>
      <w:r>
        <w:rPr>
          <w:rFonts w:hint="eastAsia" w:ascii="宋体" w:hAnsi="宋体"/>
          <w:kern w:val="0"/>
          <w:sz w:val="28"/>
          <w:szCs w:val="28"/>
        </w:rPr>
        <w:t>1</w:t>
      </w:r>
      <w:r>
        <w:rPr>
          <w:rFonts w:hint="eastAsia" w:ascii="宋体" w:hAnsi="宋体"/>
          <w:kern w:val="0"/>
          <w:sz w:val="28"/>
          <w:szCs w:val="28"/>
          <w:lang w:val="en-GB"/>
        </w:rPr>
        <w:t>）机械药混合</w:t>
      </w:r>
    </w:p>
    <w:p w14:paraId="761BF808">
      <w:pPr>
        <w:spacing w:line="360" w:lineRule="auto"/>
        <w:ind w:firstLine="560" w:firstLineChars="200"/>
        <w:jc w:val="left"/>
        <w:rPr>
          <w:rFonts w:ascii="宋体" w:hAnsi="宋体" w:cs="仿宋"/>
          <w:b w:val="0"/>
          <w:color w:val="000000"/>
          <w:sz w:val="28"/>
          <w:szCs w:val="28"/>
          <w:lang w:val="en-GB"/>
        </w:rPr>
      </w:pPr>
      <w:r>
        <w:rPr>
          <w:rFonts w:hint="eastAsia" w:ascii="仿宋" w:hAnsi="仿宋" w:eastAsia="仿宋" w:cs="仿宋"/>
          <w:b w:val="0"/>
          <w:color w:val="000000"/>
          <w:sz w:val="28"/>
          <w:szCs w:val="28"/>
          <w:lang w:val="en-GB"/>
        </w:rPr>
        <w:t>①</w:t>
      </w:r>
      <w:r>
        <w:rPr>
          <w:rFonts w:hint="eastAsia" w:ascii="宋体" w:hAnsi="宋体" w:cs="仿宋"/>
          <w:b w:val="0"/>
          <w:color w:val="000000"/>
          <w:sz w:val="28"/>
          <w:szCs w:val="28"/>
          <w:lang w:val="en-GB"/>
        </w:rPr>
        <w:t>工艺说明</w:t>
      </w:r>
    </w:p>
    <w:p w14:paraId="6D51EDEE">
      <w:pPr>
        <w:spacing w:line="360" w:lineRule="auto"/>
        <w:ind w:firstLine="560" w:firstLineChars="200"/>
        <w:jc w:val="left"/>
        <w:rPr>
          <w:rFonts w:ascii="宋体" w:hAnsi="宋体" w:cs="仿宋"/>
          <w:b w:val="0"/>
          <w:color w:val="000000"/>
          <w:sz w:val="28"/>
          <w:szCs w:val="28"/>
          <w:lang w:val="en-GB"/>
        </w:rPr>
      </w:pPr>
      <w:r>
        <w:rPr>
          <w:rFonts w:hint="eastAsia" w:ascii="宋体" w:hAnsi="宋体" w:cs="仿宋"/>
          <w:b w:val="0"/>
          <w:color w:val="000000"/>
          <w:sz w:val="28"/>
          <w:szCs w:val="28"/>
          <w:lang w:val="en-GB"/>
        </w:rPr>
        <w:t>机械药混合是将亮珠</w:t>
      </w:r>
      <w:r>
        <w:rPr>
          <w:rFonts w:hint="eastAsia" w:ascii="宋体" w:hAnsi="宋体" w:cs="仿宋"/>
          <w:b w:val="0"/>
          <w:color w:val="000000"/>
          <w:sz w:val="28"/>
          <w:szCs w:val="28"/>
        </w:rPr>
        <w:t>/单基火药</w:t>
      </w:r>
      <w:r>
        <w:rPr>
          <w:rFonts w:hint="eastAsia" w:ascii="宋体" w:hAnsi="宋体" w:cs="仿宋"/>
          <w:b w:val="0"/>
          <w:color w:val="000000"/>
          <w:sz w:val="28"/>
          <w:szCs w:val="28"/>
          <w:lang w:val="en-GB"/>
        </w:rPr>
        <w:t>、黑火药等效果件或烟火药混合成喷花类产品特有药物。</w:t>
      </w:r>
    </w:p>
    <w:p w14:paraId="2DA7EADC">
      <w:pPr>
        <w:spacing w:line="360" w:lineRule="auto"/>
        <w:ind w:firstLine="560" w:firstLineChars="200"/>
        <w:jc w:val="left"/>
        <w:rPr>
          <w:rFonts w:ascii="宋体" w:hAnsi="宋体" w:cs="仿宋"/>
          <w:b w:val="0"/>
          <w:color w:val="000000"/>
          <w:sz w:val="28"/>
          <w:szCs w:val="28"/>
          <w:lang w:val="en-GB"/>
        </w:rPr>
      </w:pPr>
      <w:r>
        <w:rPr>
          <w:rFonts w:hint="eastAsia" w:ascii="仿宋" w:hAnsi="仿宋" w:eastAsia="仿宋" w:cs="仿宋"/>
          <w:b w:val="0"/>
          <w:color w:val="000000"/>
          <w:sz w:val="28"/>
          <w:szCs w:val="28"/>
          <w:lang w:val="en-GB"/>
        </w:rPr>
        <w:t>②</w:t>
      </w:r>
      <w:r>
        <w:rPr>
          <w:rFonts w:hint="eastAsia" w:ascii="宋体" w:hAnsi="宋体" w:cs="仿宋"/>
          <w:b w:val="0"/>
          <w:color w:val="000000"/>
          <w:sz w:val="28"/>
          <w:szCs w:val="28"/>
          <w:lang w:val="en-GB"/>
        </w:rPr>
        <w:t>主要危险有害因素</w:t>
      </w:r>
    </w:p>
    <w:p w14:paraId="04C13029">
      <w:pPr>
        <w:spacing w:line="360" w:lineRule="auto"/>
        <w:ind w:firstLine="560" w:firstLineChars="200"/>
        <w:jc w:val="left"/>
        <w:rPr>
          <w:rFonts w:ascii="宋体" w:hAnsi="宋体" w:cs="仿宋"/>
          <w:b w:val="0"/>
          <w:color w:val="000000"/>
          <w:sz w:val="28"/>
          <w:szCs w:val="28"/>
          <w:lang w:val="en-GB"/>
        </w:rPr>
      </w:pPr>
      <w:r>
        <w:rPr>
          <w:rFonts w:hint="eastAsia" w:ascii="宋体" w:hAnsi="宋体" w:cs="仿宋"/>
          <w:b w:val="0"/>
          <w:color w:val="000000"/>
          <w:sz w:val="28"/>
          <w:szCs w:val="28"/>
        </w:rPr>
        <w:t>1）</w:t>
      </w:r>
      <w:r>
        <w:rPr>
          <w:rFonts w:hint="eastAsia" w:ascii="宋体" w:hAnsi="宋体" w:cs="仿宋"/>
          <w:b w:val="0"/>
          <w:color w:val="000000"/>
          <w:sz w:val="28"/>
          <w:szCs w:val="28"/>
          <w:lang w:val="en-GB"/>
        </w:rPr>
        <w:t>设备接地电阻不达标，操作人员自身静电未消除，因静电引燃引爆药物而发生火灾爆炸危险。</w:t>
      </w:r>
    </w:p>
    <w:p w14:paraId="6CC29C91">
      <w:pPr>
        <w:spacing w:line="360" w:lineRule="auto"/>
        <w:ind w:firstLine="560" w:firstLineChars="200"/>
        <w:jc w:val="left"/>
        <w:rPr>
          <w:rFonts w:ascii="宋体" w:hAnsi="宋体" w:cs="仿宋"/>
          <w:b w:val="0"/>
          <w:color w:val="000000"/>
          <w:sz w:val="28"/>
          <w:szCs w:val="28"/>
          <w:lang w:val="en-GB"/>
        </w:rPr>
      </w:pPr>
      <w:r>
        <w:rPr>
          <w:rFonts w:hint="eastAsia" w:ascii="宋体" w:hAnsi="宋体" w:cs="仿宋"/>
          <w:b w:val="0"/>
          <w:color w:val="000000"/>
          <w:sz w:val="28"/>
          <w:szCs w:val="28"/>
        </w:rPr>
        <w:t>2）</w:t>
      </w:r>
      <w:r>
        <w:rPr>
          <w:rFonts w:hint="eastAsia" w:ascii="宋体" w:hAnsi="宋体" w:cs="仿宋"/>
          <w:b w:val="0"/>
          <w:color w:val="000000"/>
          <w:sz w:val="28"/>
          <w:szCs w:val="28"/>
          <w:lang w:val="en-GB"/>
        </w:rPr>
        <w:t>与药物有接触的运动零部件与其他零部件产生相对运动，传动部位（如齿轮、链轮）无防护罩或密封不严，药尘进入传动部位，因设备运转摩擦而发生火灾、爆炸危害。</w:t>
      </w:r>
    </w:p>
    <w:p w14:paraId="4EEA4A2F">
      <w:pPr>
        <w:spacing w:line="360" w:lineRule="auto"/>
        <w:ind w:firstLine="560" w:firstLineChars="200"/>
        <w:jc w:val="left"/>
        <w:rPr>
          <w:rFonts w:ascii="宋体" w:hAnsi="宋体" w:cs="仿宋"/>
          <w:b w:val="0"/>
          <w:color w:val="000000"/>
          <w:sz w:val="28"/>
          <w:szCs w:val="28"/>
          <w:lang w:val="en-GB"/>
        </w:rPr>
      </w:pPr>
      <w:r>
        <w:rPr>
          <w:rFonts w:hint="eastAsia" w:ascii="仿宋" w:hAnsi="仿宋" w:eastAsia="仿宋" w:cs="仿宋"/>
          <w:b w:val="0"/>
          <w:color w:val="000000"/>
          <w:sz w:val="28"/>
          <w:szCs w:val="28"/>
        </w:rPr>
        <w:t>3）</w:t>
      </w:r>
      <w:r>
        <w:rPr>
          <w:rFonts w:hint="eastAsia" w:ascii="宋体" w:hAnsi="宋体" w:cs="仿宋"/>
          <w:b w:val="0"/>
          <w:color w:val="000000"/>
          <w:sz w:val="28"/>
          <w:szCs w:val="28"/>
          <w:lang w:val="en-GB"/>
        </w:rPr>
        <w:t>防尘、除尘措施不到位，产生粉尘危害。</w:t>
      </w:r>
    </w:p>
    <w:p w14:paraId="118B1CA9">
      <w:pPr>
        <w:spacing w:line="360" w:lineRule="auto"/>
        <w:ind w:firstLine="560" w:firstLineChars="200"/>
        <w:jc w:val="left"/>
        <w:rPr>
          <w:rFonts w:ascii="宋体" w:hAnsi="宋体" w:cs="仿宋"/>
          <w:b w:val="0"/>
          <w:color w:val="000000"/>
          <w:sz w:val="28"/>
          <w:szCs w:val="28"/>
          <w:lang w:val="en-GB"/>
        </w:rPr>
      </w:pPr>
      <w:r>
        <w:rPr>
          <w:rFonts w:hint="eastAsia" w:ascii="宋体" w:hAnsi="宋体" w:cs="仿宋"/>
          <w:b w:val="0"/>
          <w:color w:val="000000"/>
          <w:sz w:val="28"/>
          <w:szCs w:val="28"/>
        </w:rPr>
        <w:t>4）</w:t>
      </w:r>
      <w:r>
        <w:rPr>
          <w:rFonts w:hint="eastAsia" w:ascii="宋体" w:hAnsi="宋体" w:cs="仿宋"/>
          <w:b w:val="0"/>
          <w:color w:val="000000"/>
          <w:sz w:val="28"/>
          <w:szCs w:val="28"/>
          <w:lang w:val="en-GB"/>
        </w:rPr>
        <w:t>自动控制系统失灵，自动报警装置失效，设备在失控状态下，因摩擦、撞击、静电、电气火花发生火灾爆炸危险。</w:t>
      </w:r>
    </w:p>
    <w:p w14:paraId="14D33F1E">
      <w:pPr>
        <w:spacing w:line="360" w:lineRule="auto"/>
        <w:ind w:firstLine="560" w:firstLineChars="200"/>
        <w:jc w:val="left"/>
        <w:rPr>
          <w:rFonts w:ascii="宋体" w:hAnsi="宋体" w:cs="仿宋"/>
          <w:b w:val="0"/>
          <w:color w:val="000000"/>
          <w:sz w:val="28"/>
          <w:szCs w:val="28"/>
          <w:lang w:val="en-GB"/>
        </w:rPr>
      </w:pPr>
      <w:r>
        <w:rPr>
          <w:rFonts w:hint="eastAsia" w:ascii="宋体" w:hAnsi="宋体" w:cs="仿宋"/>
          <w:b w:val="0"/>
          <w:color w:val="000000"/>
          <w:sz w:val="28"/>
          <w:szCs w:val="28"/>
        </w:rPr>
        <w:t>5）</w:t>
      </w:r>
      <w:r>
        <w:rPr>
          <w:rFonts w:hint="eastAsia" w:ascii="宋体" w:hAnsi="宋体" w:cs="仿宋"/>
          <w:b w:val="0"/>
          <w:color w:val="000000"/>
          <w:sz w:val="28"/>
          <w:szCs w:val="28"/>
          <w:lang w:val="en-GB"/>
        </w:rPr>
        <w:t>操作人员不按安全操作规程操作和穿戴，传动部位（如齿轮、链轮）无防护罩，设备未到角、打磨，存在绫角、毛刺，人体与设备接触时发生绞伤、碰撞等机械致害。</w:t>
      </w:r>
    </w:p>
    <w:p w14:paraId="39492A85">
      <w:pPr>
        <w:spacing w:line="360" w:lineRule="auto"/>
        <w:ind w:firstLine="560" w:firstLineChars="200"/>
        <w:jc w:val="left"/>
        <w:rPr>
          <w:rFonts w:ascii="宋体" w:hAnsi="宋体" w:cs="仿宋"/>
          <w:b w:val="0"/>
          <w:color w:val="000000"/>
          <w:sz w:val="28"/>
          <w:szCs w:val="28"/>
          <w:lang w:val="en-GB"/>
        </w:rPr>
      </w:pPr>
      <w:r>
        <w:rPr>
          <w:rFonts w:hint="eastAsia" w:ascii="宋体" w:hAnsi="宋体" w:cs="仿宋"/>
          <w:b w:val="0"/>
          <w:color w:val="000000"/>
          <w:sz w:val="28"/>
          <w:szCs w:val="28"/>
        </w:rPr>
        <w:t>6）</w:t>
      </w:r>
      <w:r>
        <w:rPr>
          <w:rFonts w:hint="eastAsia" w:ascii="宋体" w:hAnsi="宋体" w:cs="仿宋"/>
          <w:b w:val="0"/>
          <w:color w:val="000000"/>
          <w:sz w:val="28"/>
          <w:szCs w:val="28"/>
          <w:lang w:val="en-GB"/>
        </w:rPr>
        <w:t>混药工人操作失误，因摩擦、撞击而发生火灾、爆炸危险。</w:t>
      </w:r>
    </w:p>
    <w:p w14:paraId="1A4E542C">
      <w:pPr>
        <w:spacing w:line="360" w:lineRule="auto"/>
        <w:ind w:firstLine="560" w:firstLineChars="200"/>
        <w:jc w:val="left"/>
        <w:rPr>
          <w:rFonts w:ascii="宋体" w:hAnsi="宋体" w:cs="仿宋"/>
          <w:b w:val="0"/>
          <w:color w:val="000000"/>
          <w:sz w:val="28"/>
          <w:szCs w:val="28"/>
          <w:lang w:val="en-GB"/>
        </w:rPr>
      </w:pPr>
      <w:r>
        <w:rPr>
          <w:rFonts w:hint="eastAsia" w:ascii="宋体" w:hAnsi="宋体" w:cs="仿宋"/>
          <w:b w:val="0"/>
          <w:color w:val="000000"/>
          <w:sz w:val="28"/>
          <w:szCs w:val="28"/>
        </w:rPr>
        <w:t>7）</w:t>
      </w:r>
      <w:r>
        <w:rPr>
          <w:rFonts w:hint="eastAsia" w:ascii="宋体" w:hAnsi="宋体" w:cs="仿宋"/>
          <w:b w:val="0"/>
          <w:color w:val="000000"/>
          <w:sz w:val="28"/>
          <w:szCs w:val="28"/>
          <w:lang w:val="en-GB"/>
        </w:rPr>
        <w:t>设备维修时，未清理设备内的药物、药尘，在拆卸过程中，因摩擦、撞击而引燃积聚在机器、设备内的药物而发生火灾爆炸危害。</w:t>
      </w:r>
    </w:p>
    <w:p w14:paraId="635C1CF0">
      <w:pPr>
        <w:spacing w:line="360" w:lineRule="auto"/>
        <w:ind w:firstLine="560" w:firstLineChars="200"/>
        <w:jc w:val="left"/>
        <w:rPr>
          <w:rFonts w:ascii="宋体" w:hAnsi="宋体" w:cs="仿宋"/>
          <w:b w:val="0"/>
          <w:color w:val="000000"/>
          <w:sz w:val="28"/>
          <w:szCs w:val="28"/>
          <w:lang w:val="en-GB"/>
        </w:rPr>
      </w:pPr>
      <w:r>
        <w:rPr>
          <w:rFonts w:hint="eastAsia" w:ascii="宋体" w:hAnsi="宋体" w:cs="仿宋"/>
          <w:b w:val="0"/>
          <w:color w:val="000000"/>
          <w:sz w:val="28"/>
          <w:szCs w:val="28"/>
        </w:rPr>
        <w:t>8）</w:t>
      </w:r>
      <w:r>
        <w:rPr>
          <w:rFonts w:hint="eastAsia" w:ascii="宋体" w:hAnsi="宋体" w:cs="仿宋"/>
          <w:b w:val="0"/>
          <w:color w:val="000000"/>
          <w:sz w:val="28"/>
          <w:szCs w:val="28"/>
          <w:lang w:val="en-GB"/>
        </w:rPr>
        <w:t>原材料含有杂质混合摩擦产生静电引起火灾、爆炸。</w:t>
      </w:r>
    </w:p>
    <w:p w14:paraId="754816E8">
      <w:pPr>
        <w:spacing w:line="360" w:lineRule="auto"/>
        <w:ind w:firstLine="560" w:firstLineChars="200"/>
        <w:jc w:val="left"/>
        <w:rPr>
          <w:rFonts w:ascii="宋体" w:hAnsi="宋体" w:cs="仿宋"/>
          <w:b w:val="0"/>
          <w:color w:val="000000"/>
          <w:sz w:val="28"/>
          <w:szCs w:val="28"/>
          <w:lang w:val="en-GB"/>
        </w:rPr>
      </w:pPr>
      <w:r>
        <w:rPr>
          <w:rFonts w:hint="eastAsia" w:ascii="宋体" w:hAnsi="宋体" w:cs="仿宋"/>
          <w:b w:val="0"/>
          <w:color w:val="000000"/>
          <w:sz w:val="28"/>
          <w:szCs w:val="28"/>
        </w:rPr>
        <w:t>9）</w:t>
      </w:r>
      <w:r>
        <w:rPr>
          <w:rFonts w:hint="eastAsia" w:ascii="宋体" w:hAnsi="宋体" w:cs="仿宋"/>
          <w:b w:val="0"/>
          <w:color w:val="000000"/>
          <w:sz w:val="28"/>
          <w:szCs w:val="28"/>
          <w:lang w:val="en-GB"/>
        </w:rPr>
        <w:t>混合药前原料未经单独粉碎过筛完全，大颗粒药物在混合过程中破碎时有引起燃烧爆炸的危险。</w:t>
      </w:r>
    </w:p>
    <w:bookmarkEnd w:id="348"/>
    <w:bookmarkEnd w:id="349"/>
    <w:bookmarkEnd w:id="350"/>
    <w:p w14:paraId="6E4BAB42">
      <w:pPr>
        <w:spacing w:line="360" w:lineRule="auto"/>
        <w:ind w:firstLine="703" w:firstLineChars="250"/>
        <w:rPr>
          <w:rFonts w:ascii="宋体" w:hAnsi="宋体"/>
          <w:kern w:val="0"/>
          <w:sz w:val="28"/>
          <w:szCs w:val="28"/>
        </w:rPr>
      </w:pPr>
      <w:r>
        <w:rPr>
          <w:rFonts w:hint="eastAsia" w:ascii="宋体" w:hAnsi="宋体"/>
          <w:kern w:val="0"/>
          <w:sz w:val="28"/>
          <w:szCs w:val="28"/>
        </w:rPr>
        <w:t>（2）筑药</w:t>
      </w:r>
    </w:p>
    <w:p w14:paraId="448A7692">
      <w:pPr>
        <w:widowControl/>
        <w:numPr>
          <w:ilvl w:val="1"/>
          <w:numId w:val="17"/>
        </w:numPr>
        <w:spacing w:line="360" w:lineRule="auto"/>
        <w:ind w:left="993" w:hanging="284"/>
        <w:rPr>
          <w:rFonts w:ascii="宋体" w:hAnsi="宋体"/>
          <w:b w:val="0"/>
          <w:bCs/>
          <w:kern w:val="0"/>
          <w:sz w:val="28"/>
          <w:szCs w:val="28"/>
        </w:rPr>
      </w:pPr>
      <w:bookmarkStart w:id="351" w:name="_Toc219869668"/>
      <w:r>
        <w:rPr>
          <w:rFonts w:hint="eastAsia" w:ascii="宋体" w:hAnsi="宋体"/>
          <w:b w:val="0"/>
          <w:bCs/>
          <w:kern w:val="0"/>
          <w:sz w:val="28"/>
          <w:szCs w:val="28"/>
        </w:rPr>
        <w:t>工艺说明</w:t>
      </w:r>
      <w:bookmarkEnd w:id="351"/>
    </w:p>
    <w:p w14:paraId="15ACC9DA">
      <w:pPr>
        <w:widowControl/>
        <w:spacing w:line="360" w:lineRule="auto"/>
        <w:ind w:firstLine="561"/>
        <w:rPr>
          <w:rFonts w:ascii="宋体" w:hAnsi="宋体"/>
          <w:b w:val="0"/>
          <w:bCs/>
          <w:kern w:val="0"/>
          <w:sz w:val="28"/>
          <w:szCs w:val="28"/>
        </w:rPr>
      </w:pPr>
      <w:r>
        <w:rPr>
          <w:rFonts w:hint="eastAsia" w:ascii="宋体" w:hAnsi="宋体"/>
          <w:b w:val="0"/>
          <w:bCs/>
          <w:kern w:val="0"/>
          <w:sz w:val="28"/>
          <w:szCs w:val="28"/>
        </w:rPr>
        <w:t>喷花类产品的筑药是将混合后的烟火药装入纸筒内在使用专用的工具进行压紧的过程。</w:t>
      </w:r>
    </w:p>
    <w:p w14:paraId="324C3888">
      <w:pPr>
        <w:widowControl/>
        <w:numPr>
          <w:ilvl w:val="1"/>
          <w:numId w:val="17"/>
        </w:numPr>
        <w:spacing w:line="360" w:lineRule="auto"/>
        <w:ind w:left="993" w:hanging="284"/>
        <w:rPr>
          <w:rFonts w:ascii="宋体" w:hAnsi="宋体"/>
          <w:b w:val="0"/>
          <w:bCs/>
          <w:kern w:val="0"/>
          <w:sz w:val="28"/>
          <w:szCs w:val="28"/>
        </w:rPr>
      </w:pPr>
      <w:r>
        <w:rPr>
          <w:rFonts w:hint="eastAsia" w:ascii="宋体" w:hAnsi="宋体"/>
          <w:b w:val="0"/>
          <w:bCs/>
          <w:kern w:val="0"/>
          <w:sz w:val="28"/>
          <w:szCs w:val="28"/>
        </w:rPr>
        <w:t>主要危险有害因素</w:t>
      </w:r>
    </w:p>
    <w:p w14:paraId="20B38C7C">
      <w:pPr>
        <w:widowControl/>
        <w:spacing w:line="360" w:lineRule="auto"/>
        <w:ind w:firstLine="561"/>
        <w:rPr>
          <w:rFonts w:ascii="宋体" w:hAnsi="宋体"/>
          <w:b w:val="0"/>
          <w:bCs/>
          <w:kern w:val="0"/>
          <w:sz w:val="28"/>
          <w:szCs w:val="28"/>
        </w:rPr>
      </w:pPr>
      <w:r>
        <w:rPr>
          <w:rFonts w:hint="eastAsia" w:ascii="宋体" w:hAnsi="宋体"/>
          <w:b w:val="0"/>
          <w:bCs/>
          <w:kern w:val="0"/>
          <w:sz w:val="28"/>
          <w:szCs w:val="28"/>
        </w:rPr>
        <w:t>摩擦、撞击、静电、电气火花引起的火灾、爆炸危险；黑火药含有杂质混合摩擦产生静电引起火灾、爆炸；粉尘健康危害。</w:t>
      </w:r>
    </w:p>
    <w:p w14:paraId="1BCCB19C">
      <w:pPr>
        <w:spacing w:line="360" w:lineRule="auto"/>
        <w:ind w:firstLine="570"/>
        <w:rPr>
          <w:rFonts w:ascii="宋体" w:hAnsi="宋体"/>
          <w:kern w:val="0"/>
          <w:sz w:val="28"/>
          <w:szCs w:val="28"/>
        </w:rPr>
      </w:pPr>
      <w:bookmarkStart w:id="352" w:name="_Toc219869669"/>
      <w:r>
        <w:rPr>
          <w:rFonts w:hint="eastAsia" w:ascii="宋体" w:hAnsi="宋体"/>
          <w:kern w:val="0"/>
          <w:sz w:val="28"/>
          <w:szCs w:val="28"/>
        </w:rPr>
        <w:t>（3）</w:t>
      </w:r>
      <w:bookmarkEnd w:id="352"/>
      <w:r>
        <w:rPr>
          <w:rFonts w:hint="eastAsia" w:ascii="宋体" w:hAnsi="宋体"/>
          <w:kern w:val="0"/>
          <w:sz w:val="28"/>
          <w:szCs w:val="28"/>
        </w:rPr>
        <w:t>装药/压药</w:t>
      </w:r>
    </w:p>
    <w:p w14:paraId="466CDB1E">
      <w:pPr>
        <w:widowControl/>
        <w:numPr>
          <w:ilvl w:val="1"/>
          <w:numId w:val="18"/>
        </w:numPr>
        <w:tabs>
          <w:tab w:val="left" w:pos="993"/>
        </w:tabs>
        <w:spacing w:line="360" w:lineRule="auto"/>
        <w:ind w:left="709" w:firstLine="0"/>
        <w:rPr>
          <w:rFonts w:ascii="宋体" w:hAnsi="宋体"/>
          <w:b w:val="0"/>
          <w:bCs/>
          <w:kern w:val="0"/>
          <w:sz w:val="28"/>
          <w:szCs w:val="28"/>
        </w:rPr>
      </w:pPr>
      <w:r>
        <w:rPr>
          <w:rFonts w:hint="eastAsia" w:ascii="宋体" w:hAnsi="宋体"/>
          <w:b w:val="0"/>
          <w:bCs/>
          <w:kern w:val="0"/>
          <w:sz w:val="28"/>
          <w:szCs w:val="28"/>
        </w:rPr>
        <w:t>工艺说明</w:t>
      </w:r>
    </w:p>
    <w:p w14:paraId="40A28933">
      <w:pPr>
        <w:widowControl/>
        <w:spacing w:line="360" w:lineRule="auto"/>
        <w:ind w:firstLine="560"/>
        <w:rPr>
          <w:rFonts w:ascii="宋体" w:hAnsi="宋体"/>
          <w:b w:val="0"/>
          <w:bCs/>
          <w:kern w:val="0"/>
          <w:sz w:val="28"/>
          <w:szCs w:val="28"/>
        </w:rPr>
      </w:pPr>
      <w:r>
        <w:rPr>
          <w:rFonts w:hint="eastAsia" w:ascii="宋体" w:hAnsi="宋体"/>
          <w:b w:val="0"/>
          <w:bCs/>
          <w:kern w:val="0"/>
          <w:sz w:val="28"/>
          <w:szCs w:val="28"/>
        </w:rPr>
        <w:t>喷花类产品是将混合后的烟火药装入纸筒内，使用专用工具压实药剂并对筒口进行封闭的过程。</w:t>
      </w:r>
    </w:p>
    <w:p w14:paraId="7865338A">
      <w:pPr>
        <w:widowControl/>
        <w:numPr>
          <w:ilvl w:val="1"/>
          <w:numId w:val="18"/>
        </w:numPr>
        <w:tabs>
          <w:tab w:val="left" w:pos="1036"/>
        </w:tabs>
        <w:spacing w:line="360" w:lineRule="auto"/>
        <w:ind w:hanging="131"/>
        <w:rPr>
          <w:rFonts w:ascii="宋体" w:hAnsi="宋体"/>
          <w:b w:val="0"/>
          <w:bCs/>
          <w:kern w:val="0"/>
          <w:sz w:val="28"/>
          <w:szCs w:val="28"/>
        </w:rPr>
      </w:pPr>
      <w:bookmarkStart w:id="353" w:name="_Toc219869670"/>
      <w:r>
        <w:rPr>
          <w:rFonts w:hint="eastAsia" w:ascii="宋体" w:hAnsi="宋体"/>
          <w:b w:val="0"/>
          <w:bCs/>
          <w:kern w:val="0"/>
          <w:sz w:val="28"/>
          <w:szCs w:val="28"/>
        </w:rPr>
        <w:t>主要危险有害因素</w:t>
      </w:r>
      <w:bookmarkEnd w:id="353"/>
    </w:p>
    <w:p w14:paraId="0ADC6B8D">
      <w:pPr>
        <w:spacing w:line="360" w:lineRule="auto"/>
        <w:ind w:firstLine="561"/>
        <w:rPr>
          <w:rFonts w:ascii="宋体" w:hAnsi="宋体"/>
          <w:b w:val="0"/>
          <w:bCs/>
          <w:kern w:val="0"/>
          <w:sz w:val="28"/>
          <w:szCs w:val="28"/>
        </w:rPr>
      </w:pPr>
      <w:r>
        <w:rPr>
          <w:rFonts w:hint="eastAsia" w:ascii="宋体" w:hAnsi="宋体"/>
          <w:b w:val="0"/>
          <w:bCs/>
          <w:kern w:val="0"/>
          <w:sz w:val="28"/>
          <w:szCs w:val="28"/>
        </w:rPr>
        <w:t>摩擦、撞击、静电、电气火花引起的火灾危险。烟火药混入杂质摩擦撞击引发火灾、爆炸；药尘带来的粉尘健康危害。</w:t>
      </w:r>
    </w:p>
    <w:p w14:paraId="27915493">
      <w:pPr>
        <w:spacing w:line="360" w:lineRule="auto"/>
        <w:ind w:firstLine="570"/>
        <w:rPr>
          <w:rFonts w:ascii="宋体" w:hAnsi="宋体"/>
          <w:kern w:val="0"/>
          <w:sz w:val="28"/>
          <w:szCs w:val="28"/>
        </w:rPr>
      </w:pPr>
      <w:r>
        <w:rPr>
          <w:rFonts w:hint="eastAsia" w:ascii="宋体" w:hAnsi="宋体"/>
          <w:kern w:val="0"/>
          <w:sz w:val="28"/>
          <w:szCs w:val="28"/>
        </w:rPr>
        <w:t>（4）安引</w:t>
      </w:r>
    </w:p>
    <w:p w14:paraId="65A01022">
      <w:pPr>
        <w:widowControl/>
        <w:spacing w:line="360" w:lineRule="auto"/>
        <w:ind w:firstLine="803" w:firstLineChars="287"/>
        <w:rPr>
          <w:rFonts w:ascii="宋体" w:hAnsi="宋体"/>
          <w:b w:val="0"/>
          <w:bCs/>
          <w:kern w:val="0"/>
          <w:sz w:val="28"/>
          <w:szCs w:val="28"/>
        </w:rPr>
      </w:pPr>
      <w:r>
        <w:rPr>
          <w:rFonts w:hint="eastAsia" w:ascii="宋体" w:hAnsi="宋体"/>
          <w:b w:val="0"/>
          <w:bCs/>
          <w:kern w:val="0"/>
          <w:sz w:val="28"/>
          <w:szCs w:val="28"/>
        </w:rPr>
        <w:t>① 工艺说明</w:t>
      </w:r>
    </w:p>
    <w:p w14:paraId="019CF13B">
      <w:pPr>
        <w:widowControl/>
        <w:spacing w:line="360" w:lineRule="auto"/>
        <w:ind w:firstLine="803" w:firstLineChars="287"/>
        <w:rPr>
          <w:rFonts w:ascii="宋体" w:hAnsi="宋体"/>
          <w:b w:val="0"/>
          <w:bCs/>
          <w:kern w:val="0"/>
          <w:sz w:val="28"/>
          <w:szCs w:val="28"/>
        </w:rPr>
      </w:pPr>
      <w:r>
        <w:rPr>
          <w:rFonts w:hint="eastAsia" w:ascii="宋体" w:hAnsi="宋体" w:cs="宋体"/>
          <w:b w:val="0"/>
          <w:bCs/>
          <w:kern w:val="0"/>
          <w:sz w:val="28"/>
          <w:szCs w:val="28"/>
        </w:rPr>
        <w:t>安引是指将装好药后的喷花效果件上安装引火线</w:t>
      </w:r>
      <w:r>
        <w:rPr>
          <w:rFonts w:hint="eastAsia" w:ascii="宋体" w:hAnsi="宋体" w:cs="宋体"/>
          <w:b w:val="0"/>
          <w:kern w:val="0"/>
          <w:sz w:val="28"/>
          <w:szCs w:val="28"/>
        </w:rPr>
        <w:t>用于引燃药物</w:t>
      </w:r>
      <w:r>
        <w:rPr>
          <w:rFonts w:hint="eastAsia" w:ascii="宋体" w:hAnsi="宋体" w:cs="宋体"/>
          <w:b w:val="0"/>
          <w:bCs/>
          <w:kern w:val="0"/>
          <w:sz w:val="28"/>
          <w:szCs w:val="28"/>
        </w:rPr>
        <w:t>的过程</w:t>
      </w:r>
      <w:r>
        <w:rPr>
          <w:rFonts w:hint="eastAsia" w:ascii="宋体" w:hAnsi="宋体" w:cs="宋体"/>
          <w:b w:val="0"/>
          <w:kern w:val="0"/>
          <w:sz w:val="28"/>
          <w:szCs w:val="28"/>
        </w:rPr>
        <w:t>；该企业安引为手工操作，在组装/包装工房进行</w:t>
      </w:r>
      <w:r>
        <w:rPr>
          <w:rFonts w:hint="eastAsia" w:ascii="宋体" w:hAnsi="宋体"/>
          <w:b w:val="0"/>
          <w:bCs/>
          <w:kern w:val="0"/>
          <w:sz w:val="28"/>
          <w:szCs w:val="28"/>
        </w:rPr>
        <w:t>。</w:t>
      </w:r>
    </w:p>
    <w:p w14:paraId="32C6F645">
      <w:pPr>
        <w:spacing w:line="360" w:lineRule="auto"/>
        <w:ind w:left="418" w:leftChars="199" w:firstLine="280" w:firstLineChars="100"/>
        <w:rPr>
          <w:rFonts w:ascii="宋体" w:hAnsi="宋体"/>
          <w:b w:val="0"/>
          <w:sz w:val="28"/>
          <w:szCs w:val="28"/>
        </w:rPr>
      </w:pPr>
      <w:r>
        <w:rPr>
          <w:rFonts w:hint="eastAsia" w:ascii="宋体" w:hAnsi="宋体"/>
          <w:b w:val="0"/>
          <w:sz w:val="28"/>
          <w:szCs w:val="28"/>
        </w:rPr>
        <w:t>② 主要危险有害因素</w:t>
      </w:r>
    </w:p>
    <w:p w14:paraId="182F7A37">
      <w:pPr>
        <w:spacing w:line="360" w:lineRule="auto"/>
        <w:ind w:firstLine="570"/>
        <w:rPr>
          <w:rFonts w:ascii="宋体" w:hAnsi="宋体" w:cs="宋体"/>
          <w:b w:val="0"/>
          <w:kern w:val="0"/>
          <w:sz w:val="28"/>
          <w:szCs w:val="28"/>
        </w:rPr>
      </w:pPr>
      <w:r>
        <w:rPr>
          <w:rFonts w:hint="eastAsia" w:ascii="宋体" w:hAnsi="宋体" w:cs="宋体"/>
          <w:b w:val="0"/>
          <w:kern w:val="0"/>
          <w:sz w:val="28"/>
          <w:szCs w:val="28"/>
        </w:rPr>
        <w:t>摩擦、撞击、静电引起的火灾、爆炸危险。</w:t>
      </w:r>
    </w:p>
    <w:p w14:paraId="5DA15D26">
      <w:pPr>
        <w:spacing w:line="360" w:lineRule="auto"/>
        <w:ind w:firstLine="570"/>
        <w:rPr>
          <w:rFonts w:ascii="宋体" w:hAnsi="宋体"/>
          <w:bCs/>
          <w:sz w:val="28"/>
          <w:szCs w:val="28"/>
        </w:rPr>
      </w:pPr>
      <w:r>
        <w:rPr>
          <w:rFonts w:hint="eastAsia" w:ascii="宋体" w:hAnsi="宋体"/>
          <w:bCs/>
          <w:sz w:val="28"/>
          <w:szCs w:val="28"/>
        </w:rPr>
        <w:t>（5）组装</w:t>
      </w:r>
    </w:p>
    <w:p w14:paraId="472A7EBD">
      <w:pPr>
        <w:widowControl/>
        <w:numPr>
          <w:ilvl w:val="0"/>
          <w:numId w:val="19"/>
        </w:numPr>
        <w:spacing w:line="360" w:lineRule="auto"/>
        <w:rPr>
          <w:rFonts w:ascii="宋体" w:hAnsi="宋体"/>
          <w:b w:val="0"/>
          <w:bCs/>
          <w:kern w:val="0"/>
          <w:sz w:val="28"/>
          <w:szCs w:val="28"/>
        </w:rPr>
      </w:pPr>
      <w:r>
        <w:rPr>
          <w:rFonts w:hint="eastAsia" w:ascii="宋体" w:hAnsi="宋体"/>
          <w:b w:val="0"/>
          <w:bCs/>
          <w:kern w:val="0"/>
          <w:sz w:val="28"/>
          <w:szCs w:val="28"/>
        </w:rPr>
        <w:t>工艺说明</w:t>
      </w:r>
    </w:p>
    <w:p w14:paraId="1EC91DAD">
      <w:pPr>
        <w:widowControl/>
        <w:spacing w:line="360" w:lineRule="auto"/>
        <w:ind w:firstLine="561"/>
        <w:rPr>
          <w:rFonts w:ascii="宋体" w:hAnsi="宋体"/>
          <w:b w:val="0"/>
          <w:bCs/>
          <w:kern w:val="0"/>
          <w:sz w:val="28"/>
          <w:szCs w:val="28"/>
        </w:rPr>
      </w:pPr>
      <w:r>
        <w:rPr>
          <w:rFonts w:hint="eastAsia" w:ascii="宋体" w:hAnsi="宋体"/>
          <w:b w:val="0"/>
          <w:bCs/>
          <w:kern w:val="0"/>
          <w:sz w:val="28"/>
          <w:szCs w:val="28"/>
        </w:rPr>
        <w:t>组装指组合烟花类（喷花组合）产品将单个喷花类产品与无药部件（模型、配件）固定在一起，形成特殊造型的烟花个体。</w:t>
      </w:r>
    </w:p>
    <w:p w14:paraId="45DB4136">
      <w:pPr>
        <w:widowControl/>
        <w:numPr>
          <w:ilvl w:val="0"/>
          <w:numId w:val="19"/>
        </w:numPr>
        <w:spacing w:line="360" w:lineRule="auto"/>
        <w:rPr>
          <w:rFonts w:ascii="宋体" w:hAnsi="宋体"/>
          <w:b w:val="0"/>
          <w:bCs/>
          <w:kern w:val="0"/>
          <w:sz w:val="28"/>
          <w:szCs w:val="28"/>
        </w:rPr>
      </w:pPr>
      <w:r>
        <w:rPr>
          <w:rFonts w:hint="eastAsia" w:ascii="宋体" w:hAnsi="宋体"/>
          <w:b w:val="0"/>
          <w:bCs/>
          <w:kern w:val="0"/>
          <w:sz w:val="28"/>
          <w:szCs w:val="28"/>
        </w:rPr>
        <w:t>主要危险有害因素</w:t>
      </w:r>
    </w:p>
    <w:p w14:paraId="3A36383B">
      <w:pPr>
        <w:spacing w:line="360" w:lineRule="auto"/>
        <w:ind w:firstLine="570"/>
        <w:rPr>
          <w:rFonts w:ascii="宋体" w:hAnsi="宋体"/>
          <w:b w:val="0"/>
          <w:bCs/>
          <w:kern w:val="0"/>
          <w:sz w:val="28"/>
          <w:szCs w:val="28"/>
        </w:rPr>
      </w:pPr>
      <w:r>
        <w:rPr>
          <w:rFonts w:hint="eastAsia" w:ascii="宋体" w:hAnsi="宋体"/>
          <w:b w:val="0"/>
          <w:bCs/>
          <w:kern w:val="0"/>
          <w:sz w:val="28"/>
          <w:szCs w:val="28"/>
        </w:rPr>
        <w:t>火源、静电火花引起产品燃烧、爆炸。</w:t>
      </w:r>
    </w:p>
    <w:p w14:paraId="1E4711DE">
      <w:pPr>
        <w:spacing w:line="360" w:lineRule="auto"/>
        <w:ind w:firstLine="560" w:firstLineChars="200"/>
        <w:rPr>
          <w:rFonts w:ascii="宋体" w:hAnsi="宋体"/>
          <w:b w:val="0"/>
          <w:sz w:val="28"/>
          <w:szCs w:val="28"/>
        </w:rPr>
      </w:pPr>
      <w:r>
        <w:rPr>
          <w:rFonts w:hint="eastAsia" w:ascii="宋体" w:hAnsi="宋体"/>
          <w:b w:val="0"/>
          <w:sz w:val="28"/>
          <w:szCs w:val="28"/>
        </w:rPr>
        <w:t>发爆炸；装药过程产生粉尘健康危害。</w:t>
      </w:r>
    </w:p>
    <w:p w14:paraId="42801BCF">
      <w:pPr>
        <w:pStyle w:val="35"/>
        <w:widowControl w:val="0"/>
        <w:ind w:left="561" w:firstLine="0"/>
        <w:rPr>
          <w:rFonts w:ascii="宋体" w:hAnsi="宋体" w:eastAsia="宋体"/>
          <w:bCs/>
          <w:szCs w:val="28"/>
        </w:rPr>
      </w:pPr>
      <w:r>
        <w:rPr>
          <w:rFonts w:hint="eastAsia" w:ascii="宋体" w:hAnsi="宋体" w:eastAsia="宋体"/>
          <w:bCs/>
          <w:szCs w:val="28"/>
        </w:rPr>
        <w:t>（</w:t>
      </w:r>
      <w:r>
        <w:rPr>
          <w:rFonts w:ascii="宋体" w:hAnsi="宋体" w:eastAsia="宋体"/>
          <w:bCs/>
          <w:szCs w:val="28"/>
        </w:rPr>
        <w:t>6</w:t>
      </w:r>
      <w:r>
        <w:rPr>
          <w:rFonts w:hint="eastAsia" w:ascii="宋体" w:hAnsi="宋体" w:eastAsia="宋体"/>
          <w:bCs/>
          <w:szCs w:val="28"/>
        </w:rPr>
        <w:t>）包装</w:t>
      </w:r>
    </w:p>
    <w:p w14:paraId="78AB1088">
      <w:pPr>
        <w:autoSpaceDE w:val="0"/>
        <w:autoSpaceDN w:val="0"/>
        <w:adjustRightInd w:val="0"/>
        <w:spacing w:line="360" w:lineRule="auto"/>
        <w:ind w:firstLine="560" w:firstLineChars="200"/>
        <w:rPr>
          <w:rFonts w:ascii="宋体" w:cs="宋体"/>
          <w:b w:val="0"/>
          <w:sz w:val="28"/>
          <w:szCs w:val="28"/>
          <w:lang w:val="zh-CN"/>
        </w:rPr>
      </w:pPr>
      <w:r>
        <w:rPr>
          <w:rFonts w:hint="eastAsia" w:ascii="宋体" w:cs="宋体"/>
          <w:b w:val="0"/>
          <w:sz w:val="28"/>
          <w:szCs w:val="28"/>
          <w:lang w:val="zh-CN"/>
        </w:rPr>
        <w:t>①工艺说明</w:t>
      </w:r>
    </w:p>
    <w:p w14:paraId="405ED6C1">
      <w:pPr>
        <w:autoSpaceDE w:val="0"/>
        <w:autoSpaceDN w:val="0"/>
        <w:adjustRightInd w:val="0"/>
        <w:spacing w:line="360" w:lineRule="auto"/>
        <w:ind w:firstLine="536" w:firstLineChars="200"/>
        <w:rPr>
          <w:rFonts w:ascii="宋体" w:cs="宋体"/>
          <w:b w:val="0"/>
          <w:sz w:val="28"/>
          <w:szCs w:val="28"/>
          <w:lang w:val="zh-CN"/>
        </w:rPr>
      </w:pPr>
      <w:r>
        <w:rPr>
          <w:rFonts w:hint="eastAsia" w:ascii="宋体" w:cs="宋体"/>
          <w:b w:val="0"/>
          <w:spacing w:val="-6"/>
          <w:sz w:val="28"/>
          <w:szCs w:val="28"/>
          <w:lang w:val="zh-CN"/>
        </w:rPr>
        <w:t>将散装成品盛装入纸盒或用玻璃纸、胶纸捆扎成一定数量的成品集合体。</w:t>
      </w:r>
    </w:p>
    <w:p w14:paraId="25A9F74D">
      <w:pPr>
        <w:autoSpaceDE w:val="0"/>
        <w:autoSpaceDN w:val="0"/>
        <w:adjustRightInd w:val="0"/>
        <w:spacing w:line="360" w:lineRule="auto"/>
        <w:ind w:firstLine="560" w:firstLineChars="200"/>
        <w:rPr>
          <w:rFonts w:ascii="宋体" w:cs="宋体"/>
          <w:b w:val="0"/>
          <w:sz w:val="28"/>
          <w:szCs w:val="28"/>
          <w:lang w:val="zh-CN"/>
        </w:rPr>
      </w:pPr>
      <w:bookmarkStart w:id="354" w:name="_Toc219869682"/>
      <w:r>
        <w:rPr>
          <w:rFonts w:hint="eastAsia" w:ascii="宋体" w:cs="宋体"/>
          <w:b w:val="0"/>
          <w:sz w:val="28"/>
          <w:szCs w:val="28"/>
          <w:lang w:val="zh-CN"/>
        </w:rPr>
        <w:t>②主要危险有害因素</w:t>
      </w:r>
      <w:bookmarkEnd w:id="354"/>
    </w:p>
    <w:p w14:paraId="0B6A1653">
      <w:pPr>
        <w:autoSpaceDE w:val="0"/>
        <w:autoSpaceDN w:val="0"/>
        <w:adjustRightInd w:val="0"/>
        <w:spacing w:line="360" w:lineRule="auto"/>
        <w:ind w:firstLine="560" w:firstLineChars="200"/>
        <w:rPr>
          <w:rFonts w:ascii="宋体" w:cs="宋体"/>
          <w:b w:val="0"/>
          <w:sz w:val="28"/>
          <w:szCs w:val="28"/>
          <w:lang w:val="zh-CN"/>
        </w:rPr>
      </w:pPr>
      <w:r>
        <w:rPr>
          <w:rFonts w:hint="eastAsia" w:ascii="宋体" w:cs="宋体"/>
          <w:b w:val="0"/>
          <w:sz w:val="28"/>
          <w:szCs w:val="28"/>
          <w:lang w:val="zh-CN"/>
        </w:rPr>
        <w:t>大力碰撞引燃药物，引发爆炸；火源、静电火花引起产品燃烧、爆炸。</w:t>
      </w:r>
    </w:p>
    <w:p w14:paraId="2B7D96C1">
      <w:pPr>
        <w:pStyle w:val="35"/>
        <w:widowControl w:val="0"/>
        <w:ind w:left="561" w:firstLine="0"/>
        <w:rPr>
          <w:rFonts w:ascii="宋体" w:hAnsi="宋体" w:eastAsia="宋体"/>
          <w:bCs/>
          <w:szCs w:val="28"/>
        </w:rPr>
      </w:pPr>
      <w:r>
        <w:rPr>
          <w:rFonts w:hint="eastAsia" w:ascii="宋体" w:hAnsi="宋体" w:eastAsia="宋体"/>
          <w:bCs/>
          <w:szCs w:val="28"/>
        </w:rPr>
        <w:t>（</w:t>
      </w:r>
      <w:r>
        <w:rPr>
          <w:rFonts w:ascii="宋体" w:hAnsi="宋体" w:eastAsia="宋体"/>
          <w:bCs/>
          <w:szCs w:val="28"/>
        </w:rPr>
        <w:t>7</w:t>
      </w:r>
      <w:r>
        <w:rPr>
          <w:rFonts w:hint="eastAsia" w:ascii="宋体" w:hAnsi="宋体" w:eastAsia="宋体"/>
          <w:bCs/>
          <w:szCs w:val="28"/>
        </w:rPr>
        <w:t>）成箱</w:t>
      </w:r>
    </w:p>
    <w:p w14:paraId="2B49C3ED">
      <w:pPr>
        <w:autoSpaceDE w:val="0"/>
        <w:autoSpaceDN w:val="0"/>
        <w:adjustRightInd w:val="0"/>
        <w:spacing w:line="360" w:lineRule="auto"/>
        <w:ind w:firstLine="560" w:firstLineChars="200"/>
        <w:rPr>
          <w:rFonts w:ascii="宋体" w:cs="宋体"/>
          <w:b w:val="0"/>
          <w:sz w:val="28"/>
          <w:szCs w:val="28"/>
          <w:lang w:val="zh-CN"/>
        </w:rPr>
      </w:pPr>
      <w:r>
        <w:rPr>
          <w:rFonts w:hint="eastAsia" w:ascii="宋体" w:cs="宋体"/>
          <w:b w:val="0"/>
          <w:sz w:val="28"/>
          <w:szCs w:val="28"/>
          <w:lang w:val="zh-CN"/>
        </w:rPr>
        <w:t>①工艺说明</w:t>
      </w:r>
    </w:p>
    <w:p w14:paraId="618B584A">
      <w:pPr>
        <w:autoSpaceDE w:val="0"/>
        <w:autoSpaceDN w:val="0"/>
        <w:adjustRightInd w:val="0"/>
        <w:spacing w:line="360" w:lineRule="auto"/>
        <w:ind w:firstLine="560" w:firstLineChars="200"/>
        <w:rPr>
          <w:rFonts w:ascii="宋体" w:cs="宋体"/>
          <w:b w:val="0"/>
          <w:sz w:val="28"/>
          <w:szCs w:val="28"/>
          <w:lang w:val="zh-CN"/>
        </w:rPr>
      </w:pPr>
      <w:r>
        <w:rPr>
          <w:rFonts w:hint="eastAsia" w:ascii="宋体" w:cs="宋体"/>
          <w:b w:val="0"/>
          <w:sz w:val="28"/>
          <w:szCs w:val="28"/>
          <w:lang w:val="zh-CN"/>
        </w:rPr>
        <w:t>成箱是将褙皮（包装）后的单个成品按订单要求数量装入特定纸箱内。</w:t>
      </w:r>
    </w:p>
    <w:p w14:paraId="3E7A0019">
      <w:pPr>
        <w:autoSpaceDE w:val="0"/>
        <w:autoSpaceDN w:val="0"/>
        <w:adjustRightInd w:val="0"/>
        <w:spacing w:line="360" w:lineRule="auto"/>
        <w:ind w:firstLine="560" w:firstLineChars="200"/>
        <w:rPr>
          <w:rFonts w:ascii="宋体" w:cs="宋体"/>
          <w:b w:val="0"/>
          <w:sz w:val="28"/>
          <w:szCs w:val="28"/>
          <w:lang w:val="zh-CN"/>
        </w:rPr>
      </w:pPr>
      <w:r>
        <w:rPr>
          <w:rFonts w:hint="eastAsia" w:ascii="宋体" w:cs="宋体"/>
          <w:b w:val="0"/>
          <w:sz w:val="28"/>
          <w:szCs w:val="28"/>
          <w:lang w:val="zh-CN"/>
        </w:rPr>
        <w:t>②主要危险有害因素</w:t>
      </w:r>
    </w:p>
    <w:p w14:paraId="76C7FD9E">
      <w:pPr>
        <w:pStyle w:val="35"/>
        <w:ind w:firstLine="561"/>
        <w:rPr>
          <w:rFonts w:ascii="宋体" w:hAnsi="宋体" w:eastAsia="宋体"/>
          <w:b w:val="0"/>
          <w:kern w:val="2"/>
          <w:szCs w:val="24"/>
        </w:rPr>
      </w:pPr>
      <w:r>
        <w:rPr>
          <w:rFonts w:hint="eastAsia" w:ascii="宋体" w:eastAsia="宋体" w:cs="宋体"/>
          <w:b w:val="0"/>
          <w:szCs w:val="28"/>
          <w:lang w:val="zh-CN"/>
        </w:rPr>
        <w:t>大力碰撞引燃药物，引发爆炸</w:t>
      </w:r>
      <w:r>
        <w:rPr>
          <w:rFonts w:hint="eastAsia" w:ascii="宋体" w:hAnsi="宋体" w:eastAsia="宋体"/>
          <w:b w:val="0"/>
          <w:szCs w:val="28"/>
        </w:rPr>
        <w:t>。</w:t>
      </w:r>
    </w:p>
    <w:p w14:paraId="4153D5E2">
      <w:pPr>
        <w:widowControl/>
        <w:spacing w:line="360" w:lineRule="auto"/>
        <w:ind w:firstLine="562" w:firstLineChars="200"/>
        <w:rPr>
          <w:rFonts w:ascii="宋体" w:hAnsi="宋体"/>
          <w:kern w:val="0"/>
          <w:sz w:val="28"/>
          <w:szCs w:val="28"/>
        </w:rPr>
      </w:pPr>
      <w:r>
        <w:rPr>
          <w:rFonts w:hint="eastAsia" w:ascii="宋体" w:hAnsi="宋体"/>
          <w:kern w:val="0"/>
          <w:sz w:val="28"/>
          <w:szCs w:val="28"/>
        </w:rPr>
        <w:t>三、中转</w:t>
      </w:r>
    </w:p>
    <w:p w14:paraId="5889A84B">
      <w:pPr>
        <w:widowControl/>
        <w:spacing w:line="360" w:lineRule="auto"/>
        <w:ind w:firstLine="560" w:firstLineChars="200"/>
        <w:rPr>
          <w:rFonts w:ascii="宋体" w:hAnsi="宋体"/>
          <w:b w:val="0"/>
          <w:kern w:val="0"/>
          <w:sz w:val="28"/>
          <w:szCs w:val="28"/>
        </w:rPr>
      </w:pPr>
      <w:r>
        <w:rPr>
          <w:rFonts w:hint="eastAsia" w:ascii="宋体" w:hAnsi="宋体"/>
          <w:b w:val="0"/>
          <w:kern w:val="0"/>
          <w:sz w:val="28"/>
          <w:szCs w:val="28"/>
        </w:rPr>
        <w:t xml:space="preserve"> </w:t>
      </w:r>
      <w:r>
        <w:rPr>
          <w:rFonts w:hint="eastAsia" w:ascii="宋体" w:hAnsi="宋体"/>
          <w:b w:val="0"/>
          <w:snapToGrid w:val="0"/>
          <w:sz w:val="28"/>
          <w:szCs w:val="28"/>
        </w:rPr>
        <w:t>该企业整个生产产品工艺操作间以外的其他配套有药工房起着承上起下的作用，但又存在很大的危险性，且储存药量均较大，一旦发生危险波及范围比操作工艺工房更广。本次评价对这些工艺操作之外存在危险的其他方面进行分析评价</w:t>
      </w:r>
      <w:r>
        <w:rPr>
          <w:rFonts w:hint="eastAsia" w:ascii="宋体" w:hAnsi="宋体"/>
          <w:b w:val="0"/>
          <w:kern w:val="0"/>
          <w:sz w:val="28"/>
          <w:szCs w:val="28"/>
        </w:rPr>
        <w:t>。</w:t>
      </w:r>
    </w:p>
    <w:p w14:paraId="7400F913">
      <w:pPr>
        <w:widowControl/>
        <w:spacing w:line="360" w:lineRule="auto"/>
        <w:ind w:firstLine="560" w:firstLineChars="200"/>
        <w:rPr>
          <w:rFonts w:ascii="宋体" w:hAnsi="宋体"/>
          <w:b w:val="0"/>
          <w:bCs/>
          <w:kern w:val="0"/>
          <w:sz w:val="28"/>
          <w:szCs w:val="28"/>
        </w:rPr>
      </w:pPr>
      <w:r>
        <w:rPr>
          <w:rFonts w:hint="eastAsia" w:ascii="宋体" w:hAnsi="宋体"/>
          <w:b w:val="0"/>
          <w:bCs/>
          <w:kern w:val="0"/>
          <w:sz w:val="28"/>
          <w:szCs w:val="28"/>
        </w:rPr>
        <w:t>①工艺说明</w:t>
      </w:r>
    </w:p>
    <w:p w14:paraId="25C3F52C">
      <w:pPr>
        <w:widowControl/>
        <w:spacing w:line="360" w:lineRule="auto"/>
        <w:ind w:firstLine="560" w:firstLineChars="200"/>
        <w:rPr>
          <w:rFonts w:ascii="宋体" w:hAnsi="宋体"/>
          <w:b w:val="0"/>
          <w:bCs/>
          <w:kern w:val="0"/>
          <w:sz w:val="28"/>
          <w:szCs w:val="28"/>
        </w:rPr>
      </w:pPr>
      <w:r>
        <w:rPr>
          <w:rFonts w:hint="eastAsia" w:ascii="宋体" w:hAnsi="宋体"/>
          <w:b w:val="0"/>
          <w:bCs/>
          <w:kern w:val="0"/>
          <w:sz w:val="28"/>
          <w:szCs w:val="28"/>
        </w:rPr>
        <w:t>药物（饼）、半成品中转（药洞）不是一个特定工艺操作过程，它是工艺操作过程减少药物集中在危险操作间所必需的辅助工房，主要作用是避免药物集中，减少操作人员身边药量，预防工艺运输交叉等。它分为1.3级中转库房、1.1级中转库及药洞。</w:t>
      </w:r>
    </w:p>
    <w:p w14:paraId="597B7995">
      <w:pPr>
        <w:widowControl/>
        <w:spacing w:line="360" w:lineRule="auto"/>
        <w:ind w:firstLine="560" w:firstLineChars="200"/>
        <w:rPr>
          <w:rFonts w:ascii="宋体" w:hAnsi="宋体"/>
          <w:b w:val="0"/>
          <w:bCs/>
          <w:kern w:val="0"/>
          <w:sz w:val="28"/>
          <w:szCs w:val="28"/>
        </w:rPr>
      </w:pPr>
      <w:bookmarkStart w:id="355" w:name="_Toc219869688"/>
      <w:r>
        <w:rPr>
          <w:rFonts w:hint="eastAsia" w:ascii="宋体" w:hAnsi="宋体"/>
          <w:b w:val="0"/>
          <w:bCs/>
          <w:kern w:val="0"/>
          <w:sz w:val="28"/>
          <w:szCs w:val="28"/>
        </w:rPr>
        <w:t>②主要危险有害因素</w:t>
      </w:r>
      <w:bookmarkEnd w:id="355"/>
    </w:p>
    <w:p w14:paraId="37525A9F">
      <w:pPr>
        <w:widowControl/>
        <w:spacing w:line="360" w:lineRule="auto"/>
        <w:ind w:firstLine="560" w:firstLineChars="200"/>
        <w:rPr>
          <w:rFonts w:ascii="宋体" w:hAnsi="宋体"/>
          <w:b w:val="0"/>
          <w:bCs/>
          <w:kern w:val="0"/>
          <w:sz w:val="28"/>
          <w:szCs w:val="28"/>
        </w:rPr>
      </w:pPr>
      <w:r>
        <w:rPr>
          <w:rFonts w:hint="eastAsia" w:ascii="宋体" w:hAnsi="宋体"/>
          <w:b w:val="0"/>
          <w:bCs/>
          <w:kern w:val="0"/>
          <w:sz w:val="28"/>
          <w:szCs w:val="28"/>
        </w:rPr>
        <w:t>在1.1级中转间的操作不当，摩擦、撞击、静电引发火灾、爆炸。实际储存药量远大于设计限药量时，一旦有爆炸危险时可能引起殉爆。</w:t>
      </w:r>
    </w:p>
    <w:p w14:paraId="7B2BB6E2">
      <w:pPr>
        <w:spacing w:line="360" w:lineRule="auto"/>
        <w:outlineLvl w:val="2"/>
        <w:rPr>
          <w:rFonts w:ascii="黑体" w:hAnsi="黑体" w:eastAsia="黑体"/>
          <w:b w:val="0"/>
          <w:bCs/>
          <w:sz w:val="30"/>
          <w:szCs w:val="30"/>
        </w:rPr>
      </w:pPr>
      <w:bookmarkStart w:id="356" w:name="_Toc145275203"/>
      <w:bookmarkStart w:id="357" w:name="_Toc58861995"/>
      <w:bookmarkStart w:id="358" w:name="_Toc58946827"/>
      <w:bookmarkStart w:id="359" w:name="_Toc173077669"/>
      <w:bookmarkStart w:id="360" w:name="_Toc181194076"/>
      <w:bookmarkStart w:id="361" w:name="_Toc60129110"/>
      <w:bookmarkStart w:id="362" w:name="_Toc148036998"/>
      <w:r>
        <w:rPr>
          <w:rFonts w:hint="eastAsia" w:ascii="黑体" w:hAnsi="黑体" w:eastAsia="黑体"/>
          <w:b w:val="0"/>
          <w:bCs/>
          <w:sz w:val="30"/>
          <w:szCs w:val="30"/>
        </w:rPr>
        <w:t>3.</w:t>
      </w:r>
      <w:r>
        <w:rPr>
          <w:rFonts w:ascii="黑体" w:hAnsi="黑体" w:eastAsia="黑体"/>
          <w:b w:val="0"/>
          <w:bCs/>
          <w:sz w:val="30"/>
          <w:szCs w:val="30"/>
        </w:rPr>
        <w:t>5</w:t>
      </w:r>
      <w:r>
        <w:rPr>
          <w:rFonts w:hint="eastAsia" w:ascii="黑体" w:hAnsi="黑体" w:eastAsia="黑体"/>
          <w:b w:val="0"/>
          <w:bCs/>
          <w:sz w:val="30"/>
          <w:szCs w:val="30"/>
        </w:rPr>
        <w:t>.2工艺过程危险有害因素综述</w:t>
      </w:r>
      <w:bookmarkEnd w:id="356"/>
      <w:bookmarkEnd w:id="357"/>
      <w:bookmarkEnd w:id="358"/>
      <w:bookmarkEnd w:id="359"/>
      <w:bookmarkEnd w:id="360"/>
      <w:bookmarkEnd w:id="361"/>
      <w:bookmarkEnd w:id="362"/>
    </w:p>
    <w:p w14:paraId="765DD1C5">
      <w:pPr>
        <w:spacing w:line="360" w:lineRule="auto"/>
        <w:ind w:firstLine="560" w:firstLineChars="200"/>
        <w:rPr>
          <w:rFonts w:ascii="黑体" w:hAnsi="宋体" w:eastAsia="黑体"/>
          <w:b w:val="0"/>
          <w:sz w:val="24"/>
        </w:rPr>
      </w:pPr>
      <w:r>
        <w:rPr>
          <w:rFonts w:hint="eastAsia" w:ascii="宋体" w:hAnsi="宋体"/>
          <w:b w:val="0"/>
          <w:snapToGrid w:val="0"/>
          <w:sz w:val="28"/>
          <w:szCs w:val="28"/>
        </w:rPr>
        <w:t>由以上各危险工艺过程危险有害因素分析可知，该企业生产工艺过程存在的主要危险、危害为燃烧、爆炸和中毒、粉尘危害、机械致害。工艺过程危险有害因素类别、存在场所及可能导致的事故如下表3.</w:t>
      </w:r>
      <w:r>
        <w:rPr>
          <w:rFonts w:ascii="宋体" w:hAnsi="宋体"/>
          <w:b w:val="0"/>
          <w:snapToGrid w:val="0"/>
          <w:sz w:val="28"/>
          <w:szCs w:val="28"/>
        </w:rPr>
        <w:t>5</w:t>
      </w:r>
      <w:r>
        <w:rPr>
          <w:rFonts w:hint="eastAsia" w:ascii="宋体" w:hAnsi="宋体"/>
          <w:b w:val="0"/>
          <w:snapToGrid w:val="0"/>
          <w:sz w:val="28"/>
          <w:szCs w:val="28"/>
        </w:rPr>
        <w:t>-</w:t>
      </w:r>
      <w:r>
        <w:rPr>
          <w:rFonts w:ascii="宋体" w:hAnsi="宋体"/>
          <w:b w:val="0"/>
          <w:snapToGrid w:val="0"/>
          <w:sz w:val="28"/>
          <w:szCs w:val="28"/>
        </w:rPr>
        <w:t>1</w:t>
      </w:r>
      <w:r>
        <w:rPr>
          <w:rFonts w:hint="eastAsia" w:ascii="宋体" w:hAnsi="宋体"/>
          <w:b w:val="0"/>
          <w:snapToGrid w:val="0"/>
          <w:sz w:val="28"/>
          <w:szCs w:val="28"/>
        </w:rPr>
        <w:t>所示：</w:t>
      </w:r>
    </w:p>
    <w:p w14:paraId="726D15D0">
      <w:pPr>
        <w:jc w:val="center"/>
        <w:rPr>
          <w:rFonts w:ascii="黑体" w:hAnsi="宋体" w:eastAsia="黑体"/>
          <w:b w:val="0"/>
          <w:sz w:val="24"/>
        </w:rPr>
      </w:pPr>
      <w:r>
        <w:rPr>
          <w:rFonts w:hint="eastAsia" w:ascii="黑体" w:hAnsi="宋体" w:eastAsia="黑体"/>
          <w:b w:val="0"/>
          <w:sz w:val="24"/>
        </w:rPr>
        <w:t>表3.</w:t>
      </w:r>
      <w:r>
        <w:rPr>
          <w:rFonts w:ascii="黑体" w:hAnsi="宋体" w:eastAsia="黑体"/>
          <w:b w:val="0"/>
          <w:sz w:val="24"/>
        </w:rPr>
        <w:t>5</w:t>
      </w:r>
      <w:r>
        <w:rPr>
          <w:rFonts w:hint="eastAsia" w:ascii="黑体" w:hAnsi="宋体" w:eastAsia="黑体"/>
          <w:b w:val="0"/>
          <w:sz w:val="24"/>
        </w:rPr>
        <w:t>-</w:t>
      </w:r>
      <w:r>
        <w:rPr>
          <w:rFonts w:ascii="黑体" w:hAnsi="宋体" w:eastAsia="黑体"/>
          <w:b w:val="0"/>
          <w:sz w:val="24"/>
        </w:rPr>
        <w:t>1</w:t>
      </w:r>
      <w:r>
        <w:rPr>
          <w:rFonts w:hint="eastAsia" w:ascii="黑体" w:hAnsi="宋体" w:eastAsia="黑体"/>
          <w:b w:val="0"/>
          <w:sz w:val="24"/>
        </w:rPr>
        <w:t>工艺过程存在的主要危险、有害因素</w:t>
      </w:r>
    </w:p>
    <w:tbl>
      <w:tblPr>
        <w:tblStyle w:val="88"/>
        <w:tblW w:w="4906"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63"/>
        <w:gridCol w:w="1484"/>
        <w:gridCol w:w="1707"/>
        <w:gridCol w:w="1634"/>
        <w:gridCol w:w="1816"/>
        <w:gridCol w:w="2009"/>
      </w:tblGrid>
      <w:tr w14:paraId="555572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tblHeader/>
          <w:jc w:val="center"/>
        </w:trPr>
        <w:tc>
          <w:tcPr>
            <w:tcW w:w="2004" w:type="pct"/>
            <w:gridSpan w:val="3"/>
            <w:tcBorders>
              <w:top w:val="single" w:color="auto" w:sz="12" w:space="0"/>
            </w:tcBorders>
            <w:vAlign w:val="center"/>
          </w:tcPr>
          <w:p w14:paraId="2B673921">
            <w:pPr>
              <w:spacing w:line="240" w:lineRule="exact"/>
              <w:jc w:val="center"/>
              <w:rPr>
                <w:rFonts w:ascii="宋体" w:hAnsi="宋体"/>
                <w:szCs w:val="21"/>
              </w:rPr>
            </w:pPr>
            <w:r>
              <w:rPr>
                <w:rFonts w:hint="eastAsia" w:ascii="宋体" w:hAnsi="宋体"/>
                <w:szCs w:val="21"/>
              </w:rPr>
              <w:t>危险有害因素</w:t>
            </w:r>
          </w:p>
          <w:p w14:paraId="21499ED6">
            <w:pPr>
              <w:spacing w:line="240" w:lineRule="exact"/>
              <w:jc w:val="center"/>
              <w:rPr>
                <w:rFonts w:ascii="宋体" w:hAnsi="宋体"/>
                <w:szCs w:val="21"/>
              </w:rPr>
            </w:pPr>
            <w:r>
              <w:rPr>
                <w:rFonts w:hint="eastAsia" w:ascii="宋体" w:hAnsi="宋体"/>
                <w:szCs w:val="21"/>
              </w:rPr>
              <w:t>名称及代码</w:t>
            </w:r>
          </w:p>
        </w:tc>
        <w:tc>
          <w:tcPr>
            <w:tcW w:w="896" w:type="pct"/>
            <w:tcBorders>
              <w:top w:val="single" w:color="auto" w:sz="12" w:space="0"/>
            </w:tcBorders>
            <w:vAlign w:val="center"/>
          </w:tcPr>
          <w:p w14:paraId="0EE36735">
            <w:pPr>
              <w:spacing w:line="240" w:lineRule="exact"/>
              <w:jc w:val="center"/>
              <w:rPr>
                <w:rFonts w:ascii="宋体" w:hAnsi="宋体"/>
                <w:szCs w:val="21"/>
              </w:rPr>
            </w:pPr>
            <w:r>
              <w:rPr>
                <w:rFonts w:hint="eastAsia" w:ascii="宋体" w:hAnsi="宋体"/>
                <w:szCs w:val="21"/>
              </w:rPr>
              <w:t>存在场所</w:t>
            </w:r>
          </w:p>
        </w:tc>
        <w:tc>
          <w:tcPr>
            <w:tcW w:w="996" w:type="pct"/>
            <w:tcBorders>
              <w:top w:val="single" w:color="auto" w:sz="12" w:space="0"/>
            </w:tcBorders>
            <w:vAlign w:val="center"/>
          </w:tcPr>
          <w:p w14:paraId="33B09981">
            <w:pPr>
              <w:spacing w:line="240" w:lineRule="exact"/>
              <w:jc w:val="center"/>
              <w:rPr>
                <w:rFonts w:ascii="宋体" w:hAnsi="宋体"/>
                <w:szCs w:val="21"/>
              </w:rPr>
            </w:pPr>
            <w:r>
              <w:rPr>
                <w:rFonts w:hint="eastAsia" w:ascii="宋体" w:hAnsi="宋体"/>
                <w:szCs w:val="21"/>
              </w:rPr>
              <w:t>事故发生的原因</w:t>
            </w:r>
          </w:p>
        </w:tc>
        <w:tc>
          <w:tcPr>
            <w:tcW w:w="1101" w:type="pct"/>
            <w:tcBorders>
              <w:top w:val="single" w:color="auto" w:sz="12" w:space="0"/>
            </w:tcBorders>
            <w:vAlign w:val="center"/>
          </w:tcPr>
          <w:p w14:paraId="7B630C6D">
            <w:pPr>
              <w:spacing w:line="240" w:lineRule="exact"/>
              <w:jc w:val="center"/>
              <w:rPr>
                <w:rFonts w:ascii="宋体" w:hAnsi="宋体"/>
                <w:szCs w:val="21"/>
              </w:rPr>
            </w:pPr>
            <w:r>
              <w:rPr>
                <w:rFonts w:hint="eastAsia" w:ascii="宋体" w:hAnsi="宋体"/>
                <w:szCs w:val="21"/>
              </w:rPr>
              <w:t>可能导致的事故</w:t>
            </w:r>
          </w:p>
        </w:tc>
      </w:tr>
      <w:tr w14:paraId="4F7DD8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 w:type="pct"/>
            <w:vMerge w:val="restart"/>
            <w:vAlign w:val="center"/>
          </w:tcPr>
          <w:p w14:paraId="43E55249">
            <w:pPr>
              <w:spacing w:line="240" w:lineRule="exact"/>
              <w:jc w:val="center"/>
              <w:rPr>
                <w:rFonts w:ascii="宋体" w:hAnsi="宋体"/>
                <w:b w:val="0"/>
                <w:bCs/>
                <w:szCs w:val="21"/>
              </w:rPr>
            </w:pPr>
            <w:r>
              <w:rPr>
                <w:rFonts w:hint="eastAsia" w:ascii="宋体" w:hAnsi="宋体"/>
                <w:b w:val="0"/>
                <w:bCs/>
                <w:szCs w:val="21"/>
              </w:rPr>
              <w:t>人的因素</w:t>
            </w:r>
            <w:r>
              <w:rPr>
                <w:rFonts w:ascii="宋体" w:hAnsi="宋体"/>
                <w:b w:val="0"/>
                <w:bCs/>
                <w:szCs w:val="21"/>
              </w:rPr>
              <w:t>1</w:t>
            </w:r>
          </w:p>
        </w:tc>
        <w:tc>
          <w:tcPr>
            <w:tcW w:w="814" w:type="pct"/>
            <w:vMerge w:val="restart"/>
            <w:vAlign w:val="center"/>
          </w:tcPr>
          <w:p w14:paraId="565F777E">
            <w:pPr>
              <w:spacing w:line="240" w:lineRule="exact"/>
              <w:jc w:val="center"/>
              <w:rPr>
                <w:rFonts w:ascii="宋体" w:hAnsi="宋体"/>
                <w:b w:val="0"/>
                <w:bCs/>
                <w:szCs w:val="21"/>
              </w:rPr>
            </w:pPr>
            <w:r>
              <w:rPr>
                <w:rFonts w:hint="eastAsia" w:ascii="宋体" w:hAnsi="宋体"/>
                <w:b w:val="0"/>
                <w:bCs/>
                <w:szCs w:val="21"/>
              </w:rPr>
              <w:t>心理、生理性危险有害因素</w:t>
            </w:r>
            <w:r>
              <w:rPr>
                <w:rFonts w:ascii="宋体" w:hAnsi="宋体"/>
                <w:b w:val="0"/>
                <w:bCs/>
                <w:szCs w:val="21"/>
              </w:rPr>
              <w:t>11</w:t>
            </w:r>
          </w:p>
        </w:tc>
        <w:tc>
          <w:tcPr>
            <w:tcW w:w="935" w:type="pct"/>
            <w:vAlign w:val="center"/>
          </w:tcPr>
          <w:p w14:paraId="531983CE">
            <w:pPr>
              <w:spacing w:line="240" w:lineRule="exact"/>
              <w:jc w:val="center"/>
              <w:rPr>
                <w:rFonts w:ascii="宋体" w:hAnsi="宋体"/>
                <w:b w:val="0"/>
                <w:bCs/>
                <w:szCs w:val="21"/>
              </w:rPr>
            </w:pPr>
            <w:r>
              <w:rPr>
                <w:rFonts w:hint="eastAsia" w:ascii="宋体" w:hAnsi="宋体"/>
                <w:b w:val="0"/>
                <w:bCs/>
                <w:szCs w:val="21"/>
              </w:rPr>
              <w:t>负荷超限</w:t>
            </w:r>
            <w:r>
              <w:rPr>
                <w:rFonts w:ascii="宋体" w:hAnsi="宋体"/>
                <w:b w:val="0"/>
                <w:bCs/>
                <w:szCs w:val="21"/>
              </w:rPr>
              <w:t>1101</w:t>
            </w:r>
          </w:p>
        </w:tc>
        <w:tc>
          <w:tcPr>
            <w:tcW w:w="896" w:type="pct"/>
            <w:vAlign w:val="center"/>
          </w:tcPr>
          <w:p w14:paraId="3A9CD0D9">
            <w:pPr>
              <w:spacing w:line="240" w:lineRule="exact"/>
              <w:jc w:val="center"/>
              <w:rPr>
                <w:rFonts w:ascii="宋体" w:hAnsi="宋体"/>
                <w:b w:val="0"/>
                <w:bCs/>
                <w:szCs w:val="21"/>
              </w:rPr>
            </w:pPr>
            <w:r>
              <w:rPr>
                <w:rFonts w:hint="eastAsia" w:ascii="宋体" w:hAnsi="宋体"/>
                <w:b w:val="0"/>
                <w:bCs/>
                <w:szCs w:val="21"/>
              </w:rPr>
              <w:t>厂内运输</w:t>
            </w:r>
          </w:p>
        </w:tc>
        <w:tc>
          <w:tcPr>
            <w:tcW w:w="996" w:type="pct"/>
            <w:vAlign w:val="center"/>
          </w:tcPr>
          <w:p w14:paraId="58E4DCB7">
            <w:pPr>
              <w:spacing w:line="240" w:lineRule="exact"/>
              <w:jc w:val="center"/>
              <w:rPr>
                <w:rFonts w:ascii="宋体" w:hAnsi="宋体"/>
                <w:b w:val="0"/>
                <w:bCs/>
                <w:szCs w:val="21"/>
              </w:rPr>
            </w:pPr>
            <w:r>
              <w:rPr>
                <w:rFonts w:hint="eastAsia" w:ascii="宋体" w:hAnsi="宋体"/>
                <w:b w:val="0"/>
                <w:bCs/>
                <w:szCs w:val="21"/>
              </w:rPr>
              <w:t>超负荷操作发生意外</w:t>
            </w:r>
          </w:p>
        </w:tc>
        <w:tc>
          <w:tcPr>
            <w:tcW w:w="1101" w:type="pct"/>
            <w:vAlign w:val="center"/>
          </w:tcPr>
          <w:p w14:paraId="69F3F04A">
            <w:pPr>
              <w:spacing w:line="240" w:lineRule="exact"/>
              <w:jc w:val="center"/>
              <w:rPr>
                <w:rFonts w:ascii="宋体" w:hAnsi="宋体"/>
                <w:b w:val="0"/>
                <w:bCs/>
                <w:szCs w:val="21"/>
              </w:rPr>
            </w:pPr>
            <w:r>
              <w:rPr>
                <w:rFonts w:hint="eastAsia" w:ascii="宋体" w:hAnsi="宋体"/>
                <w:b w:val="0"/>
                <w:bCs/>
                <w:szCs w:val="21"/>
              </w:rPr>
              <w:t>人体伤害或其它安全事故</w:t>
            </w:r>
          </w:p>
        </w:tc>
      </w:tr>
      <w:tr w14:paraId="1344EE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 w:type="pct"/>
            <w:vMerge w:val="continue"/>
            <w:vAlign w:val="center"/>
          </w:tcPr>
          <w:p w14:paraId="15F4E014">
            <w:pPr>
              <w:widowControl/>
              <w:spacing w:line="240" w:lineRule="exact"/>
              <w:jc w:val="center"/>
              <w:rPr>
                <w:rFonts w:ascii="宋体" w:hAnsi="宋体"/>
                <w:b w:val="0"/>
                <w:bCs/>
                <w:szCs w:val="21"/>
              </w:rPr>
            </w:pPr>
          </w:p>
        </w:tc>
        <w:tc>
          <w:tcPr>
            <w:tcW w:w="814" w:type="pct"/>
            <w:vMerge w:val="continue"/>
            <w:vAlign w:val="center"/>
          </w:tcPr>
          <w:p w14:paraId="318B6088">
            <w:pPr>
              <w:widowControl/>
              <w:spacing w:line="240" w:lineRule="exact"/>
              <w:jc w:val="center"/>
              <w:rPr>
                <w:rFonts w:ascii="宋体" w:hAnsi="宋体"/>
                <w:b w:val="0"/>
                <w:bCs/>
                <w:szCs w:val="21"/>
              </w:rPr>
            </w:pPr>
          </w:p>
        </w:tc>
        <w:tc>
          <w:tcPr>
            <w:tcW w:w="935" w:type="pct"/>
            <w:vAlign w:val="center"/>
          </w:tcPr>
          <w:p w14:paraId="4B569282">
            <w:pPr>
              <w:spacing w:line="240" w:lineRule="exact"/>
              <w:jc w:val="center"/>
              <w:rPr>
                <w:rFonts w:ascii="宋体" w:hAnsi="宋体"/>
                <w:b w:val="0"/>
                <w:bCs/>
                <w:szCs w:val="21"/>
              </w:rPr>
            </w:pPr>
            <w:r>
              <w:rPr>
                <w:rFonts w:hint="eastAsia" w:ascii="宋体" w:hAnsi="宋体"/>
                <w:b w:val="0"/>
                <w:bCs/>
                <w:szCs w:val="21"/>
              </w:rPr>
              <w:t>健康状况异常</w:t>
            </w:r>
            <w:r>
              <w:rPr>
                <w:rFonts w:ascii="宋体" w:hAnsi="宋体"/>
                <w:b w:val="0"/>
                <w:bCs/>
                <w:szCs w:val="21"/>
              </w:rPr>
              <w:t>1102</w:t>
            </w:r>
          </w:p>
        </w:tc>
        <w:tc>
          <w:tcPr>
            <w:tcW w:w="896" w:type="pct"/>
            <w:vAlign w:val="center"/>
          </w:tcPr>
          <w:p w14:paraId="6D96D5FC">
            <w:pPr>
              <w:spacing w:line="240" w:lineRule="exact"/>
              <w:jc w:val="center"/>
              <w:rPr>
                <w:rFonts w:ascii="宋体" w:hAnsi="宋体"/>
                <w:b w:val="0"/>
                <w:bCs/>
                <w:szCs w:val="21"/>
              </w:rPr>
            </w:pPr>
            <w:r>
              <w:rPr>
                <w:rFonts w:hint="eastAsia" w:ascii="宋体" w:hAnsi="宋体"/>
                <w:b w:val="0"/>
                <w:bCs/>
                <w:szCs w:val="21"/>
              </w:rPr>
              <w:t>各危险性作业场所</w:t>
            </w:r>
          </w:p>
        </w:tc>
        <w:tc>
          <w:tcPr>
            <w:tcW w:w="996" w:type="pct"/>
            <w:vAlign w:val="center"/>
          </w:tcPr>
          <w:p w14:paraId="78F2736F">
            <w:pPr>
              <w:spacing w:line="240" w:lineRule="exact"/>
              <w:jc w:val="center"/>
              <w:rPr>
                <w:rFonts w:ascii="宋体" w:hAnsi="宋体"/>
                <w:b w:val="0"/>
              </w:rPr>
            </w:pPr>
            <w:r>
              <w:rPr>
                <w:rFonts w:hint="eastAsia" w:ascii="宋体" w:hAnsi="宋体"/>
                <w:b w:val="0"/>
              </w:rPr>
              <w:t>带病作业导致非正常操作，发生意外</w:t>
            </w:r>
          </w:p>
        </w:tc>
        <w:tc>
          <w:tcPr>
            <w:tcW w:w="1101" w:type="pct"/>
            <w:vAlign w:val="center"/>
          </w:tcPr>
          <w:p w14:paraId="7521A2EC">
            <w:pPr>
              <w:spacing w:line="240" w:lineRule="exact"/>
              <w:jc w:val="center"/>
              <w:rPr>
                <w:rFonts w:ascii="宋体" w:hAnsi="宋体"/>
                <w:b w:val="0"/>
                <w:bCs/>
                <w:szCs w:val="21"/>
              </w:rPr>
            </w:pPr>
            <w:r>
              <w:rPr>
                <w:rFonts w:hint="eastAsia" w:ascii="宋体" w:hAnsi="宋体"/>
                <w:b w:val="0"/>
                <w:bCs/>
                <w:szCs w:val="21"/>
              </w:rPr>
              <w:t>健康危害或其它安全事故</w:t>
            </w:r>
          </w:p>
        </w:tc>
      </w:tr>
      <w:tr w14:paraId="562930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 w:type="pct"/>
            <w:vMerge w:val="continue"/>
            <w:vAlign w:val="center"/>
          </w:tcPr>
          <w:p w14:paraId="11C2E1AB">
            <w:pPr>
              <w:widowControl/>
              <w:spacing w:line="240" w:lineRule="exact"/>
              <w:jc w:val="center"/>
              <w:rPr>
                <w:rFonts w:ascii="宋体" w:hAnsi="宋体"/>
                <w:b w:val="0"/>
                <w:bCs/>
                <w:szCs w:val="21"/>
              </w:rPr>
            </w:pPr>
          </w:p>
        </w:tc>
        <w:tc>
          <w:tcPr>
            <w:tcW w:w="814" w:type="pct"/>
            <w:vMerge w:val="continue"/>
            <w:vAlign w:val="center"/>
          </w:tcPr>
          <w:p w14:paraId="0C6B8687">
            <w:pPr>
              <w:widowControl/>
              <w:spacing w:line="240" w:lineRule="exact"/>
              <w:jc w:val="center"/>
              <w:rPr>
                <w:rFonts w:ascii="宋体" w:hAnsi="宋体"/>
                <w:b w:val="0"/>
                <w:bCs/>
                <w:szCs w:val="21"/>
              </w:rPr>
            </w:pPr>
          </w:p>
        </w:tc>
        <w:tc>
          <w:tcPr>
            <w:tcW w:w="935" w:type="pct"/>
            <w:vAlign w:val="center"/>
          </w:tcPr>
          <w:p w14:paraId="3CEB4B11">
            <w:pPr>
              <w:spacing w:line="240" w:lineRule="exact"/>
              <w:jc w:val="center"/>
              <w:rPr>
                <w:rFonts w:ascii="宋体" w:hAnsi="宋体"/>
                <w:b w:val="0"/>
                <w:bCs/>
                <w:szCs w:val="21"/>
              </w:rPr>
            </w:pPr>
            <w:r>
              <w:rPr>
                <w:rFonts w:hint="eastAsia" w:ascii="宋体" w:hAnsi="宋体"/>
                <w:b w:val="0"/>
                <w:bCs/>
                <w:szCs w:val="21"/>
              </w:rPr>
              <w:t>心理异常</w:t>
            </w:r>
            <w:r>
              <w:rPr>
                <w:rFonts w:ascii="宋体" w:hAnsi="宋体"/>
                <w:b w:val="0"/>
                <w:bCs/>
                <w:szCs w:val="21"/>
              </w:rPr>
              <w:t>1104</w:t>
            </w:r>
          </w:p>
        </w:tc>
        <w:tc>
          <w:tcPr>
            <w:tcW w:w="896" w:type="pct"/>
            <w:vAlign w:val="center"/>
          </w:tcPr>
          <w:p w14:paraId="46FB9300">
            <w:pPr>
              <w:spacing w:line="240" w:lineRule="exact"/>
              <w:jc w:val="center"/>
              <w:rPr>
                <w:rFonts w:ascii="宋体" w:hAnsi="宋体"/>
                <w:b w:val="0"/>
                <w:bCs/>
                <w:szCs w:val="21"/>
              </w:rPr>
            </w:pPr>
            <w:r>
              <w:rPr>
                <w:rFonts w:hint="eastAsia" w:ascii="宋体" w:hAnsi="宋体"/>
                <w:b w:val="0"/>
                <w:bCs/>
                <w:szCs w:val="21"/>
              </w:rPr>
              <w:t>各危险性作业场所</w:t>
            </w:r>
          </w:p>
        </w:tc>
        <w:tc>
          <w:tcPr>
            <w:tcW w:w="996" w:type="pct"/>
            <w:vAlign w:val="center"/>
          </w:tcPr>
          <w:p w14:paraId="0FBF7A15">
            <w:pPr>
              <w:spacing w:line="240" w:lineRule="exact"/>
              <w:jc w:val="center"/>
              <w:rPr>
                <w:rFonts w:ascii="宋体" w:hAnsi="宋体"/>
                <w:b w:val="0"/>
              </w:rPr>
            </w:pPr>
            <w:r>
              <w:rPr>
                <w:rFonts w:hint="eastAsia" w:ascii="宋体" w:hAnsi="宋体"/>
                <w:b w:val="0"/>
              </w:rPr>
              <w:t>非正常操作发生意外</w:t>
            </w:r>
          </w:p>
        </w:tc>
        <w:tc>
          <w:tcPr>
            <w:tcW w:w="1101" w:type="pct"/>
            <w:vAlign w:val="center"/>
          </w:tcPr>
          <w:p w14:paraId="519B4BF5">
            <w:pPr>
              <w:spacing w:line="240" w:lineRule="exact"/>
              <w:jc w:val="center"/>
              <w:rPr>
                <w:rFonts w:ascii="宋体" w:hAnsi="宋体"/>
                <w:b w:val="0"/>
                <w:bCs/>
                <w:szCs w:val="21"/>
              </w:rPr>
            </w:pPr>
            <w:r>
              <w:rPr>
                <w:rFonts w:hint="eastAsia" w:ascii="宋体" w:hAnsi="宋体"/>
                <w:b w:val="0"/>
                <w:bCs/>
                <w:szCs w:val="21"/>
              </w:rPr>
              <w:t>各类安全事故</w:t>
            </w:r>
          </w:p>
        </w:tc>
      </w:tr>
      <w:tr w14:paraId="7B57E1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 w:type="pct"/>
            <w:vMerge w:val="continue"/>
            <w:vAlign w:val="center"/>
          </w:tcPr>
          <w:p w14:paraId="67096E28">
            <w:pPr>
              <w:widowControl/>
              <w:spacing w:line="240" w:lineRule="exact"/>
              <w:jc w:val="center"/>
              <w:rPr>
                <w:rFonts w:ascii="宋体" w:hAnsi="宋体"/>
                <w:b w:val="0"/>
                <w:bCs/>
                <w:szCs w:val="21"/>
              </w:rPr>
            </w:pPr>
          </w:p>
        </w:tc>
        <w:tc>
          <w:tcPr>
            <w:tcW w:w="814" w:type="pct"/>
            <w:vMerge w:val="restart"/>
            <w:vAlign w:val="center"/>
          </w:tcPr>
          <w:p w14:paraId="2E5AFB28">
            <w:pPr>
              <w:spacing w:line="240" w:lineRule="exact"/>
              <w:jc w:val="center"/>
              <w:rPr>
                <w:rFonts w:ascii="宋体" w:hAnsi="宋体"/>
                <w:b w:val="0"/>
                <w:bCs/>
                <w:szCs w:val="21"/>
              </w:rPr>
            </w:pPr>
            <w:r>
              <w:rPr>
                <w:rFonts w:hint="eastAsia" w:ascii="宋体" w:hAnsi="宋体"/>
                <w:b w:val="0"/>
                <w:bCs/>
                <w:szCs w:val="21"/>
              </w:rPr>
              <w:t>行为性危险、有害因素</w:t>
            </w:r>
            <w:r>
              <w:rPr>
                <w:rFonts w:ascii="宋体" w:hAnsi="宋体"/>
                <w:b w:val="0"/>
                <w:bCs/>
                <w:szCs w:val="21"/>
              </w:rPr>
              <w:t>12</w:t>
            </w:r>
          </w:p>
        </w:tc>
        <w:tc>
          <w:tcPr>
            <w:tcW w:w="935" w:type="pct"/>
            <w:vAlign w:val="center"/>
          </w:tcPr>
          <w:p w14:paraId="09400902">
            <w:pPr>
              <w:spacing w:line="240" w:lineRule="exact"/>
              <w:jc w:val="center"/>
              <w:rPr>
                <w:rFonts w:ascii="宋体" w:hAnsi="宋体"/>
                <w:b w:val="0"/>
                <w:bCs/>
                <w:szCs w:val="21"/>
              </w:rPr>
            </w:pPr>
            <w:r>
              <w:rPr>
                <w:rFonts w:hint="eastAsia" w:ascii="宋体" w:hAnsi="宋体"/>
                <w:b w:val="0"/>
                <w:bCs/>
                <w:szCs w:val="21"/>
              </w:rPr>
              <w:t>指挥错误</w:t>
            </w:r>
            <w:r>
              <w:rPr>
                <w:rFonts w:ascii="宋体" w:hAnsi="宋体"/>
                <w:b w:val="0"/>
                <w:bCs/>
                <w:szCs w:val="21"/>
              </w:rPr>
              <w:t>1201</w:t>
            </w:r>
          </w:p>
        </w:tc>
        <w:tc>
          <w:tcPr>
            <w:tcW w:w="896" w:type="pct"/>
            <w:vAlign w:val="center"/>
          </w:tcPr>
          <w:p w14:paraId="7665C8BD">
            <w:pPr>
              <w:spacing w:line="240" w:lineRule="exact"/>
              <w:jc w:val="center"/>
              <w:rPr>
                <w:rFonts w:ascii="宋体" w:hAnsi="宋体"/>
                <w:b w:val="0"/>
                <w:bCs/>
                <w:szCs w:val="21"/>
              </w:rPr>
            </w:pPr>
            <w:r>
              <w:rPr>
                <w:rFonts w:hint="eastAsia" w:ascii="宋体" w:hAnsi="宋体"/>
                <w:b w:val="0"/>
                <w:bCs/>
                <w:szCs w:val="21"/>
              </w:rPr>
              <w:t>各危险性作业工序</w:t>
            </w:r>
          </w:p>
        </w:tc>
        <w:tc>
          <w:tcPr>
            <w:tcW w:w="996" w:type="pct"/>
            <w:vAlign w:val="center"/>
          </w:tcPr>
          <w:p w14:paraId="1C359D8E">
            <w:pPr>
              <w:spacing w:line="240" w:lineRule="exact"/>
              <w:jc w:val="center"/>
              <w:rPr>
                <w:rFonts w:ascii="宋体" w:hAnsi="宋体"/>
                <w:b w:val="0"/>
              </w:rPr>
            </w:pPr>
            <w:r>
              <w:rPr>
                <w:rFonts w:hint="eastAsia" w:ascii="宋体" w:hAnsi="宋体"/>
                <w:b w:val="0"/>
              </w:rPr>
              <w:t>非正常作业发生意外</w:t>
            </w:r>
          </w:p>
        </w:tc>
        <w:tc>
          <w:tcPr>
            <w:tcW w:w="1101" w:type="pct"/>
            <w:vAlign w:val="center"/>
          </w:tcPr>
          <w:p w14:paraId="6C4129D5">
            <w:pPr>
              <w:spacing w:line="240" w:lineRule="exact"/>
              <w:jc w:val="center"/>
              <w:rPr>
                <w:rFonts w:ascii="宋体" w:hAnsi="宋体"/>
                <w:b w:val="0"/>
                <w:bCs/>
                <w:szCs w:val="21"/>
              </w:rPr>
            </w:pPr>
            <w:r>
              <w:rPr>
                <w:rFonts w:hint="eastAsia" w:ascii="宋体" w:hAnsi="宋体"/>
                <w:b w:val="0"/>
                <w:bCs/>
                <w:szCs w:val="21"/>
              </w:rPr>
              <w:t>各类安全事故</w:t>
            </w:r>
          </w:p>
        </w:tc>
      </w:tr>
      <w:tr w14:paraId="535E7B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 w:type="pct"/>
            <w:vMerge w:val="continue"/>
            <w:vAlign w:val="center"/>
          </w:tcPr>
          <w:p w14:paraId="5CE9B3EA">
            <w:pPr>
              <w:widowControl/>
              <w:spacing w:line="240" w:lineRule="exact"/>
              <w:jc w:val="center"/>
              <w:rPr>
                <w:rFonts w:ascii="宋体" w:hAnsi="宋体"/>
                <w:b w:val="0"/>
                <w:bCs/>
                <w:szCs w:val="21"/>
              </w:rPr>
            </w:pPr>
          </w:p>
        </w:tc>
        <w:tc>
          <w:tcPr>
            <w:tcW w:w="814" w:type="pct"/>
            <w:vMerge w:val="continue"/>
            <w:vAlign w:val="center"/>
          </w:tcPr>
          <w:p w14:paraId="3D83C952">
            <w:pPr>
              <w:widowControl/>
              <w:spacing w:line="240" w:lineRule="exact"/>
              <w:jc w:val="center"/>
              <w:rPr>
                <w:rFonts w:ascii="宋体" w:hAnsi="宋体"/>
                <w:b w:val="0"/>
                <w:bCs/>
                <w:szCs w:val="21"/>
              </w:rPr>
            </w:pPr>
          </w:p>
        </w:tc>
        <w:tc>
          <w:tcPr>
            <w:tcW w:w="935" w:type="pct"/>
            <w:vAlign w:val="center"/>
          </w:tcPr>
          <w:p w14:paraId="61252673">
            <w:pPr>
              <w:spacing w:line="240" w:lineRule="exact"/>
              <w:jc w:val="center"/>
              <w:rPr>
                <w:rFonts w:ascii="宋体" w:hAnsi="宋体"/>
                <w:b w:val="0"/>
                <w:bCs/>
                <w:szCs w:val="21"/>
              </w:rPr>
            </w:pPr>
            <w:r>
              <w:rPr>
                <w:rFonts w:hint="eastAsia" w:ascii="宋体" w:hAnsi="宋体"/>
                <w:b w:val="0"/>
                <w:bCs/>
                <w:szCs w:val="21"/>
              </w:rPr>
              <w:t>操作错误</w:t>
            </w:r>
            <w:r>
              <w:rPr>
                <w:rFonts w:ascii="宋体" w:hAnsi="宋体"/>
                <w:b w:val="0"/>
                <w:bCs/>
                <w:szCs w:val="21"/>
              </w:rPr>
              <w:t>1202</w:t>
            </w:r>
          </w:p>
        </w:tc>
        <w:tc>
          <w:tcPr>
            <w:tcW w:w="896" w:type="pct"/>
            <w:vAlign w:val="center"/>
          </w:tcPr>
          <w:p w14:paraId="0F6A572F">
            <w:pPr>
              <w:spacing w:line="240" w:lineRule="exact"/>
              <w:jc w:val="center"/>
              <w:rPr>
                <w:rFonts w:ascii="宋体" w:hAnsi="宋体"/>
                <w:b w:val="0"/>
                <w:bCs/>
                <w:szCs w:val="21"/>
              </w:rPr>
            </w:pPr>
            <w:r>
              <w:rPr>
                <w:rFonts w:hint="eastAsia" w:ascii="宋体" w:hAnsi="宋体"/>
                <w:b w:val="0"/>
                <w:bCs/>
                <w:szCs w:val="21"/>
              </w:rPr>
              <w:t>各危险性作业工序</w:t>
            </w:r>
          </w:p>
        </w:tc>
        <w:tc>
          <w:tcPr>
            <w:tcW w:w="996" w:type="pct"/>
            <w:vAlign w:val="center"/>
          </w:tcPr>
          <w:p w14:paraId="28887D42">
            <w:pPr>
              <w:spacing w:line="240" w:lineRule="exact"/>
              <w:jc w:val="center"/>
              <w:rPr>
                <w:rFonts w:ascii="宋体" w:hAnsi="宋体"/>
                <w:b w:val="0"/>
              </w:rPr>
            </w:pPr>
            <w:r>
              <w:rPr>
                <w:rFonts w:hint="eastAsia" w:ascii="宋体" w:hAnsi="宋体"/>
                <w:b w:val="0"/>
              </w:rPr>
              <w:t>非正常操作发生意外</w:t>
            </w:r>
          </w:p>
        </w:tc>
        <w:tc>
          <w:tcPr>
            <w:tcW w:w="1101" w:type="pct"/>
            <w:vAlign w:val="center"/>
          </w:tcPr>
          <w:p w14:paraId="75485B85">
            <w:pPr>
              <w:spacing w:line="240" w:lineRule="exact"/>
              <w:jc w:val="center"/>
              <w:rPr>
                <w:rFonts w:ascii="宋体" w:hAnsi="宋体"/>
                <w:b w:val="0"/>
                <w:bCs/>
                <w:szCs w:val="21"/>
              </w:rPr>
            </w:pPr>
            <w:r>
              <w:rPr>
                <w:rFonts w:hint="eastAsia" w:ascii="宋体" w:hAnsi="宋体"/>
                <w:b w:val="0"/>
                <w:bCs/>
                <w:szCs w:val="21"/>
              </w:rPr>
              <w:t>各类安全事故</w:t>
            </w:r>
          </w:p>
        </w:tc>
      </w:tr>
      <w:tr w14:paraId="0D63B5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 w:type="pct"/>
            <w:vMerge w:val="restart"/>
            <w:vAlign w:val="center"/>
          </w:tcPr>
          <w:p w14:paraId="24F13352">
            <w:pPr>
              <w:spacing w:line="240" w:lineRule="exact"/>
              <w:jc w:val="center"/>
              <w:rPr>
                <w:rFonts w:ascii="宋体" w:hAnsi="宋体"/>
                <w:b w:val="0"/>
                <w:bCs/>
                <w:szCs w:val="21"/>
              </w:rPr>
            </w:pPr>
            <w:r>
              <w:rPr>
                <w:rFonts w:hint="eastAsia" w:ascii="宋体" w:hAnsi="宋体"/>
                <w:b w:val="0"/>
                <w:bCs/>
                <w:szCs w:val="21"/>
              </w:rPr>
              <w:t>物的因素</w:t>
            </w:r>
            <w:r>
              <w:rPr>
                <w:rFonts w:ascii="宋体" w:hAnsi="宋体"/>
                <w:b w:val="0"/>
                <w:bCs/>
                <w:szCs w:val="21"/>
              </w:rPr>
              <w:t>2</w:t>
            </w:r>
          </w:p>
        </w:tc>
        <w:tc>
          <w:tcPr>
            <w:tcW w:w="814" w:type="pct"/>
            <w:vMerge w:val="restart"/>
            <w:vAlign w:val="center"/>
          </w:tcPr>
          <w:p w14:paraId="3F0E401A">
            <w:pPr>
              <w:spacing w:line="240" w:lineRule="exact"/>
              <w:jc w:val="center"/>
              <w:rPr>
                <w:rFonts w:ascii="宋体" w:hAnsi="宋体"/>
                <w:b w:val="0"/>
                <w:bCs/>
                <w:szCs w:val="21"/>
              </w:rPr>
            </w:pPr>
            <w:r>
              <w:rPr>
                <w:rFonts w:hint="eastAsia" w:ascii="宋体" w:hAnsi="宋体"/>
                <w:b w:val="0"/>
                <w:bCs/>
                <w:szCs w:val="21"/>
              </w:rPr>
              <w:t>物理性危险有害因素</w:t>
            </w:r>
            <w:r>
              <w:rPr>
                <w:rFonts w:ascii="宋体" w:hAnsi="宋体"/>
                <w:b w:val="0"/>
                <w:bCs/>
                <w:szCs w:val="21"/>
              </w:rPr>
              <w:t>21</w:t>
            </w:r>
          </w:p>
        </w:tc>
        <w:tc>
          <w:tcPr>
            <w:tcW w:w="935" w:type="pct"/>
            <w:vAlign w:val="center"/>
          </w:tcPr>
          <w:p w14:paraId="5BB6237F">
            <w:pPr>
              <w:spacing w:line="240" w:lineRule="exact"/>
              <w:jc w:val="center"/>
              <w:rPr>
                <w:rFonts w:ascii="宋体" w:hAnsi="宋体"/>
                <w:b w:val="0"/>
              </w:rPr>
            </w:pPr>
            <w:r>
              <w:rPr>
                <w:rFonts w:hint="eastAsia" w:ascii="宋体" w:hAnsi="宋体"/>
                <w:b w:val="0"/>
              </w:rPr>
              <w:t>设备、设施、工具缺陷</w:t>
            </w:r>
            <w:r>
              <w:rPr>
                <w:rFonts w:ascii="宋体" w:hAnsi="宋体"/>
                <w:b w:val="0"/>
              </w:rPr>
              <w:t>2101</w:t>
            </w:r>
          </w:p>
        </w:tc>
        <w:tc>
          <w:tcPr>
            <w:tcW w:w="896" w:type="pct"/>
            <w:vAlign w:val="center"/>
          </w:tcPr>
          <w:p w14:paraId="17DC1633">
            <w:pPr>
              <w:spacing w:line="240" w:lineRule="exact"/>
              <w:jc w:val="center"/>
              <w:rPr>
                <w:rFonts w:ascii="宋体" w:hAnsi="宋体"/>
                <w:b w:val="0"/>
              </w:rPr>
            </w:pPr>
            <w:r>
              <w:rPr>
                <w:rFonts w:hint="eastAsia" w:ascii="宋体" w:hAnsi="宋体"/>
                <w:b w:val="0"/>
              </w:rPr>
              <w:t>各含设备、设施、工具</w:t>
            </w:r>
            <w:r>
              <w:rPr>
                <w:rFonts w:hint="eastAsia" w:ascii="宋体" w:hAnsi="宋体"/>
                <w:b w:val="0"/>
                <w:bCs/>
                <w:szCs w:val="21"/>
              </w:rPr>
              <w:t>工序</w:t>
            </w:r>
          </w:p>
        </w:tc>
        <w:tc>
          <w:tcPr>
            <w:tcW w:w="996" w:type="pct"/>
            <w:vAlign w:val="center"/>
          </w:tcPr>
          <w:p w14:paraId="45D59997">
            <w:pPr>
              <w:spacing w:line="240" w:lineRule="exact"/>
              <w:jc w:val="center"/>
              <w:rPr>
                <w:rFonts w:ascii="宋体" w:hAnsi="宋体"/>
                <w:b w:val="0"/>
              </w:rPr>
            </w:pPr>
            <w:r>
              <w:rPr>
                <w:rFonts w:hint="eastAsia" w:ascii="宋体" w:hAnsi="宋体"/>
                <w:b w:val="0"/>
              </w:rPr>
              <w:t>设备、设施、工具失控或失效</w:t>
            </w:r>
          </w:p>
        </w:tc>
        <w:tc>
          <w:tcPr>
            <w:tcW w:w="1101" w:type="pct"/>
            <w:vAlign w:val="center"/>
          </w:tcPr>
          <w:p w14:paraId="2BC77C45">
            <w:pPr>
              <w:spacing w:line="240" w:lineRule="exact"/>
              <w:jc w:val="center"/>
              <w:rPr>
                <w:rFonts w:ascii="宋体" w:hAnsi="宋体"/>
                <w:b w:val="0"/>
              </w:rPr>
            </w:pPr>
            <w:r>
              <w:rPr>
                <w:rFonts w:hint="eastAsia" w:ascii="宋体" w:hAnsi="宋体"/>
                <w:b w:val="0"/>
              </w:rPr>
              <w:t>火药爆炸、物体打击、车辆伤害、触电、其他伤害</w:t>
            </w:r>
          </w:p>
        </w:tc>
      </w:tr>
      <w:tr w14:paraId="1D2E0A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 w:type="pct"/>
            <w:vMerge w:val="continue"/>
            <w:vAlign w:val="center"/>
          </w:tcPr>
          <w:p w14:paraId="2C646B7A">
            <w:pPr>
              <w:widowControl/>
              <w:spacing w:line="240" w:lineRule="exact"/>
              <w:jc w:val="center"/>
              <w:rPr>
                <w:rFonts w:ascii="宋体" w:hAnsi="宋体"/>
                <w:b w:val="0"/>
                <w:bCs/>
                <w:szCs w:val="21"/>
              </w:rPr>
            </w:pPr>
          </w:p>
        </w:tc>
        <w:tc>
          <w:tcPr>
            <w:tcW w:w="814" w:type="pct"/>
            <w:vMerge w:val="continue"/>
            <w:vAlign w:val="center"/>
          </w:tcPr>
          <w:p w14:paraId="6730DFD4">
            <w:pPr>
              <w:widowControl/>
              <w:spacing w:line="240" w:lineRule="exact"/>
              <w:jc w:val="center"/>
              <w:rPr>
                <w:rFonts w:ascii="宋体" w:hAnsi="宋体"/>
                <w:b w:val="0"/>
                <w:bCs/>
                <w:szCs w:val="21"/>
              </w:rPr>
            </w:pPr>
          </w:p>
        </w:tc>
        <w:tc>
          <w:tcPr>
            <w:tcW w:w="935" w:type="pct"/>
            <w:vAlign w:val="center"/>
          </w:tcPr>
          <w:p w14:paraId="5760CF0F">
            <w:pPr>
              <w:spacing w:line="240" w:lineRule="exact"/>
              <w:jc w:val="center"/>
              <w:rPr>
                <w:rFonts w:ascii="宋体" w:hAnsi="宋体"/>
                <w:b w:val="0"/>
                <w:bCs/>
                <w:szCs w:val="21"/>
              </w:rPr>
            </w:pPr>
            <w:r>
              <w:rPr>
                <w:rFonts w:hint="eastAsia" w:ascii="宋体" w:hAnsi="宋体"/>
                <w:b w:val="0"/>
                <w:bCs/>
                <w:szCs w:val="21"/>
              </w:rPr>
              <w:t>电伤害</w:t>
            </w:r>
            <w:r>
              <w:rPr>
                <w:rFonts w:ascii="宋体" w:hAnsi="宋体"/>
                <w:b w:val="0"/>
                <w:bCs/>
                <w:szCs w:val="21"/>
              </w:rPr>
              <w:t>2103</w:t>
            </w:r>
          </w:p>
        </w:tc>
        <w:tc>
          <w:tcPr>
            <w:tcW w:w="896" w:type="pct"/>
            <w:vAlign w:val="center"/>
          </w:tcPr>
          <w:p w14:paraId="47EEDFD9">
            <w:pPr>
              <w:spacing w:line="240" w:lineRule="exact"/>
              <w:jc w:val="center"/>
              <w:rPr>
                <w:rFonts w:ascii="宋体" w:hAnsi="宋体"/>
                <w:b w:val="0"/>
                <w:bCs/>
                <w:szCs w:val="21"/>
              </w:rPr>
            </w:pPr>
            <w:r>
              <w:rPr>
                <w:rFonts w:hint="eastAsia" w:ascii="宋体" w:hAnsi="宋体"/>
                <w:b w:val="0"/>
                <w:bCs/>
                <w:szCs w:val="21"/>
              </w:rPr>
              <w:t>涉电工序</w:t>
            </w:r>
          </w:p>
        </w:tc>
        <w:tc>
          <w:tcPr>
            <w:tcW w:w="996" w:type="pct"/>
            <w:vAlign w:val="center"/>
          </w:tcPr>
          <w:p w14:paraId="612DC6F9">
            <w:pPr>
              <w:spacing w:line="240" w:lineRule="exact"/>
              <w:jc w:val="center"/>
              <w:rPr>
                <w:rFonts w:ascii="宋体" w:hAnsi="宋体"/>
                <w:b w:val="0"/>
                <w:bCs/>
                <w:szCs w:val="21"/>
              </w:rPr>
            </w:pPr>
            <w:r>
              <w:rPr>
                <w:rFonts w:hint="eastAsia" w:ascii="宋体" w:hAnsi="宋体"/>
                <w:b w:val="0"/>
                <w:bCs/>
                <w:szCs w:val="21"/>
              </w:rPr>
              <w:t>人体接触、电火花</w:t>
            </w:r>
          </w:p>
        </w:tc>
        <w:tc>
          <w:tcPr>
            <w:tcW w:w="1101" w:type="pct"/>
            <w:vAlign w:val="center"/>
          </w:tcPr>
          <w:p w14:paraId="41565AAB">
            <w:pPr>
              <w:spacing w:line="240" w:lineRule="exact"/>
              <w:jc w:val="center"/>
              <w:rPr>
                <w:rFonts w:ascii="宋体" w:hAnsi="宋体"/>
                <w:b w:val="0"/>
                <w:bCs/>
                <w:szCs w:val="21"/>
              </w:rPr>
            </w:pPr>
            <w:r>
              <w:rPr>
                <w:rFonts w:hint="eastAsia" w:ascii="宋体" w:hAnsi="宋体"/>
                <w:b w:val="0"/>
                <w:bCs/>
                <w:szCs w:val="21"/>
              </w:rPr>
              <w:t>触电或引发火灾、爆炸</w:t>
            </w:r>
          </w:p>
        </w:tc>
      </w:tr>
      <w:tr w14:paraId="1E1D79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 w:type="pct"/>
            <w:vMerge w:val="continue"/>
            <w:vAlign w:val="center"/>
          </w:tcPr>
          <w:p w14:paraId="2C475B44">
            <w:pPr>
              <w:widowControl/>
              <w:spacing w:line="240" w:lineRule="exact"/>
              <w:jc w:val="center"/>
              <w:rPr>
                <w:rFonts w:ascii="宋体" w:hAnsi="宋体"/>
                <w:b w:val="0"/>
                <w:bCs/>
                <w:szCs w:val="21"/>
              </w:rPr>
            </w:pPr>
          </w:p>
        </w:tc>
        <w:tc>
          <w:tcPr>
            <w:tcW w:w="814" w:type="pct"/>
            <w:vMerge w:val="continue"/>
            <w:vAlign w:val="center"/>
          </w:tcPr>
          <w:p w14:paraId="18927E07">
            <w:pPr>
              <w:widowControl/>
              <w:spacing w:line="240" w:lineRule="exact"/>
              <w:jc w:val="center"/>
              <w:rPr>
                <w:rFonts w:ascii="宋体" w:hAnsi="宋体"/>
                <w:b w:val="0"/>
                <w:bCs/>
                <w:szCs w:val="21"/>
              </w:rPr>
            </w:pPr>
          </w:p>
        </w:tc>
        <w:tc>
          <w:tcPr>
            <w:tcW w:w="935" w:type="pct"/>
            <w:vAlign w:val="center"/>
          </w:tcPr>
          <w:p w14:paraId="3B694700">
            <w:pPr>
              <w:spacing w:line="240" w:lineRule="exact"/>
              <w:jc w:val="center"/>
              <w:rPr>
                <w:rFonts w:ascii="宋体" w:hAnsi="宋体"/>
                <w:b w:val="0"/>
                <w:bCs/>
                <w:szCs w:val="21"/>
              </w:rPr>
            </w:pPr>
            <w:r>
              <w:rPr>
                <w:rFonts w:hint="eastAsia" w:ascii="宋体" w:hAnsi="宋体"/>
                <w:b w:val="0"/>
                <w:bCs/>
                <w:szCs w:val="21"/>
              </w:rPr>
              <w:t>标志缺陷</w:t>
            </w:r>
            <w:r>
              <w:rPr>
                <w:rFonts w:ascii="宋体" w:hAnsi="宋体"/>
                <w:b w:val="0"/>
                <w:bCs/>
                <w:szCs w:val="21"/>
              </w:rPr>
              <w:t>2113</w:t>
            </w:r>
          </w:p>
        </w:tc>
        <w:tc>
          <w:tcPr>
            <w:tcW w:w="896" w:type="pct"/>
            <w:vAlign w:val="center"/>
          </w:tcPr>
          <w:p w14:paraId="69CC827E">
            <w:pPr>
              <w:spacing w:line="240" w:lineRule="exact"/>
              <w:jc w:val="center"/>
              <w:rPr>
                <w:rFonts w:ascii="宋体" w:hAnsi="宋体"/>
                <w:b w:val="0"/>
                <w:szCs w:val="21"/>
              </w:rPr>
            </w:pPr>
            <w:r>
              <w:rPr>
                <w:rFonts w:hint="eastAsia" w:ascii="宋体" w:hAnsi="宋体"/>
                <w:b w:val="0"/>
                <w:szCs w:val="21"/>
              </w:rPr>
              <w:t>各</w:t>
            </w:r>
            <w:r>
              <w:rPr>
                <w:rFonts w:hint="eastAsia" w:ascii="宋体" w:hAnsi="宋体"/>
                <w:b w:val="0"/>
                <w:bCs/>
                <w:szCs w:val="21"/>
              </w:rPr>
              <w:t>危险性</w:t>
            </w:r>
            <w:r>
              <w:rPr>
                <w:rFonts w:hint="eastAsia" w:ascii="宋体" w:hAnsi="宋体"/>
                <w:b w:val="0"/>
                <w:szCs w:val="21"/>
              </w:rPr>
              <w:t>工库房、安全通道</w:t>
            </w:r>
          </w:p>
        </w:tc>
        <w:tc>
          <w:tcPr>
            <w:tcW w:w="996" w:type="pct"/>
            <w:vAlign w:val="center"/>
          </w:tcPr>
          <w:p w14:paraId="2F2A477C">
            <w:pPr>
              <w:spacing w:line="240" w:lineRule="exact"/>
              <w:jc w:val="center"/>
              <w:rPr>
                <w:rFonts w:ascii="宋体" w:hAnsi="宋体"/>
                <w:b w:val="0"/>
                <w:szCs w:val="21"/>
              </w:rPr>
            </w:pPr>
            <w:r>
              <w:rPr>
                <w:rFonts w:hint="eastAsia" w:ascii="宋体" w:hAnsi="宋体"/>
                <w:b w:val="0"/>
                <w:szCs w:val="21"/>
              </w:rPr>
              <w:t>违规操作、误操作</w:t>
            </w:r>
          </w:p>
        </w:tc>
        <w:tc>
          <w:tcPr>
            <w:tcW w:w="1101" w:type="pct"/>
            <w:vAlign w:val="center"/>
          </w:tcPr>
          <w:p w14:paraId="714CC484">
            <w:pPr>
              <w:spacing w:line="240" w:lineRule="exact"/>
              <w:jc w:val="center"/>
              <w:rPr>
                <w:rFonts w:ascii="宋体" w:hAnsi="宋体"/>
                <w:b w:val="0"/>
                <w:bCs/>
                <w:szCs w:val="21"/>
              </w:rPr>
            </w:pPr>
            <w:r>
              <w:rPr>
                <w:rFonts w:hint="eastAsia" w:ascii="宋体" w:hAnsi="宋体"/>
                <w:b w:val="0"/>
                <w:bCs/>
                <w:szCs w:val="21"/>
              </w:rPr>
              <w:t>人体伤害或引发火灾、爆炸</w:t>
            </w:r>
          </w:p>
        </w:tc>
      </w:tr>
      <w:tr w14:paraId="5BA34E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 w:type="pct"/>
            <w:vMerge w:val="continue"/>
            <w:vAlign w:val="center"/>
          </w:tcPr>
          <w:p w14:paraId="1EB479FA">
            <w:pPr>
              <w:widowControl/>
              <w:spacing w:line="240" w:lineRule="exact"/>
              <w:jc w:val="center"/>
              <w:rPr>
                <w:rFonts w:ascii="宋体" w:hAnsi="宋体"/>
                <w:b w:val="0"/>
                <w:bCs/>
                <w:szCs w:val="21"/>
              </w:rPr>
            </w:pPr>
          </w:p>
        </w:tc>
        <w:tc>
          <w:tcPr>
            <w:tcW w:w="814" w:type="pct"/>
            <w:vMerge w:val="restart"/>
            <w:vAlign w:val="center"/>
          </w:tcPr>
          <w:p w14:paraId="6A8B2201">
            <w:pPr>
              <w:spacing w:line="240" w:lineRule="exact"/>
              <w:jc w:val="center"/>
              <w:rPr>
                <w:rFonts w:ascii="宋体" w:hAnsi="宋体"/>
                <w:b w:val="0"/>
                <w:bCs/>
                <w:szCs w:val="21"/>
              </w:rPr>
            </w:pPr>
            <w:r>
              <w:rPr>
                <w:rFonts w:hint="eastAsia" w:ascii="宋体" w:hAnsi="宋体"/>
                <w:b w:val="0"/>
                <w:bCs/>
                <w:szCs w:val="21"/>
              </w:rPr>
              <w:t>化学性危险有害因素</w:t>
            </w:r>
            <w:r>
              <w:rPr>
                <w:rFonts w:ascii="宋体" w:hAnsi="宋体"/>
                <w:b w:val="0"/>
                <w:bCs/>
                <w:szCs w:val="21"/>
              </w:rPr>
              <w:t>22</w:t>
            </w:r>
          </w:p>
        </w:tc>
        <w:tc>
          <w:tcPr>
            <w:tcW w:w="935" w:type="pct"/>
            <w:vAlign w:val="center"/>
          </w:tcPr>
          <w:p w14:paraId="4BFBE169">
            <w:pPr>
              <w:spacing w:line="240" w:lineRule="exact"/>
              <w:jc w:val="center"/>
              <w:rPr>
                <w:rFonts w:ascii="宋体" w:hAnsi="宋体"/>
                <w:b w:val="0"/>
                <w:bCs/>
                <w:szCs w:val="21"/>
              </w:rPr>
            </w:pPr>
            <w:r>
              <w:rPr>
                <w:rFonts w:hint="eastAsia" w:ascii="宋体" w:hAnsi="宋体"/>
                <w:b w:val="0"/>
                <w:bCs/>
                <w:szCs w:val="21"/>
              </w:rPr>
              <w:t>爆炸品</w:t>
            </w:r>
            <w:r>
              <w:rPr>
                <w:rFonts w:ascii="宋体" w:hAnsi="宋体"/>
                <w:b w:val="0"/>
                <w:bCs/>
                <w:szCs w:val="21"/>
              </w:rPr>
              <w:t>2201</w:t>
            </w:r>
          </w:p>
        </w:tc>
        <w:tc>
          <w:tcPr>
            <w:tcW w:w="896" w:type="pct"/>
            <w:vAlign w:val="center"/>
          </w:tcPr>
          <w:p w14:paraId="7AAAE479">
            <w:pPr>
              <w:spacing w:line="240" w:lineRule="exact"/>
              <w:jc w:val="center"/>
              <w:rPr>
                <w:rFonts w:ascii="宋体" w:hAnsi="宋体"/>
                <w:b w:val="0"/>
                <w:bCs/>
                <w:szCs w:val="21"/>
              </w:rPr>
            </w:pPr>
            <w:r>
              <w:rPr>
                <w:rFonts w:hint="eastAsia" w:ascii="宋体" w:hAnsi="宋体"/>
                <w:b w:val="0"/>
                <w:bCs/>
                <w:szCs w:val="21"/>
              </w:rPr>
              <w:t>危险性作业工序</w:t>
            </w:r>
          </w:p>
        </w:tc>
        <w:tc>
          <w:tcPr>
            <w:tcW w:w="996" w:type="pct"/>
            <w:vAlign w:val="center"/>
          </w:tcPr>
          <w:p w14:paraId="5DDADCCA">
            <w:pPr>
              <w:spacing w:line="240" w:lineRule="exact"/>
              <w:jc w:val="center"/>
              <w:rPr>
                <w:rFonts w:ascii="宋体" w:hAnsi="宋体"/>
                <w:b w:val="0"/>
                <w:bCs/>
                <w:szCs w:val="21"/>
              </w:rPr>
            </w:pPr>
            <w:r>
              <w:rPr>
                <w:rFonts w:hint="eastAsia" w:ascii="宋体" w:hAnsi="宋体"/>
                <w:b w:val="0"/>
                <w:bCs/>
                <w:szCs w:val="21"/>
              </w:rPr>
              <w:t>危险物品达到着火点、起爆点</w:t>
            </w:r>
          </w:p>
        </w:tc>
        <w:tc>
          <w:tcPr>
            <w:tcW w:w="1101" w:type="pct"/>
            <w:vAlign w:val="center"/>
          </w:tcPr>
          <w:p w14:paraId="2E458545">
            <w:pPr>
              <w:spacing w:line="240" w:lineRule="exact"/>
              <w:jc w:val="center"/>
              <w:rPr>
                <w:rFonts w:ascii="宋体" w:hAnsi="宋体"/>
                <w:b w:val="0"/>
                <w:bCs/>
                <w:szCs w:val="21"/>
              </w:rPr>
            </w:pPr>
            <w:r>
              <w:rPr>
                <w:rFonts w:hint="eastAsia" w:ascii="宋体" w:hAnsi="宋体"/>
                <w:b w:val="0"/>
                <w:bCs/>
                <w:szCs w:val="21"/>
              </w:rPr>
              <w:t>火灾、爆炸</w:t>
            </w:r>
          </w:p>
        </w:tc>
      </w:tr>
      <w:tr w14:paraId="5B2294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 w:type="pct"/>
            <w:vMerge w:val="continue"/>
            <w:vAlign w:val="center"/>
          </w:tcPr>
          <w:p w14:paraId="6AEC0C37">
            <w:pPr>
              <w:widowControl/>
              <w:spacing w:line="240" w:lineRule="exact"/>
              <w:jc w:val="center"/>
              <w:rPr>
                <w:rFonts w:ascii="宋体" w:hAnsi="宋体"/>
                <w:b w:val="0"/>
                <w:bCs/>
                <w:szCs w:val="21"/>
              </w:rPr>
            </w:pPr>
          </w:p>
        </w:tc>
        <w:tc>
          <w:tcPr>
            <w:tcW w:w="814" w:type="pct"/>
            <w:vMerge w:val="continue"/>
            <w:vAlign w:val="center"/>
          </w:tcPr>
          <w:p w14:paraId="492B1075">
            <w:pPr>
              <w:widowControl/>
              <w:spacing w:line="240" w:lineRule="exact"/>
              <w:jc w:val="center"/>
              <w:rPr>
                <w:rFonts w:ascii="宋体" w:hAnsi="宋体"/>
                <w:b w:val="0"/>
                <w:bCs/>
                <w:szCs w:val="21"/>
              </w:rPr>
            </w:pPr>
          </w:p>
        </w:tc>
        <w:tc>
          <w:tcPr>
            <w:tcW w:w="935" w:type="pct"/>
            <w:vAlign w:val="center"/>
          </w:tcPr>
          <w:p w14:paraId="1C9305F8">
            <w:pPr>
              <w:spacing w:line="240" w:lineRule="exact"/>
              <w:jc w:val="center"/>
              <w:rPr>
                <w:rFonts w:ascii="宋体" w:hAnsi="宋体"/>
                <w:b w:val="0"/>
                <w:bCs/>
                <w:szCs w:val="21"/>
              </w:rPr>
            </w:pPr>
            <w:r>
              <w:rPr>
                <w:rFonts w:hint="eastAsia" w:ascii="宋体" w:hAnsi="宋体"/>
                <w:b w:val="0"/>
                <w:bCs/>
                <w:szCs w:val="21"/>
              </w:rPr>
              <w:t>易燃固体、自燃物和遇湿易燃物品</w:t>
            </w:r>
            <w:r>
              <w:rPr>
                <w:rFonts w:ascii="宋体" w:hAnsi="宋体"/>
                <w:b w:val="0"/>
                <w:bCs/>
                <w:szCs w:val="21"/>
              </w:rPr>
              <w:t>2204</w:t>
            </w:r>
          </w:p>
        </w:tc>
        <w:tc>
          <w:tcPr>
            <w:tcW w:w="896" w:type="pct"/>
            <w:vAlign w:val="center"/>
          </w:tcPr>
          <w:p w14:paraId="2B9B13AC">
            <w:pPr>
              <w:spacing w:line="240" w:lineRule="exact"/>
              <w:jc w:val="center"/>
              <w:rPr>
                <w:rFonts w:ascii="宋体" w:hAnsi="宋体"/>
                <w:b w:val="0"/>
                <w:bCs/>
                <w:szCs w:val="21"/>
              </w:rPr>
            </w:pPr>
            <w:r>
              <w:rPr>
                <w:rFonts w:hint="eastAsia" w:ascii="宋体" w:hAnsi="宋体"/>
                <w:b w:val="0"/>
                <w:bCs/>
                <w:szCs w:val="21"/>
              </w:rPr>
              <w:t>危险性作业工工序</w:t>
            </w:r>
          </w:p>
        </w:tc>
        <w:tc>
          <w:tcPr>
            <w:tcW w:w="996" w:type="pct"/>
            <w:vAlign w:val="center"/>
          </w:tcPr>
          <w:p w14:paraId="2F1D8213">
            <w:pPr>
              <w:spacing w:line="240" w:lineRule="exact"/>
              <w:jc w:val="center"/>
              <w:rPr>
                <w:rFonts w:ascii="宋体" w:hAnsi="宋体"/>
                <w:b w:val="0"/>
                <w:bCs/>
                <w:szCs w:val="21"/>
              </w:rPr>
            </w:pPr>
            <w:r>
              <w:rPr>
                <w:rFonts w:hint="eastAsia" w:ascii="宋体" w:hAnsi="宋体"/>
                <w:b w:val="0"/>
                <w:bCs/>
                <w:szCs w:val="21"/>
              </w:rPr>
              <w:t>危险物品达到着火点、起爆点</w:t>
            </w:r>
          </w:p>
        </w:tc>
        <w:tc>
          <w:tcPr>
            <w:tcW w:w="1101" w:type="pct"/>
            <w:vAlign w:val="center"/>
          </w:tcPr>
          <w:p w14:paraId="1A63DD4F">
            <w:pPr>
              <w:spacing w:line="240" w:lineRule="exact"/>
              <w:jc w:val="center"/>
              <w:rPr>
                <w:rFonts w:ascii="宋体" w:hAnsi="宋体"/>
                <w:b w:val="0"/>
                <w:bCs/>
                <w:szCs w:val="21"/>
              </w:rPr>
            </w:pPr>
            <w:r>
              <w:rPr>
                <w:rFonts w:hint="eastAsia" w:ascii="宋体" w:hAnsi="宋体"/>
                <w:b w:val="0"/>
                <w:bCs/>
                <w:szCs w:val="21"/>
              </w:rPr>
              <w:t>火灾、爆炸</w:t>
            </w:r>
          </w:p>
        </w:tc>
      </w:tr>
      <w:tr w14:paraId="583E94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 w:type="pct"/>
            <w:vMerge w:val="continue"/>
            <w:vAlign w:val="center"/>
          </w:tcPr>
          <w:p w14:paraId="0388B0A7">
            <w:pPr>
              <w:widowControl/>
              <w:spacing w:line="240" w:lineRule="exact"/>
              <w:jc w:val="center"/>
              <w:rPr>
                <w:rFonts w:ascii="宋体" w:hAnsi="宋体"/>
                <w:b w:val="0"/>
                <w:bCs/>
                <w:szCs w:val="21"/>
              </w:rPr>
            </w:pPr>
          </w:p>
        </w:tc>
        <w:tc>
          <w:tcPr>
            <w:tcW w:w="814" w:type="pct"/>
            <w:vMerge w:val="continue"/>
            <w:vAlign w:val="center"/>
          </w:tcPr>
          <w:p w14:paraId="1792E8F8">
            <w:pPr>
              <w:widowControl/>
              <w:spacing w:line="240" w:lineRule="exact"/>
              <w:jc w:val="center"/>
              <w:rPr>
                <w:rFonts w:ascii="宋体" w:hAnsi="宋体"/>
                <w:b w:val="0"/>
                <w:bCs/>
                <w:szCs w:val="21"/>
              </w:rPr>
            </w:pPr>
          </w:p>
        </w:tc>
        <w:tc>
          <w:tcPr>
            <w:tcW w:w="935" w:type="pct"/>
            <w:vAlign w:val="center"/>
          </w:tcPr>
          <w:p w14:paraId="22770452">
            <w:pPr>
              <w:spacing w:line="240" w:lineRule="exact"/>
              <w:jc w:val="center"/>
              <w:rPr>
                <w:rFonts w:ascii="宋体" w:hAnsi="宋体"/>
                <w:b w:val="0"/>
                <w:bCs/>
                <w:szCs w:val="21"/>
              </w:rPr>
            </w:pPr>
            <w:r>
              <w:rPr>
                <w:rFonts w:hint="eastAsia" w:ascii="宋体" w:hAnsi="宋体"/>
                <w:b w:val="0"/>
                <w:bCs/>
                <w:szCs w:val="21"/>
              </w:rPr>
              <w:t>氧化剂</w:t>
            </w:r>
            <w:r>
              <w:rPr>
                <w:rFonts w:ascii="宋体" w:hAnsi="宋体"/>
                <w:b w:val="0"/>
                <w:bCs/>
                <w:szCs w:val="21"/>
              </w:rPr>
              <w:t>2205</w:t>
            </w:r>
          </w:p>
        </w:tc>
        <w:tc>
          <w:tcPr>
            <w:tcW w:w="896" w:type="pct"/>
            <w:vAlign w:val="center"/>
          </w:tcPr>
          <w:p w14:paraId="270AD25D">
            <w:pPr>
              <w:spacing w:line="240" w:lineRule="exact"/>
              <w:jc w:val="center"/>
              <w:rPr>
                <w:rFonts w:ascii="宋体" w:hAnsi="宋体"/>
                <w:b w:val="0"/>
                <w:bCs/>
                <w:szCs w:val="21"/>
              </w:rPr>
            </w:pPr>
            <w:r>
              <w:rPr>
                <w:rFonts w:hint="eastAsia" w:ascii="宋体" w:hAnsi="宋体"/>
                <w:b w:val="0"/>
                <w:bCs/>
                <w:szCs w:val="21"/>
              </w:rPr>
              <w:t>称药工序、原材料中转工序</w:t>
            </w:r>
          </w:p>
        </w:tc>
        <w:tc>
          <w:tcPr>
            <w:tcW w:w="996" w:type="pct"/>
            <w:vAlign w:val="center"/>
          </w:tcPr>
          <w:p w14:paraId="4567156D">
            <w:pPr>
              <w:spacing w:line="240" w:lineRule="exact"/>
              <w:jc w:val="center"/>
              <w:rPr>
                <w:rFonts w:ascii="宋体" w:hAnsi="宋体"/>
                <w:b w:val="0"/>
                <w:bCs/>
                <w:szCs w:val="21"/>
              </w:rPr>
            </w:pPr>
            <w:r>
              <w:rPr>
                <w:rFonts w:hint="eastAsia" w:ascii="宋体" w:hAnsi="宋体"/>
                <w:b w:val="0"/>
                <w:bCs/>
                <w:szCs w:val="21"/>
              </w:rPr>
              <w:t>人体吸入、危险物品达到着火点、起爆点</w:t>
            </w:r>
          </w:p>
        </w:tc>
        <w:tc>
          <w:tcPr>
            <w:tcW w:w="1101" w:type="pct"/>
            <w:vAlign w:val="center"/>
          </w:tcPr>
          <w:p w14:paraId="4638B51E">
            <w:pPr>
              <w:spacing w:line="240" w:lineRule="exact"/>
              <w:jc w:val="center"/>
              <w:rPr>
                <w:rFonts w:ascii="宋体" w:hAnsi="宋体"/>
                <w:b w:val="0"/>
                <w:bCs/>
                <w:szCs w:val="21"/>
              </w:rPr>
            </w:pPr>
            <w:r>
              <w:rPr>
                <w:rFonts w:hint="eastAsia" w:ascii="宋体" w:hAnsi="宋体"/>
                <w:b w:val="0"/>
                <w:bCs/>
                <w:szCs w:val="21"/>
              </w:rPr>
              <w:t>中毒或火灾、爆炸</w:t>
            </w:r>
          </w:p>
        </w:tc>
      </w:tr>
      <w:tr w14:paraId="29F771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 w:type="pct"/>
            <w:vMerge w:val="continue"/>
            <w:vAlign w:val="center"/>
          </w:tcPr>
          <w:p w14:paraId="5D196CC5">
            <w:pPr>
              <w:widowControl/>
              <w:spacing w:line="240" w:lineRule="exact"/>
              <w:jc w:val="center"/>
              <w:rPr>
                <w:rFonts w:ascii="宋体" w:hAnsi="宋体"/>
                <w:b w:val="0"/>
                <w:bCs/>
                <w:szCs w:val="21"/>
              </w:rPr>
            </w:pPr>
          </w:p>
        </w:tc>
        <w:tc>
          <w:tcPr>
            <w:tcW w:w="814" w:type="pct"/>
            <w:vMerge w:val="continue"/>
            <w:vAlign w:val="center"/>
          </w:tcPr>
          <w:p w14:paraId="2E20D268">
            <w:pPr>
              <w:widowControl/>
              <w:spacing w:line="240" w:lineRule="exact"/>
              <w:jc w:val="center"/>
              <w:rPr>
                <w:rFonts w:ascii="宋体" w:hAnsi="宋体"/>
                <w:b w:val="0"/>
                <w:bCs/>
                <w:szCs w:val="21"/>
              </w:rPr>
            </w:pPr>
          </w:p>
        </w:tc>
        <w:tc>
          <w:tcPr>
            <w:tcW w:w="935" w:type="pct"/>
            <w:vAlign w:val="center"/>
          </w:tcPr>
          <w:p w14:paraId="186D6E57">
            <w:pPr>
              <w:spacing w:line="240" w:lineRule="exact"/>
              <w:jc w:val="center"/>
              <w:rPr>
                <w:rFonts w:ascii="宋体" w:hAnsi="宋体"/>
                <w:b w:val="0"/>
                <w:bCs/>
                <w:szCs w:val="21"/>
              </w:rPr>
            </w:pPr>
            <w:r>
              <w:rPr>
                <w:rFonts w:hint="eastAsia" w:ascii="宋体" w:hAnsi="宋体"/>
                <w:b w:val="0"/>
                <w:bCs/>
                <w:szCs w:val="21"/>
              </w:rPr>
              <w:t>粉尘</w:t>
            </w:r>
            <w:r>
              <w:rPr>
                <w:rFonts w:ascii="宋体" w:hAnsi="宋体"/>
                <w:b w:val="0"/>
                <w:bCs/>
                <w:szCs w:val="21"/>
              </w:rPr>
              <w:t>2209</w:t>
            </w:r>
          </w:p>
        </w:tc>
        <w:tc>
          <w:tcPr>
            <w:tcW w:w="896" w:type="pct"/>
            <w:vAlign w:val="center"/>
          </w:tcPr>
          <w:p w14:paraId="6C0008A9">
            <w:pPr>
              <w:spacing w:line="240" w:lineRule="exact"/>
              <w:jc w:val="center"/>
              <w:rPr>
                <w:rFonts w:ascii="宋体" w:hAnsi="宋体"/>
                <w:b w:val="0"/>
                <w:bCs/>
                <w:szCs w:val="21"/>
              </w:rPr>
            </w:pPr>
            <w:r>
              <w:rPr>
                <w:rFonts w:hint="eastAsia" w:ascii="宋体" w:hAnsi="宋体"/>
                <w:b w:val="0"/>
                <w:bCs/>
                <w:szCs w:val="21"/>
              </w:rPr>
              <w:t>药物混合、装筑药等工序</w:t>
            </w:r>
          </w:p>
        </w:tc>
        <w:tc>
          <w:tcPr>
            <w:tcW w:w="996" w:type="pct"/>
            <w:vAlign w:val="center"/>
          </w:tcPr>
          <w:p w14:paraId="112FF50F">
            <w:pPr>
              <w:spacing w:line="240" w:lineRule="exact"/>
              <w:jc w:val="center"/>
              <w:rPr>
                <w:rFonts w:ascii="宋体" w:hAnsi="宋体"/>
                <w:b w:val="0"/>
                <w:bCs/>
                <w:szCs w:val="21"/>
              </w:rPr>
            </w:pPr>
            <w:r>
              <w:rPr>
                <w:rFonts w:hint="eastAsia" w:ascii="宋体" w:hAnsi="宋体"/>
                <w:b w:val="0"/>
                <w:bCs/>
                <w:szCs w:val="21"/>
              </w:rPr>
              <w:t>人体吸入、危险物品达到着火点、起爆点</w:t>
            </w:r>
          </w:p>
        </w:tc>
        <w:tc>
          <w:tcPr>
            <w:tcW w:w="1101" w:type="pct"/>
            <w:vAlign w:val="center"/>
          </w:tcPr>
          <w:p w14:paraId="7BA31515">
            <w:pPr>
              <w:spacing w:line="240" w:lineRule="exact"/>
              <w:jc w:val="center"/>
              <w:rPr>
                <w:rFonts w:ascii="宋体" w:hAnsi="宋体"/>
                <w:b w:val="0"/>
                <w:bCs/>
                <w:szCs w:val="21"/>
              </w:rPr>
            </w:pPr>
            <w:r>
              <w:rPr>
                <w:rFonts w:hint="eastAsia" w:ascii="宋体" w:hAnsi="宋体"/>
                <w:b w:val="0"/>
                <w:bCs/>
                <w:szCs w:val="21"/>
              </w:rPr>
              <w:t>中毒或火灾、爆炸</w:t>
            </w:r>
          </w:p>
        </w:tc>
      </w:tr>
      <w:tr w14:paraId="75AAC6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 w:type="pct"/>
            <w:vMerge w:val="restart"/>
            <w:vAlign w:val="center"/>
          </w:tcPr>
          <w:p w14:paraId="5E3087E5">
            <w:pPr>
              <w:spacing w:line="240" w:lineRule="exact"/>
              <w:jc w:val="center"/>
              <w:rPr>
                <w:rFonts w:ascii="宋体" w:hAnsi="宋体"/>
                <w:b w:val="0"/>
                <w:bCs/>
                <w:szCs w:val="21"/>
              </w:rPr>
            </w:pPr>
            <w:r>
              <w:rPr>
                <w:rFonts w:hint="eastAsia" w:ascii="宋体" w:hAnsi="宋体"/>
                <w:b w:val="0"/>
                <w:bCs/>
                <w:szCs w:val="21"/>
              </w:rPr>
              <w:t>环境因素</w:t>
            </w:r>
            <w:r>
              <w:rPr>
                <w:rFonts w:ascii="宋体" w:hAnsi="宋体"/>
                <w:b w:val="0"/>
                <w:bCs/>
                <w:szCs w:val="21"/>
              </w:rPr>
              <w:t>3</w:t>
            </w:r>
          </w:p>
        </w:tc>
        <w:tc>
          <w:tcPr>
            <w:tcW w:w="814" w:type="pct"/>
            <w:vMerge w:val="restart"/>
            <w:vAlign w:val="center"/>
          </w:tcPr>
          <w:p w14:paraId="781C56B6">
            <w:pPr>
              <w:spacing w:line="240" w:lineRule="exact"/>
              <w:jc w:val="center"/>
              <w:rPr>
                <w:rFonts w:ascii="宋体" w:hAnsi="宋体"/>
                <w:b w:val="0"/>
                <w:bCs/>
                <w:szCs w:val="21"/>
              </w:rPr>
            </w:pPr>
            <w:r>
              <w:rPr>
                <w:rFonts w:hint="eastAsia" w:ascii="宋体" w:hAnsi="宋体"/>
                <w:b w:val="0"/>
                <w:bCs/>
                <w:szCs w:val="21"/>
              </w:rPr>
              <w:t>室内作业环境不良</w:t>
            </w:r>
            <w:r>
              <w:rPr>
                <w:rFonts w:ascii="宋体" w:hAnsi="宋体"/>
                <w:b w:val="0"/>
                <w:bCs/>
                <w:szCs w:val="21"/>
              </w:rPr>
              <w:t>31</w:t>
            </w:r>
          </w:p>
        </w:tc>
        <w:tc>
          <w:tcPr>
            <w:tcW w:w="935" w:type="pct"/>
            <w:vAlign w:val="center"/>
          </w:tcPr>
          <w:p w14:paraId="2B4E3AC9">
            <w:pPr>
              <w:spacing w:line="240" w:lineRule="exact"/>
              <w:jc w:val="center"/>
              <w:rPr>
                <w:rFonts w:ascii="宋体" w:hAnsi="宋体"/>
                <w:b w:val="0"/>
                <w:bCs/>
                <w:szCs w:val="21"/>
              </w:rPr>
            </w:pPr>
            <w:r>
              <w:rPr>
                <w:rFonts w:hint="eastAsia" w:ascii="宋体" w:hAnsi="宋体"/>
                <w:b w:val="0"/>
                <w:bCs/>
                <w:szCs w:val="21"/>
              </w:rPr>
              <w:t>室内作业环境狭窄</w:t>
            </w:r>
            <w:r>
              <w:rPr>
                <w:rFonts w:ascii="宋体" w:hAnsi="宋体"/>
                <w:b w:val="0"/>
                <w:bCs/>
                <w:szCs w:val="21"/>
              </w:rPr>
              <w:t>3102</w:t>
            </w:r>
          </w:p>
        </w:tc>
        <w:tc>
          <w:tcPr>
            <w:tcW w:w="896" w:type="pct"/>
            <w:vAlign w:val="center"/>
          </w:tcPr>
          <w:p w14:paraId="57F0B928">
            <w:pPr>
              <w:spacing w:line="240" w:lineRule="exact"/>
              <w:jc w:val="center"/>
              <w:rPr>
                <w:rFonts w:ascii="宋体" w:hAnsi="宋体"/>
                <w:b w:val="0"/>
                <w:bCs/>
                <w:szCs w:val="21"/>
              </w:rPr>
            </w:pPr>
            <w:r>
              <w:rPr>
                <w:rFonts w:hint="eastAsia" w:ascii="宋体" w:hAnsi="宋体"/>
                <w:b w:val="0"/>
                <w:bCs/>
                <w:szCs w:val="21"/>
              </w:rPr>
              <w:t>各危险性作业场所</w:t>
            </w:r>
          </w:p>
        </w:tc>
        <w:tc>
          <w:tcPr>
            <w:tcW w:w="996" w:type="pct"/>
            <w:vAlign w:val="center"/>
          </w:tcPr>
          <w:p w14:paraId="2875276D">
            <w:pPr>
              <w:spacing w:line="240" w:lineRule="exact"/>
              <w:jc w:val="center"/>
              <w:rPr>
                <w:rFonts w:ascii="宋体" w:hAnsi="宋体"/>
                <w:b w:val="0"/>
                <w:bCs/>
                <w:szCs w:val="21"/>
              </w:rPr>
            </w:pPr>
            <w:r>
              <w:rPr>
                <w:rFonts w:hint="eastAsia" w:ascii="宋体" w:hAnsi="宋体"/>
                <w:b w:val="0"/>
                <w:bCs/>
                <w:szCs w:val="21"/>
              </w:rPr>
              <w:t>操作人员摔、跌、危险品跌落</w:t>
            </w:r>
          </w:p>
        </w:tc>
        <w:tc>
          <w:tcPr>
            <w:tcW w:w="1101" w:type="pct"/>
            <w:vAlign w:val="center"/>
          </w:tcPr>
          <w:p w14:paraId="43A1DCEF">
            <w:pPr>
              <w:spacing w:line="240" w:lineRule="exact"/>
              <w:jc w:val="center"/>
              <w:rPr>
                <w:rFonts w:ascii="宋体" w:hAnsi="宋体"/>
                <w:b w:val="0"/>
                <w:bCs/>
                <w:szCs w:val="21"/>
              </w:rPr>
            </w:pPr>
            <w:r>
              <w:rPr>
                <w:rFonts w:hint="eastAsia" w:ascii="宋体" w:hAnsi="宋体"/>
                <w:b w:val="0"/>
                <w:bCs/>
                <w:szCs w:val="21"/>
              </w:rPr>
              <w:t>人体伤害或引发火灾、爆炸</w:t>
            </w:r>
          </w:p>
        </w:tc>
      </w:tr>
      <w:tr w14:paraId="10FCDD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 w:type="pct"/>
            <w:vMerge w:val="continue"/>
            <w:vAlign w:val="center"/>
          </w:tcPr>
          <w:p w14:paraId="58CD787A">
            <w:pPr>
              <w:widowControl/>
              <w:spacing w:line="240" w:lineRule="exact"/>
              <w:jc w:val="center"/>
              <w:rPr>
                <w:rFonts w:ascii="宋体" w:hAnsi="宋体"/>
                <w:b w:val="0"/>
                <w:bCs/>
                <w:szCs w:val="21"/>
              </w:rPr>
            </w:pPr>
          </w:p>
        </w:tc>
        <w:tc>
          <w:tcPr>
            <w:tcW w:w="814" w:type="pct"/>
            <w:vMerge w:val="continue"/>
            <w:vAlign w:val="center"/>
          </w:tcPr>
          <w:p w14:paraId="06EADB32">
            <w:pPr>
              <w:widowControl/>
              <w:spacing w:line="240" w:lineRule="exact"/>
              <w:jc w:val="center"/>
              <w:rPr>
                <w:rFonts w:ascii="宋体" w:hAnsi="宋体"/>
                <w:b w:val="0"/>
                <w:bCs/>
                <w:szCs w:val="21"/>
              </w:rPr>
            </w:pPr>
          </w:p>
        </w:tc>
        <w:tc>
          <w:tcPr>
            <w:tcW w:w="935" w:type="pct"/>
            <w:vAlign w:val="center"/>
          </w:tcPr>
          <w:p w14:paraId="4305F4D6">
            <w:pPr>
              <w:spacing w:line="240" w:lineRule="exact"/>
              <w:jc w:val="center"/>
              <w:rPr>
                <w:rFonts w:ascii="宋体" w:hAnsi="宋体"/>
                <w:b w:val="0"/>
                <w:bCs/>
                <w:szCs w:val="21"/>
              </w:rPr>
            </w:pPr>
            <w:r>
              <w:rPr>
                <w:rFonts w:hint="eastAsia" w:ascii="宋体" w:hAnsi="宋体"/>
                <w:b w:val="0"/>
                <w:bCs/>
                <w:szCs w:val="21"/>
              </w:rPr>
              <w:t>采光、照明不良</w:t>
            </w:r>
            <w:r>
              <w:rPr>
                <w:rFonts w:ascii="宋体" w:hAnsi="宋体"/>
                <w:b w:val="0"/>
                <w:bCs/>
                <w:szCs w:val="21"/>
              </w:rPr>
              <w:t>3110</w:t>
            </w:r>
          </w:p>
        </w:tc>
        <w:tc>
          <w:tcPr>
            <w:tcW w:w="896" w:type="pct"/>
            <w:vAlign w:val="center"/>
          </w:tcPr>
          <w:p w14:paraId="4CFAE95A">
            <w:pPr>
              <w:spacing w:line="240" w:lineRule="exact"/>
              <w:jc w:val="center"/>
              <w:rPr>
                <w:rFonts w:ascii="宋体" w:hAnsi="宋体"/>
                <w:b w:val="0"/>
                <w:bCs/>
                <w:szCs w:val="21"/>
              </w:rPr>
            </w:pPr>
            <w:r>
              <w:rPr>
                <w:rFonts w:hint="eastAsia" w:ascii="宋体" w:hAnsi="宋体"/>
                <w:b w:val="0"/>
                <w:bCs/>
                <w:szCs w:val="21"/>
              </w:rPr>
              <w:t>各危险性作业场所</w:t>
            </w:r>
          </w:p>
        </w:tc>
        <w:tc>
          <w:tcPr>
            <w:tcW w:w="996" w:type="pct"/>
            <w:vAlign w:val="center"/>
          </w:tcPr>
          <w:p w14:paraId="5AA713D3">
            <w:pPr>
              <w:spacing w:line="240" w:lineRule="exact"/>
              <w:jc w:val="center"/>
              <w:rPr>
                <w:rFonts w:ascii="宋体" w:hAnsi="宋体"/>
                <w:b w:val="0"/>
                <w:bCs/>
                <w:szCs w:val="21"/>
              </w:rPr>
            </w:pPr>
            <w:r>
              <w:rPr>
                <w:rFonts w:hint="eastAsia" w:ascii="宋体" w:hAnsi="宋体"/>
                <w:b w:val="0"/>
                <w:bCs/>
                <w:szCs w:val="21"/>
              </w:rPr>
              <w:t>人体常期接触</w:t>
            </w:r>
          </w:p>
        </w:tc>
        <w:tc>
          <w:tcPr>
            <w:tcW w:w="1101" w:type="pct"/>
            <w:vAlign w:val="center"/>
          </w:tcPr>
          <w:p w14:paraId="6D23887E">
            <w:pPr>
              <w:spacing w:line="240" w:lineRule="exact"/>
              <w:jc w:val="center"/>
              <w:rPr>
                <w:rFonts w:ascii="宋体" w:hAnsi="宋体"/>
                <w:b w:val="0"/>
                <w:bCs/>
                <w:szCs w:val="21"/>
              </w:rPr>
            </w:pPr>
            <w:r>
              <w:rPr>
                <w:rFonts w:hint="eastAsia" w:ascii="宋体" w:hAnsi="宋体"/>
                <w:b w:val="0"/>
                <w:bCs/>
                <w:szCs w:val="21"/>
              </w:rPr>
              <w:t>健康危害</w:t>
            </w:r>
          </w:p>
        </w:tc>
      </w:tr>
      <w:tr w14:paraId="0010C534">
        <w:tblPrEx>
          <w:tblCellMar>
            <w:top w:w="0" w:type="dxa"/>
            <w:left w:w="108" w:type="dxa"/>
            <w:bottom w:w="0" w:type="dxa"/>
            <w:right w:w="108" w:type="dxa"/>
          </w:tblCellMar>
        </w:tblPrEx>
        <w:trPr>
          <w:trHeight w:val="454" w:hRule="atLeast"/>
          <w:jc w:val="center"/>
        </w:trPr>
        <w:tc>
          <w:tcPr>
            <w:tcW w:w="254" w:type="pct"/>
            <w:vMerge w:val="continue"/>
            <w:vAlign w:val="center"/>
          </w:tcPr>
          <w:p w14:paraId="689207C7">
            <w:pPr>
              <w:widowControl/>
              <w:spacing w:line="240" w:lineRule="exact"/>
              <w:jc w:val="center"/>
              <w:rPr>
                <w:rFonts w:ascii="宋体" w:hAnsi="宋体"/>
                <w:b w:val="0"/>
                <w:bCs/>
                <w:szCs w:val="21"/>
              </w:rPr>
            </w:pPr>
          </w:p>
        </w:tc>
        <w:tc>
          <w:tcPr>
            <w:tcW w:w="814" w:type="pct"/>
            <w:vMerge w:val="continue"/>
            <w:vAlign w:val="center"/>
          </w:tcPr>
          <w:p w14:paraId="67A599EE">
            <w:pPr>
              <w:widowControl/>
              <w:spacing w:line="240" w:lineRule="exact"/>
              <w:jc w:val="center"/>
              <w:rPr>
                <w:rFonts w:ascii="宋体" w:hAnsi="宋体"/>
                <w:b w:val="0"/>
                <w:bCs/>
                <w:szCs w:val="21"/>
              </w:rPr>
            </w:pPr>
          </w:p>
        </w:tc>
        <w:tc>
          <w:tcPr>
            <w:tcW w:w="935" w:type="pct"/>
            <w:vAlign w:val="center"/>
          </w:tcPr>
          <w:p w14:paraId="3E3E3830">
            <w:pPr>
              <w:spacing w:line="240" w:lineRule="exact"/>
              <w:jc w:val="center"/>
              <w:rPr>
                <w:rFonts w:ascii="宋体" w:hAnsi="宋体"/>
                <w:b w:val="0"/>
                <w:bCs/>
                <w:szCs w:val="21"/>
              </w:rPr>
            </w:pPr>
            <w:r>
              <w:rPr>
                <w:rFonts w:hint="eastAsia" w:ascii="宋体" w:hAnsi="宋体"/>
                <w:b w:val="0"/>
                <w:bCs/>
                <w:szCs w:val="21"/>
              </w:rPr>
              <w:t>室内温度、湿度不适</w:t>
            </w:r>
            <w:r>
              <w:rPr>
                <w:rFonts w:ascii="宋体" w:hAnsi="宋体"/>
                <w:b w:val="0"/>
                <w:bCs/>
                <w:szCs w:val="21"/>
              </w:rPr>
              <w:t>3112</w:t>
            </w:r>
          </w:p>
        </w:tc>
        <w:tc>
          <w:tcPr>
            <w:tcW w:w="896" w:type="pct"/>
            <w:vAlign w:val="center"/>
          </w:tcPr>
          <w:p w14:paraId="334D9FB5">
            <w:pPr>
              <w:spacing w:line="240" w:lineRule="exact"/>
              <w:jc w:val="center"/>
              <w:rPr>
                <w:rFonts w:ascii="宋体" w:hAnsi="宋体"/>
                <w:b w:val="0"/>
                <w:bCs/>
                <w:szCs w:val="21"/>
              </w:rPr>
            </w:pPr>
            <w:r>
              <w:rPr>
                <w:rFonts w:hint="eastAsia" w:ascii="宋体" w:hAnsi="宋体"/>
                <w:b w:val="0"/>
                <w:bCs/>
                <w:szCs w:val="21"/>
              </w:rPr>
              <w:t>各危险性作业场所</w:t>
            </w:r>
          </w:p>
        </w:tc>
        <w:tc>
          <w:tcPr>
            <w:tcW w:w="996" w:type="pct"/>
            <w:vAlign w:val="center"/>
          </w:tcPr>
          <w:p w14:paraId="7DAADA05">
            <w:pPr>
              <w:spacing w:line="240" w:lineRule="exact"/>
              <w:jc w:val="center"/>
              <w:rPr>
                <w:rFonts w:ascii="宋体" w:hAnsi="宋体"/>
                <w:b w:val="0"/>
                <w:bCs/>
                <w:szCs w:val="21"/>
              </w:rPr>
            </w:pPr>
            <w:r>
              <w:rPr>
                <w:rFonts w:hint="eastAsia" w:ascii="宋体" w:hAnsi="宋体"/>
                <w:b w:val="0"/>
                <w:bCs/>
                <w:szCs w:val="21"/>
              </w:rPr>
              <w:t>危险品达到燃点、起爆点</w:t>
            </w:r>
          </w:p>
        </w:tc>
        <w:tc>
          <w:tcPr>
            <w:tcW w:w="1101" w:type="pct"/>
            <w:vAlign w:val="center"/>
          </w:tcPr>
          <w:p w14:paraId="37CF2E62">
            <w:pPr>
              <w:spacing w:line="240" w:lineRule="exact"/>
              <w:jc w:val="center"/>
              <w:rPr>
                <w:rFonts w:ascii="宋体" w:hAnsi="宋体"/>
                <w:b w:val="0"/>
                <w:bCs/>
                <w:szCs w:val="21"/>
              </w:rPr>
            </w:pPr>
            <w:r>
              <w:rPr>
                <w:rFonts w:hint="eastAsia" w:ascii="宋体" w:hAnsi="宋体"/>
                <w:b w:val="0"/>
                <w:bCs/>
                <w:szCs w:val="21"/>
              </w:rPr>
              <w:t>火灾、爆炸</w:t>
            </w:r>
          </w:p>
        </w:tc>
      </w:tr>
      <w:tr w14:paraId="04B183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 w:type="pct"/>
            <w:vMerge w:val="continue"/>
            <w:vAlign w:val="center"/>
          </w:tcPr>
          <w:p w14:paraId="6A26D05A">
            <w:pPr>
              <w:widowControl/>
              <w:spacing w:line="240" w:lineRule="exact"/>
              <w:jc w:val="center"/>
              <w:rPr>
                <w:rFonts w:ascii="宋体" w:hAnsi="宋体"/>
                <w:b w:val="0"/>
                <w:bCs/>
                <w:szCs w:val="21"/>
              </w:rPr>
            </w:pPr>
          </w:p>
        </w:tc>
        <w:tc>
          <w:tcPr>
            <w:tcW w:w="814" w:type="pct"/>
            <w:vMerge w:val="restart"/>
            <w:vAlign w:val="center"/>
          </w:tcPr>
          <w:p w14:paraId="6F0F7D5D">
            <w:pPr>
              <w:spacing w:line="240" w:lineRule="exact"/>
              <w:jc w:val="center"/>
              <w:rPr>
                <w:rFonts w:ascii="宋体" w:hAnsi="宋体"/>
                <w:b w:val="0"/>
                <w:bCs/>
                <w:szCs w:val="21"/>
              </w:rPr>
            </w:pPr>
            <w:r>
              <w:rPr>
                <w:rFonts w:hint="eastAsia" w:ascii="宋体" w:hAnsi="宋体"/>
                <w:b w:val="0"/>
                <w:bCs/>
                <w:szCs w:val="21"/>
              </w:rPr>
              <w:t>室外作业环境不良</w:t>
            </w:r>
            <w:r>
              <w:rPr>
                <w:rFonts w:ascii="宋体" w:hAnsi="宋体"/>
                <w:b w:val="0"/>
                <w:bCs/>
                <w:szCs w:val="21"/>
              </w:rPr>
              <w:t>32</w:t>
            </w:r>
          </w:p>
        </w:tc>
        <w:tc>
          <w:tcPr>
            <w:tcW w:w="935" w:type="pct"/>
            <w:vAlign w:val="center"/>
          </w:tcPr>
          <w:p w14:paraId="225989D2">
            <w:pPr>
              <w:spacing w:line="240" w:lineRule="exact"/>
              <w:jc w:val="center"/>
              <w:rPr>
                <w:rFonts w:ascii="宋体" w:hAnsi="宋体"/>
                <w:b w:val="0"/>
                <w:bCs/>
                <w:spacing w:val="-11"/>
                <w:szCs w:val="21"/>
              </w:rPr>
            </w:pPr>
            <w:r>
              <w:rPr>
                <w:rFonts w:hint="eastAsia" w:ascii="宋体" w:hAnsi="宋体"/>
                <w:b w:val="0"/>
                <w:bCs/>
                <w:spacing w:val="-11"/>
                <w:szCs w:val="21"/>
              </w:rPr>
              <w:t>作业场地和交通设施湿滑</w:t>
            </w:r>
            <w:r>
              <w:rPr>
                <w:rFonts w:ascii="宋体" w:hAnsi="宋体"/>
                <w:b w:val="0"/>
                <w:bCs/>
                <w:spacing w:val="-11"/>
                <w:szCs w:val="21"/>
              </w:rPr>
              <w:t>3202</w:t>
            </w:r>
          </w:p>
        </w:tc>
        <w:tc>
          <w:tcPr>
            <w:tcW w:w="896" w:type="pct"/>
            <w:vAlign w:val="center"/>
          </w:tcPr>
          <w:p w14:paraId="72B3B0EE">
            <w:pPr>
              <w:spacing w:line="240" w:lineRule="exact"/>
              <w:jc w:val="center"/>
              <w:rPr>
                <w:rFonts w:ascii="宋体" w:hAnsi="宋体"/>
                <w:b w:val="0"/>
                <w:bCs/>
                <w:szCs w:val="21"/>
              </w:rPr>
            </w:pPr>
            <w:r>
              <w:rPr>
                <w:rFonts w:hint="eastAsia" w:ascii="宋体" w:hAnsi="宋体"/>
                <w:b w:val="0"/>
                <w:bCs/>
                <w:szCs w:val="21"/>
              </w:rPr>
              <w:t>各危险性作业场所</w:t>
            </w:r>
          </w:p>
        </w:tc>
        <w:tc>
          <w:tcPr>
            <w:tcW w:w="996" w:type="pct"/>
            <w:vAlign w:val="center"/>
          </w:tcPr>
          <w:p w14:paraId="59256723">
            <w:pPr>
              <w:spacing w:line="240" w:lineRule="exact"/>
              <w:jc w:val="center"/>
              <w:rPr>
                <w:rFonts w:ascii="宋体" w:hAnsi="宋体"/>
                <w:b w:val="0"/>
                <w:bCs/>
                <w:szCs w:val="21"/>
              </w:rPr>
            </w:pPr>
            <w:r>
              <w:rPr>
                <w:rFonts w:hint="eastAsia" w:ascii="宋体" w:hAnsi="宋体"/>
                <w:b w:val="0"/>
                <w:bCs/>
                <w:szCs w:val="21"/>
              </w:rPr>
              <w:t>操作人员摔、跌、危险品跌落</w:t>
            </w:r>
          </w:p>
        </w:tc>
        <w:tc>
          <w:tcPr>
            <w:tcW w:w="1101" w:type="pct"/>
            <w:vAlign w:val="center"/>
          </w:tcPr>
          <w:p w14:paraId="15CB711D">
            <w:pPr>
              <w:spacing w:line="240" w:lineRule="exact"/>
              <w:jc w:val="center"/>
              <w:rPr>
                <w:rFonts w:ascii="宋体" w:hAnsi="宋体"/>
                <w:b w:val="0"/>
                <w:bCs/>
                <w:szCs w:val="21"/>
              </w:rPr>
            </w:pPr>
            <w:r>
              <w:rPr>
                <w:rFonts w:hint="eastAsia" w:ascii="宋体" w:hAnsi="宋体"/>
                <w:b w:val="0"/>
                <w:bCs/>
                <w:szCs w:val="21"/>
              </w:rPr>
              <w:t>人体伤害或引发火灾、爆炸</w:t>
            </w:r>
          </w:p>
        </w:tc>
      </w:tr>
      <w:tr w14:paraId="07DC0F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 w:type="pct"/>
            <w:vMerge w:val="continue"/>
            <w:vAlign w:val="center"/>
          </w:tcPr>
          <w:p w14:paraId="1F2725D0">
            <w:pPr>
              <w:widowControl/>
              <w:spacing w:line="240" w:lineRule="exact"/>
              <w:jc w:val="center"/>
              <w:rPr>
                <w:rFonts w:ascii="宋体" w:hAnsi="宋体"/>
                <w:b w:val="0"/>
                <w:bCs/>
                <w:szCs w:val="21"/>
              </w:rPr>
            </w:pPr>
          </w:p>
        </w:tc>
        <w:tc>
          <w:tcPr>
            <w:tcW w:w="814" w:type="pct"/>
            <w:vMerge w:val="continue"/>
            <w:vAlign w:val="center"/>
          </w:tcPr>
          <w:p w14:paraId="65CDB6D4">
            <w:pPr>
              <w:widowControl/>
              <w:spacing w:line="240" w:lineRule="exact"/>
              <w:jc w:val="center"/>
              <w:rPr>
                <w:rFonts w:ascii="宋体" w:hAnsi="宋体"/>
                <w:b w:val="0"/>
                <w:bCs/>
                <w:szCs w:val="21"/>
              </w:rPr>
            </w:pPr>
          </w:p>
        </w:tc>
        <w:tc>
          <w:tcPr>
            <w:tcW w:w="935" w:type="pct"/>
            <w:vAlign w:val="center"/>
          </w:tcPr>
          <w:p w14:paraId="24CAB826">
            <w:pPr>
              <w:spacing w:line="240" w:lineRule="exact"/>
              <w:jc w:val="center"/>
              <w:rPr>
                <w:rFonts w:ascii="宋体" w:hAnsi="宋体"/>
                <w:b w:val="0"/>
                <w:bCs/>
                <w:spacing w:val="-11"/>
                <w:szCs w:val="21"/>
              </w:rPr>
            </w:pPr>
            <w:r>
              <w:rPr>
                <w:rFonts w:hint="eastAsia" w:ascii="宋体" w:hAnsi="宋体"/>
                <w:b w:val="0"/>
                <w:bCs/>
                <w:spacing w:val="-11"/>
                <w:szCs w:val="21"/>
              </w:rPr>
              <w:t>作业场地狭窄、杂乱、不平</w:t>
            </w:r>
            <w:r>
              <w:rPr>
                <w:rFonts w:ascii="宋体" w:hAnsi="宋体"/>
                <w:b w:val="0"/>
                <w:bCs/>
                <w:spacing w:val="-11"/>
                <w:szCs w:val="21"/>
              </w:rPr>
              <w:t>3203</w:t>
            </w:r>
            <w:r>
              <w:rPr>
                <w:rFonts w:hint="eastAsia" w:ascii="宋体" w:hAnsi="宋体"/>
                <w:b w:val="0"/>
                <w:bCs/>
                <w:spacing w:val="-11"/>
                <w:szCs w:val="21"/>
              </w:rPr>
              <w:t>、</w:t>
            </w:r>
            <w:r>
              <w:rPr>
                <w:rFonts w:ascii="宋体" w:hAnsi="宋体"/>
                <w:b w:val="0"/>
                <w:bCs/>
                <w:spacing w:val="-11"/>
                <w:szCs w:val="21"/>
              </w:rPr>
              <w:t>3204</w:t>
            </w:r>
            <w:r>
              <w:rPr>
                <w:rFonts w:hint="eastAsia" w:ascii="宋体" w:hAnsi="宋体"/>
                <w:b w:val="0"/>
                <w:bCs/>
                <w:spacing w:val="-11"/>
                <w:szCs w:val="21"/>
              </w:rPr>
              <w:t>、</w:t>
            </w:r>
            <w:r>
              <w:rPr>
                <w:rFonts w:ascii="宋体" w:hAnsi="宋体"/>
                <w:b w:val="0"/>
                <w:bCs/>
                <w:spacing w:val="-11"/>
                <w:szCs w:val="21"/>
              </w:rPr>
              <w:t>3205</w:t>
            </w:r>
          </w:p>
        </w:tc>
        <w:tc>
          <w:tcPr>
            <w:tcW w:w="896" w:type="pct"/>
            <w:vAlign w:val="center"/>
          </w:tcPr>
          <w:p w14:paraId="461075AF">
            <w:pPr>
              <w:spacing w:line="240" w:lineRule="exact"/>
              <w:jc w:val="center"/>
              <w:rPr>
                <w:rFonts w:ascii="宋体" w:hAnsi="宋体"/>
                <w:b w:val="0"/>
                <w:bCs/>
                <w:szCs w:val="21"/>
              </w:rPr>
            </w:pPr>
            <w:r>
              <w:rPr>
                <w:rFonts w:hint="eastAsia" w:ascii="宋体" w:hAnsi="宋体"/>
                <w:b w:val="0"/>
                <w:bCs/>
                <w:szCs w:val="21"/>
              </w:rPr>
              <w:t>各危险性作业场所</w:t>
            </w:r>
          </w:p>
        </w:tc>
        <w:tc>
          <w:tcPr>
            <w:tcW w:w="996" w:type="pct"/>
            <w:vAlign w:val="center"/>
          </w:tcPr>
          <w:p w14:paraId="0435DE31">
            <w:pPr>
              <w:spacing w:line="240" w:lineRule="exact"/>
              <w:jc w:val="center"/>
              <w:rPr>
                <w:rFonts w:ascii="宋体" w:hAnsi="宋体"/>
                <w:b w:val="0"/>
                <w:bCs/>
                <w:szCs w:val="21"/>
              </w:rPr>
            </w:pPr>
            <w:r>
              <w:rPr>
                <w:rFonts w:hint="eastAsia" w:ascii="宋体" w:hAnsi="宋体"/>
                <w:b w:val="0"/>
                <w:bCs/>
                <w:szCs w:val="21"/>
              </w:rPr>
              <w:t>操作人员摔、跌、危险品跌落</w:t>
            </w:r>
          </w:p>
        </w:tc>
        <w:tc>
          <w:tcPr>
            <w:tcW w:w="1101" w:type="pct"/>
            <w:vAlign w:val="center"/>
          </w:tcPr>
          <w:p w14:paraId="09EA8252">
            <w:pPr>
              <w:spacing w:line="240" w:lineRule="exact"/>
              <w:jc w:val="center"/>
              <w:rPr>
                <w:rFonts w:ascii="宋体" w:hAnsi="宋体"/>
                <w:b w:val="0"/>
                <w:bCs/>
                <w:szCs w:val="21"/>
              </w:rPr>
            </w:pPr>
            <w:r>
              <w:rPr>
                <w:rFonts w:hint="eastAsia" w:ascii="宋体" w:hAnsi="宋体"/>
                <w:b w:val="0"/>
                <w:bCs/>
                <w:szCs w:val="21"/>
              </w:rPr>
              <w:t>人体伤害或引发火灾、爆炸</w:t>
            </w:r>
          </w:p>
        </w:tc>
      </w:tr>
      <w:tr w14:paraId="217A49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 w:type="pct"/>
            <w:vMerge w:val="restart"/>
            <w:vAlign w:val="center"/>
          </w:tcPr>
          <w:p w14:paraId="7DADFCD2">
            <w:pPr>
              <w:widowControl/>
              <w:spacing w:line="240" w:lineRule="exact"/>
              <w:jc w:val="center"/>
              <w:rPr>
                <w:rFonts w:ascii="宋体" w:hAnsi="宋体"/>
                <w:b w:val="0"/>
                <w:bCs/>
                <w:szCs w:val="21"/>
              </w:rPr>
            </w:pPr>
            <w:r>
              <w:rPr>
                <w:rFonts w:hint="eastAsia" w:ascii="宋体" w:hAnsi="宋体"/>
                <w:b w:val="0"/>
                <w:bCs/>
                <w:szCs w:val="21"/>
              </w:rPr>
              <w:t>管理</w:t>
            </w:r>
          </w:p>
          <w:p w14:paraId="358A4E5E">
            <w:pPr>
              <w:widowControl/>
              <w:spacing w:line="240" w:lineRule="exact"/>
              <w:jc w:val="center"/>
              <w:rPr>
                <w:rFonts w:ascii="宋体" w:hAnsi="宋体"/>
                <w:b w:val="0"/>
                <w:bCs/>
                <w:szCs w:val="21"/>
              </w:rPr>
            </w:pPr>
            <w:r>
              <w:rPr>
                <w:rFonts w:hint="eastAsia" w:ascii="宋体" w:hAnsi="宋体"/>
                <w:b w:val="0"/>
                <w:bCs/>
                <w:szCs w:val="21"/>
              </w:rPr>
              <w:t>因</w:t>
            </w:r>
          </w:p>
          <w:p w14:paraId="4E240E37">
            <w:pPr>
              <w:widowControl/>
              <w:spacing w:line="240" w:lineRule="exact"/>
              <w:jc w:val="center"/>
              <w:rPr>
                <w:rFonts w:ascii="宋体" w:hAnsi="宋体"/>
                <w:b w:val="0"/>
                <w:bCs/>
                <w:szCs w:val="21"/>
              </w:rPr>
            </w:pPr>
            <w:r>
              <w:rPr>
                <w:rFonts w:hint="eastAsia" w:ascii="宋体" w:hAnsi="宋体"/>
                <w:b w:val="0"/>
                <w:bCs/>
                <w:szCs w:val="21"/>
              </w:rPr>
              <w:t>素</w:t>
            </w:r>
            <w:r>
              <w:rPr>
                <w:rFonts w:ascii="宋体" w:hAnsi="宋体"/>
                <w:b w:val="0"/>
                <w:bCs/>
                <w:szCs w:val="21"/>
              </w:rPr>
              <w:t>4</w:t>
            </w:r>
          </w:p>
        </w:tc>
        <w:tc>
          <w:tcPr>
            <w:tcW w:w="814" w:type="pct"/>
            <w:vAlign w:val="center"/>
          </w:tcPr>
          <w:p w14:paraId="72D2A780">
            <w:pPr>
              <w:widowControl/>
              <w:spacing w:line="240" w:lineRule="exact"/>
              <w:jc w:val="center"/>
              <w:rPr>
                <w:rFonts w:ascii="宋体" w:hAnsi="宋体"/>
                <w:b w:val="0"/>
                <w:bCs/>
                <w:szCs w:val="21"/>
              </w:rPr>
            </w:pPr>
            <w:r>
              <w:rPr>
                <w:rFonts w:hint="eastAsia" w:ascii="宋体" w:hAnsi="宋体"/>
                <w:b w:val="0"/>
              </w:rPr>
              <w:t>职业安全卫生组织机构不健全</w:t>
            </w:r>
            <w:r>
              <w:rPr>
                <w:rFonts w:ascii="宋体" w:hAnsi="宋体"/>
                <w:b w:val="0"/>
              </w:rPr>
              <w:t>41</w:t>
            </w:r>
          </w:p>
        </w:tc>
        <w:tc>
          <w:tcPr>
            <w:tcW w:w="935" w:type="pct"/>
            <w:vAlign w:val="center"/>
          </w:tcPr>
          <w:p w14:paraId="48BB79B8">
            <w:pPr>
              <w:spacing w:line="240" w:lineRule="exact"/>
              <w:jc w:val="center"/>
              <w:rPr>
                <w:rFonts w:ascii="宋体" w:hAnsi="宋体"/>
                <w:b w:val="0"/>
              </w:rPr>
            </w:pPr>
            <w:r>
              <w:rPr>
                <w:rFonts w:ascii="宋体" w:hAnsi="宋体"/>
                <w:b w:val="0"/>
              </w:rPr>
              <w:t>--</w:t>
            </w:r>
          </w:p>
        </w:tc>
        <w:tc>
          <w:tcPr>
            <w:tcW w:w="896" w:type="pct"/>
            <w:vAlign w:val="center"/>
          </w:tcPr>
          <w:p w14:paraId="6873AD92">
            <w:pPr>
              <w:spacing w:line="240" w:lineRule="exact"/>
              <w:jc w:val="center"/>
              <w:rPr>
                <w:rFonts w:ascii="宋体" w:hAnsi="宋体"/>
                <w:b w:val="0"/>
                <w:bCs/>
                <w:szCs w:val="21"/>
              </w:rPr>
            </w:pPr>
            <w:r>
              <w:rPr>
                <w:rFonts w:hint="eastAsia" w:ascii="宋体" w:hAnsi="宋体"/>
                <w:b w:val="0"/>
                <w:bCs/>
                <w:szCs w:val="21"/>
              </w:rPr>
              <w:t>危险性作业工工序</w:t>
            </w:r>
          </w:p>
        </w:tc>
        <w:tc>
          <w:tcPr>
            <w:tcW w:w="996" w:type="pct"/>
            <w:vAlign w:val="center"/>
          </w:tcPr>
          <w:p w14:paraId="18D62AB5">
            <w:pPr>
              <w:spacing w:line="240" w:lineRule="exact"/>
              <w:jc w:val="center"/>
              <w:rPr>
                <w:rFonts w:ascii="宋体" w:hAnsi="宋体"/>
                <w:b w:val="0"/>
                <w:bCs/>
                <w:szCs w:val="21"/>
              </w:rPr>
            </w:pPr>
            <w:r>
              <w:rPr>
                <w:rFonts w:hint="eastAsia" w:ascii="宋体" w:hAnsi="宋体"/>
                <w:b w:val="0"/>
                <w:bCs/>
                <w:szCs w:val="21"/>
              </w:rPr>
              <w:t>危险品受不安全因素影响</w:t>
            </w:r>
          </w:p>
        </w:tc>
        <w:tc>
          <w:tcPr>
            <w:tcW w:w="1101" w:type="pct"/>
            <w:vAlign w:val="center"/>
          </w:tcPr>
          <w:p w14:paraId="30636006">
            <w:pPr>
              <w:spacing w:line="240" w:lineRule="exact"/>
              <w:jc w:val="center"/>
              <w:rPr>
                <w:rFonts w:ascii="宋体" w:hAnsi="宋体"/>
                <w:b w:val="0"/>
                <w:bCs/>
                <w:szCs w:val="21"/>
              </w:rPr>
            </w:pPr>
            <w:r>
              <w:rPr>
                <w:rFonts w:hint="eastAsia" w:ascii="宋体" w:hAnsi="宋体"/>
                <w:b w:val="0"/>
                <w:bCs/>
                <w:szCs w:val="21"/>
              </w:rPr>
              <w:t>火灾、爆炸等各类安全事故</w:t>
            </w:r>
          </w:p>
        </w:tc>
      </w:tr>
      <w:tr w14:paraId="283A57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 w:type="pct"/>
            <w:vMerge w:val="continue"/>
            <w:vAlign w:val="center"/>
          </w:tcPr>
          <w:p w14:paraId="47B5873A">
            <w:pPr>
              <w:widowControl/>
              <w:spacing w:line="240" w:lineRule="exact"/>
              <w:jc w:val="center"/>
              <w:rPr>
                <w:rFonts w:ascii="宋体" w:hAnsi="宋体"/>
                <w:b w:val="0"/>
                <w:bCs/>
                <w:szCs w:val="21"/>
              </w:rPr>
            </w:pPr>
          </w:p>
        </w:tc>
        <w:tc>
          <w:tcPr>
            <w:tcW w:w="814" w:type="pct"/>
            <w:vAlign w:val="center"/>
          </w:tcPr>
          <w:p w14:paraId="036BAE8F">
            <w:pPr>
              <w:widowControl/>
              <w:spacing w:line="240" w:lineRule="exact"/>
              <w:jc w:val="center"/>
              <w:rPr>
                <w:rFonts w:ascii="宋体" w:hAnsi="宋体"/>
                <w:b w:val="0"/>
                <w:bCs/>
                <w:szCs w:val="21"/>
              </w:rPr>
            </w:pPr>
            <w:r>
              <w:rPr>
                <w:rFonts w:hint="eastAsia" w:ascii="宋体" w:hAnsi="宋体"/>
                <w:b w:val="0"/>
              </w:rPr>
              <w:t>职业安全卫生责任制未落实</w:t>
            </w:r>
            <w:r>
              <w:rPr>
                <w:rFonts w:ascii="宋体" w:hAnsi="宋体"/>
                <w:b w:val="0"/>
              </w:rPr>
              <w:t>42</w:t>
            </w:r>
          </w:p>
        </w:tc>
        <w:tc>
          <w:tcPr>
            <w:tcW w:w="935" w:type="pct"/>
            <w:vAlign w:val="center"/>
          </w:tcPr>
          <w:p w14:paraId="3AC53AF5">
            <w:pPr>
              <w:spacing w:line="240" w:lineRule="exact"/>
              <w:jc w:val="center"/>
              <w:rPr>
                <w:rFonts w:ascii="宋体" w:hAnsi="宋体"/>
                <w:b w:val="0"/>
              </w:rPr>
            </w:pPr>
            <w:r>
              <w:rPr>
                <w:rFonts w:ascii="宋体" w:hAnsi="宋体"/>
                <w:b w:val="0"/>
              </w:rPr>
              <w:t>--</w:t>
            </w:r>
          </w:p>
        </w:tc>
        <w:tc>
          <w:tcPr>
            <w:tcW w:w="896" w:type="pct"/>
            <w:vAlign w:val="center"/>
          </w:tcPr>
          <w:p w14:paraId="14EE5F90">
            <w:pPr>
              <w:spacing w:line="240" w:lineRule="exact"/>
              <w:jc w:val="center"/>
              <w:rPr>
                <w:rFonts w:ascii="宋体" w:hAnsi="宋体"/>
                <w:b w:val="0"/>
                <w:bCs/>
                <w:szCs w:val="21"/>
              </w:rPr>
            </w:pPr>
            <w:r>
              <w:rPr>
                <w:rFonts w:hint="eastAsia" w:ascii="宋体" w:hAnsi="宋体"/>
                <w:b w:val="0"/>
                <w:bCs/>
                <w:szCs w:val="21"/>
              </w:rPr>
              <w:t>危险性作业工工序</w:t>
            </w:r>
          </w:p>
        </w:tc>
        <w:tc>
          <w:tcPr>
            <w:tcW w:w="996" w:type="pct"/>
            <w:vAlign w:val="center"/>
          </w:tcPr>
          <w:p w14:paraId="6C68F629">
            <w:pPr>
              <w:spacing w:line="240" w:lineRule="exact"/>
              <w:jc w:val="center"/>
              <w:rPr>
                <w:rFonts w:ascii="宋体" w:hAnsi="宋体"/>
                <w:b w:val="0"/>
                <w:bCs/>
                <w:szCs w:val="21"/>
              </w:rPr>
            </w:pPr>
            <w:r>
              <w:rPr>
                <w:rFonts w:hint="eastAsia" w:ascii="宋体" w:hAnsi="宋体"/>
                <w:b w:val="0"/>
                <w:bCs/>
                <w:szCs w:val="21"/>
              </w:rPr>
              <w:t>操作人员安全意识缺乏</w:t>
            </w:r>
          </w:p>
        </w:tc>
        <w:tc>
          <w:tcPr>
            <w:tcW w:w="1101" w:type="pct"/>
            <w:vAlign w:val="center"/>
          </w:tcPr>
          <w:p w14:paraId="160A008B">
            <w:pPr>
              <w:spacing w:line="240" w:lineRule="exact"/>
              <w:jc w:val="center"/>
              <w:rPr>
                <w:rFonts w:ascii="宋体" w:hAnsi="宋体"/>
                <w:b w:val="0"/>
                <w:bCs/>
                <w:szCs w:val="21"/>
              </w:rPr>
            </w:pPr>
            <w:r>
              <w:rPr>
                <w:rFonts w:hint="eastAsia" w:ascii="宋体" w:hAnsi="宋体"/>
                <w:b w:val="0"/>
                <w:bCs/>
                <w:szCs w:val="21"/>
              </w:rPr>
              <w:t>火灾、爆炸等各类安全事故</w:t>
            </w:r>
          </w:p>
        </w:tc>
      </w:tr>
      <w:tr w14:paraId="0A942F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 w:type="pct"/>
            <w:vMerge w:val="continue"/>
            <w:vAlign w:val="center"/>
          </w:tcPr>
          <w:p w14:paraId="54490EF1">
            <w:pPr>
              <w:widowControl/>
              <w:spacing w:line="240" w:lineRule="exact"/>
              <w:jc w:val="center"/>
              <w:rPr>
                <w:rFonts w:ascii="宋体" w:hAnsi="宋体"/>
                <w:b w:val="0"/>
                <w:bCs/>
                <w:szCs w:val="21"/>
              </w:rPr>
            </w:pPr>
          </w:p>
        </w:tc>
        <w:tc>
          <w:tcPr>
            <w:tcW w:w="814" w:type="pct"/>
            <w:vMerge w:val="restart"/>
            <w:vAlign w:val="center"/>
          </w:tcPr>
          <w:p w14:paraId="765C0344">
            <w:pPr>
              <w:widowControl/>
              <w:spacing w:line="240" w:lineRule="exact"/>
              <w:jc w:val="center"/>
              <w:rPr>
                <w:rFonts w:ascii="宋体" w:hAnsi="宋体"/>
                <w:b w:val="0"/>
                <w:bCs/>
                <w:szCs w:val="21"/>
              </w:rPr>
            </w:pPr>
            <w:r>
              <w:rPr>
                <w:rFonts w:hint="eastAsia" w:ascii="宋体" w:hAnsi="宋体"/>
                <w:b w:val="0"/>
                <w:bCs/>
                <w:szCs w:val="21"/>
              </w:rPr>
              <w:t>职业安全卫生管理规章制度不完善</w:t>
            </w:r>
          </w:p>
          <w:p w14:paraId="59B3933C">
            <w:pPr>
              <w:widowControl/>
              <w:spacing w:line="240" w:lineRule="exact"/>
              <w:jc w:val="center"/>
              <w:rPr>
                <w:rFonts w:ascii="宋体" w:hAnsi="宋体"/>
                <w:b w:val="0"/>
                <w:bCs/>
                <w:szCs w:val="21"/>
              </w:rPr>
            </w:pPr>
            <w:r>
              <w:rPr>
                <w:rFonts w:ascii="宋体" w:hAnsi="宋体"/>
                <w:b w:val="0"/>
                <w:bCs/>
                <w:szCs w:val="21"/>
              </w:rPr>
              <w:t>43</w:t>
            </w:r>
          </w:p>
        </w:tc>
        <w:tc>
          <w:tcPr>
            <w:tcW w:w="935" w:type="pct"/>
            <w:vAlign w:val="center"/>
          </w:tcPr>
          <w:p w14:paraId="228EFB31">
            <w:pPr>
              <w:spacing w:line="240" w:lineRule="exact"/>
              <w:jc w:val="center"/>
              <w:rPr>
                <w:rFonts w:ascii="宋体" w:hAnsi="宋体"/>
                <w:b w:val="0"/>
              </w:rPr>
            </w:pPr>
            <w:r>
              <w:rPr>
                <w:rFonts w:hint="eastAsia" w:ascii="宋体" w:hAnsi="宋体"/>
                <w:b w:val="0"/>
              </w:rPr>
              <w:t>事故应急预案及响应缺陷</w:t>
            </w:r>
            <w:r>
              <w:rPr>
                <w:rFonts w:ascii="宋体" w:hAnsi="宋体"/>
                <w:b w:val="0"/>
              </w:rPr>
              <w:t>4303</w:t>
            </w:r>
          </w:p>
        </w:tc>
        <w:tc>
          <w:tcPr>
            <w:tcW w:w="896" w:type="pct"/>
            <w:vAlign w:val="center"/>
          </w:tcPr>
          <w:p w14:paraId="21C84EED">
            <w:pPr>
              <w:spacing w:line="240" w:lineRule="exact"/>
              <w:jc w:val="center"/>
              <w:rPr>
                <w:rFonts w:ascii="宋体" w:hAnsi="宋体"/>
                <w:b w:val="0"/>
                <w:bCs/>
                <w:szCs w:val="21"/>
              </w:rPr>
            </w:pPr>
            <w:r>
              <w:rPr>
                <w:rFonts w:hint="eastAsia" w:ascii="宋体" w:hAnsi="宋体"/>
                <w:b w:val="0"/>
                <w:bCs/>
                <w:szCs w:val="21"/>
              </w:rPr>
              <w:t>危险性作业工工序</w:t>
            </w:r>
          </w:p>
        </w:tc>
        <w:tc>
          <w:tcPr>
            <w:tcW w:w="996" w:type="pct"/>
            <w:vAlign w:val="center"/>
          </w:tcPr>
          <w:p w14:paraId="58194242">
            <w:pPr>
              <w:spacing w:line="240" w:lineRule="exact"/>
              <w:jc w:val="center"/>
              <w:rPr>
                <w:rFonts w:ascii="宋体" w:hAnsi="宋体"/>
                <w:b w:val="0"/>
                <w:bCs/>
                <w:szCs w:val="21"/>
              </w:rPr>
            </w:pPr>
            <w:r>
              <w:rPr>
                <w:rFonts w:hint="eastAsia" w:ascii="宋体" w:hAnsi="宋体"/>
                <w:b w:val="0"/>
                <w:bCs/>
                <w:szCs w:val="21"/>
              </w:rPr>
              <w:t>事故应急未得到及时响应</w:t>
            </w:r>
          </w:p>
        </w:tc>
        <w:tc>
          <w:tcPr>
            <w:tcW w:w="1101" w:type="pct"/>
            <w:vAlign w:val="center"/>
          </w:tcPr>
          <w:p w14:paraId="3A54E1DC">
            <w:pPr>
              <w:spacing w:line="240" w:lineRule="exact"/>
              <w:jc w:val="center"/>
              <w:rPr>
                <w:rFonts w:ascii="宋体" w:hAnsi="宋体"/>
                <w:b w:val="0"/>
                <w:bCs/>
                <w:szCs w:val="21"/>
              </w:rPr>
            </w:pPr>
            <w:r>
              <w:rPr>
                <w:rFonts w:hint="eastAsia" w:ascii="宋体" w:hAnsi="宋体"/>
                <w:b w:val="0"/>
                <w:bCs/>
                <w:szCs w:val="21"/>
              </w:rPr>
              <w:t>火灾、爆炸等各类安全事故</w:t>
            </w:r>
          </w:p>
        </w:tc>
      </w:tr>
      <w:tr w14:paraId="1A43B8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 w:type="pct"/>
            <w:vMerge w:val="continue"/>
            <w:tcBorders>
              <w:bottom w:val="single" w:color="auto" w:sz="12" w:space="0"/>
            </w:tcBorders>
            <w:vAlign w:val="center"/>
          </w:tcPr>
          <w:p w14:paraId="60E77509">
            <w:pPr>
              <w:widowControl/>
              <w:spacing w:line="240" w:lineRule="exact"/>
              <w:jc w:val="center"/>
              <w:rPr>
                <w:rFonts w:ascii="宋体" w:hAnsi="宋体"/>
                <w:b w:val="0"/>
                <w:bCs/>
                <w:szCs w:val="21"/>
              </w:rPr>
            </w:pPr>
          </w:p>
        </w:tc>
        <w:tc>
          <w:tcPr>
            <w:tcW w:w="814" w:type="pct"/>
            <w:vMerge w:val="continue"/>
            <w:tcBorders>
              <w:bottom w:val="single" w:color="auto" w:sz="12" w:space="0"/>
            </w:tcBorders>
            <w:vAlign w:val="center"/>
          </w:tcPr>
          <w:p w14:paraId="37CFCB12">
            <w:pPr>
              <w:widowControl/>
              <w:spacing w:line="240" w:lineRule="exact"/>
              <w:jc w:val="center"/>
              <w:rPr>
                <w:rFonts w:ascii="宋体" w:hAnsi="宋体"/>
                <w:b w:val="0"/>
                <w:bCs/>
                <w:szCs w:val="21"/>
              </w:rPr>
            </w:pPr>
          </w:p>
        </w:tc>
        <w:tc>
          <w:tcPr>
            <w:tcW w:w="935" w:type="pct"/>
            <w:tcBorders>
              <w:bottom w:val="single" w:color="auto" w:sz="12" w:space="0"/>
            </w:tcBorders>
            <w:vAlign w:val="center"/>
          </w:tcPr>
          <w:p w14:paraId="1E2C2F14">
            <w:pPr>
              <w:spacing w:line="240" w:lineRule="exact"/>
              <w:jc w:val="center"/>
              <w:rPr>
                <w:rFonts w:ascii="宋体" w:hAnsi="宋体"/>
                <w:b w:val="0"/>
              </w:rPr>
            </w:pPr>
            <w:r>
              <w:rPr>
                <w:rFonts w:hint="eastAsia" w:ascii="宋体" w:hAnsi="宋体"/>
                <w:b w:val="0"/>
              </w:rPr>
              <w:t>培训制度不完善</w:t>
            </w:r>
            <w:r>
              <w:rPr>
                <w:rFonts w:ascii="宋体" w:hAnsi="宋体"/>
                <w:b w:val="0"/>
              </w:rPr>
              <w:t>4304</w:t>
            </w:r>
          </w:p>
        </w:tc>
        <w:tc>
          <w:tcPr>
            <w:tcW w:w="896" w:type="pct"/>
            <w:tcBorders>
              <w:bottom w:val="single" w:color="auto" w:sz="12" w:space="0"/>
            </w:tcBorders>
            <w:vAlign w:val="center"/>
          </w:tcPr>
          <w:p w14:paraId="5016779C">
            <w:pPr>
              <w:spacing w:line="240" w:lineRule="exact"/>
              <w:jc w:val="center"/>
              <w:rPr>
                <w:rFonts w:ascii="宋体" w:hAnsi="宋体"/>
                <w:b w:val="0"/>
                <w:bCs/>
                <w:szCs w:val="21"/>
              </w:rPr>
            </w:pPr>
            <w:r>
              <w:rPr>
                <w:rFonts w:hint="eastAsia" w:ascii="宋体" w:hAnsi="宋体"/>
                <w:b w:val="0"/>
                <w:bCs/>
                <w:szCs w:val="21"/>
              </w:rPr>
              <w:t>危险性作业工工序</w:t>
            </w:r>
          </w:p>
        </w:tc>
        <w:tc>
          <w:tcPr>
            <w:tcW w:w="996" w:type="pct"/>
            <w:tcBorders>
              <w:bottom w:val="single" w:color="auto" w:sz="12" w:space="0"/>
            </w:tcBorders>
            <w:vAlign w:val="center"/>
          </w:tcPr>
          <w:p w14:paraId="12332F80">
            <w:pPr>
              <w:spacing w:line="240" w:lineRule="exact"/>
              <w:jc w:val="center"/>
              <w:rPr>
                <w:rFonts w:ascii="宋体" w:hAnsi="宋体"/>
                <w:b w:val="0"/>
                <w:bCs/>
                <w:szCs w:val="21"/>
              </w:rPr>
            </w:pPr>
            <w:r>
              <w:rPr>
                <w:rFonts w:hint="eastAsia" w:ascii="宋体" w:hAnsi="宋体"/>
                <w:b w:val="0"/>
                <w:bCs/>
                <w:szCs w:val="21"/>
              </w:rPr>
              <w:t>操作人员安全意识缺乏、操作不当</w:t>
            </w:r>
          </w:p>
        </w:tc>
        <w:tc>
          <w:tcPr>
            <w:tcW w:w="1101" w:type="pct"/>
            <w:tcBorders>
              <w:bottom w:val="single" w:color="auto" w:sz="12" w:space="0"/>
            </w:tcBorders>
            <w:vAlign w:val="center"/>
          </w:tcPr>
          <w:p w14:paraId="3B070E6D">
            <w:pPr>
              <w:spacing w:line="240" w:lineRule="exact"/>
              <w:jc w:val="center"/>
              <w:rPr>
                <w:rFonts w:ascii="宋体" w:hAnsi="宋体"/>
                <w:b w:val="0"/>
                <w:bCs/>
                <w:szCs w:val="21"/>
              </w:rPr>
            </w:pPr>
            <w:r>
              <w:rPr>
                <w:rFonts w:hint="eastAsia" w:ascii="宋体" w:hAnsi="宋体"/>
                <w:b w:val="0"/>
                <w:bCs/>
                <w:szCs w:val="21"/>
              </w:rPr>
              <w:t>火灾、爆炸等各类安全事故</w:t>
            </w:r>
          </w:p>
        </w:tc>
      </w:tr>
    </w:tbl>
    <w:p w14:paraId="0BD4EB39">
      <w:pPr>
        <w:keepNext/>
        <w:keepLines/>
        <w:spacing w:before="120" w:beforeLines="50" w:line="360" w:lineRule="auto"/>
        <w:outlineLvl w:val="1"/>
        <w:rPr>
          <w:rFonts w:ascii="黑体" w:hAnsi="黑体" w:eastAsia="黑体"/>
          <w:b w:val="0"/>
          <w:bCs/>
          <w:snapToGrid w:val="0"/>
          <w:sz w:val="32"/>
          <w:szCs w:val="32"/>
        </w:rPr>
      </w:pPr>
      <w:bookmarkStart w:id="363" w:name="_Toc227869285"/>
      <w:bookmarkStart w:id="364" w:name="_Toc5167"/>
      <w:bookmarkStart w:id="365" w:name="_Toc173077670"/>
      <w:bookmarkStart w:id="366" w:name="_Toc335902406"/>
      <w:r>
        <w:rPr>
          <w:rFonts w:hint="eastAsia" w:ascii="黑体" w:hAnsi="黑体" w:eastAsia="黑体"/>
          <w:b w:val="0"/>
          <w:bCs/>
          <w:snapToGrid w:val="0"/>
          <w:sz w:val="32"/>
          <w:szCs w:val="32"/>
        </w:rPr>
        <w:t>3.</w:t>
      </w:r>
      <w:r>
        <w:rPr>
          <w:rFonts w:ascii="黑体" w:hAnsi="黑体" w:eastAsia="黑体"/>
          <w:b w:val="0"/>
          <w:bCs/>
          <w:snapToGrid w:val="0"/>
          <w:sz w:val="32"/>
          <w:szCs w:val="32"/>
        </w:rPr>
        <w:t>6</w:t>
      </w:r>
      <w:r>
        <w:rPr>
          <w:rFonts w:hint="eastAsia" w:ascii="黑体" w:hAnsi="黑体" w:eastAsia="黑体"/>
          <w:b w:val="0"/>
          <w:bCs/>
          <w:snapToGrid w:val="0"/>
          <w:sz w:val="32"/>
          <w:szCs w:val="32"/>
        </w:rPr>
        <w:t>主要机械设备危险有害因素分析</w:t>
      </w:r>
      <w:bookmarkEnd w:id="363"/>
      <w:bookmarkEnd w:id="364"/>
      <w:bookmarkEnd w:id="365"/>
      <w:bookmarkEnd w:id="366"/>
    </w:p>
    <w:p w14:paraId="308CEEA2">
      <w:pPr>
        <w:pStyle w:val="35"/>
        <w:ind w:firstLine="560" w:firstLineChars="200"/>
        <w:rPr>
          <w:rFonts w:ascii="宋体" w:eastAsia="宋体" w:cs="宋体"/>
          <w:b w:val="0"/>
          <w:szCs w:val="28"/>
          <w:lang w:val="zh-CN"/>
        </w:rPr>
      </w:pPr>
      <w:bookmarkStart w:id="367" w:name="_Toc173077671"/>
      <w:bookmarkStart w:id="368" w:name="_Toc271898766"/>
      <w:bookmarkStart w:id="369" w:name="_Toc294247821"/>
      <w:bookmarkStart w:id="370" w:name="_Toc335902407"/>
      <w:r>
        <w:rPr>
          <w:rFonts w:hint="eastAsia" w:ascii="宋体" w:eastAsia="宋体" w:cs="宋体"/>
          <w:b w:val="0"/>
          <w:szCs w:val="28"/>
          <w:lang w:val="zh-CN"/>
        </w:rPr>
        <w:t>该项目所涉及的主要生产设备包括</w:t>
      </w:r>
      <w:r>
        <w:rPr>
          <w:rFonts w:hint="eastAsia" w:ascii="宋体" w:eastAsia="宋体" w:cs="宋体"/>
          <w:b w:val="0"/>
          <w:szCs w:val="28"/>
        </w:rPr>
        <w:t>粉碎机、</w:t>
      </w:r>
      <w:r>
        <w:rPr>
          <w:rFonts w:hint="eastAsia" w:ascii="宋体" w:eastAsia="宋体" w:cs="宋体"/>
          <w:b w:val="0"/>
          <w:szCs w:val="28"/>
          <w:lang w:val="zh-CN"/>
        </w:rPr>
        <w:t>烟火药自动混合机、</w:t>
      </w:r>
      <w:r>
        <w:rPr>
          <w:rFonts w:hint="eastAsia" w:ascii="宋体" w:eastAsia="宋体" w:cs="宋体"/>
          <w:b w:val="0"/>
          <w:szCs w:val="28"/>
        </w:rPr>
        <w:t>造粒机、空气热源热泵干燥设备、筛选机、油压机</w:t>
      </w:r>
      <w:r>
        <w:rPr>
          <w:rFonts w:hint="eastAsia" w:ascii="宋体" w:eastAsia="宋体" w:cs="宋体"/>
          <w:b w:val="0"/>
          <w:szCs w:val="28"/>
          <w:lang w:val="zh-CN"/>
        </w:rPr>
        <w:t>，其危险有害因素分析如下：</w:t>
      </w:r>
    </w:p>
    <w:p w14:paraId="3308A530">
      <w:pPr>
        <w:pStyle w:val="35"/>
        <w:ind w:firstLine="561"/>
        <w:rPr>
          <w:rFonts w:ascii="宋体" w:hAnsi="宋体" w:eastAsia="宋体" w:cs="宋体"/>
          <w:szCs w:val="24"/>
        </w:rPr>
      </w:pPr>
      <w:bookmarkStart w:id="371" w:name="_Toc411460745"/>
      <w:bookmarkStart w:id="372" w:name="_Toc411460742"/>
      <w:bookmarkStart w:id="373" w:name="_Toc275464463"/>
      <w:r>
        <w:rPr>
          <w:rFonts w:hint="eastAsia" w:ascii="宋体" w:hAnsi="宋体" w:eastAsia="宋体" w:cs="宋体"/>
          <w:szCs w:val="24"/>
        </w:rPr>
        <w:t>1.</w:t>
      </w:r>
      <w:bookmarkEnd w:id="371"/>
      <w:r>
        <w:rPr>
          <w:rFonts w:hint="eastAsia" w:ascii="宋体" w:hAnsi="宋体" w:eastAsia="宋体" w:cs="宋体"/>
          <w:szCs w:val="24"/>
        </w:rPr>
        <w:t>粉碎机</w:t>
      </w:r>
    </w:p>
    <w:p w14:paraId="7B862248">
      <w:pPr>
        <w:spacing w:line="360" w:lineRule="auto"/>
        <w:ind w:firstLine="560" w:firstLineChars="200"/>
        <w:rPr>
          <w:rFonts w:ascii="宋体" w:cs="宋体"/>
          <w:b w:val="0"/>
          <w:kern w:val="0"/>
          <w:sz w:val="28"/>
          <w:szCs w:val="28"/>
          <w:lang w:val="zh-CN"/>
        </w:rPr>
      </w:pPr>
      <w:r>
        <w:rPr>
          <w:rFonts w:hint="eastAsia" w:ascii="宋体" w:cs="宋体"/>
          <w:b w:val="0"/>
          <w:kern w:val="0"/>
          <w:sz w:val="28"/>
          <w:szCs w:val="28"/>
          <w:lang w:val="zh-CN"/>
        </w:rPr>
        <w:t>主要危险有害因素：因设备失控或失效引起设备运转部位与人体接触导致机械致害、电气线路或绝缘部件失效产生电击伤害，机械运转产生噪音危害或传动装置发热引起药物燃烧，粉碎机必须专机专用。</w:t>
      </w:r>
    </w:p>
    <w:p w14:paraId="6C4C6265">
      <w:pPr>
        <w:pStyle w:val="35"/>
        <w:ind w:firstLine="561"/>
        <w:rPr>
          <w:rFonts w:ascii="宋体" w:hAnsi="宋体" w:eastAsia="宋体" w:cs="宋体"/>
          <w:szCs w:val="24"/>
          <w:lang w:val="zh-CN"/>
        </w:rPr>
      </w:pPr>
      <w:r>
        <w:rPr>
          <w:rFonts w:hint="eastAsia" w:ascii="宋体" w:hAnsi="宋体" w:eastAsia="宋体" w:cs="宋体"/>
          <w:szCs w:val="24"/>
        </w:rPr>
        <w:t>2</w:t>
      </w:r>
      <w:r>
        <w:rPr>
          <w:rFonts w:hint="eastAsia" w:ascii="宋体" w:hAnsi="宋体" w:eastAsia="宋体" w:cs="宋体"/>
          <w:szCs w:val="24"/>
          <w:lang w:val="zh-CN"/>
        </w:rPr>
        <w:t>.造粒机</w:t>
      </w:r>
      <w:bookmarkEnd w:id="372"/>
      <w:bookmarkEnd w:id="373"/>
    </w:p>
    <w:p w14:paraId="2D93DB87">
      <w:pPr>
        <w:spacing w:line="360" w:lineRule="auto"/>
        <w:ind w:firstLine="560" w:firstLineChars="200"/>
        <w:rPr>
          <w:rFonts w:ascii="宋体" w:cs="宋体"/>
          <w:b w:val="0"/>
          <w:kern w:val="0"/>
          <w:sz w:val="28"/>
          <w:szCs w:val="28"/>
          <w:lang w:val="zh-CN"/>
        </w:rPr>
      </w:pPr>
      <w:bookmarkStart w:id="374" w:name="_Toc280108664"/>
      <w:bookmarkStart w:id="375" w:name="_Toc282357591"/>
      <w:r>
        <w:rPr>
          <w:rFonts w:hint="eastAsia" w:ascii="宋体" w:cs="宋体"/>
          <w:b w:val="0"/>
          <w:kern w:val="0"/>
          <w:sz w:val="28"/>
          <w:szCs w:val="28"/>
          <w:lang w:val="zh-CN"/>
        </w:rPr>
        <w:t>造粒机主要危险有害因素：若造粒机外观不平整，有毛刺，可能因积尘、局部摩擦等原因导致烟火药燃烧爆炸。若支架轴承与转鼓座安装不牢固、有间隙和振动，易损件</w:t>
      </w:r>
      <w:r>
        <w:rPr>
          <w:rFonts w:hint="eastAsia" w:ascii="宋体" w:cs="宋体"/>
          <w:b w:val="0"/>
          <w:kern w:val="0"/>
          <w:sz w:val="28"/>
          <w:szCs w:val="28"/>
        </w:rPr>
        <w:t>因</w:t>
      </w:r>
      <w:r>
        <w:rPr>
          <w:rFonts w:hint="eastAsia" w:ascii="宋体" w:cs="宋体"/>
          <w:b w:val="0"/>
          <w:kern w:val="0"/>
          <w:sz w:val="28"/>
          <w:szCs w:val="28"/>
          <w:lang w:val="zh-CN"/>
        </w:rPr>
        <w:t>没采用有效耐磨措施或没有定期更换都可能因设备运转不正常导致烟火药受摩擦、撞击力量过大引起燃烧爆炸。若转鼓材料未采用铝质或铜质合金铸造件、最大转速超过35r/min、电机及开关为非防爆型、支架轴承在运行过程中有异常升温现象都可能因产生火花、积热等原因导致烟火药燃烧爆炸。设备运转时单台噪音声级值超过85dB可能导致健康损害。造粒机电气设备、支架轴承无防护装置可能导致触电、机械致害。若超负荷生产、随意对设备进行改造均有可能导致燃烧爆炸事故发生。若无与该设备相适用的操作规程或</w:t>
      </w:r>
      <w:r>
        <w:rPr>
          <w:rFonts w:hint="eastAsia" w:ascii="宋体" w:cs="宋体"/>
          <w:b w:val="0"/>
          <w:kern w:val="0"/>
          <w:sz w:val="28"/>
          <w:szCs w:val="28"/>
        </w:rPr>
        <w:t>作业</w:t>
      </w:r>
      <w:r>
        <w:rPr>
          <w:rFonts w:hint="eastAsia" w:ascii="宋体" w:cs="宋体"/>
          <w:b w:val="0"/>
          <w:kern w:val="0"/>
          <w:sz w:val="28"/>
          <w:szCs w:val="28"/>
          <w:lang w:val="zh-CN"/>
        </w:rPr>
        <w:t>场所操作人员</w:t>
      </w:r>
      <w:r>
        <w:rPr>
          <w:rFonts w:hint="eastAsia" w:ascii="宋体" w:cs="宋体"/>
          <w:b w:val="0"/>
          <w:kern w:val="0"/>
          <w:sz w:val="28"/>
          <w:szCs w:val="28"/>
        </w:rPr>
        <w:t>不</w:t>
      </w:r>
      <w:r>
        <w:rPr>
          <w:rFonts w:hint="eastAsia" w:ascii="宋体" w:cs="宋体"/>
          <w:b w:val="0"/>
          <w:kern w:val="0"/>
          <w:sz w:val="28"/>
          <w:szCs w:val="28"/>
          <w:lang w:val="zh-CN"/>
        </w:rPr>
        <w:t>熟</w:t>
      </w:r>
      <w:r>
        <w:rPr>
          <w:rFonts w:hint="eastAsia" w:ascii="宋体" w:cs="宋体"/>
          <w:b w:val="0"/>
          <w:kern w:val="0"/>
          <w:sz w:val="28"/>
          <w:szCs w:val="28"/>
        </w:rPr>
        <w:t>悉</w:t>
      </w:r>
      <w:r>
        <w:rPr>
          <w:rFonts w:hint="eastAsia" w:ascii="宋体" w:cs="宋体"/>
          <w:b w:val="0"/>
          <w:kern w:val="0"/>
          <w:sz w:val="28"/>
          <w:szCs w:val="28"/>
          <w:lang w:val="zh-CN"/>
        </w:rPr>
        <w:t>操作规程，可能因错误操作导致燃烧爆炸事故发生。</w:t>
      </w:r>
    </w:p>
    <w:bookmarkEnd w:id="374"/>
    <w:bookmarkEnd w:id="375"/>
    <w:p w14:paraId="4DBD6A36">
      <w:pPr>
        <w:pStyle w:val="35"/>
        <w:ind w:firstLine="561"/>
        <w:rPr>
          <w:rFonts w:ascii="宋体" w:hAnsi="宋体" w:eastAsia="宋体" w:cs="宋体"/>
          <w:szCs w:val="24"/>
          <w:lang w:val="zh-CN"/>
        </w:rPr>
      </w:pPr>
      <w:r>
        <w:rPr>
          <w:rFonts w:hint="eastAsia" w:ascii="宋体" w:hAnsi="宋体" w:eastAsia="宋体" w:cs="宋体"/>
          <w:szCs w:val="24"/>
        </w:rPr>
        <w:t>3</w:t>
      </w:r>
      <w:r>
        <w:rPr>
          <w:rFonts w:hint="eastAsia" w:ascii="宋体" w:hAnsi="宋体" w:eastAsia="宋体" w:cs="宋体"/>
          <w:szCs w:val="24"/>
          <w:lang w:val="zh-CN"/>
        </w:rPr>
        <w:t>.烟火药自动混合机</w:t>
      </w:r>
    </w:p>
    <w:p w14:paraId="6A3B4AAF">
      <w:pPr>
        <w:spacing w:line="360" w:lineRule="auto"/>
        <w:ind w:firstLine="560" w:firstLineChars="200"/>
        <w:rPr>
          <w:rFonts w:ascii="宋体" w:cs="宋体"/>
          <w:b w:val="0"/>
          <w:kern w:val="0"/>
          <w:sz w:val="28"/>
          <w:szCs w:val="28"/>
          <w:lang w:val="zh-CN"/>
        </w:rPr>
      </w:pPr>
      <w:r>
        <w:rPr>
          <w:rFonts w:hint="eastAsia" w:ascii="宋体" w:cs="宋体"/>
          <w:b w:val="0"/>
          <w:kern w:val="0"/>
          <w:sz w:val="28"/>
          <w:szCs w:val="28"/>
          <w:lang w:val="zh-CN"/>
        </w:rPr>
        <w:t>烟火药自动混合机、</w:t>
      </w:r>
      <w:r>
        <w:rPr>
          <w:rFonts w:hint="eastAsia" w:ascii="宋体" w:cs="宋体"/>
          <w:b w:val="0"/>
          <w:kern w:val="0"/>
          <w:sz w:val="28"/>
          <w:szCs w:val="28"/>
        </w:rPr>
        <w:t>烟花药物自动配比混筛机</w:t>
      </w:r>
      <w:r>
        <w:rPr>
          <w:rFonts w:hint="eastAsia" w:ascii="宋体" w:cs="宋体"/>
          <w:b w:val="0"/>
          <w:kern w:val="0"/>
          <w:sz w:val="28"/>
          <w:szCs w:val="28"/>
          <w:lang w:val="zh-CN"/>
        </w:rPr>
        <w:t>主要危险有害因素：线路因过载、短路等故障，产生引燃温度、引起电气火花，导致药物燃烧、爆炸。因设备故障或未按规程操作造成触电、机械致害等。因设备电气线路、设备安装不符合标准要求产生电气火花导致燃烧、爆炸。因设备接地电阻不合格，在静电作用下发生火灾爆炸。</w:t>
      </w:r>
    </w:p>
    <w:p w14:paraId="47AD2E68">
      <w:pPr>
        <w:pStyle w:val="35"/>
        <w:ind w:firstLine="561"/>
        <w:rPr>
          <w:rFonts w:ascii="宋体" w:hAnsi="宋体" w:eastAsia="宋体" w:cs="宋体"/>
          <w:szCs w:val="24"/>
          <w:lang w:val="zh-CN"/>
        </w:rPr>
      </w:pPr>
      <w:r>
        <w:rPr>
          <w:rFonts w:hint="eastAsia" w:ascii="宋体" w:hAnsi="宋体" w:eastAsia="宋体" w:cs="宋体"/>
          <w:szCs w:val="24"/>
        </w:rPr>
        <w:t>4</w:t>
      </w:r>
      <w:r>
        <w:rPr>
          <w:rFonts w:hint="eastAsia" w:ascii="宋体" w:hAnsi="宋体" w:eastAsia="宋体" w:cs="宋体"/>
          <w:szCs w:val="24"/>
          <w:lang w:val="zh-CN"/>
        </w:rPr>
        <w:t>.油压机</w:t>
      </w:r>
    </w:p>
    <w:p w14:paraId="24AEC56D">
      <w:pPr>
        <w:spacing w:line="360" w:lineRule="auto"/>
        <w:ind w:firstLine="560" w:firstLineChars="200"/>
        <w:rPr>
          <w:rFonts w:ascii="宋体" w:cs="宋体"/>
          <w:b w:val="0"/>
          <w:kern w:val="0"/>
          <w:sz w:val="28"/>
          <w:szCs w:val="28"/>
          <w:lang w:val="zh-CN"/>
        </w:rPr>
      </w:pPr>
      <w:r>
        <w:rPr>
          <w:rFonts w:hint="eastAsia" w:ascii="宋体" w:cs="宋体"/>
          <w:b w:val="0"/>
          <w:kern w:val="0"/>
          <w:sz w:val="28"/>
          <w:szCs w:val="28"/>
          <w:lang w:val="zh-CN"/>
        </w:rPr>
        <w:t>油压机主要危险有害因素：因设备失控或失效引起设备运转部位与人体接触导致机械致害、电气线路或绝缘部件失效产生电击伤害，油压机液压面与药物摩擦、静电、撞击等引起药物燃烧和爆炸等。</w:t>
      </w:r>
    </w:p>
    <w:p w14:paraId="3B7BA352">
      <w:pPr>
        <w:pStyle w:val="35"/>
        <w:ind w:firstLine="561"/>
        <w:rPr>
          <w:rFonts w:ascii="宋体" w:hAnsi="宋体" w:eastAsia="宋体" w:cs="宋体"/>
          <w:szCs w:val="24"/>
          <w:lang w:val="zh-CN"/>
        </w:rPr>
      </w:pPr>
      <w:r>
        <w:rPr>
          <w:rFonts w:hint="eastAsia" w:ascii="宋体" w:hAnsi="宋体" w:eastAsia="宋体" w:cs="宋体"/>
          <w:szCs w:val="24"/>
        </w:rPr>
        <w:t>5.空气源热泵干燥设备</w:t>
      </w:r>
    </w:p>
    <w:p w14:paraId="59B04AF0">
      <w:pPr>
        <w:spacing w:line="360" w:lineRule="auto"/>
        <w:ind w:firstLine="560" w:firstLineChars="200"/>
        <w:rPr>
          <w:rFonts w:ascii="宋体" w:cs="宋体"/>
          <w:b w:val="0"/>
          <w:kern w:val="0"/>
          <w:sz w:val="28"/>
          <w:szCs w:val="28"/>
          <w:lang w:val="zh-CN"/>
        </w:rPr>
      </w:pPr>
      <w:r>
        <w:rPr>
          <w:rFonts w:hint="eastAsia" w:ascii="宋体" w:cs="宋体"/>
          <w:b w:val="0"/>
          <w:kern w:val="0"/>
          <w:sz w:val="28"/>
          <w:szCs w:val="28"/>
          <w:lang w:val="zh-CN"/>
        </w:rPr>
        <w:t>空气源热泵干燥设备主要危险有害因素：因设备自身缺陷、安装不符合要求、未按规程操作、烘房无温湿度调控设施或温湿度调控设施失效。导致电烘房温度过高，产生燃烧、爆炸危险。</w:t>
      </w:r>
    </w:p>
    <w:p w14:paraId="57BAB0C7">
      <w:pPr>
        <w:pStyle w:val="35"/>
        <w:ind w:firstLine="561"/>
        <w:rPr>
          <w:rFonts w:ascii="宋体" w:hAnsi="宋体" w:eastAsia="宋体" w:cs="宋体"/>
          <w:szCs w:val="24"/>
        </w:rPr>
      </w:pPr>
      <w:r>
        <w:rPr>
          <w:rFonts w:hint="eastAsia" w:ascii="宋体" w:hAnsi="宋体" w:eastAsia="宋体" w:cs="宋体"/>
          <w:szCs w:val="24"/>
        </w:rPr>
        <w:t>6、筛选机</w:t>
      </w:r>
    </w:p>
    <w:p w14:paraId="317D80B6">
      <w:pPr>
        <w:spacing w:line="360" w:lineRule="auto"/>
        <w:ind w:firstLine="560" w:firstLineChars="200"/>
        <w:rPr>
          <w:rFonts w:ascii="宋体" w:cs="宋体"/>
          <w:b w:val="0"/>
          <w:kern w:val="0"/>
          <w:sz w:val="28"/>
          <w:szCs w:val="28"/>
          <w:lang w:val="zh-CN"/>
        </w:rPr>
      </w:pPr>
      <w:r>
        <w:rPr>
          <w:rFonts w:hint="eastAsia" w:ascii="宋体" w:cs="宋体"/>
          <w:b w:val="0"/>
          <w:kern w:val="0"/>
          <w:sz w:val="28"/>
          <w:szCs w:val="28"/>
        </w:rPr>
        <w:t>筛选</w:t>
      </w:r>
      <w:r>
        <w:rPr>
          <w:rFonts w:hint="eastAsia" w:ascii="宋体" w:cs="宋体"/>
          <w:b w:val="0"/>
          <w:kern w:val="0"/>
          <w:sz w:val="28"/>
          <w:szCs w:val="28"/>
          <w:lang w:val="zh-CN"/>
        </w:rPr>
        <w:t>机因过载、短路等故障，产生引燃温度、引起电气火花，导致药物燃烧、爆炸。因自身缺陷、设备故障或未按规程操作造成触电、机械致害等。因设备电气线路、设备安装不符合标准要求产生电气火花导致半成品燃烧、爆炸，传动部分摩擦、静电、撞击等引起药物燃烧和爆炸。</w:t>
      </w:r>
    </w:p>
    <w:p w14:paraId="6E0F154E">
      <w:pPr>
        <w:keepNext/>
        <w:keepLines/>
        <w:spacing w:before="120" w:beforeLines="50" w:line="360" w:lineRule="auto"/>
        <w:outlineLvl w:val="1"/>
        <w:rPr>
          <w:rFonts w:ascii="黑体" w:hAnsi="黑体" w:eastAsia="黑体"/>
          <w:b w:val="0"/>
          <w:bCs/>
          <w:snapToGrid w:val="0"/>
          <w:sz w:val="32"/>
          <w:szCs w:val="32"/>
        </w:rPr>
      </w:pPr>
      <w:bookmarkStart w:id="376" w:name="_Toc227869286"/>
      <w:bookmarkStart w:id="377" w:name="_Toc21520"/>
      <w:r>
        <w:rPr>
          <w:rFonts w:hint="eastAsia" w:ascii="黑体" w:hAnsi="黑体" w:eastAsia="黑体"/>
          <w:b w:val="0"/>
          <w:bCs/>
          <w:snapToGrid w:val="0"/>
          <w:sz w:val="32"/>
          <w:szCs w:val="32"/>
        </w:rPr>
        <w:t>3.</w:t>
      </w:r>
      <w:r>
        <w:rPr>
          <w:rFonts w:ascii="黑体" w:hAnsi="黑体" w:eastAsia="黑体"/>
          <w:b w:val="0"/>
          <w:bCs/>
          <w:snapToGrid w:val="0"/>
          <w:sz w:val="32"/>
          <w:szCs w:val="32"/>
        </w:rPr>
        <w:t>7</w:t>
      </w:r>
      <w:r>
        <w:rPr>
          <w:rFonts w:hint="eastAsia" w:ascii="黑体" w:hAnsi="黑体" w:eastAsia="黑体"/>
          <w:b w:val="0"/>
          <w:bCs/>
          <w:snapToGrid w:val="0"/>
          <w:sz w:val="32"/>
          <w:szCs w:val="32"/>
        </w:rPr>
        <w:t>安全距离危险有害因素分析</w:t>
      </w:r>
      <w:bookmarkEnd w:id="367"/>
      <w:bookmarkEnd w:id="368"/>
      <w:bookmarkEnd w:id="369"/>
      <w:bookmarkEnd w:id="370"/>
      <w:bookmarkEnd w:id="376"/>
      <w:bookmarkEnd w:id="377"/>
    </w:p>
    <w:p w14:paraId="2B7BDD3A">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安全距离是指当燃烧爆炸危险品发生燃烧爆炸事故时,由燃爆中心到能保护人身安全和使建筑物遭受破坏的程度被限制在设防标准允许的破坏等级之内的最小距离。</w:t>
      </w:r>
    </w:p>
    <w:p w14:paraId="4EC5D197">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安全距离分外部安全距离和内部安全距离。燃烧爆炸危险品生产、经营企业与本企业住宅区之间或周围住户、人口集中场所、重要设施和交通路线、高压输电线路等之间的距离为外部安全距离；企业内部危险建筑物与相邻建、构筑物之间的距离为内部安全距离。</w:t>
      </w:r>
    </w:p>
    <w:p w14:paraId="22A43932">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安全距离危险有害因素分析如下：</w:t>
      </w:r>
    </w:p>
    <w:p w14:paraId="27CDFD05">
      <w:pPr>
        <w:spacing w:line="360" w:lineRule="auto"/>
        <w:ind w:firstLine="552" w:firstLineChars="200"/>
        <w:rPr>
          <w:rFonts w:ascii="宋体" w:hAnsi="宋体"/>
          <w:b w:val="0"/>
          <w:spacing w:val="-2"/>
          <w:sz w:val="28"/>
        </w:rPr>
      </w:pPr>
      <w:r>
        <w:rPr>
          <w:rFonts w:hint="eastAsia" w:ascii="宋体" w:hAnsi="宋体"/>
          <w:b w:val="0"/>
          <w:spacing w:val="-2"/>
          <w:sz w:val="28"/>
        </w:rPr>
        <w:t>（</w:t>
      </w:r>
      <w:r>
        <w:rPr>
          <w:rFonts w:ascii="宋体" w:hAnsi="宋体"/>
          <w:b w:val="0"/>
          <w:spacing w:val="-2"/>
          <w:sz w:val="28"/>
        </w:rPr>
        <w:t>1</w:t>
      </w:r>
      <w:r>
        <w:rPr>
          <w:rFonts w:hint="eastAsia" w:ascii="宋体" w:hAnsi="宋体"/>
          <w:b w:val="0"/>
          <w:spacing w:val="-2"/>
          <w:sz w:val="28"/>
        </w:rPr>
        <w:t>）若外部安全距离小于标准要求的距离，危险工库房内危险品一旦发生燃烧、爆炸事故，产生的火焰、热辐射、爆炸冲击波、爆炸飞散物等会对周围人员和建、构筑物造成伤害和损坏，使周边人员的生命财产受到损失。</w:t>
      </w:r>
    </w:p>
    <w:p w14:paraId="1AC0A2A0">
      <w:pPr>
        <w:spacing w:line="360" w:lineRule="auto"/>
        <w:ind w:firstLine="560" w:firstLineChars="200"/>
        <w:rPr>
          <w:rFonts w:ascii="宋体" w:hAnsi="宋体"/>
          <w:b w:val="0"/>
          <w:snapToGrid w:val="0"/>
          <w:sz w:val="28"/>
          <w:szCs w:val="28"/>
        </w:rPr>
      </w:pPr>
      <w:r>
        <w:rPr>
          <w:rFonts w:hint="eastAsia" w:ascii="宋体" w:hAnsi="宋体"/>
          <w:b w:val="0"/>
          <w:sz w:val="28"/>
        </w:rPr>
        <w:t>（</w:t>
      </w:r>
      <w:r>
        <w:rPr>
          <w:rFonts w:ascii="宋体" w:hAnsi="宋体"/>
          <w:b w:val="0"/>
          <w:sz w:val="28"/>
        </w:rPr>
        <w:t>2</w:t>
      </w:r>
      <w:r>
        <w:rPr>
          <w:rFonts w:hint="eastAsia" w:ascii="宋体" w:hAnsi="宋体"/>
          <w:b w:val="0"/>
          <w:sz w:val="28"/>
        </w:rPr>
        <w:t>）若内部安全距离小于标准要求的距离，一旦某工库房发生燃烧爆炸事故，产生的火焰、热辐射、爆炸冲击波、爆炸飞散物等有可能引起其他工库房内危险品的燃烧和殉爆，扩大事故范围，增大事故损失。若内部安全距离大于标准要求的距离过多，影响工艺连接流畅性，增大危险品运输距离，从而增加不安全因素，同时增大了企业占地面积，既增加企业成本，又浪费土地资源</w:t>
      </w:r>
      <w:r>
        <w:rPr>
          <w:rFonts w:hint="eastAsia" w:ascii="宋体" w:hAnsi="宋体"/>
          <w:b w:val="0"/>
          <w:snapToGrid w:val="0"/>
          <w:sz w:val="28"/>
          <w:szCs w:val="28"/>
        </w:rPr>
        <w:t>。</w:t>
      </w:r>
    </w:p>
    <w:p w14:paraId="4EE56C46">
      <w:pPr>
        <w:keepNext/>
        <w:keepLines/>
        <w:spacing w:before="120" w:beforeLines="50" w:line="360" w:lineRule="auto"/>
        <w:outlineLvl w:val="1"/>
        <w:rPr>
          <w:rFonts w:ascii="黑体" w:hAnsi="黑体" w:eastAsia="黑体"/>
          <w:b w:val="0"/>
          <w:bCs/>
          <w:snapToGrid w:val="0"/>
          <w:sz w:val="32"/>
          <w:szCs w:val="32"/>
        </w:rPr>
      </w:pPr>
      <w:bookmarkStart w:id="378" w:name="_Toc227869287"/>
      <w:bookmarkStart w:id="379" w:name="_Toc271898767"/>
      <w:bookmarkStart w:id="380" w:name="_Toc173077672"/>
      <w:bookmarkStart w:id="381" w:name="_Toc335902408"/>
      <w:bookmarkStart w:id="382" w:name="_Toc294247822"/>
      <w:bookmarkStart w:id="383" w:name="_Toc5375"/>
      <w:r>
        <w:rPr>
          <w:rFonts w:hint="eastAsia" w:ascii="黑体" w:hAnsi="黑体" w:eastAsia="黑体"/>
          <w:b w:val="0"/>
          <w:bCs/>
          <w:snapToGrid w:val="0"/>
          <w:sz w:val="32"/>
          <w:szCs w:val="32"/>
        </w:rPr>
        <w:t>3.</w:t>
      </w:r>
      <w:r>
        <w:rPr>
          <w:rFonts w:ascii="黑体" w:hAnsi="黑体" w:eastAsia="黑体"/>
          <w:b w:val="0"/>
          <w:bCs/>
          <w:snapToGrid w:val="0"/>
          <w:sz w:val="32"/>
          <w:szCs w:val="32"/>
        </w:rPr>
        <w:t>8</w:t>
      </w:r>
      <w:r>
        <w:rPr>
          <w:rFonts w:hint="eastAsia" w:ascii="黑体" w:hAnsi="黑体" w:eastAsia="黑体"/>
          <w:b w:val="0"/>
          <w:bCs/>
          <w:snapToGrid w:val="0"/>
          <w:sz w:val="32"/>
          <w:szCs w:val="32"/>
        </w:rPr>
        <w:t>储运过程危险有害因素分析</w:t>
      </w:r>
      <w:bookmarkEnd w:id="378"/>
      <w:bookmarkEnd w:id="379"/>
      <w:bookmarkEnd w:id="380"/>
      <w:bookmarkEnd w:id="381"/>
      <w:bookmarkEnd w:id="382"/>
      <w:bookmarkEnd w:id="383"/>
    </w:p>
    <w:p w14:paraId="422F7BDB">
      <w:pPr>
        <w:spacing w:before="120" w:beforeLines="50" w:after="120" w:afterLines="50" w:line="360" w:lineRule="auto"/>
        <w:outlineLvl w:val="2"/>
        <w:rPr>
          <w:rFonts w:ascii="黑体" w:hAnsi="黑体" w:eastAsia="黑体"/>
          <w:b w:val="0"/>
          <w:sz w:val="30"/>
          <w:szCs w:val="30"/>
        </w:rPr>
      </w:pPr>
      <w:bookmarkStart w:id="384" w:name="_Toc181194080"/>
      <w:bookmarkStart w:id="385" w:name="_Toc173077673"/>
      <w:bookmarkStart w:id="386" w:name="_Toc58861999"/>
      <w:bookmarkStart w:id="387" w:name="_Toc60129114"/>
      <w:bookmarkStart w:id="388" w:name="_Toc271898768"/>
      <w:bookmarkStart w:id="389" w:name="_Toc213127083"/>
      <w:bookmarkStart w:id="390" w:name="_Toc335902409"/>
      <w:bookmarkStart w:id="391" w:name="_Toc294247823"/>
      <w:bookmarkStart w:id="392" w:name="_Toc294247654"/>
      <w:bookmarkStart w:id="393" w:name="_Toc148037002"/>
      <w:bookmarkStart w:id="394" w:name="_Toc145275207"/>
      <w:bookmarkStart w:id="395" w:name="_Toc58946831"/>
      <w:r>
        <w:rPr>
          <w:rFonts w:ascii="黑体" w:hAnsi="黑体" w:eastAsia="黑体"/>
          <w:b w:val="0"/>
          <w:sz w:val="30"/>
          <w:szCs w:val="30"/>
        </w:rPr>
        <w:t>3.8</w:t>
      </w:r>
      <w:r>
        <w:rPr>
          <w:rFonts w:hint="eastAsia" w:ascii="黑体" w:hAnsi="黑体" w:eastAsia="黑体"/>
          <w:b w:val="0"/>
          <w:sz w:val="30"/>
          <w:szCs w:val="30"/>
        </w:rPr>
        <w:t>.1储存过程危险有害因素分析</w:t>
      </w:r>
      <w:bookmarkEnd w:id="384"/>
      <w:bookmarkEnd w:id="385"/>
      <w:bookmarkEnd w:id="386"/>
      <w:bookmarkEnd w:id="387"/>
      <w:bookmarkEnd w:id="388"/>
      <w:bookmarkEnd w:id="389"/>
      <w:bookmarkEnd w:id="390"/>
      <w:bookmarkEnd w:id="391"/>
      <w:bookmarkEnd w:id="392"/>
      <w:bookmarkEnd w:id="393"/>
      <w:bookmarkEnd w:id="394"/>
      <w:bookmarkEnd w:id="395"/>
    </w:p>
    <w:p w14:paraId="03516D2E">
      <w:pPr>
        <w:spacing w:line="360" w:lineRule="auto"/>
        <w:ind w:firstLine="560" w:firstLineChars="200"/>
        <w:rPr>
          <w:rFonts w:ascii="宋体" w:hAnsi="宋体" w:cs="宋体"/>
          <w:b w:val="0"/>
          <w:sz w:val="28"/>
        </w:rPr>
      </w:pPr>
      <w:r>
        <w:rPr>
          <w:rFonts w:hint="eastAsia" w:ascii="宋体" w:hAnsi="宋体" w:cs="宋体"/>
          <w:b w:val="0"/>
          <w:kern w:val="0"/>
          <w:sz w:val="28"/>
          <w:szCs w:val="28"/>
        </w:rPr>
        <w:t>浏阳市太平复兴花炮厂（个人独资）烟花生产系统危险品储存仓库包括化工原材料库、黑火药库、亮珠库、单基火药库（湿）、引线库、药物中转、半成品中转和</w:t>
      </w:r>
      <w:r>
        <w:rPr>
          <w:rFonts w:ascii="宋体" w:hAnsi="宋体" w:cs="宋体"/>
          <w:b w:val="0"/>
          <w:kern w:val="0"/>
          <w:sz w:val="28"/>
          <w:szCs w:val="28"/>
        </w:rPr>
        <w:t>1.3</w:t>
      </w:r>
      <w:r>
        <w:rPr>
          <w:rFonts w:hint="eastAsia" w:ascii="宋体" w:hAnsi="宋体" w:cs="宋体"/>
          <w:b w:val="0"/>
          <w:kern w:val="0"/>
          <w:sz w:val="28"/>
          <w:szCs w:val="28"/>
        </w:rPr>
        <w:t>级成品库</w:t>
      </w:r>
      <w:r>
        <w:rPr>
          <w:rFonts w:hint="eastAsia" w:ascii="宋体" w:hAnsi="宋体" w:cs="宋体"/>
          <w:b w:val="0"/>
          <w:sz w:val="28"/>
        </w:rPr>
        <w:t>。</w:t>
      </w:r>
    </w:p>
    <w:p w14:paraId="105838D5">
      <w:pPr>
        <w:spacing w:line="360" w:lineRule="auto"/>
        <w:ind w:firstLine="560" w:firstLineChars="200"/>
        <w:rPr>
          <w:rFonts w:ascii="宋体" w:hAnsi="宋体"/>
          <w:b w:val="0"/>
          <w:sz w:val="28"/>
        </w:rPr>
      </w:pPr>
      <w:bookmarkStart w:id="396" w:name="_Hlk203845222"/>
      <w:r>
        <w:rPr>
          <w:rFonts w:hint="eastAsia" w:ascii="宋体" w:hAnsi="宋体" w:cs="宋体"/>
          <w:b w:val="0"/>
          <w:kern w:val="0"/>
          <w:sz w:val="28"/>
          <w:szCs w:val="28"/>
        </w:rPr>
        <w:t>化工原材料库储存的物品大部分属于危险化学品，由于储存的不当可以引起氧化剂与还原剂之间的化学反应，从而造成火灾爆炸，必须氧化剂与还原剂分类分间存放。亮珠库、黑火药库、单基火药库（湿）、引线库、半成品中转存药量较大，危险性大，储存的物品都是已含有由氧化剂、可燃物质等组成的烟火药，对机械能、热能及其它能量引燃引爆要求降低，遇火源、高温、摩擦、撞击、电火花或受潮等，均会发生燃烧甚至爆炸。在</w:t>
      </w:r>
      <w:r>
        <w:rPr>
          <w:rFonts w:ascii="宋体" w:hAnsi="宋体" w:cs="宋体"/>
          <w:b w:val="0"/>
          <w:kern w:val="0"/>
          <w:sz w:val="28"/>
          <w:szCs w:val="28"/>
        </w:rPr>
        <w:t>1.3</w:t>
      </w:r>
      <w:r>
        <w:rPr>
          <w:rFonts w:hint="eastAsia" w:ascii="宋体" w:hAnsi="宋体" w:cs="宋体"/>
          <w:b w:val="0"/>
          <w:kern w:val="0"/>
          <w:sz w:val="28"/>
          <w:szCs w:val="28"/>
        </w:rPr>
        <w:t>级成品库，发生的危险首先是燃烧，燃烧一定时间后，产生高温，可以形成爆燃</w:t>
      </w:r>
      <w:r>
        <w:rPr>
          <w:rFonts w:hint="eastAsia" w:ascii="宋体" w:hAnsi="宋体"/>
          <w:b w:val="0"/>
          <w:sz w:val="28"/>
        </w:rPr>
        <w:t>。</w:t>
      </w:r>
    </w:p>
    <w:bookmarkEnd w:id="396"/>
    <w:p w14:paraId="7A1E6109">
      <w:pPr>
        <w:spacing w:line="360" w:lineRule="auto"/>
        <w:ind w:firstLine="560" w:firstLineChars="200"/>
        <w:jc w:val="left"/>
        <w:rPr>
          <w:rFonts w:ascii="宋体" w:hAnsi="宋体"/>
          <w:b w:val="0"/>
          <w:snapToGrid w:val="0"/>
          <w:sz w:val="28"/>
          <w:szCs w:val="28"/>
        </w:rPr>
      </w:pPr>
      <w:r>
        <w:rPr>
          <w:rFonts w:hint="eastAsia" w:ascii="宋体" w:hAnsi="宋体"/>
          <w:b w:val="0"/>
          <w:sz w:val="28"/>
        </w:rPr>
        <w:t>危险品储存过程危险有害因素分析如下</w:t>
      </w:r>
      <w:r>
        <w:rPr>
          <w:rFonts w:hint="eastAsia" w:ascii="宋体" w:hAnsi="宋体"/>
          <w:b w:val="0"/>
          <w:snapToGrid w:val="0"/>
          <w:sz w:val="28"/>
          <w:szCs w:val="28"/>
        </w:rPr>
        <w:t>：</w:t>
      </w:r>
    </w:p>
    <w:p w14:paraId="2F30F403">
      <w:pPr>
        <w:spacing w:line="360" w:lineRule="auto"/>
        <w:ind w:firstLine="560" w:firstLineChars="200"/>
        <w:jc w:val="left"/>
        <w:rPr>
          <w:rFonts w:ascii="宋体" w:hAnsi="宋体"/>
          <w:b w:val="0"/>
          <w:sz w:val="28"/>
        </w:rPr>
      </w:pPr>
      <w:r>
        <w:rPr>
          <w:rFonts w:hint="eastAsia" w:ascii="宋体" w:hAnsi="宋体"/>
          <w:b w:val="0"/>
          <w:sz w:val="28"/>
        </w:rPr>
        <w:t>（</w:t>
      </w:r>
      <w:r>
        <w:rPr>
          <w:rFonts w:ascii="宋体" w:hAnsi="宋体"/>
          <w:b w:val="0"/>
          <w:sz w:val="28"/>
        </w:rPr>
        <w:t>1</w:t>
      </w:r>
      <w:r>
        <w:rPr>
          <w:rFonts w:hint="eastAsia" w:ascii="宋体" w:hAnsi="宋体"/>
          <w:b w:val="0"/>
          <w:sz w:val="28"/>
        </w:rPr>
        <w:t>）若超过最大允许储存量储存危险品，可能会因过高堆垛倒塌、库房通风散热不良等导致原材料、烟火药及其制品燃烧、爆炸，同时还可能危及相邻建筑物的安全，使事故扩大。</w:t>
      </w:r>
      <w:r>
        <w:rPr>
          <w:rFonts w:ascii="宋体" w:hAnsi="宋体"/>
          <w:b w:val="0"/>
          <w:sz w:val="28"/>
        </w:rPr>
        <w:t xml:space="preserve"> </w:t>
      </w:r>
    </w:p>
    <w:p w14:paraId="6C62F724">
      <w:pPr>
        <w:spacing w:line="360" w:lineRule="auto"/>
        <w:ind w:firstLine="560" w:firstLineChars="200"/>
        <w:jc w:val="left"/>
        <w:rPr>
          <w:rFonts w:ascii="宋体" w:hAnsi="宋体"/>
          <w:b w:val="0"/>
          <w:sz w:val="28"/>
        </w:rPr>
      </w:pPr>
      <w:r>
        <w:rPr>
          <w:rFonts w:hint="eastAsia" w:ascii="宋体" w:hAnsi="宋体"/>
          <w:b w:val="0"/>
          <w:sz w:val="28"/>
        </w:rPr>
        <w:t>（2）若库房未采取防潮、隔热、通风、防小动物等措施，可能会因药剂受潮发生分解反应、积热导致高温、动物啃咬等原因引起烟火药及其制品发生燃烧、爆炸。</w:t>
      </w:r>
    </w:p>
    <w:p w14:paraId="14A4016C">
      <w:pPr>
        <w:spacing w:line="360" w:lineRule="auto"/>
        <w:ind w:firstLine="560" w:firstLineChars="200"/>
        <w:jc w:val="left"/>
        <w:rPr>
          <w:rFonts w:ascii="宋体" w:hAnsi="宋体"/>
          <w:b w:val="0"/>
          <w:sz w:val="28"/>
        </w:rPr>
      </w:pPr>
      <w:r>
        <w:rPr>
          <w:rFonts w:hint="eastAsia" w:ascii="宋体" w:hAnsi="宋体"/>
          <w:b w:val="0"/>
          <w:sz w:val="28"/>
        </w:rPr>
        <w:t>（3）堆垛之间距离不符合要求会影响库房通风，堆垛高度过高可能发生倒塌，运输通道宽度不符合要求可能发生碰撞和人员跌倒，这些因素都有可能引起火灾、爆炸事故。</w:t>
      </w:r>
    </w:p>
    <w:p w14:paraId="467025E8">
      <w:pPr>
        <w:spacing w:line="360" w:lineRule="auto"/>
        <w:ind w:firstLine="560" w:firstLineChars="200"/>
        <w:rPr>
          <w:rFonts w:ascii="宋体" w:hAnsi="宋体"/>
          <w:b w:val="0"/>
          <w:snapToGrid w:val="0"/>
          <w:sz w:val="28"/>
          <w:szCs w:val="28"/>
        </w:rPr>
      </w:pPr>
      <w:r>
        <w:rPr>
          <w:rFonts w:hint="eastAsia" w:ascii="宋体" w:hAnsi="宋体"/>
          <w:b w:val="0"/>
          <w:sz w:val="28"/>
        </w:rPr>
        <w:t>（</w:t>
      </w:r>
      <w:r>
        <w:rPr>
          <w:rFonts w:ascii="宋体" w:hAnsi="宋体"/>
          <w:b w:val="0"/>
          <w:sz w:val="28"/>
        </w:rPr>
        <w:t>5</w:t>
      </w:r>
      <w:r>
        <w:rPr>
          <w:rFonts w:hint="eastAsia" w:ascii="宋体" w:hAnsi="宋体"/>
          <w:b w:val="0"/>
          <w:sz w:val="28"/>
        </w:rPr>
        <w:t>）若垛架上铁钉钉头未做处理、搬运过程碰撞、拖拉、摩擦、翻滚和剧烈振动、用铁铲等铁质工具，都可能引起燃烧、爆炸</w:t>
      </w:r>
      <w:r>
        <w:rPr>
          <w:rFonts w:hint="eastAsia" w:ascii="宋体" w:hAnsi="宋体"/>
          <w:b w:val="0"/>
          <w:snapToGrid w:val="0"/>
          <w:sz w:val="28"/>
          <w:szCs w:val="28"/>
        </w:rPr>
        <w:t>。</w:t>
      </w:r>
    </w:p>
    <w:p w14:paraId="3CEADEC3">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仓储场所爆炸的因果分析图如下图3.</w:t>
      </w:r>
      <w:r>
        <w:rPr>
          <w:rFonts w:ascii="宋体" w:hAnsi="宋体"/>
          <w:b w:val="0"/>
          <w:snapToGrid w:val="0"/>
          <w:sz w:val="28"/>
          <w:szCs w:val="28"/>
        </w:rPr>
        <w:t>8</w:t>
      </w:r>
      <w:r>
        <w:rPr>
          <w:rFonts w:hint="eastAsia" w:ascii="宋体" w:hAnsi="宋体"/>
          <w:b w:val="0"/>
          <w:snapToGrid w:val="0"/>
          <w:sz w:val="28"/>
          <w:szCs w:val="28"/>
        </w:rPr>
        <w:t>-1。</w:t>
      </w:r>
    </w:p>
    <w:p w14:paraId="3831BCE8">
      <w:pPr>
        <w:spacing w:line="360" w:lineRule="auto"/>
        <w:rPr>
          <w:rFonts w:ascii="宋体" w:hAnsi="宋体"/>
          <w:b w:val="0"/>
          <w:sz w:val="28"/>
        </w:rPr>
      </w:pPr>
      <w:bookmarkStart w:id="397" w:name="_Toc213127084"/>
      <w:bookmarkStart w:id="398" w:name="_Toc271898769"/>
      <w:bookmarkStart w:id="399" w:name="_Toc294247655"/>
      <w:bookmarkStart w:id="400" w:name="_Toc294247824"/>
      <w:r>
        <w:rPr>
          <w:rFonts w:ascii="宋体" w:hAnsi="宋体"/>
          <w:b w:val="0"/>
          <w:sz w:val="28"/>
        </w:rPr>
        <mc:AlternateContent>
          <mc:Choice Requires="wpc">
            <w:drawing>
              <wp:anchor distT="0" distB="0" distL="114300" distR="114300" simplePos="0" relativeHeight="251660288" behindDoc="0" locked="0" layoutInCell="1" allowOverlap="1">
                <wp:simplePos x="0" y="0"/>
                <wp:positionH relativeFrom="character">
                  <wp:posOffset>0</wp:posOffset>
                </wp:positionH>
                <wp:positionV relativeFrom="line">
                  <wp:posOffset>0</wp:posOffset>
                </wp:positionV>
                <wp:extent cx="5833110" cy="2854960"/>
                <wp:effectExtent l="0" t="0" r="34290" b="0"/>
                <wp:wrapNone/>
                <wp:docPr id="748" name="画布 74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555" name="组合 1800"/>
                        <wpg:cNvGrpSpPr/>
                        <wpg:grpSpPr>
                          <a:xfrm>
                            <a:off x="0" y="51118"/>
                            <a:ext cx="5833110" cy="2803079"/>
                            <a:chOff x="1946" y="9392"/>
                            <a:chExt cx="7643" cy="3674"/>
                          </a:xfrm>
                        </wpg:grpSpPr>
                        <wps:wsp>
                          <wps:cNvPr id="556" name="直线 1801"/>
                          <wps:cNvCnPr/>
                          <wps:spPr bwMode="auto">
                            <a:xfrm rot="7176324" flipV="1">
                              <a:off x="2445" y="9489"/>
                              <a:ext cx="987" cy="1468"/>
                            </a:xfrm>
                            <a:prstGeom prst="line">
                              <a:avLst/>
                            </a:prstGeom>
                            <a:noFill/>
                            <a:ln w="19050">
                              <a:solidFill>
                                <a:srgbClr val="000000"/>
                              </a:solidFill>
                              <a:round/>
                              <a:tailEnd type="arrow" w="med" len="med"/>
                            </a:ln>
                          </wps:spPr>
                          <wps:bodyPr/>
                        </wps:wsp>
                        <wps:wsp>
                          <wps:cNvPr id="557" name="直线 1802"/>
                          <wps:cNvCnPr/>
                          <wps:spPr bwMode="auto">
                            <a:xfrm rot="7176324" flipV="1">
                              <a:off x="4006" y="9476"/>
                              <a:ext cx="988" cy="1468"/>
                            </a:xfrm>
                            <a:prstGeom prst="line">
                              <a:avLst/>
                            </a:prstGeom>
                            <a:noFill/>
                            <a:ln w="19050">
                              <a:solidFill>
                                <a:srgbClr val="000000"/>
                              </a:solidFill>
                              <a:round/>
                              <a:tailEnd type="arrow" w="med" len="med"/>
                            </a:ln>
                          </wps:spPr>
                          <wps:bodyPr/>
                        </wps:wsp>
                        <wps:wsp>
                          <wps:cNvPr id="558" name="直线 1803"/>
                          <wps:cNvCnPr/>
                          <wps:spPr bwMode="auto">
                            <a:xfrm rot="7176324" flipV="1">
                              <a:off x="5513" y="9484"/>
                              <a:ext cx="986" cy="1468"/>
                            </a:xfrm>
                            <a:prstGeom prst="line">
                              <a:avLst/>
                            </a:prstGeom>
                            <a:noFill/>
                            <a:ln w="19050">
                              <a:solidFill>
                                <a:srgbClr val="000000"/>
                              </a:solidFill>
                              <a:round/>
                              <a:tailEnd type="arrow" w="med" len="med"/>
                            </a:ln>
                          </wps:spPr>
                          <wps:bodyPr/>
                        </wps:wsp>
                        <wps:wsp>
                          <wps:cNvPr id="559" name="直线 1804"/>
                          <wps:cNvCnPr/>
                          <wps:spPr bwMode="auto">
                            <a:xfrm rot="21168184" flipV="1">
                              <a:off x="3334" y="11135"/>
                              <a:ext cx="1143" cy="1667"/>
                            </a:xfrm>
                            <a:prstGeom prst="line">
                              <a:avLst/>
                            </a:prstGeom>
                            <a:noFill/>
                            <a:ln w="19050">
                              <a:solidFill>
                                <a:srgbClr val="000000"/>
                              </a:solidFill>
                              <a:round/>
                              <a:tailEnd type="arrow" w="med" len="med"/>
                            </a:ln>
                          </wps:spPr>
                          <wps:bodyPr/>
                        </wps:wsp>
                        <wps:wsp>
                          <wps:cNvPr id="560" name="矩形 1805"/>
                          <wps:cNvSpPr>
                            <a:spLocks noChangeArrowheads="1"/>
                          </wps:cNvSpPr>
                          <wps:spPr bwMode="auto">
                            <a:xfrm>
                              <a:off x="5801" y="9392"/>
                              <a:ext cx="735" cy="350"/>
                            </a:xfrm>
                            <a:prstGeom prst="rect">
                              <a:avLst/>
                            </a:prstGeom>
                            <a:solidFill>
                              <a:srgbClr val="FFFFFF">
                                <a:alpha val="0"/>
                              </a:srgbClr>
                            </a:solidFill>
                            <a:ln>
                              <a:noFill/>
                            </a:ln>
                          </wps:spPr>
                          <wps:txbx>
                            <w:txbxContent>
                              <w:p w14:paraId="1568C95E">
                                <w:pPr>
                                  <w:jc w:val="center"/>
                                  <w:rPr>
                                    <w:rFonts w:ascii="宋体" w:hAnsi="宋体"/>
                                    <w:b w:val="0"/>
                                    <w:sz w:val="20"/>
                                    <w:szCs w:val="20"/>
                                  </w:rPr>
                                </w:pPr>
                                <w:r>
                                  <w:rPr>
                                    <w:rFonts w:hint="eastAsia" w:ascii="宋体" w:hAnsi="宋体"/>
                                    <w:b w:val="0"/>
                                    <w:sz w:val="20"/>
                                    <w:szCs w:val="20"/>
                                  </w:rPr>
                                  <w:t>热积聚</w:t>
                                </w:r>
                              </w:p>
                            </w:txbxContent>
                          </wps:txbx>
                          <wps:bodyPr rot="0" vert="horz" wrap="square" lIns="85954" tIns="42977" rIns="85954" bIns="42977" anchor="t" anchorCtr="0" upright="1">
                            <a:noAutofit/>
                          </wps:bodyPr>
                        </wps:wsp>
                        <wps:wsp>
                          <wps:cNvPr id="561" name="直线 1806"/>
                          <wps:cNvCnPr/>
                          <wps:spPr bwMode="auto">
                            <a:xfrm rot="14149631" flipV="1">
                              <a:off x="3819" y="12352"/>
                              <a:ext cx="568" cy="859"/>
                            </a:xfrm>
                            <a:prstGeom prst="line">
                              <a:avLst/>
                            </a:prstGeom>
                            <a:noFill/>
                            <a:ln w="19050">
                              <a:solidFill>
                                <a:srgbClr val="000000"/>
                              </a:solidFill>
                              <a:round/>
                              <a:tailEnd type="arrow" w="med" len="med"/>
                            </a:ln>
                          </wps:spPr>
                          <wps:bodyPr/>
                        </wps:wsp>
                        <wpg:grpSp>
                          <wpg:cNvPr id="562" name="组合 1807"/>
                          <wpg:cNvGrpSpPr/>
                          <wpg:grpSpPr>
                            <a:xfrm>
                              <a:off x="1946" y="9585"/>
                              <a:ext cx="7643" cy="3481"/>
                              <a:chOff x="1946" y="9585"/>
                              <a:chExt cx="7643" cy="3481"/>
                            </a:xfrm>
                          </wpg:grpSpPr>
                          <wps:wsp>
                            <wps:cNvPr id="563" name="直线 1808"/>
                            <wps:cNvCnPr/>
                            <wps:spPr bwMode="auto">
                              <a:xfrm rot="21168184" flipV="1">
                                <a:off x="4428" y="11188"/>
                                <a:ext cx="1130" cy="1658"/>
                              </a:xfrm>
                              <a:prstGeom prst="line">
                                <a:avLst/>
                              </a:prstGeom>
                              <a:noFill/>
                              <a:ln w="19050">
                                <a:solidFill>
                                  <a:srgbClr val="000000"/>
                                </a:solidFill>
                                <a:round/>
                                <a:tailEnd type="arrow" w="med" len="med"/>
                              </a:ln>
                            </wps:spPr>
                            <wps:bodyPr/>
                          </wps:wsp>
                          <wpg:grpSp>
                            <wpg:cNvPr id="564" name="组合 1809"/>
                            <wpg:cNvGrpSpPr/>
                            <wpg:grpSpPr>
                              <a:xfrm>
                                <a:off x="2551" y="9585"/>
                                <a:ext cx="7038" cy="3481"/>
                                <a:chOff x="2522" y="9551"/>
                                <a:chExt cx="7039" cy="3481"/>
                              </a:xfrm>
                            </wpg:grpSpPr>
                            <wps:wsp>
                              <wps:cNvPr id="565" name="自选图形 1810"/>
                              <wps:cNvSpPr>
                                <a:spLocks noChangeArrowheads="1"/>
                              </wps:cNvSpPr>
                              <wps:spPr bwMode="auto">
                                <a:xfrm>
                                  <a:off x="8150" y="10127"/>
                                  <a:ext cx="1411" cy="1535"/>
                                </a:xfrm>
                                <a:prstGeom prst="irregularSeal2">
                                  <a:avLst/>
                                </a:prstGeom>
                                <a:noFill/>
                                <a:ln w="9525">
                                  <a:solidFill>
                                    <a:srgbClr val="000000"/>
                                  </a:solidFill>
                                  <a:miter lim="800000"/>
                                </a:ln>
                              </wps:spPr>
                              <wps:txbx>
                                <w:txbxContent>
                                  <w:p w14:paraId="5F7DC168">
                                    <w:pPr>
                                      <w:spacing w:before="120" w:beforeLines="50"/>
                                      <w:rPr>
                                        <w:rFonts w:ascii="宋体" w:hAnsi="宋体"/>
                                        <w:b w:val="0"/>
                                        <w:sz w:val="20"/>
                                        <w:szCs w:val="20"/>
                                      </w:rPr>
                                    </w:pPr>
                                    <w:r>
                                      <w:rPr>
                                        <w:rFonts w:hint="eastAsia" w:ascii="宋体" w:hAnsi="宋体"/>
                                        <w:b w:val="0"/>
                                        <w:sz w:val="20"/>
                                        <w:szCs w:val="20"/>
                                      </w:rPr>
                                      <w:t>爆</w:t>
                                    </w:r>
                                    <w:r>
                                      <w:rPr>
                                        <w:rFonts w:ascii="宋体" w:hAnsi="宋体"/>
                                        <w:b w:val="0"/>
                                        <w:sz w:val="20"/>
                                        <w:szCs w:val="20"/>
                                      </w:rPr>
                                      <w:t xml:space="preserve">  </w:t>
                                    </w:r>
                                    <w:r>
                                      <w:rPr>
                                        <w:rFonts w:hint="eastAsia" w:ascii="宋体" w:hAnsi="宋体"/>
                                        <w:b w:val="0"/>
                                        <w:sz w:val="20"/>
                                        <w:szCs w:val="20"/>
                                      </w:rPr>
                                      <w:t>炸</w:t>
                                    </w:r>
                                  </w:p>
                                </w:txbxContent>
                              </wps:txbx>
                              <wps:bodyPr rot="0" vert="horz" wrap="square" lIns="85954" tIns="42977" rIns="85954" bIns="42977" anchor="t" anchorCtr="0" upright="1">
                                <a:noAutofit/>
                              </wps:bodyPr>
                            </wps:wsp>
                            <wps:wsp>
                              <wps:cNvPr id="597" name="直线 1811"/>
                              <wps:cNvCnPr/>
                              <wps:spPr bwMode="auto">
                                <a:xfrm flipV="1">
                                  <a:off x="2882" y="11008"/>
                                  <a:ext cx="5469" cy="16"/>
                                </a:xfrm>
                                <a:prstGeom prst="line">
                                  <a:avLst/>
                                </a:prstGeom>
                                <a:noFill/>
                                <a:ln w="19050">
                                  <a:solidFill>
                                    <a:srgbClr val="000000"/>
                                  </a:solidFill>
                                  <a:round/>
                                  <a:tailEnd type="triangle" w="med" len="med"/>
                                </a:ln>
                              </wps:spPr>
                              <wps:bodyPr/>
                            </wps:wsp>
                            <wps:wsp>
                              <wps:cNvPr id="600" name="自选图形 1812"/>
                              <wps:cNvSpPr>
                                <a:spLocks noChangeArrowheads="1"/>
                              </wps:cNvSpPr>
                              <wps:spPr bwMode="auto">
                                <a:xfrm>
                                  <a:off x="6789" y="10099"/>
                                  <a:ext cx="987" cy="826"/>
                                </a:xfrm>
                                <a:prstGeom prst="cloudCallout">
                                  <a:avLst>
                                    <a:gd name="adj1" fmla="val -43731"/>
                                    <a:gd name="adj2" fmla="val 69977"/>
                                  </a:avLst>
                                </a:prstGeom>
                                <a:noFill/>
                                <a:ln w="9525">
                                  <a:solidFill>
                                    <a:srgbClr val="000000"/>
                                  </a:solidFill>
                                  <a:round/>
                                </a:ln>
                              </wps:spPr>
                              <wps:txbx>
                                <w:txbxContent>
                                  <w:p w14:paraId="2B308E1A">
                                    <w:pPr>
                                      <w:jc w:val="right"/>
                                      <w:rPr>
                                        <w:rFonts w:ascii="宋体" w:hAnsi="宋体"/>
                                        <w:b w:val="0"/>
                                        <w:sz w:val="20"/>
                                        <w:szCs w:val="20"/>
                                      </w:rPr>
                                    </w:pPr>
                                    <w:r>
                                      <w:rPr>
                                        <w:rFonts w:hint="eastAsia" w:ascii="宋体" w:hAnsi="宋体"/>
                                        <w:b w:val="0"/>
                                        <w:sz w:val="20"/>
                                        <w:szCs w:val="20"/>
                                      </w:rPr>
                                      <w:t>着</w:t>
                                    </w:r>
                                    <w:r>
                                      <w:rPr>
                                        <w:rFonts w:ascii="宋体" w:hAnsi="宋体"/>
                                        <w:b w:val="0"/>
                                        <w:color w:val="FF0000"/>
                                        <w:sz w:val="20"/>
                                        <w:szCs w:val="20"/>
                                      </w:rPr>
                                      <w:t xml:space="preserve"> </w:t>
                                    </w:r>
                                    <w:r>
                                      <w:rPr>
                                        <w:rFonts w:hint="eastAsia" w:ascii="宋体" w:hAnsi="宋体"/>
                                        <w:b w:val="0"/>
                                        <w:sz w:val="20"/>
                                        <w:szCs w:val="20"/>
                                      </w:rPr>
                                      <w:t>火</w:t>
                                    </w:r>
                                  </w:p>
                                </w:txbxContent>
                              </wps:txbx>
                              <wps:bodyPr rot="0" vert="horz" wrap="square" lIns="85954" tIns="42977" rIns="85954" bIns="42977" anchor="t" anchorCtr="0" upright="1">
                                <a:noAutofit/>
                              </wps:bodyPr>
                            </wps:wsp>
                            <wps:wsp>
                              <wps:cNvPr id="601" name="直线 1813"/>
                              <wps:cNvCnPr/>
                              <wps:spPr bwMode="auto">
                                <a:xfrm rot="3359447" flipV="1">
                                  <a:off x="3699" y="9632"/>
                                  <a:ext cx="505" cy="757"/>
                                </a:xfrm>
                                <a:prstGeom prst="line">
                                  <a:avLst/>
                                </a:prstGeom>
                                <a:noFill/>
                                <a:ln w="19050">
                                  <a:solidFill>
                                    <a:srgbClr val="000000"/>
                                  </a:solidFill>
                                  <a:round/>
                                  <a:tailEnd type="arrow" w="med" len="med"/>
                                </a:ln>
                              </wps:spPr>
                              <wps:bodyPr/>
                            </wps:wsp>
                            <wps:wsp>
                              <wps:cNvPr id="623" name="直线 1814"/>
                              <wps:cNvCnPr/>
                              <wps:spPr bwMode="auto">
                                <a:xfrm rot="3359447" flipV="1">
                                  <a:off x="5169" y="9615"/>
                                  <a:ext cx="506" cy="757"/>
                                </a:xfrm>
                                <a:prstGeom prst="line">
                                  <a:avLst/>
                                </a:prstGeom>
                                <a:noFill/>
                                <a:ln w="19050">
                                  <a:solidFill>
                                    <a:srgbClr val="000000"/>
                                  </a:solidFill>
                                  <a:round/>
                                  <a:tailEnd type="arrow" w="med" len="med"/>
                                </a:ln>
                              </wps:spPr>
                              <wps:bodyPr/>
                            </wps:wsp>
                            <wps:wsp>
                              <wps:cNvPr id="165" name="直线 1815"/>
                              <wps:cNvCnPr/>
                              <wps:spPr bwMode="auto">
                                <a:xfrm rot="21168184" flipV="1">
                                  <a:off x="5648" y="11091"/>
                                  <a:ext cx="1092" cy="1638"/>
                                </a:xfrm>
                                <a:prstGeom prst="line">
                                  <a:avLst/>
                                </a:prstGeom>
                                <a:noFill/>
                                <a:ln w="19050">
                                  <a:solidFill>
                                    <a:srgbClr val="000000"/>
                                  </a:solidFill>
                                  <a:round/>
                                  <a:tailEnd type="arrow" w="med" len="med"/>
                                </a:ln>
                              </wps:spPr>
                              <wps:bodyPr/>
                            </wps:wsp>
                            <wps:wsp>
                              <wps:cNvPr id="166" name="直线 1816"/>
                              <wps:cNvCnPr/>
                              <wps:spPr bwMode="auto">
                                <a:xfrm rot="14149631" flipV="1">
                                  <a:off x="6330" y="11797"/>
                                  <a:ext cx="650" cy="974"/>
                                </a:xfrm>
                                <a:prstGeom prst="line">
                                  <a:avLst/>
                                </a:prstGeom>
                                <a:noFill/>
                                <a:ln w="19050">
                                  <a:solidFill>
                                    <a:srgbClr val="000000"/>
                                  </a:solidFill>
                                  <a:round/>
                                  <a:tailEnd type="arrow" w="med" len="med"/>
                                </a:ln>
                              </wps:spPr>
                              <wps:bodyPr/>
                            </wps:wsp>
                            <wps:wsp>
                              <wps:cNvPr id="167" name="直线 1817"/>
                              <wps:cNvCnPr/>
                              <wps:spPr bwMode="auto">
                                <a:xfrm rot="3359447" flipV="1">
                                  <a:off x="3973" y="11913"/>
                                  <a:ext cx="546" cy="843"/>
                                </a:xfrm>
                                <a:prstGeom prst="line">
                                  <a:avLst/>
                                </a:prstGeom>
                                <a:noFill/>
                                <a:ln w="19050">
                                  <a:solidFill>
                                    <a:srgbClr val="000000"/>
                                  </a:solidFill>
                                  <a:round/>
                                  <a:tailEnd type="arrow" w="med" len="med"/>
                                </a:ln>
                              </wps:spPr>
                              <wps:bodyPr/>
                            </wps:wsp>
                            <wps:wsp>
                              <wps:cNvPr id="168" name="直线 1818"/>
                              <wps:cNvCnPr/>
                              <wps:spPr bwMode="auto">
                                <a:xfrm rot="3359447" flipV="1">
                                  <a:off x="2823" y="12213"/>
                                  <a:ext cx="507" cy="758"/>
                                </a:xfrm>
                                <a:prstGeom prst="line">
                                  <a:avLst/>
                                </a:prstGeom>
                                <a:noFill/>
                                <a:ln w="19050">
                                  <a:solidFill>
                                    <a:srgbClr val="000000"/>
                                  </a:solidFill>
                                  <a:round/>
                                  <a:tailEnd type="arrow" w="med" len="med"/>
                                </a:ln>
                              </wps:spPr>
                              <wps:bodyPr/>
                            </wps:wsp>
                            <wps:wsp>
                              <wps:cNvPr id="169" name="直线 1819"/>
                              <wps:cNvCnPr/>
                              <wps:spPr bwMode="auto">
                                <a:xfrm rot="3359447" flipV="1">
                                  <a:off x="5047" y="12031"/>
                                  <a:ext cx="566" cy="830"/>
                                </a:xfrm>
                                <a:prstGeom prst="line">
                                  <a:avLst/>
                                </a:prstGeom>
                                <a:noFill/>
                                <a:ln w="19050">
                                  <a:solidFill>
                                    <a:srgbClr val="000000"/>
                                  </a:solidFill>
                                  <a:round/>
                                  <a:tailEnd type="arrow" w="med" len="med"/>
                                </a:ln>
                              </wps:spPr>
                              <wps:bodyPr/>
                            </wps:wsp>
                            <wps:wsp>
                              <wps:cNvPr id="170" name="直线 1820"/>
                              <wps:cNvCnPr/>
                              <wps:spPr bwMode="auto">
                                <a:xfrm rot="14149631" flipV="1">
                                  <a:off x="6114" y="12170"/>
                                  <a:ext cx="694" cy="1029"/>
                                </a:xfrm>
                                <a:prstGeom prst="line">
                                  <a:avLst/>
                                </a:prstGeom>
                                <a:noFill/>
                                <a:ln w="19050">
                                  <a:solidFill>
                                    <a:srgbClr val="000000"/>
                                  </a:solidFill>
                                  <a:round/>
                                  <a:tailEnd type="arrow" w="med" len="med"/>
                                </a:ln>
                              </wps:spPr>
                              <wps:bodyPr/>
                            </wps:wsp>
                            <wps:wsp>
                              <wps:cNvPr id="171" name="矩形 1821"/>
                              <wps:cNvSpPr>
                                <a:spLocks noChangeArrowheads="1"/>
                              </wps:cNvSpPr>
                              <wps:spPr bwMode="auto">
                                <a:xfrm>
                                  <a:off x="6168" y="12299"/>
                                  <a:ext cx="1012" cy="367"/>
                                </a:xfrm>
                                <a:prstGeom prst="rect">
                                  <a:avLst/>
                                </a:prstGeom>
                                <a:solidFill>
                                  <a:srgbClr val="FFFFFF">
                                    <a:alpha val="0"/>
                                  </a:srgbClr>
                                </a:solidFill>
                                <a:ln>
                                  <a:noFill/>
                                </a:ln>
                              </wps:spPr>
                              <wps:txbx>
                                <w:txbxContent>
                                  <w:p w14:paraId="5DFCBB33">
                                    <w:pPr>
                                      <w:jc w:val="center"/>
                                      <w:rPr>
                                        <w:rFonts w:ascii="宋体" w:hAnsi="宋体"/>
                                        <w:b w:val="0"/>
                                        <w:sz w:val="20"/>
                                        <w:szCs w:val="20"/>
                                      </w:rPr>
                                    </w:pPr>
                                    <w:r>
                                      <w:rPr>
                                        <w:rFonts w:hint="eastAsia" w:ascii="宋体" w:hAnsi="宋体"/>
                                        <w:b w:val="0"/>
                                        <w:sz w:val="20"/>
                                        <w:szCs w:val="20"/>
                                      </w:rPr>
                                      <w:t>吸湿受潮</w:t>
                                    </w:r>
                                  </w:p>
                                </w:txbxContent>
                              </wps:txbx>
                              <wps:bodyPr rot="0" vert="horz" wrap="square" lIns="85954" tIns="42977" rIns="85954" bIns="42977" anchor="t" anchorCtr="0" upright="1">
                                <a:noAutofit/>
                              </wps:bodyPr>
                            </wps:wsp>
                            <wps:wsp>
                              <wps:cNvPr id="172" name="直线 1822"/>
                              <wps:cNvCnPr/>
                              <wps:spPr bwMode="auto">
                                <a:xfrm rot="3359447" flipV="1">
                                  <a:off x="3091" y="11706"/>
                                  <a:ext cx="506" cy="757"/>
                                </a:xfrm>
                                <a:prstGeom prst="line">
                                  <a:avLst/>
                                </a:prstGeom>
                                <a:noFill/>
                                <a:ln w="19050">
                                  <a:solidFill>
                                    <a:srgbClr val="000000"/>
                                  </a:solidFill>
                                  <a:round/>
                                  <a:tailEnd type="arrow" w="med" len="med"/>
                                </a:ln>
                              </wps:spPr>
                              <wps:bodyPr/>
                            </wps:wsp>
                            <wps:wsp>
                              <wps:cNvPr id="173" name="矩形 1823"/>
                              <wps:cNvSpPr>
                                <a:spLocks noChangeArrowheads="1"/>
                              </wps:cNvSpPr>
                              <wps:spPr bwMode="auto">
                                <a:xfrm>
                                  <a:off x="5801" y="10337"/>
                                  <a:ext cx="624" cy="367"/>
                                </a:xfrm>
                                <a:prstGeom prst="rect">
                                  <a:avLst/>
                                </a:prstGeom>
                                <a:solidFill>
                                  <a:srgbClr val="FFFFFF">
                                    <a:alpha val="0"/>
                                  </a:srgbClr>
                                </a:solidFill>
                                <a:ln>
                                  <a:noFill/>
                                </a:ln>
                              </wps:spPr>
                              <wps:txbx>
                                <w:txbxContent>
                                  <w:p w14:paraId="3C099DE0">
                                    <w:pPr>
                                      <w:jc w:val="center"/>
                                      <w:rPr>
                                        <w:rFonts w:ascii="宋体" w:hAnsi="宋体"/>
                                        <w:b w:val="0"/>
                                        <w:sz w:val="20"/>
                                        <w:szCs w:val="20"/>
                                      </w:rPr>
                                    </w:pPr>
                                    <w:r>
                                      <w:rPr>
                                        <w:rFonts w:hint="eastAsia" w:ascii="宋体" w:hAnsi="宋体"/>
                                        <w:b w:val="0"/>
                                        <w:sz w:val="20"/>
                                        <w:szCs w:val="20"/>
                                      </w:rPr>
                                      <w:t>自燃</w:t>
                                    </w:r>
                                  </w:p>
                                </w:txbxContent>
                              </wps:txbx>
                              <wps:bodyPr rot="0" vert="horz" wrap="square" lIns="85954" tIns="42977" rIns="85954" bIns="42977" anchor="t" anchorCtr="0" upright="1">
                                <a:noAutofit/>
                              </wps:bodyPr>
                            </wps:wsp>
                            <wps:wsp>
                              <wps:cNvPr id="174" name="矩形 1824"/>
                              <wps:cNvSpPr>
                                <a:spLocks noChangeArrowheads="1"/>
                              </wps:cNvSpPr>
                              <wps:spPr bwMode="auto">
                                <a:xfrm>
                                  <a:off x="4915" y="9551"/>
                                  <a:ext cx="733" cy="367"/>
                                </a:xfrm>
                                <a:prstGeom prst="rect">
                                  <a:avLst/>
                                </a:prstGeom>
                                <a:solidFill>
                                  <a:srgbClr val="FFFFFF">
                                    <a:alpha val="0"/>
                                  </a:srgbClr>
                                </a:solidFill>
                                <a:ln>
                                  <a:noFill/>
                                </a:ln>
                              </wps:spPr>
                              <wps:txbx>
                                <w:txbxContent>
                                  <w:p w14:paraId="077FF4B4">
                                    <w:pPr>
                                      <w:jc w:val="center"/>
                                      <w:rPr>
                                        <w:rFonts w:ascii="宋体" w:hAnsi="宋体"/>
                                        <w:b w:val="0"/>
                                        <w:sz w:val="20"/>
                                        <w:szCs w:val="20"/>
                                      </w:rPr>
                                    </w:pPr>
                                    <w:r>
                                      <w:rPr>
                                        <w:rFonts w:hint="eastAsia" w:ascii="宋体" w:hAnsi="宋体"/>
                                        <w:b w:val="0"/>
                                        <w:sz w:val="20"/>
                                        <w:szCs w:val="20"/>
                                      </w:rPr>
                                      <w:t>热分解</w:t>
                                    </w:r>
                                  </w:p>
                                </w:txbxContent>
                              </wps:txbx>
                              <wps:bodyPr rot="0" vert="horz" wrap="square" lIns="85954" tIns="42977" rIns="85954" bIns="42977" anchor="t" anchorCtr="0" upright="1">
                                <a:noAutofit/>
                              </wps:bodyPr>
                            </wps:wsp>
                            <wps:wsp>
                              <wps:cNvPr id="175" name="矩形 1825"/>
                              <wps:cNvSpPr>
                                <a:spLocks noChangeArrowheads="1"/>
                              </wps:cNvSpPr>
                              <wps:spPr bwMode="auto">
                                <a:xfrm>
                                  <a:off x="4114" y="10264"/>
                                  <a:ext cx="930" cy="367"/>
                                </a:xfrm>
                                <a:prstGeom prst="rect">
                                  <a:avLst/>
                                </a:prstGeom>
                                <a:solidFill>
                                  <a:srgbClr val="FFFFFF">
                                    <a:alpha val="0"/>
                                  </a:srgbClr>
                                </a:solidFill>
                                <a:ln>
                                  <a:noFill/>
                                </a:ln>
                              </wps:spPr>
                              <wps:txbx>
                                <w:txbxContent>
                                  <w:p w14:paraId="250A99A6">
                                    <w:pPr>
                                      <w:jc w:val="center"/>
                                      <w:rPr>
                                        <w:rFonts w:ascii="宋体" w:hAnsi="宋体"/>
                                        <w:b w:val="0"/>
                                        <w:sz w:val="20"/>
                                        <w:szCs w:val="20"/>
                                      </w:rPr>
                                    </w:pPr>
                                    <w:r>
                                      <w:rPr>
                                        <w:rFonts w:hint="eastAsia" w:ascii="宋体" w:hAnsi="宋体"/>
                                        <w:b w:val="0"/>
                                        <w:sz w:val="20"/>
                                        <w:szCs w:val="20"/>
                                      </w:rPr>
                                      <w:t>摩擦撞击</w:t>
                                    </w:r>
                                  </w:p>
                                </w:txbxContent>
                              </wps:txbx>
                              <wps:bodyPr rot="0" vert="horz" wrap="square" lIns="85954" tIns="42977" rIns="85954" bIns="42977" anchor="t" anchorCtr="0" upright="1">
                                <a:noAutofit/>
                              </wps:bodyPr>
                            </wps:wsp>
                            <wps:wsp>
                              <wps:cNvPr id="189" name="矩形 1826"/>
                              <wps:cNvSpPr>
                                <a:spLocks noChangeArrowheads="1"/>
                              </wps:cNvSpPr>
                              <wps:spPr bwMode="auto">
                                <a:xfrm>
                                  <a:off x="4781" y="11421"/>
                                  <a:ext cx="777" cy="367"/>
                                </a:xfrm>
                                <a:prstGeom prst="rect">
                                  <a:avLst/>
                                </a:prstGeom>
                                <a:solidFill>
                                  <a:srgbClr val="FFFFFF">
                                    <a:alpha val="0"/>
                                  </a:srgbClr>
                                </a:solidFill>
                                <a:ln>
                                  <a:noFill/>
                                </a:ln>
                              </wps:spPr>
                              <wps:txbx>
                                <w:txbxContent>
                                  <w:p w14:paraId="1AACB9AD">
                                    <w:pPr>
                                      <w:jc w:val="center"/>
                                      <w:rPr>
                                        <w:rFonts w:ascii="宋体" w:hAnsi="宋体"/>
                                        <w:b w:val="0"/>
                                        <w:sz w:val="20"/>
                                        <w:szCs w:val="20"/>
                                      </w:rPr>
                                    </w:pPr>
                                    <w:r>
                                      <w:rPr>
                                        <w:rFonts w:hint="eastAsia" w:ascii="宋体" w:hAnsi="宋体"/>
                                        <w:b w:val="0"/>
                                        <w:sz w:val="20"/>
                                        <w:szCs w:val="20"/>
                                      </w:rPr>
                                      <w:t>雷击</w:t>
                                    </w:r>
                                  </w:p>
                                </w:txbxContent>
                              </wps:txbx>
                              <wps:bodyPr rot="0" vert="horz" wrap="square" lIns="85954" tIns="42977" rIns="85954" bIns="42977" anchor="t" anchorCtr="0" upright="1">
                                <a:noAutofit/>
                              </wps:bodyPr>
                            </wps:wsp>
                            <wps:wsp>
                              <wps:cNvPr id="190" name="矩形 1827"/>
                              <wps:cNvSpPr>
                                <a:spLocks noChangeArrowheads="1"/>
                              </wps:cNvSpPr>
                              <wps:spPr bwMode="auto">
                                <a:xfrm>
                                  <a:off x="5801" y="11421"/>
                                  <a:ext cx="988" cy="367"/>
                                </a:xfrm>
                                <a:prstGeom prst="rect">
                                  <a:avLst/>
                                </a:prstGeom>
                                <a:solidFill>
                                  <a:srgbClr val="FFFFFF">
                                    <a:alpha val="0"/>
                                  </a:srgbClr>
                                </a:solidFill>
                                <a:ln>
                                  <a:noFill/>
                                </a:ln>
                              </wps:spPr>
                              <wps:txbx>
                                <w:txbxContent>
                                  <w:p w14:paraId="21A7B0A0">
                                    <w:pPr>
                                      <w:jc w:val="center"/>
                                      <w:rPr>
                                        <w:rFonts w:ascii="宋体" w:hAnsi="宋体"/>
                                        <w:b w:val="0"/>
                                        <w:sz w:val="20"/>
                                        <w:szCs w:val="20"/>
                                      </w:rPr>
                                    </w:pPr>
                                    <w:r>
                                      <w:rPr>
                                        <w:rFonts w:hint="eastAsia" w:ascii="宋体" w:hAnsi="宋体"/>
                                        <w:b w:val="0"/>
                                        <w:sz w:val="20"/>
                                        <w:szCs w:val="20"/>
                                      </w:rPr>
                                      <w:t>化学反应</w:t>
                                    </w:r>
                                  </w:p>
                                </w:txbxContent>
                              </wps:txbx>
                              <wps:bodyPr rot="0" vert="horz" wrap="square" lIns="85954" tIns="42977" rIns="85954" bIns="42977" anchor="t" anchorCtr="0" upright="1">
                                <a:noAutofit/>
                              </wps:bodyPr>
                            </wps:wsp>
                            <wps:wsp>
                              <wps:cNvPr id="191" name="矩形 1828"/>
                              <wps:cNvSpPr>
                                <a:spLocks noChangeArrowheads="1"/>
                              </wps:cNvSpPr>
                              <wps:spPr bwMode="auto">
                                <a:xfrm>
                                  <a:off x="3674" y="11421"/>
                                  <a:ext cx="700" cy="367"/>
                                </a:xfrm>
                                <a:prstGeom prst="rect">
                                  <a:avLst/>
                                </a:prstGeom>
                                <a:solidFill>
                                  <a:srgbClr val="FFFFFF">
                                    <a:alpha val="0"/>
                                  </a:srgbClr>
                                </a:solidFill>
                                <a:ln>
                                  <a:noFill/>
                                </a:ln>
                              </wps:spPr>
                              <wps:txbx>
                                <w:txbxContent>
                                  <w:p w14:paraId="4B2FBF48">
                                    <w:pPr>
                                      <w:jc w:val="center"/>
                                      <w:rPr>
                                        <w:rFonts w:ascii="宋体" w:hAnsi="宋体"/>
                                        <w:b w:val="0"/>
                                        <w:sz w:val="20"/>
                                        <w:szCs w:val="20"/>
                                      </w:rPr>
                                    </w:pPr>
                                    <w:r>
                                      <w:rPr>
                                        <w:rFonts w:hint="eastAsia" w:ascii="宋体" w:hAnsi="宋体"/>
                                        <w:b w:val="0"/>
                                        <w:sz w:val="20"/>
                                        <w:szCs w:val="20"/>
                                      </w:rPr>
                                      <w:t>明火</w:t>
                                    </w:r>
                                  </w:p>
                                </w:txbxContent>
                              </wps:txbx>
                              <wps:bodyPr rot="0" vert="horz" wrap="square" lIns="85954" tIns="42977" rIns="85954" bIns="42977" anchor="t" anchorCtr="0" upright="1">
                                <a:noAutofit/>
                              </wps:bodyPr>
                            </wps:wsp>
                            <wps:wsp>
                              <wps:cNvPr id="736" name="矩形 1829"/>
                              <wps:cNvSpPr>
                                <a:spLocks noChangeArrowheads="1"/>
                              </wps:cNvSpPr>
                              <wps:spPr bwMode="auto">
                                <a:xfrm>
                                  <a:off x="2522" y="11421"/>
                                  <a:ext cx="935" cy="367"/>
                                </a:xfrm>
                                <a:prstGeom prst="rect">
                                  <a:avLst/>
                                </a:prstGeom>
                                <a:solidFill>
                                  <a:srgbClr val="FFFFFF">
                                    <a:alpha val="0"/>
                                  </a:srgbClr>
                                </a:solidFill>
                                <a:ln>
                                  <a:noFill/>
                                </a:ln>
                              </wps:spPr>
                              <wps:txbx>
                                <w:txbxContent>
                                  <w:p w14:paraId="734CF009">
                                    <w:pPr>
                                      <w:jc w:val="center"/>
                                      <w:rPr>
                                        <w:rFonts w:ascii="宋体" w:hAnsi="宋体"/>
                                        <w:b w:val="0"/>
                                        <w:sz w:val="20"/>
                                        <w:szCs w:val="20"/>
                                      </w:rPr>
                                    </w:pPr>
                                    <w:r>
                                      <w:rPr>
                                        <w:rFonts w:hint="eastAsia" w:ascii="宋体" w:hAnsi="宋体"/>
                                        <w:b w:val="0"/>
                                        <w:sz w:val="20"/>
                                        <w:szCs w:val="20"/>
                                      </w:rPr>
                                      <w:t>静电火花</w:t>
                                    </w:r>
                                  </w:p>
                                </w:txbxContent>
                              </wps:txbx>
                              <wps:bodyPr rot="0" vert="horz" wrap="square" lIns="85954" tIns="42977" rIns="85954" bIns="42977" anchor="t" anchorCtr="0" upright="1">
                                <a:noAutofit/>
                              </wps:bodyPr>
                            </wps:wsp>
                            <wps:wsp>
                              <wps:cNvPr id="737" name="矩形 1830"/>
                              <wps:cNvSpPr>
                                <a:spLocks noChangeArrowheads="1"/>
                              </wps:cNvSpPr>
                              <wps:spPr bwMode="auto">
                                <a:xfrm>
                                  <a:off x="2699" y="10264"/>
                                  <a:ext cx="635" cy="367"/>
                                </a:xfrm>
                                <a:prstGeom prst="rect">
                                  <a:avLst/>
                                </a:prstGeom>
                                <a:solidFill>
                                  <a:srgbClr val="FFFFFF">
                                    <a:alpha val="0"/>
                                  </a:srgbClr>
                                </a:solidFill>
                                <a:ln>
                                  <a:noFill/>
                                </a:ln>
                              </wps:spPr>
                              <wps:txbx>
                                <w:txbxContent>
                                  <w:p w14:paraId="54C5D19C">
                                    <w:pPr>
                                      <w:jc w:val="center"/>
                                      <w:rPr>
                                        <w:rFonts w:ascii="宋体" w:hAnsi="宋体"/>
                                        <w:b w:val="0"/>
                                        <w:sz w:val="20"/>
                                        <w:szCs w:val="20"/>
                                      </w:rPr>
                                    </w:pPr>
                                    <w:r>
                                      <w:rPr>
                                        <w:rFonts w:hint="eastAsia" w:ascii="宋体" w:hAnsi="宋体"/>
                                        <w:b w:val="0"/>
                                        <w:sz w:val="20"/>
                                        <w:szCs w:val="20"/>
                                      </w:rPr>
                                      <w:t>高温</w:t>
                                    </w:r>
                                  </w:p>
                                </w:txbxContent>
                              </wps:txbx>
                              <wps:bodyPr rot="0" vert="horz" wrap="square" lIns="85954" tIns="42977" rIns="85954" bIns="42977" anchor="t" anchorCtr="0" upright="1">
                                <a:noAutofit/>
                              </wps:bodyPr>
                            </wps:wsp>
                            <wps:wsp>
                              <wps:cNvPr id="738" name="矩形 1831"/>
                              <wps:cNvSpPr>
                                <a:spLocks noChangeArrowheads="1"/>
                              </wps:cNvSpPr>
                              <wps:spPr bwMode="auto">
                                <a:xfrm>
                                  <a:off x="6276" y="11849"/>
                                  <a:ext cx="1036" cy="367"/>
                                </a:xfrm>
                                <a:prstGeom prst="rect">
                                  <a:avLst/>
                                </a:prstGeom>
                                <a:solidFill>
                                  <a:srgbClr val="FFFFFF">
                                    <a:alpha val="0"/>
                                  </a:srgbClr>
                                </a:solidFill>
                                <a:ln>
                                  <a:noFill/>
                                </a:ln>
                              </wps:spPr>
                              <wps:txbx>
                                <w:txbxContent>
                                  <w:p w14:paraId="3E0AE4A6">
                                    <w:pPr>
                                      <w:jc w:val="center"/>
                                      <w:rPr>
                                        <w:rFonts w:ascii="宋体" w:hAnsi="宋体"/>
                                        <w:b w:val="0"/>
                                        <w:sz w:val="20"/>
                                        <w:szCs w:val="20"/>
                                      </w:rPr>
                                    </w:pPr>
                                    <w:r>
                                      <w:rPr>
                                        <w:rFonts w:hint="eastAsia" w:ascii="宋体" w:hAnsi="宋体"/>
                                        <w:b w:val="0"/>
                                        <w:sz w:val="20"/>
                                        <w:szCs w:val="20"/>
                                      </w:rPr>
                                      <w:t>接触反应</w:t>
                                    </w:r>
                                  </w:p>
                                </w:txbxContent>
                              </wps:txbx>
                              <wps:bodyPr rot="0" vert="horz" wrap="square" lIns="85954" tIns="42977" rIns="85954" bIns="42977" anchor="t" anchorCtr="0" upright="1">
                                <a:noAutofit/>
                              </wps:bodyPr>
                            </wps:wsp>
                            <wps:wsp>
                              <wps:cNvPr id="739" name="矩形 1832"/>
                              <wps:cNvSpPr>
                                <a:spLocks noChangeArrowheads="1"/>
                              </wps:cNvSpPr>
                              <wps:spPr bwMode="auto">
                                <a:xfrm>
                                  <a:off x="2699" y="12164"/>
                                  <a:ext cx="593" cy="335"/>
                                </a:xfrm>
                                <a:prstGeom prst="rect">
                                  <a:avLst/>
                                </a:prstGeom>
                                <a:solidFill>
                                  <a:srgbClr val="FFFFFF">
                                    <a:alpha val="0"/>
                                  </a:srgbClr>
                                </a:solidFill>
                                <a:ln>
                                  <a:noFill/>
                                </a:ln>
                              </wps:spPr>
                              <wps:txbx>
                                <w:txbxContent>
                                  <w:p w14:paraId="1F657A17">
                                    <w:pPr>
                                      <w:jc w:val="center"/>
                                      <w:rPr>
                                        <w:rFonts w:ascii="宋体" w:hAnsi="宋体"/>
                                        <w:b w:val="0"/>
                                        <w:sz w:val="20"/>
                                        <w:szCs w:val="20"/>
                                      </w:rPr>
                                    </w:pPr>
                                    <w:r>
                                      <w:rPr>
                                        <w:rFonts w:hint="eastAsia" w:ascii="宋体" w:hAnsi="宋体"/>
                                        <w:b w:val="0"/>
                                        <w:sz w:val="20"/>
                                        <w:szCs w:val="20"/>
                                      </w:rPr>
                                      <w:t>吸烟</w:t>
                                    </w:r>
                                  </w:p>
                                </w:txbxContent>
                              </wps:txbx>
                              <wps:bodyPr rot="0" vert="horz" wrap="square" lIns="85954" tIns="42977" rIns="85954" bIns="42977" anchor="t" anchorCtr="0" upright="1">
                                <a:noAutofit/>
                              </wps:bodyPr>
                            </wps:wsp>
                            <wps:wsp>
                              <wps:cNvPr id="740" name="矩形 1833"/>
                              <wps:cNvSpPr>
                                <a:spLocks noChangeArrowheads="1"/>
                              </wps:cNvSpPr>
                              <wps:spPr bwMode="auto">
                                <a:xfrm>
                                  <a:off x="2966" y="11719"/>
                                  <a:ext cx="777" cy="315"/>
                                </a:xfrm>
                                <a:prstGeom prst="rect">
                                  <a:avLst/>
                                </a:prstGeom>
                                <a:solidFill>
                                  <a:srgbClr val="FFFFFF">
                                    <a:alpha val="0"/>
                                  </a:srgbClr>
                                </a:solidFill>
                                <a:ln>
                                  <a:noFill/>
                                </a:ln>
                              </wps:spPr>
                              <wps:txbx>
                                <w:txbxContent>
                                  <w:p w14:paraId="3DF8E78F">
                                    <w:pPr>
                                      <w:jc w:val="center"/>
                                      <w:rPr>
                                        <w:rFonts w:ascii="宋体" w:hAnsi="宋体"/>
                                        <w:b w:val="0"/>
                                        <w:sz w:val="20"/>
                                        <w:szCs w:val="20"/>
                                      </w:rPr>
                                    </w:pPr>
                                    <w:r>
                                      <w:rPr>
                                        <w:rFonts w:hint="eastAsia" w:ascii="宋体" w:hAnsi="宋体"/>
                                        <w:b w:val="0"/>
                                        <w:sz w:val="20"/>
                                        <w:szCs w:val="20"/>
                                      </w:rPr>
                                      <w:t>电火花</w:t>
                                    </w:r>
                                  </w:p>
                                </w:txbxContent>
                              </wps:txbx>
                              <wps:bodyPr rot="0" vert="horz" wrap="square" lIns="85954" tIns="42977" rIns="85954" bIns="42977" anchor="t" anchorCtr="0" upright="1">
                                <a:noAutofit/>
                              </wps:bodyPr>
                            </wps:wsp>
                            <wps:wsp>
                              <wps:cNvPr id="741" name="矩形 1834"/>
                              <wps:cNvSpPr>
                                <a:spLocks noChangeArrowheads="1"/>
                              </wps:cNvSpPr>
                              <wps:spPr bwMode="auto">
                                <a:xfrm>
                                  <a:off x="3916" y="11959"/>
                                  <a:ext cx="933" cy="315"/>
                                </a:xfrm>
                                <a:prstGeom prst="rect">
                                  <a:avLst/>
                                </a:prstGeom>
                                <a:solidFill>
                                  <a:srgbClr val="FFFFFF">
                                    <a:alpha val="0"/>
                                  </a:srgbClr>
                                </a:solidFill>
                                <a:ln>
                                  <a:noFill/>
                                </a:ln>
                              </wps:spPr>
                              <wps:txbx>
                                <w:txbxContent>
                                  <w:p w14:paraId="07F93142">
                                    <w:pPr>
                                      <w:jc w:val="center"/>
                                      <w:rPr>
                                        <w:rFonts w:ascii="宋体" w:hAnsi="宋体"/>
                                        <w:b w:val="0"/>
                                        <w:sz w:val="20"/>
                                        <w:szCs w:val="20"/>
                                      </w:rPr>
                                    </w:pPr>
                                    <w:r>
                                      <w:rPr>
                                        <w:rFonts w:hint="eastAsia" w:ascii="宋体" w:hAnsi="宋体"/>
                                        <w:b w:val="0"/>
                                        <w:sz w:val="20"/>
                                        <w:szCs w:val="20"/>
                                      </w:rPr>
                                      <w:t>环境因素</w:t>
                                    </w:r>
                                  </w:p>
                                </w:txbxContent>
                              </wps:txbx>
                              <wps:bodyPr rot="0" vert="horz" wrap="square" lIns="85954" tIns="42977" rIns="85954" bIns="42977" anchor="t" anchorCtr="0" upright="1">
                                <a:noAutofit/>
                              </wps:bodyPr>
                            </wps:wsp>
                            <wps:wsp>
                              <wps:cNvPr id="742" name="矩形 1835"/>
                              <wps:cNvSpPr>
                                <a:spLocks noChangeArrowheads="1"/>
                              </wps:cNvSpPr>
                              <wps:spPr bwMode="auto">
                                <a:xfrm>
                                  <a:off x="3674" y="12372"/>
                                  <a:ext cx="906" cy="357"/>
                                </a:xfrm>
                                <a:prstGeom prst="rect">
                                  <a:avLst/>
                                </a:prstGeom>
                                <a:solidFill>
                                  <a:srgbClr val="FFFFFF">
                                    <a:alpha val="0"/>
                                  </a:srgbClr>
                                </a:solidFill>
                                <a:ln>
                                  <a:noFill/>
                                </a:ln>
                              </wps:spPr>
                              <wps:txbx>
                                <w:txbxContent>
                                  <w:p w14:paraId="3E9BAEB7">
                                    <w:pPr>
                                      <w:jc w:val="center"/>
                                      <w:rPr>
                                        <w:rFonts w:ascii="宋体" w:hAnsi="宋体"/>
                                        <w:b w:val="0"/>
                                        <w:sz w:val="20"/>
                                        <w:szCs w:val="20"/>
                                      </w:rPr>
                                    </w:pPr>
                                    <w:r>
                                      <w:rPr>
                                        <w:rFonts w:hint="eastAsia" w:ascii="宋体" w:hAnsi="宋体"/>
                                        <w:b w:val="0"/>
                                        <w:sz w:val="20"/>
                                        <w:szCs w:val="20"/>
                                      </w:rPr>
                                      <w:t>其它火源</w:t>
                                    </w:r>
                                  </w:p>
                                </w:txbxContent>
                              </wps:txbx>
                              <wps:bodyPr rot="0" vert="horz" wrap="square" lIns="85954" tIns="42977" rIns="85954" bIns="42977" anchor="t" anchorCtr="0" upright="1">
                                <a:noAutofit/>
                              </wps:bodyPr>
                            </wps:wsp>
                            <wps:wsp>
                              <wps:cNvPr id="743" name="矩形 1836"/>
                              <wps:cNvSpPr>
                                <a:spLocks noChangeArrowheads="1"/>
                              </wps:cNvSpPr>
                              <wps:spPr bwMode="auto">
                                <a:xfrm>
                                  <a:off x="5044" y="12034"/>
                                  <a:ext cx="903" cy="338"/>
                                </a:xfrm>
                                <a:prstGeom prst="rect">
                                  <a:avLst/>
                                </a:prstGeom>
                                <a:solidFill>
                                  <a:srgbClr val="FFFFFF">
                                    <a:alpha val="0"/>
                                  </a:srgbClr>
                                </a:solidFill>
                                <a:ln>
                                  <a:noFill/>
                                </a:ln>
                              </wps:spPr>
                              <wps:txbx>
                                <w:txbxContent>
                                  <w:p w14:paraId="76B71C5D">
                                    <w:pPr>
                                      <w:jc w:val="center"/>
                                      <w:rPr>
                                        <w:rFonts w:ascii="宋体" w:hAnsi="宋体"/>
                                        <w:b w:val="0"/>
                                        <w:sz w:val="20"/>
                                        <w:szCs w:val="20"/>
                                      </w:rPr>
                                    </w:pPr>
                                    <w:r>
                                      <w:rPr>
                                        <w:rFonts w:hint="eastAsia" w:ascii="宋体" w:hAnsi="宋体"/>
                                        <w:b w:val="0"/>
                                        <w:sz w:val="20"/>
                                        <w:szCs w:val="20"/>
                                      </w:rPr>
                                      <w:t>混存混放</w:t>
                                    </w:r>
                                  </w:p>
                                </w:txbxContent>
                              </wps:txbx>
                              <wps:bodyPr rot="0" vert="horz" wrap="square" lIns="85954" tIns="42977" rIns="85954" bIns="42977" anchor="t" anchorCtr="0" upright="1">
                                <a:noAutofit/>
                              </wps:bodyPr>
                            </wps:wsp>
                            <wps:wsp>
                              <wps:cNvPr id="744" name="矩形 1837"/>
                              <wps:cNvSpPr>
                                <a:spLocks noChangeArrowheads="1"/>
                              </wps:cNvSpPr>
                              <wps:spPr bwMode="auto">
                                <a:xfrm>
                                  <a:off x="3186" y="9619"/>
                                  <a:ext cx="928" cy="367"/>
                                </a:xfrm>
                                <a:prstGeom prst="rect">
                                  <a:avLst/>
                                </a:prstGeom>
                                <a:solidFill>
                                  <a:srgbClr val="FFFFFF">
                                    <a:alpha val="0"/>
                                  </a:srgbClr>
                                </a:solidFill>
                                <a:ln>
                                  <a:noFill/>
                                </a:ln>
                              </wps:spPr>
                              <wps:txbx>
                                <w:txbxContent>
                                  <w:p w14:paraId="2796FF29">
                                    <w:pPr>
                                      <w:jc w:val="center"/>
                                      <w:rPr>
                                        <w:rFonts w:ascii="宋体" w:hAnsi="宋体"/>
                                        <w:b w:val="0"/>
                                        <w:sz w:val="20"/>
                                        <w:szCs w:val="20"/>
                                      </w:rPr>
                                    </w:pPr>
                                    <w:r>
                                      <w:rPr>
                                        <w:rFonts w:hint="eastAsia" w:ascii="宋体" w:hAnsi="宋体"/>
                                        <w:b w:val="0"/>
                                        <w:sz w:val="20"/>
                                        <w:szCs w:val="20"/>
                                      </w:rPr>
                                      <w:t>硬质工具</w:t>
                                    </w:r>
                                  </w:p>
                                </w:txbxContent>
                              </wps:txbx>
                              <wps:bodyPr rot="0" vert="horz" wrap="square" lIns="85954" tIns="42977" rIns="85954" bIns="42977" anchor="t" anchorCtr="0" upright="1">
                                <a:noAutofit/>
                              </wps:bodyPr>
                            </wps:wsp>
                          </wpg:grpSp>
                          <wpg:grpSp>
                            <wpg:cNvPr id="745" name="组合 1838"/>
                            <wpg:cNvGrpSpPr/>
                            <wpg:grpSpPr>
                              <a:xfrm>
                                <a:off x="1946" y="10717"/>
                                <a:ext cx="1392" cy="2080"/>
                                <a:chOff x="1946" y="10717"/>
                                <a:chExt cx="1392" cy="2080"/>
                              </a:xfrm>
                            </wpg:grpSpPr>
                            <wps:wsp>
                              <wps:cNvPr id="746" name="直线 1839"/>
                              <wps:cNvCnPr/>
                              <wps:spPr bwMode="auto">
                                <a:xfrm rot="21168184" flipV="1">
                                  <a:off x="2234" y="11161"/>
                                  <a:ext cx="1104" cy="1636"/>
                                </a:xfrm>
                                <a:prstGeom prst="line">
                                  <a:avLst/>
                                </a:prstGeom>
                                <a:noFill/>
                                <a:ln w="19050">
                                  <a:solidFill>
                                    <a:srgbClr val="000000"/>
                                  </a:solidFill>
                                  <a:round/>
                                  <a:tailEnd type="arrow" w="med" len="med"/>
                                </a:ln>
                              </wps:spPr>
                              <wps:bodyPr/>
                            </wps:wsp>
                            <wps:wsp>
                              <wps:cNvPr id="747" name="矩形 1840"/>
                              <wps:cNvSpPr>
                                <a:spLocks noChangeArrowheads="1"/>
                              </wps:cNvSpPr>
                              <wps:spPr bwMode="auto">
                                <a:xfrm>
                                  <a:off x="1946" y="10717"/>
                                  <a:ext cx="1168" cy="595"/>
                                </a:xfrm>
                                <a:prstGeom prst="rect">
                                  <a:avLst/>
                                </a:prstGeom>
                                <a:solidFill>
                                  <a:srgbClr val="FFFFFF">
                                    <a:alpha val="0"/>
                                  </a:srgbClr>
                                </a:solidFill>
                                <a:ln>
                                  <a:noFill/>
                                </a:ln>
                              </wps:spPr>
                              <wps:txbx>
                                <w:txbxContent>
                                  <w:p w14:paraId="255527EF">
                                    <w:pPr>
                                      <w:jc w:val="center"/>
                                      <w:rPr>
                                        <w:rFonts w:ascii="宋体" w:hAnsi="宋体"/>
                                        <w:b w:val="0"/>
                                        <w:sz w:val="20"/>
                                        <w:szCs w:val="20"/>
                                      </w:rPr>
                                    </w:pPr>
                                    <w:r>
                                      <w:rPr>
                                        <w:rFonts w:hint="eastAsia" w:ascii="宋体" w:hAnsi="宋体"/>
                                        <w:b w:val="0"/>
                                        <w:sz w:val="20"/>
                                        <w:szCs w:val="20"/>
                                      </w:rPr>
                                      <w:t>成品、半成品（含烟火药）</w:t>
                                    </w:r>
                                  </w:p>
                                </w:txbxContent>
                              </wps:txbx>
                              <wps:bodyPr rot="0" vert="horz" wrap="square" lIns="91440" tIns="45720" rIns="91440" bIns="45720" anchor="t" anchorCtr="0" upright="1">
                                <a:noAutofit/>
                              </wps:bodyPr>
                            </wps:wsp>
                          </wpg:grpSp>
                        </wpg:grpSp>
                      </wpg:wgp>
                    </wpc:wpc>
                  </a:graphicData>
                </a:graphic>
              </wp:anchor>
            </w:drawing>
          </mc:Choice>
          <mc:Fallback>
            <w:pict>
              <v:group id="_x0000_s1026" o:spid="_x0000_s1026" o:spt="203" style="position:absolute;left:0pt;margin-left:0pt;margin-top:0pt;height:224.8pt;width:459.3pt;mso-position-horizontal-relative:char;mso-position-vertical-relative:line;z-index:251660288;mso-width-relative:page;mso-height-relative:page;" coordsize="5833110,2854960" editas="canvas" o:gfxdata="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">
                <o:lock v:ext="edit" aspectratio="f"/>
                <v:shape id="_x0000_s1026" o:spid="_x0000_s1026" style="position:absolute;left:0;top:0;height:2854960;width:5833110;" filled="f" stroked="f" coordsize="21600,21600" o:gfxdata="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">
                  <v:fill on="f" focussize="0,0"/>
                  <v:stroke on="f"/>
                  <v:imagedata o:title=""/>
                  <o:lock v:ext="edit" aspectratio="t"/>
                </v:shape>
                <v:group id="组合 1800" o:spid="_x0000_s1026" o:spt="203" style="position:absolute;left:0;top:51118;height:2803079;width:5833110;" coordorigin="1946,9392" coordsize="7643,3674" o:gfxdata="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">
                  <o:lock v:ext="edit" aspectratio="f"/>
                  <v:line id="直线 1801" o:spid="_x0000_s1026" o:spt="20" style="position:absolute;left:2445;top:9489;flip:y;height:1468;width:987;rotation:-7838459f;" filled="f" stroked="t" coordsize="21600,21600" o:gfxdata="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gmJPb4A&#10;AADcAAAADwAAAAAAAAABACAAAAAiAAAAZHJzL2Rvd25yZXYueG1sUEsBAhQAFAAAAAgAh07iQDMv&#10;BZ47AAAAOQAAABAAAAAAAAAAAQAgAAAADQEAAGRycy9zaGFwZXhtbC54bWxQSwUGAAAAAAYABgBb&#10;AQAAtwMAAAAA&#10;">
                    <v:fill on="f" focussize="0,0"/>
                    <v:stroke weight="1.5pt" color="#000000" joinstyle="round" endarrow="open"/>
                    <v:imagedata o:title=""/>
                    <o:lock v:ext="edit" aspectratio="f"/>
                  </v:line>
                  <v:line id="直线 1802" o:spid="_x0000_s1026" o:spt="20" style="position:absolute;left:4006;top:9476;flip:y;height:1468;width:988;rotation:-7838459f;" filled="f" stroked="t" coordsize="21600,21600" o:gfxdata="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RSymvQAA&#10;ANwAAAAPAAAAAAAAAAEAIAAAACIAAABkcnMvZG93bnJldi54bWxQSwECFAAUAAAACACHTuJAMy8F&#10;njsAAAA5AAAAEAAAAAAAAAABACAAAAAMAQAAZHJzL3NoYXBleG1sLnhtbFBLBQYAAAAABgAGAFsB&#10;AAC2AwAAAAA=&#10;">
                    <v:fill on="f" focussize="0,0"/>
                    <v:stroke weight="1.5pt" color="#000000" joinstyle="round" endarrow="open"/>
                    <v:imagedata o:title=""/>
                    <o:lock v:ext="edit" aspectratio="f"/>
                  </v:line>
                  <v:line id="直线 1803" o:spid="_x0000_s1026" o:spt="20" style="position:absolute;left:5513;top:9484;flip:y;height:1468;width:986;rotation:-7838459f;" filled="f" stroked="t" coordsize="21600,21600" o:gfxdata="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Nq41LgAAADcAAAA&#10;DwAAAAAAAAABACAAAAAiAAAAZHJzL2Rvd25yZXYueG1sUEsBAhQAFAAAAAgAh07iQDMvBZ47AAAA&#10;OQAAABAAAAAAAAAAAQAgAAAABwEAAGRycy9zaGFwZXhtbC54bWxQSwUGAAAAAAYABgBbAQAAsQMA&#10;AAAA&#10;">
                    <v:fill on="f" focussize="0,0"/>
                    <v:stroke weight="1.5pt" color="#000000" joinstyle="round" endarrow="open"/>
                    <v:imagedata o:title=""/>
                    <o:lock v:ext="edit" aspectratio="f"/>
                  </v:line>
                  <v:line id="直线 1804" o:spid="_x0000_s1026" o:spt="20" style="position:absolute;left:3334;top:11135;flip:y;height:1667;width:1143;rotation:471658f;" filled="f" stroked="t" coordsize="21600,21600" o:gfxdata="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iV3KbsAAADc&#10;AAAADwAAAAAAAAABACAAAAAiAAAAZHJzL2Rvd25yZXYueG1sUEsBAhQAFAAAAAgAh07iQDMvBZ47&#10;AAAAOQAAABAAAAAAAAAAAQAgAAAACgEAAGRycy9zaGFwZXhtbC54bWxQSwUGAAAAAAYABgBbAQAA&#10;tAMAAAAA&#10;">
                    <v:fill on="f" focussize="0,0"/>
                    <v:stroke weight="1.5pt" color="#000000" joinstyle="round" endarrow="open"/>
                    <v:imagedata o:title=""/>
                    <o:lock v:ext="edit" aspectratio="f"/>
                  </v:line>
                  <v:rect id="矩形 1805" o:spid="_x0000_s1026" o:spt="1" style="position:absolute;left:5801;top:9392;height:350;width:735;" fillcolor="#FFFFFF" filled="t" stroked="f" coordsize="21600,21600" o:gfxdata="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9/RLrsAAADc&#10;AAAADwAAAAAAAAABACAAAAAiAAAAZHJzL2Rvd25yZXYueG1sUEsBAhQAFAAAAAgAh07iQDMvBZ47&#10;AAAAOQAAABAAAAAAAAAAAQAgAAAACgEAAGRycy9zaGFwZXhtbC54bWxQSwUGAAAAAAYABgBbAQAA&#10;tAMAAAAA&#10;">
                    <v:fill on="t" opacity="0f" focussize="0,0"/>
                    <v:stroke on="f"/>
                    <v:imagedata o:title=""/>
                    <o:lock v:ext="edit" aspectratio="f"/>
                    <v:textbox inset="6.76803149606299pt,3.3840157480315pt,6.76803149606299pt,3.3840157480315pt">
                      <w:txbxContent>
                        <w:p w14:paraId="1568C95E">
                          <w:pPr>
                            <w:jc w:val="center"/>
                            <w:rPr>
                              <w:rFonts w:ascii="宋体" w:hAnsi="宋体"/>
                              <w:b w:val="0"/>
                              <w:sz w:val="20"/>
                              <w:szCs w:val="20"/>
                            </w:rPr>
                          </w:pPr>
                          <w:r>
                            <w:rPr>
                              <w:rFonts w:hint="eastAsia" w:ascii="宋体" w:hAnsi="宋体"/>
                              <w:b w:val="0"/>
                              <w:sz w:val="20"/>
                              <w:szCs w:val="20"/>
                            </w:rPr>
                            <w:t>热积聚</w:t>
                          </w:r>
                        </w:p>
                      </w:txbxContent>
                    </v:textbox>
                  </v:rect>
                  <v:line id="直线 1806" o:spid="_x0000_s1026" o:spt="20" style="position:absolute;left:3819;top:12352;flip:y;height:859;width:568;rotation:8137790f;" filled="f" stroked="t" coordsize="21600,21600" o:gfxdata="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YBrYL4A&#10;AADcAAAADwAAAAAAAAABACAAAAAiAAAAZHJzL2Rvd25yZXYueG1sUEsBAhQAFAAAAAgAh07iQDMv&#10;BZ47AAAAOQAAABAAAAAAAAAAAQAgAAAADQEAAGRycy9zaGFwZXhtbC54bWxQSwUGAAAAAAYABgBb&#10;AQAAtwMAAAAA&#10;">
                    <v:fill on="f" focussize="0,0"/>
                    <v:stroke weight="1.5pt" color="#000000" joinstyle="round" endarrow="open"/>
                    <v:imagedata o:title=""/>
                    <o:lock v:ext="edit" aspectratio="f"/>
                  </v:line>
                  <v:group id="组合 1807" o:spid="_x0000_s1026" o:spt="203" style="position:absolute;left:1946;top:9585;height:3481;width:7643;" coordorigin="1946,9585" coordsize="7643,3481" o:gfxdata="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UVO+EvwAAANwAAAAPAAAAAAAAAAEAIAAAACIAAABkcnMvZG93bnJldi54&#10;bWxQSwECFAAUAAAACACHTuJAMy8FnjsAAAA5AAAAFQAAAAAAAAABACAAAAAOAQAAZHJzL2dyb3Vw&#10;c2hhcGV4bWwueG1sUEsFBgAAAAAGAAYAYAEAAMsDAAAAAA==&#10;">
                    <o:lock v:ext="edit" aspectratio="f"/>
                    <v:line id="直线 1808" o:spid="_x0000_s1026" o:spt="20" style="position:absolute;left:4428;top:11188;flip:y;height:1658;width:1130;rotation:471658f;" filled="f" stroked="t" coordsize="21600,21600" o:gfxdata="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Ghin68AAAA&#10;3AAAAA8AAAAAAAAAAQAgAAAAIgAAAGRycy9kb3ducmV2LnhtbFBLAQIUABQAAAAIAIdO4kAzLwWe&#10;OwAAADkAAAAQAAAAAAAAAAEAIAAAAAsBAABkcnMvc2hhcGV4bWwueG1sUEsFBgAAAAAGAAYAWwEA&#10;ALUDAAAAAA==&#10;">
                      <v:fill on="f" focussize="0,0"/>
                      <v:stroke weight="1.5pt" color="#000000" joinstyle="round" endarrow="open"/>
                      <v:imagedata o:title=""/>
                      <o:lock v:ext="edit" aspectratio="f"/>
                    </v:line>
                    <v:group id="组合 1809" o:spid="_x0000_s1026" o:spt="203" style="position:absolute;left:2551;top:9585;height:3481;width:7038;" coordorigin="2522,9551" coordsize="7039,3481" o:gfxdata="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DTx0mu+AAAA3AAAAA8AAAAAAAAAAQAgAAAAIgAAAGRycy9kb3ducmV2Lnht&#10;bFBLAQIUABQAAAAIAIdO4kAzLwWeOwAAADkAAAAVAAAAAAAAAAEAIAAAAA0BAABkcnMvZ3JvdXBz&#10;aGFwZXhtbC54bWxQSwUGAAAAAAYABgBgAQAAygMAAAAA&#10;">
                      <o:lock v:ext="edit" aspectratio="f"/>
                      <v:shape id="自选图形 1810" o:spid="_x0000_s1026" o:spt="72" type="#_x0000_t72" style="position:absolute;left:8150;top:10127;height:1535;width:1411;" filled="f" stroked="t" coordsize="21600,21600" o:gfxdata="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9cvtC8AAAA&#10;3AAAAA8AAAAAAAAAAQAgAAAAIgAAAGRycy9kb3ducmV2LnhtbFBLAQIUABQAAAAIAIdO4kAzLwWe&#10;OwAAADkAAAAQAAAAAAAAAAEAIAAAAAsBAABkcnMvc2hhcGV4bWwueG1sUEsFBgAAAAAGAAYAWwEA&#10;ALUDAAAAAA==&#10;">
                        <v:fill on="f" focussize="0,0"/>
                        <v:stroke color="#000000" miterlimit="8" joinstyle="miter"/>
                        <v:imagedata o:title=""/>
                        <o:lock v:ext="edit" aspectratio="f"/>
                        <v:textbox inset="6.76803149606299pt,3.3840157480315pt,6.76803149606299pt,3.3840157480315pt">
                          <w:txbxContent>
                            <w:p w14:paraId="5F7DC168">
                              <w:pPr>
                                <w:spacing w:before="120" w:beforeLines="50"/>
                                <w:rPr>
                                  <w:rFonts w:ascii="宋体" w:hAnsi="宋体"/>
                                  <w:b w:val="0"/>
                                  <w:sz w:val="20"/>
                                  <w:szCs w:val="20"/>
                                </w:rPr>
                              </w:pPr>
                              <w:r>
                                <w:rPr>
                                  <w:rFonts w:hint="eastAsia" w:ascii="宋体" w:hAnsi="宋体"/>
                                  <w:b w:val="0"/>
                                  <w:sz w:val="20"/>
                                  <w:szCs w:val="20"/>
                                </w:rPr>
                                <w:t>爆</w:t>
                              </w:r>
                              <w:r>
                                <w:rPr>
                                  <w:rFonts w:ascii="宋体" w:hAnsi="宋体"/>
                                  <w:b w:val="0"/>
                                  <w:sz w:val="20"/>
                                  <w:szCs w:val="20"/>
                                </w:rPr>
                                <w:t xml:space="preserve">  </w:t>
                              </w:r>
                              <w:r>
                                <w:rPr>
                                  <w:rFonts w:hint="eastAsia" w:ascii="宋体" w:hAnsi="宋体"/>
                                  <w:b w:val="0"/>
                                  <w:sz w:val="20"/>
                                  <w:szCs w:val="20"/>
                                </w:rPr>
                                <w:t>炸</w:t>
                              </w:r>
                            </w:p>
                          </w:txbxContent>
                        </v:textbox>
                      </v:shape>
                      <v:line id="直线 1811" o:spid="_x0000_s1026" o:spt="20" style="position:absolute;left:2882;top:11008;flip:y;height:16;width:5469;" filled="f" stroked="t" coordsize="21600,21600" o:gfxdata="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re2qvQAA&#10;ANwAAAAPAAAAAAAAAAEAIAAAACIAAABkcnMvZG93bnJldi54bWxQSwECFAAUAAAACACHTuJAMy8F&#10;njsAAAA5AAAAEAAAAAAAAAABACAAAAAMAQAAZHJzL3NoYXBleG1sLnhtbFBLBQYAAAAABgAGAFsB&#10;AAC2AwAAAAA=&#10;">
                        <v:fill on="f" focussize="0,0"/>
                        <v:stroke weight="1.5pt" color="#000000" joinstyle="round" endarrow="block"/>
                        <v:imagedata o:title=""/>
                        <o:lock v:ext="edit" aspectratio="f"/>
                      </v:line>
                      <v:shape id="自选图形 1812" o:spid="_x0000_s1026" o:spt="106" type="#_x0000_t106" style="position:absolute;left:6789;top:10099;height:826;width:987;" filled="f" stroked="t" coordsize="21600,21600" o:gfxdata="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FhHLsAAADc&#10;AAAADwAAAAAAAAABACAAAAAiAAAAZHJzL2Rvd25yZXYueG1sUEsBAhQAFAAAAAgAh07iQDMvBZ47&#10;AAAAOQAAABAAAAAAAAAAAQAgAAAACgEAAGRycy9zaGFwZXhtbC54bWxQSwUGAAAAAAYABgBbAQAA&#10;tAMAAAAA&#10;" adj="1354,25915">
                        <v:fill on="f" focussize="0,0"/>
                        <v:stroke color="#000000" joinstyle="round"/>
                        <v:imagedata o:title=""/>
                        <o:lock v:ext="edit" aspectratio="f"/>
                        <v:textbox inset="6.76803149606299pt,3.3840157480315pt,6.76803149606299pt,3.3840157480315pt">
                          <w:txbxContent>
                            <w:p w14:paraId="2B308E1A">
                              <w:pPr>
                                <w:jc w:val="right"/>
                                <w:rPr>
                                  <w:rFonts w:ascii="宋体" w:hAnsi="宋体"/>
                                  <w:b w:val="0"/>
                                  <w:sz w:val="20"/>
                                  <w:szCs w:val="20"/>
                                </w:rPr>
                              </w:pPr>
                              <w:r>
                                <w:rPr>
                                  <w:rFonts w:hint="eastAsia" w:ascii="宋体" w:hAnsi="宋体"/>
                                  <w:b w:val="0"/>
                                  <w:sz w:val="20"/>
                                  <w:szCs w:val="20"/>
                                </w:rPr>
                                <w:t>着</w:t>
                              </w:r>
                              <w:r>
                                <w:rPr>
                                  <w:rFonts w:ascii="宋体" w:hAnsi="宋体"/>
                                  <w:b w:val="0"/>
                                  <w:color w:val="FF0000"/>
                                  <w:sz w:val="20"/>
                                  <w:szCs w:val="20"/>
                                </w:rPr>
                                <w:t xml:space="preserve"> </w:t>
                              </w:r>
                              <w:r>
                                <w:rPr>
                                  <w:rFonts w:hint="eastAsia" w:ascii="宋体" w:hAnsi="宋体"/>
                                  <w:b w:val="0"/>
                                  <w:sz w:val="20"/>
                                  <w:szCs w:val="20"/>
                                </w:rPr>
                                <w:t>火</w:t>
                              </w:r>
                            </w:p>
                          </w:txbxContent>
                        </v:textbox>
                      </v:shape>
                      <v:line id="直线 1813" o:spid="_x0000_s1026" o:spt="20" style="position:absolute;left:3699;top:9632;flip:y;height:757;width:505;rotation:-3669412f;" filled="f" stroked="t" coordsize="21600,21600" o:gfxdata="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U9bp28AAAA&#10;3AAAAA8AAAAAAAAAAQAgAAAAIgAAAGRycy9kb3ducmV2LnhtbFBLAQIUABQAAAAIAIdO4kAzLwWe&#10;OwAAADkAAAAQAAAAAAAAAAEAIAAAAAsBAABkcnMvc2hhcGV4bWwueG1sUEsFBgAAAAAGAAYAWwEA&#10;ALUDAAAAAA==&#10;">
                        <v:fill on="f" focussize="0,0"/>
                        <v:stroke weight="1.5pt" color="#000000" joinstyle="round" endarrow="open"/>
                        <v:imagedata o:title=""/>
                        <o:lock v:ext="edit" aspectratio="f"/>
                      </v:line>
                      <v:line id="直线 1814" o:spid="_x0000_s1026" o:spt="20" style="position:absolute;left:5169;top:9615;flip:y;height:757;width:506;rotation:-3669412f;" filled="f" stroked="t" coordsize="21600,21600" o:gfxdata="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RYJEb4A&#10;AADcAAAADwAAAAAAAAABACAAAAAiAAAAZHJzL2Rvd25yZXYueG1sUEsBAhQAFAAAAAgAh07iQDMv&#10;BZ47AAAAOQAAABAAAAAAAAAAAQAgAAAADQEAAGRycy9zaGFwZXhtbC54bWxQSwUGAAAAAAYABgBb&#10;AQAAtwMAAAAA&#10;">
                        <v:fill on="f" focussize="0,0"/>
                        <v:stroke weight="1.5pt" color="#000000" joinstyle="round" endarrow="open"/>
                        <v:imagedata o:title=""/>
                        <o:lock v:ext="edit" aspectratio="f"/>
                      </v:line>
                      <v:line id="直线 1815" o:spid="_x0000_s1026" o:spt="20" style="position:absolute;left:5648;top:11091;flip:y;height:1638;width:1092;rotation:471658f;" filled="f" stroked="t" coordsize="21600,21600" o:gfxdata="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qLG4i5AAAA3AAA&#10;AA8AAAAAAAAAAQAgAAAAIgAAAGRycy9kb3ducmV2LnhtbFBLAQIUABQAAAAIAIdO4kAzLwWeOwAA&#10;ADkAAAAQAAAAAAAAAAEAIAAAAAgBAABkcnMvc2hhcGV4bWwueG1sUEsFBgAAAAAGAAYAWwEAALID&#10;AAAAAA==&#10;">
                        <v:fill on="f" focussize="0,0"/>
                        <v:stroke weight="1.5pt" color="#000000" joinstyle="round" endarrow="open"/>
                        <v:imagedata o:title=""/>
                        <o:lock v:ext="edit" aspectratio="f"/>
                      </v:line>
                      <v:line id="直线 1816" o:spid="_x0000_s1026" o:spt="20" style="position:absolute;left:6330;top:11797;flip:y;height:974;width:650;rotation:8137790f;" filled="f" stroked="t" coordsize="21600,21600" o:gfxdata="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5l8NvQAA&#10;ANwAAAAPAAAAAAAAAAEAIAAAACIAAABkcnMvZG93bnJldi54bWxQSwECFAAUAAAACACHTuJAMy8F&#10;njsAAAA5AAAAEAAAAAAAAAABACAAAAAMAQAAZHJzL3NoYXBleG1sLnhtbFBLBQYAAAAABgAGAFsB&#10;AAC2AwAAAAA=&#10;">
                        <v:fill on="f" focussize="0,0"/>
                        <v:stroke weight="1.5pt" color="#000000" joinstyle="round" endarrow="open"/>
                        <v:imagedata o:title=""/>
                        <o:lock v:ext="edit" aspectratio="f"/>
                      </v:line>
                      <v:line id="直线 1817" o:spid="_x0000_s1026" o:spt="20" style="position:absolute;left:3973;top:11913;flip:y;height:843;width:546;rotation:-3669412f;" filled="f" stroked="t" coordsize="21600,21600" o:gfxdata="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7Xu3ugAAANwA&#10;AAAPAAAAAAAAAAEAIAAAACIAAABkcnMvZG93bnJldi54bWxQSwECFAAUAAAACACHTuJAMy8FnjsA&#10;AAA5AAAAEAAAAAAAAAABACAAAAAJAQAAZHJzL3NoYXBleG1sLnhtbFBLBQYAAAAABgAGAFsBAACz&#10;AwAAAAA=&#10;">
                        <v:fill on="f" focussize="0,0"/>
                        <v:stroke weight="1.5pt" color="#000000" joinstyle="round" endarrow="open"/>
                        <v:imagedata o:title=""/>
                        <o:lock v:ext="edit" aspectratio="f"/>
                      </v:line>
                      <v:line id="直线 1818" o:spid="_x0000_s1026" o:spt="20" style="position:absolute;left:2823;top:12213;flip:y;height:758;width:507;rotation:-3669412f;" filled="f" stroked="t" coordsize="21600,21600" o:gfxdata="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5cu/FvQAA&#10;ANwAAAAPAAAAAAAAAAEAIAAAACIAAABkcnMvZG93bnJldi54bWxQSwECFAAUAAAACACHTuJAMy8F&#10;njsAAAA5AAAAEAAAAAAAAAABACAAAAAMAQAAZHJzL3NoYXBleG1sLnhtbFBLBQYAAAAABgAGAFsB&#10;AAC2AwAAAAA=&#10;">
                        <v:fill on="f" focussize="0,0"/>
                        <v:stroke weight="1.5pt" color="#000000" joinstyle="round" endarrow="open"/>
                        <v:imagedata o:title=""/>
                        <o:lock v:ext="edit" aspectratio="f"/>
                      </v:line>
                      <v:line id="直线 1819" o:spid="_x0000_s1026" o:spt="20" style="position:absolute;left:5047;top:12031;flip:y;height:830;width:566;rotation:-3669412f;" filled="f" stroked="t" coordsize="21600,21600" o:gfxdata="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j5KXrsAAADc&#10;AAAADwAAAAAAAAABACAAAAAiAAAAZHJzL2Rvd25yZXYueG1sUEsBAhQAFAAAAAgAh07iQDMvBZ47&#10;AAAAOQAAABAAAAAAAAAAAQAgAAAACgEAAGRycy9zaGFwZXhtbC54bWxQSwUGAAAAAAYABgBbAQAA&#10;tAMAAAAA&#10;">
                        <v:fill on="f" focussize="0,0"/>
                        <v:stroke weight="1.5pt" color="#000000" joinstyle="round" endarrow="open"/>
                        <v:imagedata o:title=""/>
                        <o:lock v:ext="edit" aspectratio="f"/>
                      </v:line>
                      <v:line id="直线 1820" o:spid="_x0000_s1026" o:spt="20" style="position:absolute;left:6114;top:12170;flip:y;height:1029;width:694;rotation:8137790f;" filled="f" stroked="t" coordsize="21600,21600" o:gfxdata="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AmvQ/&#10;wAAAANwAAAAPAAAAAAAAAAEAIAAAACIAAABkcnMvZG93bnJldi54bWxQSwECFAAUAAAACACHTuJA&#10;My8FnjsAAAA5AAAAEAAAAAAAAAABACAAAAAPAQAAZHJzL3NoYXBleG1sLnhtbFBLBQYAAAAABgAG&#10;AFsBAAC5AwAAAAA=&#10;">
                        <v:fill on="f" focussize="0,0"/>
                        <v:stroke weight="1.5pt" color="#000000" joinstyle="round" endarrow="open"/>
                        <v:imagedata o:title=""/>
                        <o:lock v:ext="edit" aspectratio="f"/>
                      </v:line>
                      <v:rect id="矩形 1821" o:spid="_x0000_s1026" o:spt="1" style="position:absolute;left:6168;top:12299;height:367;width:1012;" fillcolor="#FFFFFF" filled="t" stroked="f" coordsize="21600,21600" o:gfxdata="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rFTnG8AAAA&#10;3AAAAA8AAAAAAAAAAQAgAAAAIgAAAGRycy9kb3ducmV2LnhtbFBLAQIUABQAAAAIAIdO4kAzLwWe&#10;OwAAADkAAAAQAAAAAAAAAAEAIAAAAAsBAABkcnMvc2hhcGV4bWwueG1sUEsFBgAAAAAGAAYAWwEA&#10;ALUDAAAAAA==&#10;">
                        <v:fill on="t" opacity="0f" focussize="0,0"/>
                        <v:stroke on="f"/>
                        <v:imagedata o:title=""/>
                        <o:lock v:ext="edit" aspectratio="f"/>
                        <v:textbox inset="6.76803149606299pt,3.3840157480315pt,6.76803149606299pt,3.3840157480315pt">
                          <w:txbxContent>
                            <w:p w14:paraId="5DFCBB33">
                              <w:pPr>
                                <w:jc w:val="center"/>
                                <w:rPr>
                                  <w:rFonts w:ascii="宋体" w:hAnsi="宋体"/>
                                  <w:b w:val="0"/>
                                  <w:sz w:val="20"/>
                                  <w:szCs w:val="20"/>
                                </w:rPr>
                              </w:pPr>
                              <w:r>
                                <w:rPr>
                                  <w:rFonts w:hint="eastAsia" w:ascii="宋体" w:hAnsi="宋体"/>
                                  <w:b w:val="0"/>
                                  <w:sz w:val="20"/>
                                  <w:szCs w:val="20"/>
                                </w:rPr>
                                <w:t>吸湿受潮</w:t>
                              </w:r>
                            </w:p>
                          </w:txbxContent>
                        </v:textbox>
                      </v:rect>
                      <v:line id="直线 1822" o:spid="_x0000_s1026" o:spt="20" style="position:absolute;left:3091;top:11706;flip:y;height:757;width:506;rotation:-3669412f;" filled="f" stroked="t" coordsize="21600,21600" o:gfxdata="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dQ07yugAAANwA&#10;AAAPAAAAAAAAAAEAIAAAACIAAABkcnMvZG93bnJldi54bWxQSwECFAAUAAAACACHTuJAMy8FnjsA&#10;AAA5AAAAEAAAAAAAAAABACAAAAAJAQAAZHJzL3NoYXBleG1sLnhtbFBLBQYAAAAABgAGAFsBAACz&#10;AwAAAAA=&#10;">
                        <v:fill on="f" focussize="0,0"/>
                        <v:stroke weight="1.5pt" color="#000000" joinstyle="round" endarrow="open"/>
                        <v:imagedata o:title=""/>
                        <o:lock v:ext="edit" aspectratio="f"/>
                      </v:line>
                      <v:rect id="矩形 1823" o:spid="_x0000_s1026" o:spt="1" style="position:absolute;left:5801;top:10337;height:367;width:624;" fillcolor="#FFFFFF" filled="t" stroked="f" coordsize="21600,21600" o:gfxdata="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Vt1nbsAAADc&#10;AAAADwAAAAAAAAABACAAAAAiAAAAZHJzL2Rvd25yZXYueG1sUEsBAhQAFAAAAAgAh07iQDMvBZ47&#10;AAAAOQAAABAAAAAAAAAAAQAgAAAACgEAAGRycy9zaGFwZXhtbC54bWxQSwUGAAAAAAYABgBbAQAA&#10;tAMAAAAA&#10;">
                        <v:fill on="t" opacity="0f" focussize="0,0"/>
                        <v:stroke on="f"/>
                        <v:imagedata o:title=""/>
                        <o:lock v:ext="edit" aspectratio="f"/>
                        <v:textbox inset="6.76803149606299pt,3.3840157480315pt,6.76803149606299pt,3.3840157480315pt">
                          <w:txbxContent>
                            <w:p w14:paraId="3C099DE0">
                              <w:pPr>
                                <w:jc w:val="center"/>
                                <w:rPr>
                                  <w:rFonts w:ascii="宋体" w:hAnsi="宋体"/>
                                  <w:b w:val="0"/>
                                  <w:sz w:val="20"/>
                                  <w:szCs w:val="20"/>
                                </w:rPr>
                              </w:pPr>
                              <w:r>
                                <w:rPr>
                                  <w:rFonts w:hint="eastAsia" w:ascii="宋体" w:hAnsi="宋体"/>
                                  <w:b w:val="0"/>
                                  <w:sz w:val="20"/>
                                  <w:szCs w:val="20"/>
                                </w:rPr>
                                <w:t>自燃</w:t>
                              </w:r>
                            </w:p>
                          </w:txbxContent>
                        </v:textbox>
                      </v:rect>
                      <v:rect id="矩形 1824" o:spid="_x0000_s1026" o:spt="1" style="position:absolute;left:4915;top:9551;height:367;width:733;" fillcolor="#FFFFFF" filled="t" stroked="f" coordsize="21600,21600" o:gfxdata="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qy7em8AAAA&#10;3AAAAA8AAAAAAAAAAQAgAAAAIgAAAGRycy9kb3ducmV2LnhtbFBLAQIUABQAAAAIAIdO4kAzLwWe&#10;OwAAADkAAAAQAAAAAAAAAAEAIAAAAAsBAABkcnMvc2hhcGV4bWwueG1sUEsFBgAAAAAGAAYAWwEA&#10;ALUDAAAAAA==&#10;">
                        <v:fill on="t" opacity="0f" focussize="0,0"/>
                        <v:stroke on="f"/>
                        <v:imagedata o:title=""/>
                        <o:lock v:ext="edit" aspectratio="f"/>
                        <v:textbox inset="6.76803149606299pt,3.3840157480315pt,6.76803149606299pt,3.3840157480315pt">
                          <w:txbxContent>
                            <w:p w14:paraId="077FF4B4">
                              <w:pPr>
                                <w:jc w:val="center"/>
                                <w:rPr>
                                  <w:rFonts w:ascii="宋体" w:hAnsi="宋体"/>
                                  <w:b w:val="0"/>
                                  <w:sz w:val="20"/>
                                  <w:szCs w:val="20"/>
                                </w:rPr>
                              </w:pPr>
                              <w:r>
                                <w:rPr>
                                  <w:rFonts w:hint="eastAsia" w:ascii="宋体" w:hAnsi="宋体"/>
                                  <w:b w:val="0"/>
                                  <w:sz w:val="20"/>
                                  <w:szCs w:val="20"/>
                                </w:rPr>
                                <w:t>热分解</w:t>
                              </w:r>
                            </w:p>
                          </w:txbxContent>
                        </v:textbox>
                      </v:rect>
                      <v:rect id="矩形 1825" o:spid="_x0000_s1026" o:spt="1" style="position:absolute;left:4114;top:10264;height:367;width:930;" fillcolor="#FFFFFF" filled="t" stroked="f" coordsize="21600,21600" o:gfxdata="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X+SHK8AAAA&#10;3AAAAA8AAAAAAAAAAQAgAAAAIgAAAGRycy9kb3ducmV2LnhtbFBLAQIUABQAAAAIAIdO4kAzLwWe&#10;OwAAADkAAAAQAAAAAAAAAAEAIAAAAAsBAABkcnMvc2hhcGV4bWwueG1sUEsFBgAAAAAGAAYAWwEA&#10;ALUDAAAAAA==&#10;">
                        <v:fill on="t" opacity="0f" focussize="0,0"/>
                        <v:stroke on="f"/>
                        <v:imagedata o:title=""/>
                        <o:lock v:ext="edit" aspectratio="f"/>
                        <v:textbox inset="6.76803149606299pt,3.3840157480315pt,6.76803149606299pt,3.3840157480315pt">
                          <w:txbxContent>
                            <w:p w14:paraId="250A99A6">
                              <w:pPr>
                                <w:jc w:val="center"/>
                                <w:rPr>
                                  <w:rFonts w:ascii="宋体" w:hAnsi="宋体"/>
                                  <w:b w:val="0"/>
                                  <w:sz w:val="20"/>
                                  <w:szCs w:val="20"/>
                                </w:rPr>
                              </w:pPr>
                              <w:r>
                                <w:rPr>
                                  <w:rFonts w:hint="eastAsia" w:ascii="宋体" w:hAnsi="宋体"/>
                                  <w:b w:val="0"/>
                                  <w:sz w:val="20"/>
                                  <w:szCs w:val="20"/>
                                </w:rPr>
                                <w:t>摩擦撞击</w:t>
                              </w:r>
                            </w:p>
                          </w:txbxContent>
                        </v:textbox>
                      </v:rect>
                      <v:rect id="矩形 1826" o:spid="_x0000_s1026" o:spt="1" style="position:absolute;left:4781;top:11421;height:367;width:777;" fillcolor="#FFFFFF" filled="t" stroked="f" coordsize="21600,21600" o:gfxdata="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WYyULsAAADc&#10;AAAADwAAAAAAAAABACAAAAAiAAAAZHJzL2Rvd25yZXYueG1sUEsBAhQAFAAAAAgAh07iQDMvBZ47&#10;AAAAOQAAABAAAAAAAAAAAQAgAAAACgEAAGRycy9zaGFwZXhtbC54bWxQSwUGAAAAAAYABgBbAQAA&#10;tAMAAAAA&#10;">
                        <v:fill on="t" opacity="0f" focussize="0,0"/>
                        <v:stroke on="f"/>
                        <v:imagedata o:title=""/>
                        <o:lock v:ext="edit" aspectratio="f"/>
                        <v:textbox inset="6.76803149606299pt,3.3840157480315pt,6.76803149606299pt,3.3840157480315pt">
                          <w:txbxContent>
                            <w:p w14:paraId="1AACB9AD">
                              <w:pPr>
                                <w:jc w:val="center"/>
                                <w:rPr>
                                  <w:rFonts w:ascii="宋体" w:hAnsi="宋体"/>
                                  <w:b w:val="0"/>
                                  <w:sz w:val="20"/>
                                  <w:szCs w:val="20"/>
                                </w:rPr>
                              </w:pPr>
                              <w:r>
                                <w:rPr>
                                  <w:rFonts w:hint="eastAsia" w:ascii="宋体" w:hAnsi="宋体"/>
                                  <w:b w:val="0"/>
                                  <w:sz w:val="20"/>
                                  <w:szCs w:val="20"/>
                                </w:rPr>
                                <w:t>雷击</w:t>
                              </w:r>
                            </w:p>
                          </w:txbxContent>
                        </v:textbox>
                      </v:rect>
                      <v:rect id="矩形 1827" o:spid="_x0000_s1026" o:spt="1" style="position:absolute;left:5801;top:11421;height:367;width:988;" fillcolor="#FFFFFF" filled="t" stroked="f" coordsize="21600,21600" o:gfxdata="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WFDRC/&#10;AAAA3AAAAA8AAAAAAAAAAQAgAAAAIgAAAGRycy9kb3ducmV2LnhtbFBLAQIUABQAAAAIAIdO4kAz&#10;LwWeOwAAADkAAAAQAAAAAAAAAAEAIAAAAA4BAABkcnMvc2hhcGV4bWwueG1sUEsFBgAAAAAGAAYA&#10;WwEAALgDAAAAAA==&#10;">
                        <v:fill on="t" opacity="0f" focussize="0,0"/>
                        <v:stroke on="f"/>
                        <v:imagedata o:title=""/>
                        <o:lock v:ext="edit" aspectratio="f"/>
                        <v:textbox inset="6.76803149606299pt,3.3840157480315pt,6.76803149606299pt,3.3840157480315pt">
                          <w:txbxContent>
                            <w:p w14:paraId="21A7B0A0">
                              <w:pPr>
                                <w:jc w:val="center"/>
                                <w:rPr>
                                  <w:rFonts w:ascii="宋体" w:hAnsi="宋体"/>
                                  <w:b w:val="0"/>
                                  <w:sz w:val="20"/>
                                  <w:szCs w:val="20"/>
                                </w:rPr>
                              </w:pPr>
                              <w:r>
                                <w:rPr>
                                  <w:rFonts w:hint="eastAsia" w:ascii="宋体" w:hAnsi="宋体"/>
                                  <w:b w:val="0"/>
                                  <w:sz w:val="20"/>
                                  <w:szCs w:val="20"/>
                                </w:rPr>
                                <w:t>化学反应</w:t>
                              </w:r>
                            </w:p>
                          </w:txbxContent>
                        </v:textbox>
                      </v:rect>
                      <v:rect id="矩形 1828" o:spid="_x0000_s1026" o:spt="1" style="position:absolute;left:3674;top:11421;height:367;width:700;" fillcolor="#FFFFFF" filled="t" stroked="f" coordsize="21600,21600" o:gfxdata="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rJqIu8AAAA&#10;3AAAAA8AAAAAAAAAAQAgAAAAIgAAAGRycy9kb3ducmV2LnhtbFBLAQIUABQAAAAIAIdO4kAzLwWe&#10;OwAAADkAAAAQAAAAAAAAAAEAIAAAAAsBAABkcnMvc2hhcGV4bWwueG1sUEsFBgAAAAAGAAYAWwEA&#10;ALUDAAAAAA==&#10;">
                        <v:fill on="t" opacity="0f" focussize="0,0"/>
                        <v:stroke on="f"/>
                        <v:imagedata o:title=""/>
                        <o:lock v:ext="edit" aspectratio="f"/>
                        <v:textbox inset="6.76803149606299pt,3.3840157480315pt,6.76803149606299pt,3.3840157480315pt">
                          <w:txbxContent>
                            <w:p w14:paraId="4B2FBF48">
                              <w:pPr>
                                <w:jc w:val="center"/>
                                <w:rPr>
                                  <w:rFonts w:ascii="宋体" w:hAnsi="宋体"/>
                                  <w:b w:val="0"/>
                                  <w:sz w:val="20"/>
                                  <w:szCs w:val="20"/>
                                </w:rPr>
                              </w:pPr>
                              <w:r>
                                <w:rPr>
                                  <w:rFonts w:hint="eastAsia" w:ascii="宋体" w:hAnsi="宋体"/>
                                  <w:b w:val="0"/>
                                  <w:sz w:val="20"/>
                                  <w:szCs w:val="20"/>
                                </w:rPr>
                                <w:t>明火</w:t>
                              </w:r>
                            </w:p>
                          </w:txbxContent>
                        </v:textbox>
                      </v:rect>
                      <v:rect id="矩形 1829" o:spid="_x0000_s1026" o:spt="1" style="position:absolute;left:2522;top:11421;height:367;width:935;" fillcolor="#FFFFFF" filled="t" stroked="f" coordsize="21600,21600" o:gfxdata="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UNrT2/&#10;AAAA3AAAAA8AAAAAAAAAAQAgAAAAIgAAAGRycy9kb3ducmV2LnhtbFBLAQIUABQAAAAIAIdO4kAz&#10;LwWeOwAAADkAAAAQAAAAAAAAAAEAIAAAAA4BAABkcnMvc2hhcGV4bWwueG1sUEsFBgAAAAAGAAYA&#10;WwEAALgDAAAAAA==&#10;">
                        <v:fill on="t" opacity="0f" focussize="0,0"/>
                        <v:stroke on="f"/>
                        <v:imagedata o:title=""/>
                        <o:lock v:ext="edit" aspectratio="f"/>
                        <v:textbox inset="6.76803149606299pt,3.3840157480315pt,6.76803149606299pt,3.3840157480315pt">
                          <w:txbxContent>
                            <w:p w14:paraId="734CF009">
                              <w:pPr>
                                <w:jc w:val="center"/>
                                <w:rPr>
                                  <w:rFonts w:ascii="宋体" w:hAnsi="宋体"/>
                                  <w:b w:val="0"/>
                                  <w:sz w:val="20"/>
                                  <w:szCs w:val="20"/>
                                </w:rPr>
                              </w:pPr>
                              <w:r>
                                <w:rPr>
                                  <w:rFonts w:hint="eastAsia" w:ascii="宋体" w:hAnsi="宋体"/>
                                  <w:b w:val="0"/>
                                  <w:sz w:val="20"/>
                                  <w:szCs w:val="20"/>
                                </w:rPr>
                                <w:t>静电火花</w:t>
                              </w:r>
                            </w:p>
                          </w:txbxContent>
                        </v:textbox>
                      </v:rect>
                      <v:rect id="矩形 1830" o:spid="_x0000_s1026" o:spt="1" style="position:absolute;left:2699;top:10264;height:367;width:635;" fillcolor="#FFFFFF" filled="t" stroked="f" coordsize="21600,21600" o:gfxdata="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pBCKa/&#10;AAAA3AAAAA8AAAAAAAAAAQAgAAAAIgAAAGRycy9kb3ducmV2LnhtbFBLAQIUABQAAAAIAIdO4kAz&#10;LwWeOwAAADkAAAAQAAAAAAAAAAEAIAAAAA4BAABkcnMvc2hhcGV4bWwueG1sUEsFBgAAAAAGAAYA&#10;WwEAALgDAAAAAA==&#10;">
                        <v:fill on="t" opacity="0f" focussize="0,0"/>
                        <v:stroke on="f"/>
                        <v:imagedata o:title=""/>
                        <o:lock v:ext="edit" aspectratio="f"/>
                        <v:textbox inset="6.76803149606299pt,3.3840157480315pt,6.76803149606299pt,3.3840157480315pt">
                          <w:txbxContent>
                            <w:p w14:paraId="54C5D19C">
                              <w:pPr>
                                <w:jc w:val="center"/>
                                <w:rPr>
                                  <w:rFonts w:ascii="宋体" w:hAnsi="宋体"/>
                                  <w:b w:val="0"/>
                                  <w:sz w:val="20"/>
                                  <w:szCs w:val="20"/>
                                </w:rPr>
                              </w:pPr>
                              <w:r>
                                <w:rPr>
                                  <w:rFonts w:hint="eastAsia" w:ascii="宋体" w:hAnsi="宋体"/>
                                  <w:b w:val="0"/>
                                  <w:sz w:val="20"/>
                                  <w:szCs w:val="20"/>
                                </w:rPr>
                                <w:t>高温</w:t>
                              </w:r>
                            </w:p>
                          </w:txbxContent>
                        </v:textbox>
                      </v:rect>
                      <v:rect id="矩形 1831" o:spid="_x0000_s1026" o:spt="1" style="position:absolute;left:6276;top:11849;height:367;width:1036;" fillcolor="#FFFFFF" filled="t" stroked="f" coordsize="21600,21600" o:gfxdata="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3pzUugAAANwA&#10;AAAPAAAAAAAAAAEAIAAAACIAAABkcnMvZG93bnJldi54bWxQSwECFAAUAAAACACHTuJAMy8FnjsA&#10;AAA5AAAAEAAAAAAAAAABACAAAAAJAQAAZHJzL3NoYXBleG1sLnhtbFBLBQYAAAAABgAGAFsBAACz&#10;AwAAAAA=&#10;">
                        <v:fill on="t" opacity="0f" focussize="0,0"/>
                        <v:stroke on="f"/>
                        <v:imagedata o:title=""/>
                        <o:lock v:ext="edit" aspectratio="f"/>
                        <v:textbox inset="6.76803149606299pt,3.3840157480315pt,6.76803149606299pt,3.3840157480315pt">
                          <w:txbxContent>
                            <w:p w14:paraId="3E0AE4A6">
                              <w:pPr>
                                <w:jc w:val="center"/>
                                <w:rPr>
                                  <w:rFonts w:ascii="宋体" w:hAnsi="宋体"/>
                                  <w:b w:val="0"/>
                                  <w:sz w:val="20"/>
                                  <w:szCs w:val="20"/>
                                </w:rPr>
                              </w:pPr>
                              <w:r>
                                <w:rPr>
                                  <w:rFonts w:hint="eastAsia" w:ascii="宋体" w:hAnsi="宋体"/>
                                  <w:b w:val="0"/>
                                  <w:sz w:val="20"/>
                                  <w:szCs w:val="20"/>
                                </w:rPr>
                                <w:t>接触反应</w:t>
                              </w:r>
                            </w:p>
                          </w:txbxContent>
                        </v:textbox>
                      </v:rect>
                      <v:rect id="矩形 1832" o:spid="_x0000_s1026" o:spt="1" style="position:absolute;left:2699;top:12164;height:335;width:593;" fillcolor="#FFFFFF" filled="t" stroked="f" coordsize="21600,21600" o:gfxdata="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JI5T74A&#10;AADcAAAADwAAAAAAAAABACAAAAAiAAAAZHJzL2Rvd25yZXYueG1sUEsBAhQAFAAAAAgAh07iQDMv&#10;BZ47AAAAOQAAABAAAAAAAAAAAQAgAAAADQEAAGRycy9zaGFwZXhtbC54bWxQSwUGAAAAAAYABgBb&#10;AQAAtwMAAAAA&#10;">
                        <v:fill on="t" opacity="0f" focussize="0,0"/>
                        <v:stroke on="f"/>
                        <v:imagedata o:title=""/>
                        <o:lock v:ext="edit" aspectratio="f"/>
                        <v:textbox inset="6.76803149606299pt,3.3840157480315pt,6.76803149606299pt,3.3840157480315pt">
                          <w:txbxContent>
                            <w:p w14:paraId="1F657A17">
                              <w:pPr>
                                <w:jc w:val="center"/>
                                <w:rPr>
                                  <w:rFonts w:ascii="宋体" w:hAnsi="宋体"/>
                                  <w:b w:val="0"/>
                                  <w:sz w:val="20"/>
                                  <w:szCs w:val="20"/>
                                </w:rPr>
                              </w:pPr>
                              <w:r>
                                <w:rPr>
                                  <w:rFonts w:hint="eastAsia" w:ascii="宋体" w:hAnsi="宋体"/>
                                  <w:b w:val="0"/>
                                  <w:sz w:val="20"/>
                                  <w:szCs w:val="20"/>
                                </w:rPr>
                                <w:t>吸烟</w:t>
                              </w:r>
                            </w:p>
                          </w:txbxContent>
                        </v:textbox>
                      </v:rect>
                      <v:rect id="矩形 1833" o:spid="_x0000_s1026" o:spt="1" style="position:absolute;left:2966;top:11719;height:315;width:777;" fillcolor="#FFFFFF" filled="t" stroked="f" coordsize="21600,21600" o:gfxdata="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2u46+8AAAA&#10;3AAAAA8AAAAAAAAAAQAgAAAAIgAAAGRycy9kb3ducmV2LnhtbFBLAQIUABQAAAAIAIdO4kAzLwWe&#10;OwAAADkAAAAQAAAAAAAAAAEAIAAAAAsBAABkcnMvc2hhcGV4bWwueG1sUEsFBgAAAAAGAAYAWwEA&#10;ALUDAAAAAA==&#10;">
                        <v:fill on="t" opacity="0f" focussize="0,0"/>
                        <v:stroke on="f"/>
                        <v:imagedata o:title=""/>
                        <o:lock v:ext="edit" aspectratio="f"/>
                        <v:textbox inset="6.76803149606299pt,3.3840157480315pt,6.76803149606299pt,3.3840157480315pt">
                          <w:txbxContent>
                            <w:p w14:paraId="3DF8E78F">
                              <w:pPr>
                                <w:jc w:val="center"/>
                                <w:rPr>
                                  <w:rFonts w:ascii="宋体" w:hAnsi="宋体"/>
                                  <w:b w:val="0"/>
                                  <w:sz w:val="20"/>
                                  <w:szCs w:val="20"/>
                                </w:rPr>
                              </w:pPr>
                              <w:r>
                                <w:rPr>
                                  <w:rFonts w:hint="eastAsia" w:ascii="宋体" w:hAnsi="宋体"/>
                                  <w:b w:val="0"/>
                                  <w:sz w:val="20"/>
                                  <w:szCs w:val="20"/>
                                </w:rPr>
                                <w:t>电火花</w:t>
                              </w:r>
                            </w:p>
                          </w:txbxContent>
                        </v:textbox>
                      </v:rect>
                      <v:rect id="矩形 1834" o:spid="_x0000_s1026" o:spt="1" style="position:absolute;left:3916;top:11959;height:315;width:933;" fillcolor="#FFFFFF" filled="t" stroked="f" coordsize="21600,21600" o:gfxdata="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LiRjS/&#10;AAAA3AAAAA8AAAAAAAAAAQAgAAAAIgAAAGRycy9kb3ducmV2LnhtbFBLAQIUABQAAAAIAIdO4kAz&#10;LwWeOwAAADkAAAAQAAAAAAAAAAEAIAAAAA4BAABkcnMvc2hhcGV4bWwueG1sUEsFBgAAAAAGAAYA&#10;WwEAALgDAAAAAA==&#10;">
                        <v:fill on="t" opacity="0f" focussize="0,0"/>
                        <v:stroke on="f"/>
                        <v:imagedata o:title=""/>
                        <o:lock v:ext="edit" aspectratio="f"/>
                        <v:textbox inset="6.76803149606299pt,3.3840157480315pt,6.76803149606299pt,3.3840157480315pt">
                          <w:txbxContent>
                            <w:p w14:paraId="07F93142">
                              <w:pPr>
                                <w:jc w:val="center"/>
                                <w:rPr>
                                  <w:rFonts w:ascii="宋体" w:hAnsi="宋体"/>
                                  <w:b w:val="0"/>
                                  <w:sz w:val="20"/>
                                  <w:szCs w:val="20"/>
                                </w:rPr>
                              </w:pPr>
                              <w:r>
                                <w:rPr>
                                  <w:rFonts w:hint="eastAsia" w:ascii="宋体" w:hAnsi="宋体"/>
                                  <w:b w:val="0"/>
                                  <w:sz w:val="20"/>
                                  <w:szCs w:val="20"/>
                                </w:rPr>
                                <w:t>环境因素</w:t>
                              </w:r>
                            </w:p>
                          </w:txbxContent>
                        </v:textbox>
                      </v:rect>
                      <v:rect id="矩形 1835" o:spid="_x0000_s1026" o:spt="1" style="position:absolute;left:3674;top:12372;height:357;width:906;" fillcolor="#FFFFFF" filled="t" stroked="f" coordsize="21600,21600" o:gfxdata="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Iw2EO/&#10;AAAA3AAAAA8AAAAAAAAAAQAgAAAAIgAAAGRycy9kb3ducmV2LnhtbFBLAQIUABQAAAAIAIdO4kAz&#10;LwWeOwAAADkAAAAQAAAAAAAAAAEAIAAAAA4BAABkcnMvc2hhcGV4bWwueG1sUEsFBgAAAAAGAAYA&#10;WwEAALgDAAAAAA==&#10;">
                        <v:fill on="t" opacity="0f" focussize="0,0"/>
                        <v:stroke on="f"/>
                        <v:imagedata o:title=""/>
                        <o:lock v:ext="edit" aspectratio="f"/>
                        <v:textbox inset="6.76803149606299pt,3.3840157480315pt,6.76803149606299pt,3.3840157480315pt">
                          <w:txbxContent>
                            <w:p w14:paraId="3E9BAEB7">
                              <w:pPr>
                                <w:jc w:val="center"/>
                                <w:rPr>
                                  <w:rFonts w:ascii="宋体" w:hAnsi="宋体"/>
                                  <w:b w:val="0"/>
                                  <w:sz w:val="20"/>
                                  <w:szCs w:val="20"/>
                                </w:rPr>
                              </w:pPr>
                              <w:r>
                                <w:rPr>
                                  <w:rFonts w:hint="eastAsia" w:ascii="宋体" w:hAnsi="宋体"/>
                                  <w:b w:val="0"/>
                                  <w:sz w:val="20"/>
                                  <w:szCs w:val="20"/>
                                </w:rPr>
                                <w:t>其它火源</w:t>
                              </w:r>
                            </w:p>
                          </w:txbxContent>
                        </v:textbox>
                      </v:rect>
                      <v:rect id="矩形 1836" o:spid="_x0000_s1026" o:spt="1" style="position:absolute;left:5044;top:12034;height:338;width:903;" fillcolor="#FFFFFF" filled="t" stroked="f" coordsize="21600,21600" o:gfxdata="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Xx92L4A&#10;AADcAAAADwAAAAAAAAABACAAAAAiAAAAZHJzL2Rvd25yZXYueG1sUEsBAhQAFAAAAAgAh07iQDMv&#10;BZ47AAAAOQAAABAAAAAAAAAAAQAgAAAADQEAAGRycy9zaGFwZXhtbC54bWxQSwUGAAAAAAYABgBb&#10;AQAAtwMAAAAA&#10;">
                        <v:fill on="t" opacity="0f" focussize="0,0"/>
                        <v:stroke on="f"/>
                        <v:imagedata o:title=""/>
                        <o:lock v:ext="edit" aspectratio="f"/>
                        <v:textbox inset="6.76803149606299pt,3.3840157480315pt,6.76803149606299pt,3.3840157480315pt">
                          <w:txbxContent>
                            <w:p w14:paraId="76B71C5D">
                              <w:pPr>
                                <w:jc w:val="center"/>
                                <w:rPr>
                                  <w:rFonts w:ascii="宋体" w:hAnsi="宋体"/>
                                  <w:b w:val="0"/>
                                  <w:sz w:val="20"/>
                                  <w:szCs w:val="20"/>
                                </w:rPr>
                              </w:pPr>
                              <w:r>
                                <w:rPr>
                                  <w:rFonts w:hint="eastAsia" w:ascii="宋体" w:hAnsi="宋体"/>
                                  <w:b w:val="0"/>
                                  <w:sz w:val="20"/>
                                  <w:szCs w:val="20"/>
                                </w:rPr>
                                <w:t>混存混放</w:t>
                              </w:r>
                            </w:p>
                          </w:txbxContent>
                        </v:textbox>
                      </v:rect>
                      <v:rect id="矩形 1837" o:spid="_x0000_s1026" o:spt="1" style="position:absolute;left:3186;top:9619;height:367;width:928;" fillcolor="#FFFFFF" filled="t" stroked="f" coordsize="21600,21600" o:gfxdata="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pXlrL4A&#10;AADcAAAADwAAAAAAAAABACAAAAAiAAAAZHJzL2Rvd25yZXYueG1sUEsBAhQAFAAAAAgAh07iQDMv&#10;BZ47AAAAOQAAABAAAAAAAAAAAQAgAAAADQEAAGRycy9zaGFwZXhtbC54bWxQSwUGAAAAAAYABgBb&#10;AQAAtwMAAAAA&#10;">
                        <v:fill on="t" opacity="0f" focussize="0,0"/>
                        <v:stroke on="f"/>
                        <v:imagedata o:title=""/>
                        <o:lock v:ext="edit" aspectratio="f"/>
                        <v:textbox inset="6.76803149606299pt,3.3840157480315pt,6.76803149606299pt,3.3840157480315pt">
                          <w:txbxContent>
                            <w:p w14:paraId="2796FF29">
                              <w:pPr>
                                <w:jc w:val="center"/>
                                <w:rPr>
                                  <w:rFonts w:ascii="宋体" w:hAnsi="宋体"/>
                                  <w:b w:val="0"/>
                                  <w:sz w:val="20"/>
                                  <w:szCs w:val="20"/>
                                </w:rPr>
                              </w:pPr>
                              <w:r>
                                <w:rPr>
                                  <w:rFonts w:hint="eastAsia" w:ascii="宋体" w:hAnsi="宋体"/>
                                  <w:b w:val="0"/>
                                  <w:sz w:val="20"/>
                                  <w:szCs w:val="20"/>
                                </w:rPr>
                                <w:t>硬质工具</w:t>
                              </w:r>
                            </w:p>
                          </w:txbxContent>
                        </v:textbox>
                      </v:rect>
                    </v:group>
                    <v:group id="组合 1838" o:spid="_x0000_s1026" o:spt="203" style="position:absolute;left:1946;top:10717;height:2080;width:1392;" coordorigin="1946,10717" coordsize="1392,2080" o:gfxdata="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vcxFccAAAADcAAAADwAAAAAAAAABACAAAAAiAAAAZHJzL2Rvd25yZXYu&#10;eG1sUEsBAhQAFAAAAAgAh07iQDMvBZ47AAAAOQAAABUAAAAAAAAAAQAgAAAADwEAAGRycy9ncm91&#10;cHNoYXBleG1sLnhtbFBLBQYAAAAABgAGAGABAADMAwAAAAA=&#10;">
                      <o:lock v:ext="edit" aspectratio="f"/>
                      <v:line id="直线 1839" o:spid="_x0000_s1026" o:spt="20" style="position:absolute;left:2234;top:11161;flip:y;height:1636;width:1104;rotation:471658f;" filled="f" stroked="t" coordsize="21600,21600" o:gfxdata="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enG2e8AAAA&#10;3AAAAA8AAAAAAAAAAQAgAAAAIgAAAGRycy9kb3ducmV2LnhtbFBLAQIUABQAAAAIAIdO4kAzLwWe&#10;OwAAADkAAAAQAAAAAAAAAAEAIAAAAAsBAABkcnMvc2hhcGV4bWwueG1sUEsFBgAAAAAGAAYAWwEA&#10;ALUDAAAAAA==&#10;">
                        <v:fill on="f" focussize="0,0"/>
                        <v:stroke weight="1.5pt" color="#000000" joinstyle="round" endarrow="open"/>
                        <v:imagedata o:title=""/>
                        <o:lock v:ext="edit" aspectratio="f"/>
                      </v:line>
                      <v:rect id="矩形 1840" o:spid="_x0000_s1026" o:spt="1" style="position:absolute;left:1946;top:10717;height:595;width:1168;" fillcolor="#FFFFFF" filled="t" stroked="f" coordsize="21600,21600" o:gfxdata="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ynsty/&#10;AAAA3AAAAA8AAAAAAAAAAQAgAAAAIgAAAGRycy9kb3ducmV2LnhtbFBLAQIUABQAAAAIAIdO4kAz&#10;LwWeOwAAADkAAAAQAAAAAAAAAAEAIAAAAA4BAABkcnMvc2hhcGV4bWwueG1sUEsFBgAAAAAGAAYA&#10;WwEAALgDAAAAAA==&#10;">
                        <v:fill on="t" opacity="0f" focussize="0,0"/>
                        <v:stroke on="f"/>
                        <v:imagedata o:title=""/>
                        <o:lock v:ext="edit" aspectratio="f"/>
                        <v:textbox>
                          <w:txbxContent>
                            <w:p w14:paraId="255527EF">
                              <w:pPr>
                                <w:jc w:val="center"/>
                                <w:rPr>
                                  <w:rFonts w:ascii="宋体" w:hAnsi="宋体"/>
                                  <w:b w:val="0"/>
                                  <w:sz w:val="20"/>
                                  <w:szCs w:val="20"/>
                                </w:rPr>
                              </w:pPr>
                              <w:r>
                                <w:rPr>
                                  <w:rFonts w:hint="eastAsia" w:ascii="宋体" w:hAnsi="宋体"/>
                                  <w:b w:val="0"/>
                                  <w:sz w:val="20"/>
                                  <w:szCs w:val="20"/>
                                </w:rPr>
                                <w:t>成品、半成品（含烟火药）</w:t>
                              </w:r>
                            </w:p>
                          </w:txbxContent>
                        </v:textbox>
                      </v:rect>
                    </v:group>
                  </v:group>
                </v:group>
              </v:group>
            </w:pict>
          </mc:Fallback>
        </mc:AlternateContent>
      </w:r>
      <w:r>
        <w:rPr>
          <w:rFonts w:ascii="宋体" w:hAnsi="宋体"/>
          <w:b w:val="0"/>
          <w:sz w:val="28"/>
        </w:rPr>
        <mc:AlternateContent>
          <mc:Choice Requires="wps">
            <w:drawing>
              <wp:inline distT="0" distB="0" distL="0" distR="0">
                <wp:extent cx="5833110" cy="2803525"/>
                <wp:effectExtent l="0" t="0" r="635" b="0"/>
                <wp:docPr id="554" name="矩形 5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833110" cy="2803525"/>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_x0000_s1026" o:spid="_x0000_s1026" o:spt="1" style="height:220.75pt;width:459.3pt;" filled="f" stroked="f" coordsize="21600,21600" o:gfxdata="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Gd9vuLXAAAABQEAAA8AAAAAAAAA&#10;AQAgAAAAIgAAAGRycy9kb3ducmV2LnhtbFBLAQIUABQAAAAIAIdO4kAM5XOVEgIAABUEAAAOAAAA&#10;AAAAAAEAIAAAACYBAABkcnMvZTJvRG9jLnhtbFBLBQYAAAAABgAGAFkBAACqBQAAAAA=&#10;">
                <v:fill on="f" focussize="0,0"/>
                <v:stroke on="f"/>
                <v:imagedata o:title=""/>
                <o:lock v:ext="edit" aspectratio="t"/>
                <w10:wrap type="none"/>
                <w10:anchorlock/>
              </v:rect>
            </w:pict>
          </mc:Fallback>
        </mc:AlternateContent>
      </w:r>
    </w:p>
    <w:p w14:paraId="3496D1AC">
      <w:pPr>
        <w:spacing w:line="360" w:lineRule="auto"/>
        <w:jc w:val="center"/>
        <w:rPr>
          <w:rFonts w:ascii="黑体" w:hAnsi="宋体" w:eastAsia="黑体"/>
          <w:b w:val="0"/>
          <w:sz w:val="24"/>
        </w:rPr>
      </w:pPr>
      <w:r>
        <w:rPr>
          <w:rFonts w:hint="eastAsia" w:ascii="黑体" w:hAnsi="宋体" w:eastAsia="黑体"/>
          <w:b w:val="0"/>
          <w:sz w:val="24"/>
        </w:rPr>
        <w:t>图3.</w:t>
      </w:r>
      <w:r>
        <w:rPr>
          <w:rFonts w:ascii="黑体" w:hAnsi="宋体" w:eastAsia="黑体"/>
          <w:b w:val="0"/>
          <w:sz w:val="24"/>
        </w:rPr>
        <w:t>8</w:t>
      </w:r>
      <w:r>
        <w:rPr>
          <w:rFonts w:hint="eastAsia" w:ascii="黑体" w:hAnsi="宋体" w:eastAsia="黑体"/>
          <w:b w:val="0"/>
          <w:sz w:val="24"/>
        </w:rPr>
        <w:t>-1  仓储场所爆炸的因果分析图</w:t>
      </w:r>
    </w:p>
    <w:p w14:paraId="511EBBC8">
      <w:pPr>
        <w:rPr>
          <w:rFonts w:ascii="黑体" w:hAnsi="黑体" w:eastAsia="黑体"/>
          <w:b w:val="0"/>
          <w:sz w:val="30"/>
          <w:szCs w:val="30"/>
        </w:rPr>
      </w:pPr>
      <w:bookmarkStart w:id="401" w:name="_Toc60129115"/>
      <w:bookmarkStart w:id="402" w:name="_Toc58862000"/>
      <w:bookmarkStart w:id="403" w:name="_Toc145275208"/>
      <w:bookmarkStart w:id="404" w:name="_Toc335902410"/>
      <w:bookmarkStart w:id="405" w:name="_Toc148037003"/>
      <w:bookmarkStart w:id="406" w:name="_Toc181194081"/>
      <w:bookmarkStart w:id="407" w:name="_Toc173077674"/>
      <w:bookmarkStart w:id="408" w:name="_Toc58946832"/>
      <w:r>
        <w:rPr>
          <w:rFonts w:ascii="黑体" w:hAnsi="黑体" w:eastAsia="黑体"/>
          <w:b w:val="0"/>
          <w:sz w:val="30"/>
          <w:szCs w:val="30"/>
        </w:rPr>
        <w:br w:type="page"/>
      </w:r>
    </w:p>
    <w:p w14:paraId="09E88511">
      <w:pPr>
        <w:spacing w:before="120" w:beforeLines="50" w:after="120" w:afterLines="50" w:line="360" w:lineRule="auto"/>
        <w:outlineLvl w:val="2"/>
        <w:rPr>
          <w:rFonts w:ascii="黑体" w:hAnsi="黑体" w:eastAsia="黑体"/>
          <w:b w:val="0"/>
          <w:sz w:val="30"/>
          <w:szCs w:val="30"/>
        </w:rPr>
      </w:pPr>
      <w:r>
        <w:rPr>
          <w:rFonts w:ascii="黑体" w:hAnsi="黑体" w:eastAsia="黑体"/>
          <w:b w:val="0"/>
          <w:sz w:val="30"/>
          <w:szCs w:val="30"/>
        </w:rPr>
        <w:t>3.8</w:t>
      </w:r>
      <w:r>
        <w:rPr>
          <w:rFonts w:hint="eastAsia" w:ascii="黑体" w:hAnsi="黑体" w:eastAsia="黑体"/>
          <w:b w:val="0"/>
          <w:sz w:val="30"/>
          <w:szCs w:val="30"/>
        </w:rPr>
        <w:t>.2厂内运输过程危险有害因素分析</w:t>
      </w:r>
      <w:bookmarkEnd w:id="397"/>
      <w:bookmarkEnd w:id="398"/>
      <w:bookmarkEnd w:id="399"/>
      <w:bookmarkEnd w:id="400"/>
      <w:bookmarkEnd w:id="401"/>
      <w:bookmarkEnd w:id="402"/>
      <w:bookmarkEnd w:id="403"/>
      <w:bookmarkEnd w:id="404"/>
      <w:bookmarkEnd w:id="405"/>
      <w:bookmarkEnd w:id="406"/>
      <w:bookmarkEnd w:id="407"/>
      <w:bookmarkEnd w:id="408"/>
    </w:p>
    <w:p w14:paraId="5FAEB910">
      <w:pPr>
        <w:spacing w:line="360" w:lineRule="auto"/>
        <w:ind w:firstLine="560" w:firstLineChars="200"/>
        <w:rPr>
          <w:rFonts w:ascii="宋体" w:hAnsi="宋体"/>
          <w:b w:val="0"/>
          <w:sz w:val="28"/>
        </w:rPr>
      </w:pPr>
      <w:bookmarkStart w:id="409" w:name="_Toc271898770"/>
      <w:bookmarkStart w:id="410" w:name="_Toc173077675"/>
      <w:bookmarkStart w:id="411" w:name="_Toc294247825"/>
      <w:bookmarkStart w:id="412" w:name="_Toc335902411"/>
      <w:r>
        <w:rPr>
          <w:rFonts w:hint="eastAsia" w:ascii="宋体" w:hAnsi="宋体"/>
          <w:b w:val="0"/>
          <w:sz w:val="28"/>
        </w:rPr>
        <w:t>该企业原材料运入及成品运出由具有危险货物运输资质的运输企业承担，厂内烟火药及半成品运输为以电瓶车为主。电瓶车运输过程危险有害因素：超速、装载超量，易使车辆倾翻，造成事故；装卸、搬运时碰撞、拖拉、摩擦、翻滚和剧烈振动，或使用铁质工具，产生火花，有引起药物爆炸的危险；运输过程中因车距不够，装卸过程中因离危险建筑物距离不够（标准为</w:t>
      </w:r>
      <w:r>
        <w:rPr>
          <w:rFonts w:ascii="宋体" w:hAnsi="宋体"/>
          <w:b w:val="0"/>
          <w:sz w:val="28"/>
        </w:rPr>
        <w:t>2.5m</w:t>
      </w:r>
      <w:r>
        <w:rPr>
          <w:rFonts w:hint="eastAsia" w:ascii="宋体" w:hAnsi="宋体"/>
          <w:b w:val="0"/>
          <w:sz w:val="28"/>
        </w:rPr>
        <w:t>），有增大事故的危险；道路不平整，坡度大，转弯半径小等，均可引起事故。</w:t>
      </w:r>
    </w:p>
    <w:p w14:paraId="2B2B043C">
      <w:pPr>
        <w:spacing w:line="360" w:lineRule="auto"/>
        <w:ind w:firstLine="560" w:firstLineChars="200"/>
        <w:rPr>
          <w:rFonts w:ascii="宋体" w:hAnsi="宋体"/>
          <w:b w:val="0"/>
          <w:sz w:val="28"/>
        </w:rPr>
      </w:pPr>
      <w:r>
        <w:rPr>
          <w:rFonts w:hint="eastAsia" w:ascii="宋体" w:hAnsi="宋体"/>
          <w:b w:val="0"/>
          <w:sz w:val="28"/>
        </w:rPr>
        <w:t>防范措施：</w:t>
      </w:r>
    </w:p>
    <w:p w14:paraId="5B280887">
      <w:pPr>
        <w:spacing w:line="360" w:lineRule="auto"/>
        <w:ind w:firstLine="560" w:firstLineChars="200"/>
        <w:rPr>
          <w:rFonts w:ascii="宋体" w:hAnsi="宋体"/>
          <w:b w:val="0"/>
          <w:sz w:val="28"/>
        </w:rPr>
      </w:pPr>
      <w:r>
        <w:rPr>
          <w:rFonts w:hint="eastAsia" w:ascii="宋体" w:hAnsi="宋体"/>
          <w:b w:val="0"/>
          <w:sz w:val="28"/>
        </w:rPr>
        <w:t>（</w:t>
      </w:r>
      <w:r>
        <w:rPr>
          <w:rFonts w:ascii="宋体" w:hAnsi="宋体"/>
          <w:b w:val="0"/>
          <w:sz w:val="28"/>
        </w:rPr>
        <w:t>1</w:t>
      </w:r>
      <w:r>
        <w:rPr>
          <w:rFonts w:hint="eastAsia" w:ascii="宋体" w:hAnsi="宋体"/>
          <w:b w:val="0"/>
          <w:sz w:val="28"/>
        </w:rPr>
        <w:t>）严格控制药物一次运送的数量，按规定数量运输；防止药物的雨淋、曝晒；</w:t>
      </w:r>
    </w:p>
    <w:p w14:paraId="65BE78B2">
      <w:pPr>
        <w:spacing w:line="360" w:lineRule="auto"/>
        <w:ind w:firstLine="560" w:firstLineChars="200"/>
        <w:rPr>
          <w:rFonts w:ascii="宋体" w:hAnsi="宋体"/>
          <w:b w:val="0"/>
          <w:sz w:val="28"/>
        </w:rPr>
      </w:pPr>
      <w:r>
        <w:rPr>
          <w:rFonts w:hint="eastAsia" w:ascii="宋体" w:hAnsi="宋体"/>
          <w:b w:val="0"/>
          <w:sz w:val="28"/>
        </w:rPr>
        <w:t>（</w:t>
      </w:r>
      <w:r>
        <w:rPr>
          <w:rFonts w:ascii="宋体" w:hAnsi="宋体"/>
          <w:b w:val="0"/>
          <w:sz w:val="28"/>
        </w:rPr>
        <w:t>2</w:t>
      </w:r>
      <w:r>
        <w:rPr>
          <w:rFonts w:hint="eastAsia" w:ascii="宋体" w:hAnsi="宋体"/>
          <w:b w:val="0"/>
          <w:sz w:val="28"/>
        </w:rPr>
        <w:t>）禁用铁质器具装运药物；送药工人应轻搬、轻放药物，严禁拖、拉、擦、碰；</w:t>
      </w:r>
      <w:r>
        <w:rPr>
          <w:rFonts w:ascii="宋体" w:hAnsi="宋体"/>
          <w:b w:val="0"/>
          <w:sz w:val="28"/>
        </w:rPr>
        <w:t xml:space="preserve"> </w:t>
      </w:r>
    </w:p>
    <w:p w14:paraId="2B2EBA71">
      <w:pPr>
        <w:spacing w:line="360" w:lineRule="auto"/>
        <w:ind w:firstLine="560" w:firstLineChars="200"/>
        <w:rPr>
          <w:rFonts w:ascii="宋体" w:hAnsi="宋体"/>
          <w:b w:val="0"/>
          <w:sz w:val="28"/>
        </w:rPr>
      </w:pPr>
      <w:r>
        <w:rPr>
          <w:rFonts w:hint="eastAsia" w:ascii="宋体" w:hAnsi="宋体"/>
          <w:b w:val="0"/>
          <w:sz w:val="28"/>
        </w:rPr>
        <w:t>（</w:t>
      </w:r>
      <w:r>
        <w:rPr>
          <w:rFonts w:ascii="宋体" w:hAnsi="宋体"/>
          <w:b w:val="0"/>
          <w:sz w:val="28"/>
        </w:rPr>
        <w:t>3</w:t>
      </w:r>
      <w:r>
        <w:rPr>
          <w:rFonts w:hint="eastAsia" w:ascii="宋体" w:hAnsi="宋体"/>
          <w:b w:val="0"/>
          <w:sz w:val="28"/>
        </w:rPr>
        <w:t>）危险品生产区运输危险品的主干道中心线，与各类建筑物的距离应符合下列规定；</w:t>
      </w:r>
    </w:p>
    <w:p w14:paraId="0DDB4865">
      <w:pPr>
        <w:spacing w:line="360" w:lineRule="auto"/>
        <w:ind w:firstLine="560" w:firstLineChars="200"/>
        <w:rPr>
          <w:rFonts w:ascii="宋体" w:hAnsi="宋体"/>
          <w:b w:val="0"/>
          <w:sz w:val="28"/>
        </w:rPr>
      </w:pPr>
      <w:r>
        <w:rPr>
          <w:rFonts w:ascii="宋体" w:hAnsi="宋体"/>
          <w:b w:val="0"/>
          <w:sz w:val="28"/>
        </w:rPr>
        <w:t xml:space="preserve">  </w:t>
      </w:r>
      <w:r>
        <w:rPr>
          <w:rFonts w:hint="eastAsia" w:ascii="宋体" w:hAnsi="宋体"/>
          <w:b w:val="0"/>
          <w:sz w:val="28"/>
        </w:rPr>
        <w:t>距离</w:t>
      </w:r>
      <w:r>
        <w:rPr>
          <w:rFonts w:ascii="宋体" w:hAnsi="宋体"/>
          <w:b w:val="0"/>
          <w:sz w:val="28"/>
        </w:rPr>
        <w:t>1.1</w:t>
      </w:r>
      <w:r>
        <w:rPr>
          <w:rFonts w:hint="eastAsia" w:ascii="宋体" w:hAnsi="宋体"/>
          <w:b w:val="0"/>
          <w:sz w:val="28"/>
        </w:rPr>
        <w:t>级建筑物不宜小于</w:t>
      </w:r>
      <w:r>
        <w:rPr>
          <w:rFonts w:ascii="宋体" w:hAnsi="宋体"/>
          <w:b w:val="0"/>
          <w:sz w:val="28"/>
        </w:rPr>
        <w:t>20m</w:t>
      </w:r>
      <w:r>
        <w:rPr>
          <w:rFonts w:hint="eastAsia" w:ascii="宋体" w:hAnsi="宋体"/>
          <w:b w:val="0"/>
          <w:sz w:val="28"/>
        </w:rPr>
        <w:t>；</w:t>
      </w:r>
    </w:p>
    <w:p w14:paraId="508CED89">
      <w:pPr>
        <w:spacing w:line="360" w:lineRule="auto"/>
        <w:ind w:firstLine="560" w:firstLineChars="200"/>
        <w:rPr>
          <w:rFonts w:ascii="宋体" w:hAnsi="宋体"/>
          <w:b w:val="0"/>
          <w:sz w:val="28"/>
        </w:rPr>
      </w:pPr>
      <w:r>
        <w:rPr>
          <w:rFonts w:ascii="宋体" w:hAnsi="宋体"/>
          <w:b w:val="0"/>
          <w:sz w:val="28"/>
        </w:rPr>
        <w:t xml:space="preserve">  </w:t>
      </w:r>
      <w:r>
        <w:rPr>
          <w:rFonts w:hint="eastAsia" w:ascii="宋体" w:hAnsi="宋体"/>
          <w:b w:val="0"/>
          <w:sz w:val="28"/>
        </w:rPr>
        <w:t>距离</w:t>
      </w:r>
      <w:r>
        <w:rPr>
          <w:rFonts w:ascii="宋体" w:hAnsi="宋体"/>
          <w:b w:val="0"/>
          <w:sz w:val="28"/>
        </w:rPr>
        <w:t>1.3</w:t>
      </w:r>
      <w:r>
        <w:rPr>
          <w:rFonts w:hint="eastAsia" w:ascii="宋体" w:hAnsi="宋体"/>
          <w:b w:val="0"/>
          <w:sz w:val="28"/>
        </w:rPr>
        <w:t>级建筑物不宜小于</w:t>
      </w:r>
      <w:r>
        <w:rPr>
          <w:rFonts w:ascii="宋体" w:hAnsi="宋体"/>
          <w:b w:val="0"/>
          <w:sz w:val="28"/>
        </w:rPr>
        <w:t>15m</w:t>
      </w:r>
      <w:r>
        <w:rPr>
          <w:rFonts w:hint="eastAsia" w:ascii="宋体" w:hAnsi="宋体"/>
          <w:b w:val="0"/>
          <w:sz w:val="28"/>
        </w:rPr>
        <w:t>；</w:t>
      </w:r>
    </w:p>
    <w:p w14:paraId="6633B546">
      <w:pPr>
        <w:spacing w:line="360" w:lineRule="auto"/>
        <w:ind w:firstLine="560" w:firstLineChars="200"/>
        <w:rPr>
          <w:rFonts w:ascii="宋体" w:hAnsi="宋体"/>
          <w:b w:val="0"/>
          <w:sz w:val="28"/>
        </w:rPr>
      </w:pPr>
      <w:r>
        <w:rPr>
          <w:rFonts w:hint="eastAsia" w:ascii="宋体" w:hAnsi="宋体"/>
          <w:b w:val="0"/>
          <w:sz w:val="28"/>
        </w:rPr>
        <w:t>（</w:t>
      </w:r>
      <w:r>
        <w:rPr>
          <w:rFonts w:ascii="宋体" w:hAnsi="宋体"/>
          <w:b w:val="0"/>
          <w:sz w:val="28"/>
        </w:rPr>
        <w:t>4</w:t>
      </w:r>
      <w:r>
        <w:rPr>
          <w:rFonts w:hint="eastAsia" w:ascii="宋体" w:hAnsi="宋体"/>
          <w:b w:val="0"/>
          <w:sz w:val="28"/>
        </w:rPr>
        <w:t>）机动车在</w:t>
      </w:r>
      <w:r>
        <w:rPr>
          <w:rFonts w:ascii="宋体" w:hAnsi="宋体"/>
          <w:b w:val="0"/>
          <w:sz w:val="28"/>
        </w:rPr>
        <w:t>1.1</w:t>
      </w:r>
      <w:r>
        <w:rPr>
          <w:rFonts w:hint="eastAsia" w:ascii="宋体" w:hAnsi="宋体"/>
          <w:b w:val="0"/>
          <w:sz w:val="28"/>
        </w:rPr>
        <w:t>、</w:t>
      </w:r>
      <w:r>
        <w:rPr>
          <w:rFonts w:ascii="宋体" w:hAnsi="宋体"/>
          <w:b w:val="0"/>
          <w:sz w:val="28"/>
        </w:rPr>
        <w:t>1.3</w:t>
      </w:r>
      <w:r>
        <w:rPr>
          <w:rFonts w:hint="eastAsia" w:ascii="宋体" w:hAnsi="宋体"/>
          <w:b w:val="0"/>
          <w:sz w:val="28"/>
        </w:rPr>
        <w:t>级建筑物门前装卸作业时，宜在</w:t>
      </w:r>
      <w:r>
        <w:rPr>
          <w:rFonts w:ascii="宋体" w:hAnsi="宋体"/>
          <w:b w:val="0"/>
          <w:sz w:val="28"/>
        </w:rPr>
        <w:t>2.5m</w:t>
      </w:r>
      <w:r>
        <w:rPr>
          <w:rFonts w:hint="eastAsia" w:ascii="宋体" w:hAnsi="宋体"/>
          <w:b w:val="0"/>
          <w:sz w:val="28"/>
        </w:rPr>
        <w:t>以外进行；</w:t>
      </w:r>
    </w:p>
    <w:p w14:paraId="64060D3C">
      <w:pPr>
        <w:spacing w:line="360" w:lineRule="auto"/>
        <w:ind w:firstLine="560" w:firstLineChars="200"/>
        <w:rPr>
          <w:rFonts w:ascii="宋体" w:hAnsi="宋体"/>
          <w:b w:val="0"/>
          <w:sz w:val="28"/>
        </w:rPr>
      </w:pPr>
      <w:r>
        <w:rPr>
          <w:rFonts w:hint="eastAsia" w:ascii="宋体" w:hAnsi="宋体"/>
          <w:b w:val="0"/>
          <w:sz w:val="28"/>
        </w:rPr>
        <w:t>（</w:t>
      </w:r>
      <w:r>
        <w:rPr>
          <w:rFonts w:ascii="宋体" w:hAnsi="宋体"/>
          <w:b w:val="0"/>
          <w:sz w:val="28"/>
        </w:rPr>
        <w:t>5</w:t>
      </w:r>
      <w:r>
        <w:rPr>
          <w:rFonts w:hint="eastAsia" w:ascii="宋体" w:hAnsi="宋体"/>
          <w:b w:val="0"/>
          <w:sz w:val="28"/>
        </w:rPr>
        <w:t>）电瓶车应安装档板，轮盘必须是橡胶制品，车箱应铺设橡胶垫；应以低速行驶，机动车的速度不得超过</w:t>
      </w:r>
      <w:r>
        <w:rPr>
          <w:rFonts w:ascii="宋体" w:hAnsi="宋体"/>
          <w:b w:val="0"/>
          <w:sz w:val="28"/>
        </w:rPr>
        <w:t>10km/h</w:t>
      </w:r>
      <w:r>
        <w:rPr>
          <w:rFonts w:hint="eastAsia" w:ascii="宋体" w:hAnsi="宋体"/>
          <w:b w:val="0"/>
          <w:sz w:val="28"/>
        </w:rPr>
        <w:t>；</w:t>
      </w:r>
    </w:p>
    <w:p w14:paraId="32ECEA35">
      <w:pPr>
        <w:spacing w:line="360" w:lineRule="auto"/>
        <w:ind w:firstLine="560" w:firstLineChars="200"/>
        <w:rPr>
          <w:rFonts w:ascii="宋体" w:hAnsi="宋体"/>
          <w:b w:val="0"/>
          <w:sz w:val="28"/>
        </w:rPr>
      </w:pPr>
      <w:r>
        <w:rPr>
          <w:rFonts w:hint="eastAsia" w:ascii="宋体" w:hAnsi="宋体"/>
          <w:b w:val="0"/>
          <w:sz w:val="28"/>
        </w:rPr>
        <w:t>（</w:t>
      </w:r>
      <w:r>
        <w:rPr>
          <w:rFonts w:ascii="宋体" w:hAnsi="宋体"/>
          <w:b w:val="0"/>
          <w:sz w:val="28"/>
        </w:rPr>
        <w:t>6</w:t>
      </w:r>
      <w:r>
        <w:rPr>
          <w:rFonts w:hint="eastAsia" w:ascii="宋体" w:hAnsi="宋体"/>
          <w:b w:val="0"/>
          <w:sz w:val="28"/>
        </w:rPr>
        <w:t>）装卸作业中只许单件搬运，不得碰撞、拖拉、摩擦、翻滚和剧烈振动，不许使用铁撬等铁质工具；</w:t>
      </w:r>
    </w:p>
    <w:p w14:paraId="1DD101D8">
      <w:pPr>
        <w:spacing w:line="360" w:lineRule="auto"/>
        <w:ind w:firstLine="560" w:firstLineChars="200"/>
        <w:rPr>
          <w:rFonts w:ascii="宋体" w:hAnsi="宋体"/>
          <w:b w:val="0"/>
          <w:sz w:val="28"/>
        </w:rPr>
      </w:pPr>
      <w:r>
        <w:rPr>
          <w:rFonts w:hint="eastAsia" w:ascii="宋体" w:hAnsi="宋体"/>
          <w:b w:val="0"/>
          <w:sz w:val="28"/>
        </w:rPr>
        <w:t>（</w:t>
      </w:r>
      <w:r>
        <w:rPr>
          <w:rFonts w:ascii="宋体" w:hAnsi="宋体"/>
          <w:b w:val="0"/>
          <w:sz w:val="28"/>
        </w:rPr>
        <w:t>7</w:t>
      </w:r>
      <w:r>
        <w:rPr>
          <w:rFonts w:hint="eastAsia" w:ascii="宋体" w:hAnsi="宋体"/>
          <w:b w:val="0"/>
          <w:sz w:val="28"/>
        </w:rPr>
        <w:t>）运输中不得强行抢道，车距不应小于</w:t>
      </w:r>
      <w:r>
        <w:rPr>
          <w:rFonts w:ascii="宋体" w:hAnsi="宋体"/>
          <w:b w:val="0"/>
          <w:sz w:val="28"/>
        </w:rPr>
        <w:t>20m</w:t>
      </w:r>
      <w:r>
        <w:rPr>
          <w:rFonts w:hint="eastAsia" w:ascii="宋体" w:hAnsi="宋体"/>
          <w:b w:val="0"/>
          <w:sz w:val="28"/>
        </w:rPr>
        <w:t>，烟火药堆码应不超过车厢高度；</w:t>
      </w:r>
    </w:p>
    <w:p w14:paraId="71C6EB49">
      <w:pPr>
        <w:spacing w:line="360" w:lineRule="auto"/>
        <w:ind w:firstLine="560" w:firstLineChars="200"/>
        <w:rPr>
          <w:rFonts w:ascii="宋体" w:hAnsi="宋体"/>
          <w:b w:val="0"/>
          <w:sz w:val="28"/>
        </w:rPr>
      </w:pPr>
      <w:r>
        <w:rPr>
          <w:rFonts w:hint="eastAsia" w:ascii="宋体" w:hAnsi="宋体"/>
          <w:b w:val="0"/>
          <w:sz w:val="28"/>
        </w:rPr>
        <w:t>（</w:t>
      </w:r>
      <w:r>
        <w:rPr>
          <w:rFonts w:ascii="宋体" w:hAnsi="宋体"/>
          <w:b w:val="0"/>
          <w:sz w:val="28"/>
        </w:rPr>
        <w:t>8</w:t>
      </w:r>
      <w:r>
        <w:rPr>
          <w:rFonts w:hint="eastAsia" w:ascii="宋体" w:hAnsi="宋体"/>
          <w:b w:val="0"/>
          <w:sz w:val="28"/>
        </w:rPr>
        <w:t>）进入仓库区的机动车辆，必须有防火装置；</w:t>
      </w:r>
    </w:p>
    <w:p w14:paraId="1584A8FE">
      <w:pPr>
        <w:pStyle w:val="28"/>
        <w:spacing w:line="360" w:lineRule="auto"/>
        <w:ind w:firstLine="560" w:firstLineChars="200"/>
        <w:jc w:val="both"/>
        <w:rPr>
          <w:rFonts w:ascii="宋体" w:hAnsi="宋体" w:eastAsia="宋体"/>
          <w:b w:val="0"/>
          <w:sz w:val="28"/>
        </w:rPr>
      </w:pPr>
      <w:r>
        <w:rPr>
          <w:rFonts w:hint="eastAsia" w:ascii="宋体" w:hAnsi="宋体" w:eastAsia="宋体"/>
          <w:b w:val="0"/>
          <w:sz w:val="28"/>
        </w:rPr>
        <w:t>（9）在厂区坡度较大的坡道两侧设置挡土墙或加固护坡，防止土体滑坡和物料滚落；</w:t>
      </w:r>
    </w:p>
    <w:p w14:paraId="3302D807">
      <w:pPr>
        <w:spacing w:line="360" w:lineRule="auto"/>
        <w:ind w:firstLine="560" w:firstLineChars="200"/>
        <w:rPr>
          <w:rFonts w:ascii="宋体" w:hAnsi="宋体"/>
          <w:b w:val="0"/>
          <w:sz w:val="28"/>
        </w:rPr>
      </w:pPr>
      <w:r>
        <w:rPr>
          <w:rFonts w:hint="eastAsia" w:ascii="宋体" w:hAnsi="宋体"/>
          <w:b w:val="0"/>
          <w:sz w:val="28"/>
        </w:rPr>
        <w:t>（10）在坡道处设置限速标志、反光镜及护栏，严格控制车辆速度。</w:t>
      </w:r>
    </w:p>
    <w:p w14:paraId="61972FE0">
      <w:pPr>
        <w:keepNext/>
        <w:keepLines/>
        <w:spacing w:before="120" w:beforeLines="50" w:line="360" w:lineRule="auto"/>
        <w:outlineLvl w:val="1"/>
        <w:rPr>
          <w:rFonts w:ascii="黑体" w:hAnsi="黑体" w:eastAsia="黑体"/>
          <w:b w:val="0"/>
          <w:bCs/>
          <w:snapToGrid w:val="0"/>
          <w:sz w:val="32"/>
          <w:szCs w:val="32"/>
        </w:rPr>
      </w:pPr>
      <w:bookmarkStart w:id="413" w:name="_Toc227869288"/>
      <w:bookmarkStart w:id="414" w:name="_Toc10927"/>
      <w:r>
        <w:rPr>
          <w:rFonts w:hint="eastAsia" w:ascii="黑体" w:hAnsi="黑体" w:eastAsia="黑体"/>
          <w:b w:val="0"/>
          <w:bCs/>
          <w:snapToGrid w:val="0"/>
          <w:sz w:val="32"/>
          <w:szCs w:val="32"/>
        </w:rPr>
        <w:t>3.</w:t>
      </w:r>
      <w:r>
        <w:rPr>
          <w:rFonts w:ascii="黑体" w:hAnsi="黑体" w:eastAsia="黑体"/>
          <w:b w:val="0"/>
          <w:bCs/>
          <w:snapToGrid w:val="0"/>
          <w:sz w:val="32"/>
          <w:szCs w:val="32"/>
        </w:rPr>
        <w:t>9</w:t>
      </w:r>
      <w:r>
        <w:rPr>
          <w:rFonts w:hint="eastAsia" w:ascii="黑体" w:hAnsi="黑体" w:eastAsia="黑体"/>
          <w:b w:val="0"/>
          <w:bCs/>
          <w:snapToGrid w:val="0"/>
          <w:sz w:val="32"/>
          <w:szCs w:val="32"/>
        </w:rPr>
        <w:t>环境危险有害因素分析</w:t>
      </w:r>
      <w:bookmarkEnd w:id="409"/>
      <w:bookmarkEnd w:id="410"/>
      <w:bookmarkEnd w:id="411"/>
      <w:bookmarkEnd w:id="412"/>
      <w:bookmarkEnd w:id="413"/>
      <w:bookmarkEnd w:id="414"/>
    </w:p>
    <w:p w14:paraId="16BE40F6">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环境包括自然环境、周边环境和作业环境，其危险有害因素分述如下：</w:t>
      </w:r>
    </w:p>
    <w:p w14:paraId="60352DAC">
      <w:pPr>
        <w:spacing w:before="120" w:after="120" w:line="360" w:lineRule="auto"/>
        <w:outlineLvl w:val="2"/>
        <w:rPr>
          <w:rFonts w:ascii="黑体" w:hAnsi="黑体" w:eastAsia="黑体"/>
          <w:b w:val="0"/>
          <w:sz w:val="30"/>
          <w:szCs w:val="30"/>
        </w:rPr>
      </w:pPr>
      <w:bookmarkStart w:id="415" w:name="_Toc60129117"/>
      <w:bookmarkStart w:id="416" w:name="_Toc173077676"/>
      <w:bookmarkStart w:id="417" w:name="_Toc294247656"/>
      <w:bookmarkStart w:id="418" w:name="_Toc213127086"/>
      <w:bookmarkStart w:id="419" w:name="_Toc58862002"/>
      <w:bookmarkStart w:id="420" w:name="_Toc145275210"/>
      <w:bookmarkStart w:id="421" w:name="_Toc181194083"/>
      <w:bookmarkStart w:id="422" w:name="_Toc294247826"/>
      <w:bookmarkStart w:id="423" w:name="_Toc335902412"/>
      <w:bookmarkStart w:id="424" w:name="_Toc58946834"/>
      <w:bookmarkStart w:id="425" w:name="_Toc271898771"/>
      <w:bookmarkStart w:id="426" w:name="_Toc213469603"/>
      <w:bookmarkStart w:id="427" w:name="_Toc148037005"/>
      <w:r>
        <w:rPr>
          <w:rFonts w:hint="eastAsia" w:ascii="黑体" w:hAnsi="黑体" w:eastAsia="黑体"/>
          <w:b w:val="0"/>
          <w:sz w:val="30"/>
          <w:szCs w:val="30"/>
        </w:rPr>
        <w:t>3.</w:t>
      </w:r>
      <w:r>
        <w:rPr>
          <w:rFonts w:ascii="黑体" w:hAnsi="黑体" w:eastAsia="黑体"/>
          <w:b w:val="0"/>
          <w:sz w:val="30"/>
          <w:szCs w:val="30"/>
        </w:rPr>
        <w:t>9</w:t>
      </w:r>
      <w:r>
        <w:rPr>
          <w:rFonts w:hint="eastAsia" w:ascii="黑体" w:hAnsi="黑体" w:eastAsia="黑体"/>
          <w:b w:val="0"/>
          <w:sz w:val="30"/>
          <w:szCs w:val="30"/>
        </w:rPr>
        <w:t>.1</w:t>
      </w:r>
      <w:r>
        <w:rPr>
          <w:rFonts w:ascii="黑体" w:hAnsi="黑体" w:eastAsia="黑体"/>
          <w:b w:val="0"/>
          <w:sz w:val="30"/>
          <w:szCs w:val="30"/>
        </w:rPr>
        <w:t>自然环境危险有害因素</w:t>
      </w:r>
      <w:bookmarkEnd w:id="415"/>
      <w:bookmarkEnd w:id="416"/>
      <w:bookmarkEnd w:id="417"/>
      <w:bookmarkEnd w:id="418"/>
      <w:bookmarkEnd w:id="419"/>
      <w:bookmarkEnd w:id="420"/>
      <w:bookmarkEnd w:id="421"/>
      <w:bookmarkEnd w:id="422"/>
      <w:bookmarkEnd w:id="423"/>
      <w:bookmarkEnd w:id="424"/>
      <w:bookmarkEnd w:id="425"/>
      <w:bookmarkEnd w:id="426"/>
      <w:bookmarkEnd w:id="427"/>
    </w:p>
    <w:p w14:paraId="0BE55F53">
      <w:pPr>
        <w:spacing w:line="360" w:lineRule="auto"/>
        <w:ind w:firstLine="560" w:firstLineChars="200"/>
        <w:rPr>
          <w:rFonts w:ascii="宋体" w:hAnsi="宋体"/>
          <w:b w:val="0"/>
          <w:sz w:val="28"/>
        </w:rPr>
      </w:pPr>
      <w:r>
        <w:rPr>
          <w:rFonts w:hint="eastAsia" w:ascii="宋体" w:hAnsi="宋体"/>
          <w:b w:val="0"/>
          <w:sz w:val="28"/>
        </w:rPr>
        <w:t>自然环境因素的影响主要指地理、气候等方面的影响。现着重分析高温、潮湿、雨水、山体滑坡和地基土沉降或不均匀沉降、山火、雷击伤害对本项目的影响。</w:t>
      </w:r>
    </w:p>
    <w:p w14:paraId="63FB094B">
      <w:pPr>
        <w:spacing w:line="360" w:lineRule="auto"/>
        <w:ind w:firstLine="560" w:firstLineChars="200"/>
        <w:rPr>
          <w:rFonts w:ascii="宋体" w:hAnsi="宋体"/>
          <w:b w:val="0"/>
          <w:sz w:val="28"/>
        </w:rPr>
      </w:pPr>
      <w:r>
        <w:rPr>
          <w:rFonts w:hint="eastAsia" w:ascii="宋体" w:hAnsi="宋体"/>
          <w:b w:val="0"/>
          <w:sz w:val="28"/>
        </w:rPr>
        <w:t>（</w:t>
      </w:r>
      <w:r>
        <w:rPr>
          <w:rFonts w:ascii="宋体" w:hAnsi="宋体"/>
          <w:b w:val="0"/>
          <w:sz w:val="28"/>
        </w:rPr>
        <w:t>1</w:t>
      </w:r>
      <w:r>
        <w:rPr>
          <w:rFonts w:hint="eastAsia" w:ascii="宋体" w:hAnsi="宋体"/>
          <w:b w:val="0"/>
          <w:sz w:val="28"/>
        </w:rPr>
        <w:t>）高温、潮湿</w:t>
      </w:r>
    </w:p>
    <w:p w14:paraId="4C3F47A3">
      <w:pPr>
        <w:spacing w:line="360" w:lineRule="auto"/>
        <w:ind w:firstLine="560" w:firstLineChars="200"/>
        <w:rPr>
          <w:rFonts w:ascii="宋体" w:hAnsi="宋体"/>
          <w:b w:val="0"/>
          <w:sz w:val="28"/>
        </w:rPr>
      </w:pPr>
      <w:r>
        <w:rPr>
          <w:rFonts w:hint="eastAsia" w:ascii="宋体" w:hAnsi="宋体"/>
          <w:b w:val="0"/>
          <w:sz w:val="28"/>
        </w:rPr>
        <w:t>浏阳市地处亚热带季风湿润气候区，雨水充沛，空气中湿度较大，夏季</w:t>
      </w:r>
      <w:r>
        <w:rPr>
          <w:rFonts w:ascii="宋体" w:hAnsi="宋体"/>
          <w:b w:val="0"/>
          <w:sz w:val="28"/>
        </w:rPr>
        <w:t>30</w:t>
      </w:r>
      <w:r>
        <w:rPr>
          <w:rFonts w:hint="eastAsia" w:ascii="宋体" w:hAnsi="宋体"/>
          <w:b w:val="0"/>
          <w:sz w:val="28"/>
        </w:rPr>
        <w:t>℃以上气温天气持续时间长，最高气温可达</w:t>
      </w:r>
      <w:r>
        <w:rPr>
          <w:rFonts w:ascii="宋体" w:hAnsi="宋体"/>
          <w:b w:val="0"/>
          <w:sz w:val="28"/>
        </w:rPr>
        <w:t>40.0</w:t>
      </w:r>
      <w:r>
        <w:rPr>
          <w:rFonts w:hint="eastAsia" w:ascii="宋体" w:hAnsi="宋体"/>
          <w:b w:val="0"/>
          <w:sz w:val="28"/>
        </w:rPr>
        <w:t>℃，烟花生产使用的原材料和烟火药在高温作用下均容易发生燃烧、爆炸，在潮湿环境中长期存放会发生发热、分解导致燃烧爆炸。高温、高湿天气时烟花生产工库房若通风散热不良或无空气调节装置，容易发生燃烧、爆炸事故。高温、高湿环境同时影响劳动者的体温调节、水盐代谢等，轻者影响劳动能力，重者可引起中暑。高温还可以抑制中枢神经系统，使工人在操作过程中注意力分散，有发生误操作导致事故的危险。</w:t>
      </w:r>
    </w:p>
    <w:p w14:paraId="70F74706">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（2）</w:t>
      </w:r>
      <w:r>
        <w:rPr>
          <w:rFonts w:ascii="宋体" w:hAnsi="宋体"/>
          <w:b w:val="0"/>
          <w:snapToGrid w:val="0"/>
          <w:sz w:val="28"/>
          <w:szCs w:val="28"/>
        </w:rPr>
        <w:t>雨水</w:t>
      </w:r>
    </w:p>
    <w:p w14:paraId="1B537000">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该企业工房、</w:t>
      </w:r>
      <w:r>
        <w:rPr>
          <w:rFonts w:ascii="宋体" w:hAnsi="宋体"/>
          <w:b w:val="0"/>
          <w:snapToGrid w:val="0"/>
          <w:sz w:val="28"/>
          <w:szCs w:val="28"/>
        </w:rPr>
        <w:t>仓储</w:t>
      </w:r>
      <w:r>
        <w:rPr>
          <w:rFonts w:hint="eastAsia" w:ascii="宋体" w:hAnsi="宋体"/>
          <w:b w:val="0"/>
          <w:snapToGrid w:val="0"/>
          <w:sz w:val="28"/>
          <w:szCs w:val="28"/>
        </w:rPr>
        <w:t>场所</w:t>
      </w:r>
      <w:r>
        <w:rPr>
          <w:rFonts w:ascii="宋体" w:hAnsi="宋体"/>
          <w:b w:val="0"/>
          <w:snapToGrid w:val="0"/>
          <w:sz w:val="28"/>
          <w:szCs w:val="28"/>
        </w:rPr>
        <w:t>所在地属</w:t>
      </w:r>
      <w:r>
        <w:rPr>
          <w:rFonts w:hint="eastAsia" w:ascii="宋体" w:hAnsi="宋体"/>
          <w:b w:val="0"/>
          <w:snapToGrid w:val="0"/>
          <w:sz w:val="28"/>
          <w:szCs w:val="28"/>
        </w:rPr>
        <w:t>亚热带季风湿润气候</w:t>
      </w:r>
      <w:r>
        <w:rPr>
          <w:rFonts w:ascii="宋体" w:hAnsi="宋体"/>
          <w:b w:val="0"/>
          <w:snapToGrid w:val="0"/>
          <w:sz w:val="28"/>
          <w:szCs w:val="28"/>
        </w:rPr>
        <w:t>，受季风影响，湿度大，雨水充沛，空气中湿度较大。</w:t>
      </w:r>
      <w:r>
        <w:rPr>
          <w:rFonts w:hint="eastAsia" w:ascii="宋体" w:hAnsi="宋体"/>
          <w:b w:val="0"/>
          <w:snapToGrid w:val="0"/>
          <w:sz w:val="28"/>
          <w:szCs w:val="28"/>
        </w:rPr>
        <w:t>烟花</w:t>
      </w:r>
      <w:r>
        <w:rPr>
          <w:rFonts w:ascii="宋体" w:hAnsi="宋体"/>
          <w:b w:val="0"/>
          <w:snapToGrid w:val="0"/>
          <w:sz w:val="28"/>
          <w:szCs w:val="28"/>
        </w:rPr>
        <w:t>爆竹产品中的烟火剂含水量都有一定的要求。所以</w:t>
      </w:r>
      <w:r>
        <w:rPr>
          <w:rFonts w:hint="eastAsia" w:ascii="宋体" w:hAnsi="宋体"/>
          <w:b w:val="0"/>
          <w:snapToGrid w:val="0"/>
          <w:sz w:val="28"/>
          <w:szCs w:val="28"/>
        </w:rPr>
        <w:t>工房、</w:t>
      </w:r>
      <w:r>
        <w:rPr>
          <w:rFonts w:ascii="宋体" w:hAnsi="宋体"/>
          <w:b w:val="0"/>
          <w:snapToGrid w:val="0"/>
          <w:sz w:val="28"/>
          <w:szCs w:val="28"/>
        </w:rPr>
        <w:t>成品库及运输车辆一定要做好防雨、防潮、防漏措施。</w:t>
      </w:r>
    </w:p>
    <w:p w14:paraId="32D8EB30">
      <w:pPr>
        <w:spacing w:line="360" w:lineRule="auto"/>
        <w:ind w:firstLine="560" w:firstLineChars="200"/>
        <w:rPr>
          <w:rFonts w:ascii="宋体" w:hAnsi="宋体"/>
          <w:b w:val="0"/>
          <w:sz w:val="28"/>
        </w:rPr>
      </w:pPr>
      <w:r>
        <w:rPr>
          <w:rFonts w:hint="eastAsia" w:ascii="宋体" w:hAnsi="宋体"/>
          <w:b w:val="0"/>
          <w:sz w:val="28"/>
        </w:rPr>
        <w:t>（</w:t>
      </w:r>
      <w:r>
        <w:rPr>
          <w:rFonts w:ascii="宋体" w:hAnsi="宋体"/>
          <w:b w:val="0"/>
          <w:sz w:val="28"/>
        </w:rPr>
        <w:t>3</w:t>
      </w:r>
      <w:r>
        <w:rPr>
          <w:rFonts w:hint="eastAsia" w:ascii="宋体" w:hAnsi="宋体"/>
          <w:b w:val="0"/>
          <w:sz w:val="28"/>
        </w:rPr>
        <w:t>）</w:t>
      </w:r>
      <w:bookmarkStart w:id="428" w:name="_Hlk203845316"/>
      <w:r>
        <w:rPr>
          <w:rFonts w:hint="eastAsia" w:ascii="宋体" w:hAnsi="宋体"/>
          <w:b w:val="0"/>
          <w:sz w:val="28"/>
        </w:rPr>
        <w:t>山体滑坡和地基土沉降或不均匀沉降</w:t>
      </w:r>
    </w:p>
    <w:p w14:paraId="28A4C392">
      <w:pPr>
        <w:spacing w:line="360" w:lineRule="auto"/>
        <w:ind w:firstLine="560" w:firstLineChars="200"/>
        <w:rPr>
          <w:rFonts w:ascii="宋体" w:hAnsi="宋体"/>
          <w:b w:val="0"/>
          <w:sz w:val="28"/>
        </w:rPr>
      </w:pPr>
      <w:r>
        <w:rPr>
          <w:rFonts w:hint="eastAsia" w:ascii="宋体" w:hAnsi="宋体"/>
          <w:b w:val="0"/>
          <w:sz w:val="28"/>
        </w:rPr>
        <w:t>该企业工房、</w:t>
      </w:r>
      <w:r>
        <w:rPr>
          <w:rFonts w:ascii="宋体" w:hAnsi="宋体"/>
          <w:b w:val="0"/>
          <w:sz w:val="28"/>
        </w:rPr>
        <w:t>仓储场所地处</w:t>
      </w:r>
      <w:r>
        <w:rPr>
          <w:rFonts w:hint="eastAsia" w:ascii="宋体" w:hAnsi="宋体"/>
          <w:b w:val="0"/>
          <w:sz w:val="28"/>
        </w:rPr>
        <w:t>小</w:t>
      </w:r>
      <w:r>
        <w:rPr>
          <w:rFonts w:ascii="宋体" w:hAnsi="宋体"/>
          <w:b w:val="0"/>
          <w:sz w:val="28"/>
        </w:rPr>
        <w:t>丘陵地带，虽然可借助山体作为防护屏障，但在土质较松散、边坡不稳或遇有连续大</w:t>
      </w:r>
      <w:r>
        <w:rPr>
          <w:rFonts w:hint="eastAsia" w:ascii="宋体" w:hAnsi="宋体"/>
          <w:b w:val="0"/>
          <w:sz w:val="28"/>
        </w:rPr>
        <w:t>暴</w:t>
      </w:r>
      <w:r>
        <w:rPr>
          <w:rFonts w:ascii="宋体" w:hAnsi="宋体"/>
          <w:b w:val="0"/>
          <w:sz w:val="28"/>
        </w:rPr>
        <w:t>雨、冰冻的情况下，有</w:t>
      </w:r>
      <w:r>
        <w:rPr>
          <w:rFonts w:hint="eastAsia" w:ascii="宋体" w:hAnsi="宋体"/>
          <w:b w:val="0"/>
          <w:sz w:val="28"/>
        </w:rPr>
        <w:t>可能发生山体滑坡冲毁工库房，进而可能导致烟火药爆炸事故；</w:t>
      </w:r>
      <w:r>
        <w:rPr>
          <w:rFonts w:ascii="宋体" w:hAnsi="宋体"/>
          <w:b w:val="0"/>
          <w:sz w:val="28"/>
        </w:rPr>
        <w:t>所以应做好对边坡监控、加固等防范措施。</w:t>
      </w:r>
      <w:r>
        <w:rPr>
          <w:rFonts w:hint="eastAsia" w:ascii="宋体" w:hAnsi="宋体"/>
          <w:b w:val="0"/>
          <w:sz w:val="28"/>
        </w:rPr>
        <w:t>因地基土沉降或不均匀沉降可能会对建筑物结构造成影响甚至会对建筑结构造成破坏；所以企业</w:t>
      </w:r>
      <w:r>
        <w:rPr>
          <w:rFonts w:ascii="宋体" w:hAnsi="宋体"/>
          <w:b w:val="0"/>
          <w:sz w:val="28"/>
        </w:rPr>
        <w:t>应</w:t>
      </w:r>
      <w:r>
        <w:rPr>
          <w:rFonts w:hint="eastAsia" w:ascii="宋体" w:hAnsi="宋体"/>
          <w:b w:val="0"/>
          <w:sz w:val="28"/>
        </w:rPr>
        <w:t>委托专业的检测机构检测，并在检测的基础上针对地基、基础结构和上部以正结构等采取相应的地基加固、基础结构加固等措施。</w:t>
      </w:r>
    </w:p>
    <w:bookmarkEnd w:id="428"/>
    <w:p w14:paraId="239CED41">
      <w:pPr>
        <w:spacing w:line="360" w:lineRule="auto"/>
        <w:ind w:firstLine="560" w:firstLineChars="200"/>
        <w:rPr>
          <w:rFonts w:ascii="宋体" w:hAnsi="宋体"/>
          <w:b w:val="0"/>
          <w:sz w:val="28"/>
        </w:rPr>
      </w:pPr>
      <w:bookmarkStart w:id="429" w:name="_Toc188265321"/>
      <w:bookmarkStart w:id="430" w:name="_Toc83159010"/>
      <w:bookmarkStart w:id="431" w:name="_Toc202015923"/>
      <w:r>
        <w:rPr>
          <w:rFonts w:hint="eastAsia" w:ascii="宋体" w:hAnsi="宋体"/>
          <w:b w:val="0"/>
          <w:sz w:val="28"/>
        </w:rPr>
        <w:t>（</w:t>
      </w:r>
      <w:r>
        <w:rPr>
          <w:rFonts w:ascii="宋体" w:hAnsi="宋体"/>
          <w:b w:val="0"/>
          <w:sz w:val="28"/>
        </w:rPr>
        <w:t>4</w:t>
      </w:r>
      <w:r>
        <w:rPr>
          <w:rFonts w:hint="eastAsia" w:ascii="宋体" w:hAnsi="宋体"/>
          <w:b w:val="0"/>
          <w:sz w:val="28"/>
        </w:rPr>
        <w:t>）山火危害</w:t>
      </w:r>
    </w:p>
    <w:p w14:paraId="294A2140">
      <w:pPr>
        <w:spacing w:line="360" w:lineRule="auto"/>
        <w:ind w:firstLine="560" w:firstLineChars="200"/>
        <w:rPr>
          <w:rFonts w:ascii="宋体" w:hAnsi="宋体"/>
          <w:b w:val="0"/>
          <w:sz w:val="28"/>
        </w:rPr>
      </w:pPr>
      <w:r>
        <w:rPr>
          <w:rFonts w:hint="eastAsia" w:ascii="宋体" w:hAnsi="宋体"/>
          <w:b w:val="0"/>
          <w:sz w:val="28"/>
        </w:rPr>
        <w:t>浏阳市四季分明，夏季炎热多雨、冬季寒冷干燥，加上工房、仓库与山丘上的树木杂草相距较近，如果防范措施不当，一旦发生山火就有可能烧毁工房、仓库和引发爆炸事故，给企业带来损失、给职工造成伤害，因此，企业除按规定搞好安全防火隔离带以外，还应制定应急预案，并告知从业人员和相关人员在紧急情况下应当采取的措施。</w:t>
      </w:r>
    </w:p>
    <w:bookmarkEnd w:id="429"/>
    <w:bookmarkEnd w:id="430"/>
    <w:bookmarkEnd w:id="431"/>
    <w:p w14:paraId="497EB443">
      <w:pPr>
        <w:spacing w:line="360" w:lineRule="auto"/>
        <w:ind w:firstLine="560" w:firstLineChars="200"/>
        <w:rPr>
          <w:rFonts w:ascii="宋体" w:hAnsi="宋体"/>
          <w:b w:val="0"/>
          <w:sz w:val="28"/>
        </w:rPr>
      </w:pPr>
      <w:r>
        <w:rPr>
          <w:rFonts w:hint="eastAsia" w:ascii="宋体" w:hAnsi="宋体"/>
          <w:b w:val="0"/>
          <w:sz w:val="28"/>
        </w:rPr>
        <w:t>（</w:t>
      </w:r>
      <w:r>
        <w:rPr>
          <w:rFonts w:ascii="宋体" w:hAnsi="宋体"/>
          <w:b w:val="0"/>
          <w:sz w:val="28"/>
        </w:rPr>
        <w:t>5</w:t>
      </w:r>
      <w:r>
        <w:rPr>
          <w:rFonts w:hint="eastAsia" w:ascii="宋体" w:hAnsi="宋体"/>
          <w:b w:val="0"/>
          <w:sz w:val="28"/>
        </w:rPr>
        <w:t>）雷击灾害</w:t>
      </w:r>
    </w:p>
    <w:p w14:paraId="29086B72">
      <w:pPr>
        <w:spacing w:line="360" w:lineRule="auto"/>
        <w:ind w:firstLine="560" w:firstLineChars="200"/>
        <w:rPr>
          <w:rFonts w:ascii="宋体" w:hAnsi="宋体"/>
          <w:b w:val="0"/>
          <w:sz w:val="28"/>
        </w:rPr>
      </w:pPr>
      <w:r>
        <w:rPr>
          <w:rFonts w:hint="eastAsia" w:ascii="宋体" w:hAnsi="宋体"/>
          <w:b w:val="0"/>
          <w:sz w:val="28"/>
        </w:rPr>
        <w:t>该企业所处浏阳地区属多雷雨地区，春、夏两季雷电较多，烟花生产受雷电伤害的可能性较大。危险品工库房多属一、二类防雷电场所，防雷电伤害尤为重要。</w:t>
      </w:r>
    </w:p>
    <w:p w14:paraId="29D7EC50">
      <w:pPr>
        <w:spacing w:line="360" w:lineRule="auto"/>
        <w:ind w:left="36" w:leftChars="17" w:firstLine="560" w:firstLineChars="200"/>
        <w:rPr>
          <w:rFonts w:ascii="宋体" w:hAnsi="宋体"/>
          <w:b w:val="0"/>
          <w:snapToGrid w:val="0"/>
          <w:sz w:val="28"/>
          <w:szCs w:val="28"/>
        </w:rPr>
      </w:pPr>
      <w:r>
        <w:rPr>
          <w:rFonts w:hint="eastAsia" w:ascii="宋体" w:hAnsi="宋体"/>
          <w:b w:val="0"/>
          <w:sz w:val="28"/>
        </w:rPr>
        <w:t>雷电的危害主要有直接雷击、感应雷击和雷电波入侵三种，这三种作用都会对烟花生产构成危害，引起火灾、爆炸事故。雷电击中建筑物或人，会造成建筑物主体的破坏或人员的伤亡，建筑物、架空输电线路、架空管道及电缆线路等遭受雷电感应和雷电波侵入时，金属部件之间会出现电位差，可能使人身遭受电击，其放电产生的火花，可能引起周围环境中药剂粉尘的燃烧和爆炸</w:t>
      </w:r>
      <w:r>
        <w:rPr>
          <w:rFonts w:hint="eastAsia" w:ascii="宋体" w:hAnsi="宋体"/>
          <w:b w:val="0"/>
          <w:snapToGrid w:val="0"/>
          <w:sz w:val="28"/>
          <w:szCs w:val="28"/>
        </w:rPr>
        <w:t>。</w:t>
      </w:r>
    </w:p>
    <w:p w14:paraId="02DAD337">
      <w:pPr>
        <w:pStyle w:val="87"/>
        <w:ind w:firstLine="560"/>
      </w:pPr>
      <w:r>
        <w:rPr>
          <w:rFonts w:hint="eastAsia" w:ascii="宋体" w:hAnsi="宋体" w:eastAsia="宋体"/>
          <w:b w:val="0"/>
        </w:rPr>
        <w:t>直接雷击是雷云与地面建筑物之间的直接放电。如果危险品工库房无避雷针、或避雷针高度及覆盖面积不够、引下线选型不当、引下线截面积不足或接地不符合规范要求（电阻大于</w:t>
      </w:r>
      <w:r>
        <w:rPr>
          <w:rFonts w:ascii="宋体" w:hAnsi="宋体" w:eastAsia="宋体"/>
          <w:b w:val="0"/>
        </w:rPr>
        <w:t>10</w:t>
      </w:r>
      <w:r>
        <w:rPr>
          <w:rFonts w:hint="eastAsia" w:ascii="宋体" w:hAnsi="宋体" w:eastAsia="宋体"/>
          <w:b w:val="0"/>
        </w:rPr>
        <w:t>Ω，接地方式不正确），会使建筑物遭受雷击而倒塌，引起工库房内的危险物品燃烧、爆炸。</w:t>
      </w:r>
    </w:p>
    <w:p w14:paraId="19F2F8CF">
      <w:pPr>
        <w:spacing w:line="360" w:lineRule="auto"/>
        <w:ind w:left="36" w:leftChars="17" w:firstLine="560" w:firstLineChars="200"/>
        <w:rPr>
          <w:rFonts w:ascii="宋体" w:hAnsi="宋体"/>
          <w:b w:val="0"/>
          <w:snapToGrid w:val="0"/>
          <w:sz w:val="28"/>
          <w:szCs w:val="28"/>
        </w:rPr>
      </w:pPr>
      <w:r>
        <w:rPr>
          <w:rFonts w:hint="eastAsia" w:ascii="宋体" w:hAnsi="宋体"/>
          <w:b w:val="0"/>
          <w:snapToGrid w:val="0"/>
          <w:sz w:val="28"/>
          <w:szCs w:val="28"/>
        </w:rPr>
        <w:t>感应雷是雷电在导体上产生的雷电感应。这种感应能在室内外导体上产生大量静电积累和感应电动势，极易产生电火花、局部过热等现象，若烟花生产危险品工库房内金属物体没有接地或接地方式不对，极可能发生燃烧爆炸事故。</w:t>
      </w:r>
    </w:p>
    <w:p w14:paraId="01ED855A">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雷电波侵入是雷击发生时，在输电线路、供水供汽管路上产生冲击电压，并沿着管路传播。若侵入生产工库房内，可能造成危险品燃烧、爆炸。该企业烟花生产工库房未涉及供汽管路，多数工库房无输电线路，雷电波侵入的危险性较小。</w:t>
      </w:r>
    </w:p>
    <w:p w14:paraId="1B995C05">
      <w:pPr>
        <w:spacing w:before="120" w:after="120" w:line="360" w:lineRule="auto"/>
        <w:outlineLvl w:val="2"/>
        <w:rPr>
          <w:rFonts w:ascii="黑体" w:hAnsi="黑体" w:eastAsia="黑体"/>
          <w:b w:val="0"/>
          <w:sz w:val="30"/>
          <w:szCs w:val="30"/>
        </w:rPr>
      </w:pPr>
      <w:bookmarkStart w:id="432" w:name="_Toc148037006"/>
      <w:bookmarkStart w:id="433" w:name="_Toc294247827"/>
      <w:bookmarkStart w:id="434" w:name="_Toc58862003"/>
      <w:bookmarkStart w:id="435" w:name="_Toc213127087"/>
      <w:bookmarkStart w:id="436" w:name="_Toc271898772"/>
      <w:bookmarkStart w:id="437" w:name="_Toc58946835"/>
      <w:bookmarkStart w:id="438" w:name="_Toc173077677"/>
      <w:bookmarkStart w:id="439" w:name="_Toc213469604"/>
      <w:bookmarkStart w:id="440" w:name="_Toc145275211"/>
      <w:bookmarkStart w:id="441" w:name="_Toc294247657"/>
      <w:bookmarkStart w:id="442" w:name="_Toc60129118"/>
      <w:bookmarkStart w:id="443" w:name="_Toc181194084"/>
      <w:bookmarkStart w:id="444" w:name="_Toc335902413"/>
      <w:r>
        <w:rPr>
          <w:rFonts w:ascii="黑体" w:hAnsi="黑体" w:eastAsia="黑体"/>
          <w:b w:val="0"/>
          <w:sz w:val="30"/>
          <w:szCs w:val="30"/>
        </w:rPr>
        <w:t>3.9.</w:t>
      </w:r>
      <w:r>
        <w:rPr>
          <w:rFonts w:hint="eastAsia" w:ascii="黑体" w:hAnsi="黑体" w:eastAsia="黑体"/>
          <w:b w:val="0"/>
          <w:sz w:val="30"/>
          <w:szCs w:val="30"/>
        </w:rPr>
        <w:t>2作业环境危险有害因素分析</w:t>
      </w:r>
      <w:bookmarkEnd w:id="432"/>
      <w:bookmarkEnd w:id="433"/>
      <w:bookmarkEnd w:id="434"/>
      <w:bookmarkEnd w:id="435"/>
      <w:bookmarkEnd w:id="436"/>
      <w:bookmarkEnd w:id="437"/>
      <w:bookmarkEnd w:id="438"/>
      <w:bookmarkEnd w:id="439"/>
      <w:bookmarkEnd w:id="440"/>
      <w:bookmarkEnd w:id="441"/>
      <w:bookmarkEnd w:id="442"/>
      <w:bookmarkEnd w:id="443"/>
      <w:bookmarkEnd w:id="444"/>
    </w:p>
    <w:p w14:paraId="6F95ACF0">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（1）粉尘危害</w:t>
      </w:r>
    </w:p>
    <w:p w14:paraId="515DAC55">
      <w:pPr>
        <w:spacing w:line="360" w:lineRule="auto"/>
        <w:ind w:firstLine="560" w:firstLineChars="200"/>
        <w:rPr>
          <w:rFonts w:ascii="宋体" w:hAnsi="宋体"/>
          <w:b w:val="0"/>
          <w:sz w:val="28"/>
        </w:rPr>
      </w:pPr>
      <w:r>
        <w:rPr>
          <w:rFonts w:hint="eastAsia" w:ascii="宋体" w:hAnsi="宋体"/>
          <w:b w:val="0"/>
          <w:sz w:val="28"/>
        </w:rPr>
        <w:t>作业环境中主要危险、有害因素为生产性粉尘危害，主要产生在称料、机械药混合等工序中；其中镁铝合金粉、硫磺、钛粉、烟火药等还可形成爆炸性粉尘。</w:t>
      </w:r>
    </w:p>
    <w:p w14:paraId="317CB2EF">
      <w:pPr>
        <w:spacing w:line="360" w:lineRule="auto"/>
        <w:ind w:firstLine="592" w:firstLineChars="200"/>
        <w:rPr>
          <w:rFonts w:ascii="宋体" w:hAnsi="宋体"/>
          <w:b w:val="0"/>
          <w:sz w:val="28"/>
        </w:rPr>
      </w:pPr>
      <w:r>
        <w:rPr>
          <w:rFonts w:hint="eastAsia" w:ascii="宋体" w:hAnsi="宋体" w:cs="Arial"/>
          <w:b w:val="0"/>
          <w:spacing w:val="8"/>
          <w:sz w:val="28"/>
        </w:rPr>
        <w:t>若工库房通风不好，</w:t>
      </w:r>
      <w:r>
        <w:rPr>
          <w:rFonts w:hint="eastAsia" w:ascii="宋体" w:hAnsi="宋体"/>
          <w:b w:val="0"/>
          <w:sz w:val="28"/>
        </w:rPr>
        <w:t>镁铝合金粉、硫磺、铝粉、烟火药等可燃性粉尘在空气中达到一定的浓度，遇到火源可发生粉尘爆炸。爆炸时粒子一边燃烧一边飞散，可使可燃物局部炭化，造成人员严重烧伤。最初的局部爆炸发生之后，会扬起周围的粉尘，继而引起二次爆炸、三次爆炸，扩大伤害，同时，粉尘爆炸易造成不完全燃烧，产生有毒气体，危害人体健康。硫磺在空气中的含量达到</w:t>
      </w:r>
      <w:r>
        <w:rPr>
          <w:rFonts w:ascii="宋体" w:hAnsi="宋体"/>
          <w:b w:val="0"/>
          <w:sz w:val="28"/>
        </w:rPr>
        <w:t>35mg/m</w:t>
      </w:r>
      <w:r>
        <w:rPr>
          <w:rFonts w:ascii="宋体" w:hAnsi="宋体"/>
          <w:b w:val="0"/>
          <w:sz w:val="28"/>
          <w:vertAlign w:val="superscript"/>
        </w:rPr>
        <w:t>3</w:t>
      </w:r>
      <w:r>
        <w:rPr>
          <w:rFonts w:hint="eastAsia" w:ascii="宋体" w:hAnsi="宋体"/>
          <w:b w:val="0"/>
          <w:sz w:val="28"/>
        </w:rPr>
        <w:t>以上即具燃爆性；铝银粉粉尘在空气中含量超过</w:t>
      </w:r>
      <w:r>
        <w:rPr>
          <w:rFonts w:ascii="宋体" w:hAnsi="宋体"/>
          <w:b w:val="0"/>
          <w:sz w:val="28"/>
        </w:rPr>
        <w:t>40g/L</w:t>
      </w:r>
      <w:r>
        <w:rPr>
          <w:rFonts w:hint="eastAsia" w:ascii="宋体" w:hAnsi="宋体"/>
          <w:b w:val="0"/>
          <w:sz w:val="28"/>
        </w:rPr>
        <w:t>，镁铝合金粉粉尘含量达到</w:t>
      </w:r>
      <w:r>
        <w:rPr>
          <w:rFonts w:ascii="宋体" w:hAnsi="宋体"/>
          <w:b w:val="0"/>
          <w:sz w:val="28"/>
        </w:rPr>
        <w:t>32.5g/L</w:t>
      </w:r>
      <w:r>
        <w:rPr>
          <w:rFonts w:hint="eastAsia" w:ascii="宋体" w:hAnsi="宋体"/>
          <w:b w:val="0"/>
          <w:sz w:val="28"/>
        </w:rPr>
        <w:t>时，易被明火点燃引起爆炸。</w:t>
      </w:r>
    </w:p>
    <w:p w14:paraId="73B8A5F0">
      <w:pPr>
        <w:spacing w:line="360" w:lineRule="auto"/>
        <w:ind w:firstLine="560" w:firstLineChars="200"/>
        <w:rPr>
          <w:rFonts w:ascii="宋体" w:hAnsi="宋体"/>
          <w:b w:val="0"/>
          <w:snapToGrid w:val="0"/>
          <w:sz w:val="28"/>
          <w:szCs w:val="28"/>
        </w:rPr>
      </w:pPr>
      <w:r>
        <w:rPr>
          <w:rFonts w:hint="eastAsia" w:ascii="宋体" w:hAnsi="宋体"/>
          <w:b w:val="0"/>
          <w:sz w:val="28"/>
        </w:rPr>
        <w:t>生产过程中，有尘作业工人长期吸入粉尘可引起呼吸道刺激症状和中毒。同时，粉尘污染车间环境，影响设备照明</w:t>
      </w:r>
      <w:r>
        <w:rPr>
          <w:rFonts w:hint="eastAsia" w:ascii="宋体" w:hAnsi="宋体"/>
          <w:b w:val="0"/>
          <w:snapToGrid w:val="0"/>
          <w:sz w:val="28"/>
          <w:szCs w:val="28"/>
        </w:rPr>
        <w:t>。</w:t>
      </w:r>
    </w:p>
    <w:p w14:paraId="4F56A3B0">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（2）采光照明不良</w:t>
      </w:r>
    </w:p>
    <w:p w14:paraId="12FAF0F2">
      <w:pPr>
        <w:spacing w:line="360" w:lineRule="auto"/>
        <w:ind w:firstLine="560" w:firstLineChars="200"/>
        <w:rPr>
          <w:rFonts w:ascii="宋体" w:hAnsi="宋体"/>
          <w:b w:val="0"/>
          <w:sz w:val="28"/>
        </w:rPr>
      </w:pPr>
      <w:r>
        <w:rPr>
          <w:rFonts w:hint="eastAsia" w:ascii="宋体" w:hAnsi="宋体"/>
          <w:b w:val="0"/>
          <w:sz w:val="28"/>
        </w:rPr>
        <w:t>根据相关标准规定：室内天然光照度应大于</w:t>
      </w:r>
      <w:r>
        <w:rPr>
          <w:rFonts w:ascii="宋体" w:hAnsi="宋体"/>
          <w:b w:val="0"/>
          <w:sz w:val="28"/>
        </w:rPr>
        <w:t>100</w:t>
      </w:r>
      <w:r>
        <w:rPr>
          <w:rFonts w:hint="eastAsia" w:ascii="宋体" w:hAnsi="宋体"/>
          <w:b w:val="0"/>
          <w:sz w:val="28"/>
        </w:rPr>
        <w:t>勒克斯。采用人工照明措施后，混合照明照度应大于</w:t>
      </w:r>
      <w:r>
        <w:rPr>
          <w:rFonts w:ascii="宋体" w:hAnsi="宋体"/>
          <w:b w:val="0"/>
          <w:sz w:val="28"/>
        </w:rPr>
        <w:t>200</w:t>
      </w:r>
      <w:r>
        <w:rPr>
          <w:rFonts w:hint="eastAsia" w:ascii="宋体" w:hAnsi="宋体"/>
          <w:b w:val="0"/>
          <w:sz w:val="28"/>
        </w:rPr>
        <w:t>勒克斯。</w:t>
      </w:r>
    </w:p>
    <w:p w14:paraId="366552F5">
      <w:pPr>
        <w:spacing w:line="360" w:lineRule="auto"/>
        <w:ind w:firstLine="560" w:firstLineChars="200"/>
        <w:rPr>
          <w:rFonts w:ascii="宋体" w:hAnsi="宋体"/>
          <w:b w:val="0"/>
          <w:snapToGrid w:val="0"/>
          <w:sz w:val="28"/>
          <w:szCs w:val="28"/>
        </w:rPr>
      </w:pPr>
      <w:r>
        <w:rPr>
          <w:rFonts w:hint="eastAsia" w:ascii="宋体" w:hAnsi="宋体"/>
          <w:b w:val="0"/>
          <w:sz w:val="28"/>
        </w:rPr>
        <w:t>若操作台背光设置导致采光不良，或灯光照明混合照度小于</w:t>
      </w:r>
      <w:r>
        <w:rPr>
          <w:rFonts w:ascii="宋体" w:hAnsi="宋体"/>
          <w:b w:val="0"/>
          <w:sz w:val="28"/>
        </w:rPr>
        <w:t>200</w:t>
      </w:r>
      <w:r>
        <w:rPr>
          <w:rFonts w:hint="eastAsia" w:ascii="宋体" w:hAnsi="宋体"/>
          <w:b w:val="0"/>
          <w:sz w:val="28"/>
        </w:rPr>
        <w:t>勒克斯，工人长期在光照度不足环境中工作，会对视力造成损害，还可能发生意外跌倒受伤，并可能因意外跌倒导致烟火药或其制品受到撞击、摩擦发生燃烧、爆炸</w:t>
      </w:r>
      <w:r>
        <w:rPr>
          <w:rFonts w:hint="eastAsia" w:ascii="宋体" w:hAnsi="宋体"/>
          <w:b w:val="0"/>
          <w:snapToGrid w:val="0"/>
          <w:sz w:val="28"/>
          <w:szCs w:val="28"/>
        </w:rPr>
        <w:t>。</w:t>
      </w:r>
    </w:p>
    <w:p w14:paraId="5B642BBD">
      <w:pPr>
        <w:spacing w:before="120" w:after="120" w:line="360" w:lineRule="auto"/>
        <w:outlineLvl w:val="2"/>
        <w:rPr>
          <w:rFonts w:ascii="黑体" w:hAnsi="黑体" w:eastAsia="黑体"/>
          <w:b w:val="0"/>
          <w:sz w:val="30"/>
          <w:szCs w:val="30"/>
        </w:rPr>
      </w:pPr>
      <w:r>
        <w:rPr>
          <w:rFonts w:ascii="黑体" w:hAnsi="黑体" w:eastAsia="黑体"/>
          <w:b w:val="0"/>
          <w:sz w:val="30"/>
          <w:szCs w:val="30"/>
        </w:rPr>
        <w:t>3.9.3</w:t>
      </w:r>
      <w:r>
        <w:rPr>
          <w:rFonts w:hint="eastAsia" w:ascii="黑体" w:hAnsi="黑体" w:eastAsia="黑体"/>
          <w:b w:val="0"/>
          <w:sz w:val="30"/>
          <w:szCs w:val="30"/>
        </w:rPr>
        <w:t>周边环境危险有害因素分析</w:t>
      </w:r>
    </w:p>
    <w:p w14:paraId="766B87B1">
      <w:pPr>
        <w:pStyle w:val="87"/>
        <w:ind w:firstLine="560"/>
        <w:rPr>
          <w:rFonts w:ascii="宋体" w:hAnsi="宋体" w:eastAsia="宋体"/>
          <w:b w:val="0"/>
          <w:bCs/>
        </w:rPr>
      </w:pPr>
      <w:r>
        <w:rPr>
          <w:rFonts w:hint="eastAsia" w:ascii="宋体" w:hAnsi="宋体" w:eastAsia="宋体"/>
          <w:b w:val="0"/>
          <w:bCs/>
        </w:rPr>
        <w:t>该项目位于浏阳市集里街道办事处合盛村，厂区周边环境存在以下危险有害因素：一是厂区周边山地长有杂草和树林，高温干燥季节易因雷击、人为明火等引发山林火灾，火势及飞火蔓延至厂区可引燃区内烟花爆竹危险物品，导致燃烧爆炸事故；二是厂区周边分布有零散住户，居民生活用火、燃放烟花爆竹等行为产生的明火飞火存在引燃厂区危险品的风险，同时存在无关人员误入危险区域及个别人员蓄意破坏、偷盗药物引发事故的隐患；三是厂区西面与浏阳市文龙鞭炮烟花烟制造有限公司相邻，虽两厂间安全距离符合《烟花爆竹工程设计安全标准》（GB 50161</w:t>
      </w:r>
      <w:r>
        <w:rPr>
          <w:rFonts w:ascii="宋体" w:hAnsi="宋体" w:eastAsia="宋体"/>
          <w:b w:val="0"/>
          <w:bCs/>
        </w:rPr>
        <w:t>-2022</w:t>
      </w:r>
      <w:r>
        <w:rPr>
          <w:rFonts w:hint="eastAsia" w:ascii="宋体" w:hAnsi="宋体" w:eastAsia="宋体"/>
          <w:b w:val="0"/>
          <w:bCs/>
        </w:rPr>
        <w:t>）相关规定，但相邻企业一旦发生燃烧爆炸事故，其产生的冲击波、飞散物及热辐射仍可能对本厂区建（构）筑物及储存的危险品造成破坏，诱发连锁燃烧爆炸事故。</w:t>
      </w:r>
    </w:p>
    <w:p w14:paraId="2B823563">
      <w:pPr>
        <w:keepNext/>
        <w:keepLines/>
        <w:spacing w:before="120" w:beforeLines="50" w:line="360" w:lineRule="auto"/>
        <w:outlineLvl w:val="1"/>
        <w:rPr>
          <w:rFonts w:ascii="黑体" w:hAnsi="黑体" w:eastAsia="黑体"/>
          <w:b w:val="0"/>
          <w:bCs/>
          <w:snapToGrid w:val="0"/>
          <w:sz w:val="32"/>
          <w:szCs w:val="32"/>
        </w:rPr>
      </w:pPr>
      <w:bookmarkStart w:id="445" w:name="_Toc294247828"/>
      <w:bookmarkStart w:id="446" w:name="_Toc173077678"/>
      <w:bookmarkStart w:id="447" w:name="_Toc227869289"/>
      <w:bookmarkStart w:id="448" w:name="_Toc271898773"/>
      <w:bookmarkStart w:id="449" w:name="_Toc335902414"/>
      <w:bookmarkStart w:id="450" w:name="_Toc4504"/>
      <w:r>
        <w:rPr>
          <w:rFonts w:hint="eastAsia" w:ascii="黑体" w:hAnsi="黑体" w:eastAsia="黑体"/>
          <w:b w:val="0"/>
          <w:bCs/>
          <w:snapToGrid w:val="0"/>
          <w:sz w:val="32"/>
          <w:szCs w:val="32"/>
        </w:rPr>
        <w:t>3.</w:t>
      </w:r>
      <w:r>
        <w:rPr>
          <w:rFonts w:ascii="黑体" w:hAnsi="黑体" w:eastAsia="黑体"/>
          <w:b w:val="0"/>
          <w:bCs/>
          <w:snapToGrid w:val="0"/>
          <w:sz w:val="32"/>
          <w:szCs w:val="32"/>
        </w:rPr>
        <w:t>10</w:t>
      </w:r>
      <w:r>
        <w:rPr>
          <w:rFonts w:hint="eastAsia" w:ascii="黑体" w:hAnsi="黑体" w:eastAsia="黑体"/>
          <w:b w:val="0"/>
          <w:bCs/>
          <w:snapToGrid w:val="0"/>
          <w:sz w:val="32"/>
          <w:szCs w:val="32"/>
        </w:rPr>
        <w:t>燃放试验和余药、废弃物销毁危险有害因素分析</w:t>
      </w:r>
      <w:bookmarkEnd w:id="445"/>
      <w:bookmarkEnd w:id="446"/>
      <w:bookmarkEnd w:id="447"/>
      <w:bookmarkEnd w:id="448"/>
      <w:bookmarkEnd w:id="449"/>
      <w:bookmarkEnd w:id="450"/>
    </w:p>
    <w:p w14:paraId="62F8007D">
      <w:pPr>
        <w:spacing w:before="120" w:after="120" w:line="360" w:lineRule="auto"/>
        <w:outlineLvl w:val="2"/>
        <w:rPr>
          <w:rFonts w:ascii="黑体" w:hAnsi="黑体" w:eastAsia="黑体"/>
          <w:b w:val="0"/>
          <w:sz w:val="30"/>
          <w:szCs w:val="30"/>
        </w:rPr>
      </w:pPr>
      <w:bookmarkStart w:id="451" w:name="_Toc60129120"/>
      <w:bookmarkStart w:id="452" w:name="_Toc58946837"/>
      <w:bookmarkStart w:id="453" w:name="_Toc148037008"/>
      <w:bookmarkStart w:id="454" w:name="_Toc294247829"/>
      <w:bookmarkStart w:id="455" w:name="_Toc294247658"/>
      <w:bookmarkStart w:id="456" w:name="_Toc58862005"/>
      <w:bookmarkStart w:id="457" w:name="_Toc145275213"/>
      <w:bookmarkStart w:id="458" w:name="_Toc335902415"/>
      <w:bookmarkStart w:id="459" w:name="_Toc181194086"/>
      <w:bookmarkStart w:id="460" w:name="_Toc271898774"/>
      <w:bookmarkStart w:id="461" w:name="_Toc173077679"/>
      <w:r>
        <w:rPr>
          <w:rFonts w:hint="eastAsia" w:ascii="黑体" w:hAnsi="黑体" w:eastAsia="黑体"/>
          <w:b w:val="0"/>
          <w:sz w:val="30"/>
          <w:szCs w:val="30"/>
        </w:rPr>
        <w:t>3.</w:t>
      </w:r>
      <w:r>
        <w:rPr>
          <w:rFonts w:ascii="黑体" w:hAnsi="黑体" w:eastAsia="黑体"/>
          <w:b w:val="0"/>
          <w:sz w:val="30"/>
          <w:szCs w:val="30"/>
        </w:rPr>
        <w:t>10</w:t>
      </w:r>
      <w:r>
        <w:rPr>
          <w:rFonts w:hint="eastAsia" w:ascii="黑体" w:hAnsi="黑体" w:eastAsia="黑体"/>
          <w:b w:val="0"/>
          <w:sz w:val="30"/>
          <w:szCs w:val="30"/>
        </w:rPr>
        <w:t>.1燃放试验危险有害因素分析</w:t>
      </w:r>
      <w:bookmarkEnd w:id="451"/>
      <w:bookmarkEnd w:id="452"/>
      <w:bookmarkEnd w:id="453"/>
      <w:bookmarkEnd w:id="454"/>
      <w:bookmarkEnd w:id="455"/>
      <w:bookmarkEnd w:id="456"/>
      <w:bookmarkEnd w:id="457"/>
      <w:bookmarkEnd w:id="458"/>
      <w:bookmarkEnd w:id="459"/>
      <w:bookmarkEnd w:id="460"/>
      <w:bookmarkEnd w:id="461"/>
    </w:p>
    <w:p w14:paraId="3C0F8249">
      <w:pPr>
        <w:spacing w:line="360" w:lineRule="auto"/>
        <w:ind w:firstLine="560" w:firstLineChars="200"/>
        <w:rPr>
          <w:rFonts w:ascii="宋体" w:hAnsi="宋体"/>
          <w:b w:val="0"/>
          <w:sz w:val="28"/>
        </w:rPr>
      </w:pPr>
      <w:r>
        <w:rPr>
          <w:rFonts w:hint="eastAsia" w:ascii="宋体" w:hAnsi="宋体"/>
          <w:b w:val="0"/>
          <w:sz w:val="28"/>
        </w:rPr>
        <w:t>烟花燃放试验过程中有可能因烟火药配比不合适或纸筒约束力不合适出现爆炸不完全、爆炸力量过大现象，爆炸不完全会在燃放试验现场留下残药，爆炸力量过大有可能使尚未引燃的烟花在强烈冲击波作用下飞散。燃放试验过程中有可能产生冲头、冲底、倒筒、炸筒、穿孔、低炸、火险等现象，存在的危险有害性分析如下：</w:t>
      </w:r>
    </w:p>
    <w:p w14:paraId="605BCDC3">
      <w:pPr>
        <w:spacing w:line="360" w:lineRule="auto"/>
        <w:ind w:firstLine="560" w:firstLineChars="200"/>
        <w:rPr>
          <w:rFonts w:ascii="宋体" w:hAnsi="宋体"/>
          <w:b w:val="0"/>
          <w:sz w:val="28"/>
        </w:rPr>
      </w:pPr>
      <w:r>
        <w:rPr>
          <w:rFonts w:hint="eastAsia" w:ascii="宋体" w:hAnsi="宋体"/>
          <w:b w:val="0"/>
          <w:sz w:val="28"/>
        </w:rPr>
        <w:t>（1）若燃放试验场与距离危险品生产区及危品仓库、居民住宅小于《烟花爆竹工程设计安全标准》的燃放试验场的外部最小允许距离的要求，进行燃放试验时飞散的高温物质、火星可能引燃、引爆附近危险品工库房内的烟火药及其制品，可能引燃附近住宅的可燃物。</w:t>
      </w:r>
    </w:p>
    <w:p w14:paraId="41E57EFD">
      <w:pPr>
        <w:spacing w:line="360" w:lineRule="auto"/>
        <w:ind w:firstLine="560" w:firstLineChars="200"/>
        <w:rPr>
          <w:rFonts w:ascii="宋体" w:hAnsi="宋体"/>
          <w:b w:val="0"/>
          <w:sz w:val="28"/>
        </w:rPr>
      </w:pPr>
      <w:r>
        <w:rPr>
          <w:rFonts w:hint="eastAsia" w:ascii="宋体" w:hAnsi="宋体"/>
          <w:b w:val="0"/>
          <w:sz w:val="28"/>
        </w:rPr>
        <w:t>（2）若在大风天气进行燃放试验且燃放场地处于周边建筑物上风口，飞散的高温物质、火星有可能引燃、引爆周边建筑物内易燃、易爆物质。</w:t>
      </w:r>
    </w:p>
    <w:p w14:paraId="37A43190">
      <w:pPr>
        <w:spacing w:line="360" w:lineRule="auto"/>
        <w:ind w:firstLine="560" w:firstLineChars="200"/>
        <w:rPr>
          <w:rFonts w:ascii="宋体" w:hAnsi="宋体"/>
          <w:b w:val="0"/>
          <w:sz w:val="28"/>
        </w:rPr>
      </w:pPr>
      <w:r>
        <w:rPr>
          <w:rFonts w:hint="eastAsia" w:ascii="宋体" w:hAnsi="宋体"/>
          <w:b w:val="0"/>
          <w:sz w:val="28"/>
        </w:rPr>
        <w:t>（3）若未妥善处理燃放试验产生的残留物，有可能因其含有残药、未点燃引线和成品、未完全熄灭纸屑等留下安全隐患，造成次生灾害。</w:t>
      </w:r>
    </w:p>
    <w:p w14:paraId="56068FE0">
      <w:pPr>
        <w:spacing w:line="360" w:lineRule="auto"/>
        <w:ind w:firstLine="560" w:firstLineChars="200"/>
        <w:rPr>
          <w:rFonts w:ascii="宋体" w:hAnsi="宋体"/>
          <w:b w:val="0"/>
          <w:snapToGrid w:val="0"/>
          <w:sz w:val="28"/>
          <w:szCs w:val="28"/>
        </w:rPr>
      </w:pPr>
      <w:r>
        <w:rPr>
          <w:rFonts w:hint="eastAsia" w:ascii="宋体" w:hAnsi="宋体"/>
          <w:b w:val="0"/>
          <w:sz w:val="28"/>
        </w:rPr>
        <w:t>（4）若试验人员进行燃放试验时距离燃放品太近或处在其下风口，有可能受到炸伤、烧伤伤害，燃放品燃放过程产生的有毒有害气体也可能对其身体健康造成损害</w:t>
      </w:r>
      <w:r>
        <w:rPr>
          <w:rFonts w:hint="eastAsia" w:ascii="宋体" w:hAnsi="宋体"/>
          <w:b w:val="0"/>
          <w:snapToGrid w:val="0"/>
          <w:sz w:val="28"/>
          <w:szCs w:val="28"/>
        </w:rPr>
        <w:t>。</w:t>
      </w:r>
    </w:p>
    <w:p w14:paraId="2AB3FEFE">
      <w:pPr>
        <w:spacing w:line="360" w:lineRule="auto"/>
        <w:outlineLvl w:val="2"/>
        <w:rPr>
          <w:rFonts w:ascii="黑体" w:hAnsi="黑体" w:eastAsia="黑体"/>
          <w:b w:val="0"/>
          <w:sz w:val="30"/>
          <w:szCs w:val="30"/>
        </w:rPr>
      </w:pPr>
      <w:bookmarkStart w:id="462" w:name="_Toc294247659"/>
      <w:bookmarkStart w:id="463" w:name="_Toc294247830"/>
      <w:bookmarkStart w:id="464" w:name="_Toc148037009"/>
      <w:bookmarkStart w:id="465" w:name="_Toc271898775"/>
      <w:bookmarkStart w:id="466" w:name="_Toc173077680"/>
      <w:bookmarkStart w:id="467" w:name="_Toc181194087"/>
      <w:bookmarkStart w:id="468" w:name="_Toc58946838"/>
      <w:bookmarkStart w:id="469" w:name="_Toc60129121"/>
      <w:bookmarkStart w:id="470" w:name="_Toc145275214"/>
      <w:bookmarkStart w:id="471" w:name="_Toc335902416"/>
      <w:bookmarkStart w:id="472" w:name="_Toc58862006"/>
      <w:r>
        <w:rPr>
          <w:rFonts w:hint="eastAsia" w:ascii="黑体" w:hAnsi="黑体" w:eastAsia="黑体"/>
          <w:b w:val="0"/>
          <w:sz w:val="30"/>
          <w:szCs w:val="30"/>
        </w:rPr>
        <w:t>3.</w:t>
      </w:r>
      <w:r>
        <w:rPr>
          <w:rFonts w:ascii="黑体" w:hAnsi="黑体" w:eastAsia="黑体"/>
          <w:b w:val="0"/>
          <w:sz w:val="30"/>
          <w:szCs w:val="30"/>
        </w:rPr>
        <w:t>10</w:t>
      </w:r>
      <w:r>
        <w:rPr>
          <w:rFonts w:hint="eastAsia" w:ascii="黑体" w:hAnsi="黑体" w:eastAsia="黑体"/>
          <w:b w:val="0"/>
          <w:sz w:val="30"/>
          <w:szCs w:val="30"/>
        </w:rPr>
        <w:t>.2余药、废弃物销毁危险有害因素分析</w:t>
      </w:r>
      <w:bookmarkEnd w:id="462"/>
      <w:bookmarkEnd w:id="463"/>
      <w:bookmarkEnd w:id="464"/>
      <w:bookmarkEnd w:id="465"/>
      <w:bookmarkEnd w:id="466"/>
      <w:bookmarkEnd w:id="467"/>
      <w:bookmarkEnd w:id="468"/>
      <w:bookmarkEnd w:id="469"/>
      <w:bookmarkEnd w:id="470"/>
      <w:bookmarkEnd w:id="471"/>
      <w:bookmarkEnd w:id="472"/>
    </w:p>
    <w:p w14:paraId="3F951E57">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余药、废药销毁过程中，产生的主要危险为爆炸、火灾，其危险程度由药量、药物的密集程度、周边距离等因素决定。所以控制药量、药物的密集程度、周边距离是控制事故发生和升级的主要措施。</w:t>
      </w:r>
    </w:p>
    <w:p w14:paraId="4E7E8A41">
      <w:pPr>
        <w:spacing w:line="360" w:lineRule="auto"/>
        <w:ind w:firstLine="560" w:firstLineChars="200"/>
        <w:jc w:val="left"/>
        <w:rPr>
          <w:rFonts w:ascii="宋体" w:hAnsi="宋体"/>
          <w:b w:val="0"/>
          <w:snapToGrid w:val="0"/>
          <w:sz w:val="28"/>
          <w:szCs w:val="28"/>
        </w:rPr>
      </w:pPr>
      <w:r>
        <w:rPr>
          <w:rFonts w:hint="eastAsia" w:ascii="宋体" w:hAnsi="宋体"/>
          <w:b w:val="0"/>
          <w:snapToGrid w:val="0"/>
          <w:sz w:val="28"/>
          <w:szCs w:val="28"/>
        </w:rPr>
        <w:t>烟花生产产生的余药、废药主要为烟火药，具有燃烧爆炸性，销毁过程存在的危险有害性分析如下：</w:t>
      </w:r>
    </w:p>
    <w:p w14:paraId="2C7314E3">
      <w:pPr>
        <w:spacing w:line="360" w:lineRule="auto"/>
        <w:ind w:firstLine="560" w:firstLineChars="200"/>
        <w:jc w:val="left"/>
        <w:rPr>
          <w:rFonts w:ascii="宋体" w:hAnsi="宋体"/>
          <w:b w:val="0"/>
          <w:snapToGrid w:val="0"/>
          <w:sz w:val="28"/>
          <w:szCs w:val="28"/>
        </w:rPr>
      </w:pPr>
      <w:r>
        <w:rPr>
          <w:rFonts w:hint="eastAsia" w:ascii="宋体" w:hAnsi="宋体"/>
          <w:b w:val="0"/>
          <w:snapToGrid w:val="0"/>
          <w:sz w:val="28"/>
          <w:szCs w:val="28"/>
        </w:rPr>
        <w:t>（</w:t>
      </w:r>
      <w:r>
        <w:rPr>
          <w:rFonts w:ascii="宋体" w:hAnsi="宋体"/>
          <w:b w:val="0"/>
          <w:snapToGrid w:val="0"/>
          <w:sz w:val="28"/>
          <w:szCs w:val="28"/>
        </w:rPr>
        <w:t>1</w:t>
      </w:r>
      <w:r>
        <w:rPr>
          <w:rFonts w:hint="eastAsia" w:ascii="宋体" w:hAnsi="宋体"/>
          <w:b w:val="0"/>
          <w:snapToGrid w:val="0"/>
          <w:sz w:val="28"/>
          <w:szCs w:val="28"/>
        </w:rPr>
        <w:t>）生产过程中产生的余药、废药未及时收集并存放至指定地点，可能引起烟火药燃烧、爆炸。</w:t>
      </w:r>
    </w:p>
    <w:p w14:paraId="3D0DC332">
      <w:pPr>
        <w:spacing w:line="360" w:lineRule="auto"/>
        <w:ind w:firstLine="536" w:firstLineChars="200"/>
        <w:jc w:val="left"/>
        <w:rPr>
          <w:rFonts w:ascii="宋体" w:hAnsi="宋体"/>
          <w:b w:val="0"/>
          <w:snapToGrid w:val="0"/>
          <w:spacing w:val="-6"/>
          <w:sz w:val="28"/>
          <w:szCs w:val="28"/>
        </w:rPr>
      </w:pPr>
      <w:r>
        <w:rPr>
          <w:rFonts w:hint="eastAsia" w:ascii="宋体" w:hAnsi="宋体"/>
          <w:b w:val="0"/>
          <w:snapToGrid w:val="0"/>
          <w:spacing w:val="-6"/>
          <w:sz w:val="28"/>
          <w:szCs w:val="28"/>
        </w:rPr>
        <w:t>（</w:t>
      </w:r>
      <w:r>
        <w:rPr>
          <w:rFonts w:ascii="宋体" w:hAnsi="宋体"/>
          <w:b w:val="0"/>
          <w:snapToGrid w:val="0"/>
          <w:spacing w:val="-6"/>
          <w:sz w:val="28"/>
          <w:szCs w:val="28"/>
        </w:rPr>
        <w:t>2</w:t>
      </w:r>
      <w:r>
        <w:rPr>
          <w:rFonts w:hint="eastAsia" w:ascii="宋体" w:hAnsi="宋体"/>
          <w:b w:val="0"/>
          <w:snapToGrid w:val="0"/>
          <w:spacing w:val="-6"/>
          <w:sz w:val="28"/>
          <w:szCs w:val="28"/>
        </w:rPr>
        <w:t>）使用铁质等易产生火花的工具操作、使用塑料、尼龙等易产生静电的工器具盛装余药、废药，可能因火花引起烟火药燃烧、爆炸。</w:t>
      </w:r>
    </w:p>
    <w:p w14:paraId="6BE01D01">
      <w:pPr>
        <w:spacing w:line="360" w:lineRule="auto"/>
        <w:ind w:firstLine="560" w:firstLineChars="200"/>
        <w:jc w:val="left"/>
        <w:rPr>
          <w:rFonts w:ascii="宋体" w:hAnsi="宋体"/>
          <w:b w:val="0"/>
          <w:snapToGrid w:val="0"/>
          <w:sz w:val="28"/>
          <w:szCs w:val="28"/>
        </w:rPr>
      </w:pPr>
      <w:r>
        <w:rPr>
          <w:rFonts w:hint="eastAsia" w:ascii="宋体" w:hAnsi="宋体"/>
          <w:b w:val="0"/>
          <w:snapToGrid w:val="0"/>
          <w:sz w:val="28"/>
          <w:szCs w:val="28"/>
        </w:rPr>
        <w:t>（</w:t>
      </w:r>
      <w:r>
        <w:rPr>
          <w:rFonts w:ascii="宋体" w:hAnsi="宋体"/>
          <w:b w:val="0"/>
          <w:snapToGrid w:val="0"/>
          <w:sz w:val="28"/>
          <w:szCs w:val="28"/>
        </w:rPr>
        <w:t>3</w:t>
      </w:r>
      <w:r>
        <w:rPr>
          <w:rFonts w:hint="eastAsia" w:ascii="宋体" w:hAnsi="宋体"/>
          <w:b w:val="0"/>
          <w:snapToGrid w:val="0"/>
          <w:sz w:val="28"/>
          <w:szCs w:val="28"/>
        </w:rPr>
        <w:t>）销毁场外部安全距离不够，可能引起次生灾害。</w:t>
      </w:r>
    </w:p>
    <w:p w14:paraId="0EDA2849">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w:t>
      </w:r>
      <w:r>
        <w:rPr>
          <w:rFonts w:ascii="宋体" w:hAnsi="宋体"/>
          <w:b w:val="0"/>
          <w:snapToGrid w:val="0"/>
          <w:sz w:val="28"/>
          <w:szCs w:val="28"/>
        </w:rPr>
        <w:t>4</w:t>
      </w:r>
      <w:r>
        <w:rPr>
          <w:rFonts w:hint="eastAsia" w:ascii="宋体" w:hAnsi="宋体"/>
          <w:b w:val="0"/>
          <w:snapToGrid w:val="0"/>
          <w:sz w:val="28"/>
          <w:szCs w:val="28"/>
        </w:rPr>
        <w:t>）销毁人员在销毁余药、废药时未按操作规程操作，使药粉推积过厚、近距离点火、同批次原地频繁销毁、超量销毁、无专人警戒、没处理销毁现场等，有可能引起火灾、爆炸，导致人员伤亡和财产损害。</w:t>
      </w:r>
    </w:p>
    <w:p w14:paraId="412DFDAC">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（5）若有混合危险的余、废药未分开收集存放，可能引起燃烧爆炸事故。</w:t>
      </w:r>
    </w:p>
    <w:p w14:paraId="519E9909">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（6）若装卸、搬运余药、废药时发生较强烈的碰撞、拖拉、摩擦、振动，可能引发燃烧、爆炸事故。</w:t>
      </w:r>
    </w:p>
    <w:p w14:paraId="627CEA7D">
      <w:pPr>
        <w:keepNext/>
        <w:keepLines/>
        <w:spacing w:before="120" w:beforeLines="50" w:line="360" w:lineRule="auto"/>
        <w:outlineLvl w:val="1"/>
        <w:rPr>
          <w:rFonts w:ascii="黑体" w:hAnsi="黑体" w:eastAsia="黑体"/>
          <w:b w:val="0"/>
          <w:bCs/>
          <w:snapToGrid w:val="0"/>
          <w:sz w:val="30"/>
          <w:szCs w:val="30"/>
        </w:rPr>
      </w:pPr>
      <w:bookmarkStart w:id="473" w:name="_Toc4263"/>
      <w:bookmarkStart w:id="474" w:name="_Toc227869290"/>
      <w:bookmarkStart w:id="475" w:name="_Toc271898776"/>
      <w:bookmarkStart w:id="476" w:name="_Toc173077681"/>
      <w:bookmarkStart w:id="477" w:name="_Toc335902417"/>
      <w:bookmarkStart w:id="478" w:name="_Toc294247831"/>
      <w:r>
        <w:rPr>
          <w:rFonts w:hint="eastAsia" w:ascii="黑体" w:hAnsi="黑体" w:eastAsia="黑体"/>
          <w:b w:val="0"/>
          <w:bCs/>
          <w:snapToGrid w:val="0"/>
          <w:sz w:val="30"/>
          <w:szCs w:val="30"/>
        </w:rPr>
        <w:t>3.1</w:t>
      </w:r>
      <w:r>
        <w:rPr>
          <w:rFonts w:ascii="黑体" w:hAnsi="黑体" w:eastAsia="黑体"/>
          <w:b w:val="0"/>
          <w:bCs/>
          <w:snapToGrid w:val="0"/>
          <w:sz w:val="30"/>
          <w:szCs w:val="30"/>
        </w:rPr>
        <w:t>1</w:t>
      </w:r>
      <w:r>
        <w:rPr>
          <w:rFonts w:hint="eastAsia" w:ascii="黑体" w:hAnsi="黑体" w:eastAsia="黑体"/>
          <w:b w:val="0"/>
          <w:bCs/>
          <w:snapToGrid w:val="0"/>
          <w:sz w:val="30"/>
          <w:szCs w:val="30"/>
        </w:rPr>
        <w:t>建筑施工过程危险因素分析</w:t>
      </w:r>
      <w:bookmarkEnd w:id="473"/>
    </w:p>
    <w:p w14:paraId="0EFEF6E0">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从建筑施工的特点，可以看出建筑施工的不安全因素多存在于高处交叉作业、垂直运输、使用电气工具以及基础工程作业中。伤亡事故主要类别是：高处坠落、坍塌、物体打击、触电、厂内机动车致害、机械致害，这六类伤亡事故死亡人数，每年占因工死亡人数总数的70～80%。</w:t>
      </w:r>
    </w:p>
    <w:p w14:paraId="262D627A">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1.高处坠落</w:t>
      </w:r>
    </w:p>
    <w:p w14:paraId="37338FAB">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高处坠落是指人员从坠落高度≧2米的临边、洞口坠落。</w:t>
      </w:r>
    </w:p>
    <w:p w14:paraId="25068687">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如果在建筑施工中违反安全操作规程、没有使用或正确使用安全“三宝”；如果人缺乏应有的安全常识和安全意识；如果现场安全检查不到位，安全隐患未及时发现和整改，安全防护措施不力。以上均容易造成高处坠落。</w:t>
      </w:r>
    </w:p>
    <w:p w14:paraId="2881DE8B">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2.坍塌</w:t>
      </w:r>
    </w:p>
    <w:p w14:paraId="0CC2F9D7">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坍塌是指建筑物、构筑物、堆置物、土石方、搭设的脚手架体等，底部支撑强度不能抵御上部荷重，失稳垮塌造成的安全事故。</w:t>
      </w:r>
    </w:p>
    <w:p w14:paraId="450D267C">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如果在建筑施工中未按施工方案进行施工，未对模板脚手架进行检查验收，安全管理混乱，安全检查不到位，极易造成坍塌现象。</w:t>
      </w:r>
    </w:p>
    <w:p w14:paraId="04791112">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3.物体打击</w:t>
      </w:r>
    </w:p>
    <w:p w14:paraId="094EE07E">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物体打击伤害是指失控物体的惯性力造成的人体伤亡事故。</w:t>
      </w:r>
    </w:p>
    <w:p w14:paraId="1073EB90">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如果在建筑施工中作业人员进入施工场地没有按照要求佩戴安全帽，没有在规定的安全通道内活动，工作过程中工具未放在工具袋中，作业人员从高处抛掷建筑材料、杂物、建筑垃圾，脚手板铺设不规范，物料放在临边或洞口附近，拆除工程未设警示标志，周围未设护栏，起重吊装没专人指挥，未按“十不吊”规定执行，平网、密目网防护不严，不能封住坠落物体；就会造成物体打击伤害的危险。</w:t>
      </w:r>
    </w:p>
    <w:p w14:paraId="24E4C951">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4.触电</w:t>
      </w:r>
    </w:p>
    <w:p w14:paraId="02931FC6">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触电是由于人体直接接触电源（导致电体或漏电体），受到一定量的电流通过人体致使组织损坏和功能障碍致人伤亡的事故。</w:t>
      </w:r>
    </w:p>
    <w:p w14:paraId="2578A586">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如果在建筑施工中施工现场管理混乱，违章指挥，不具备安全条件下冒险施工就会造成触电伤害事故。</w:t>
      </w:r>
    </w:p>
    <w:p w14:paraId="6F8A2B09">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5.厂内机动车致害</w:t>
      </w:r>
    </w:p>
    <w:p w14:paraId="49779A0A">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在建筑施工过程中，采用电瓶车、机动车、叉车、挖掘机等运输工具作业时，工作场地内的设备移动不均匀的情况下，通常会有大量的交通流量。</w:t>
      </w:r>
    </w:p>
    <w:p w14:paraId="74241892">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如果在施工过程中，施工现场管理混乱，出现交通事故，从而导致人员伤亡事故发生。</w:t>
      </w:r>
    </w:p>
    <w:p w14:paraId="34032FE6">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6.机械致害</w:t>
      </w:r>
    </w:p>
    <w:p w14:paraId="6A3CD556">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主要是吊车、卷扬机、平刨机、电锯、电焊机、搅拌机、砂浆拌等在使用过程中，因缺少防护和保险装置对操作者造成的伤害，一旦出现事故，将会造成重大伤亡和财产损失，尤其是塔吊和卷扬机可能</w:t>
      </w:r>
      <w:r>
        <w:rPr>
          <w:rFonts w:hint="eastAsia" w:ascii="宋体" w:hAnsi="宋体"/>
          <w:b w:val="0"/>
          <w:snapToGrid w:val="0"/>
          <w:spacing w:val="-6"/>
          <w:sz w:val="28"/>
          <w:szCs w:val="28"/>
        </w:rPr>
        <w:t>引发群死群伤事故。引发机械致害事故的原因有：大型机械设备基础不坚固引起倾覆，无资质安装、拆除、维保；机械作业人员无证上岗；各种限位保护装置失灵，机械传动部位无防护罩，起重作业信号不当，指挥不到位，钢丝绳未定期检查，作业人员酒后作业及其它违规违章</w:t>
      </w:r>
      <w:r>
        <w:rPr>
          <w:rFonts w:hint="eastAsia" w:ascii="宋体" w:hAnsi="宋体" w:cs="宋体"/>
          <w:b w:val="0"/>
          <w:bCs/>
          <w:sz w:val="28"/>
          <w:szCs w:val="28"/>
        </w:rPr>
        <w:t>等。</w:t>
      </w:r>
    </w:p>
    <w:p w14:paraId="435CEB94">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7.余废药和危险品清理</w:t>
      </w:r>
    </w:p>
    <w:p w14:paraId="1C1FE917">
      <w:pPr>
        <w:pStyle w:val="87"/>
        <w:ind w:firstLine="560"/>
        <w:rPr>
          <w:rFonts w:ascii="宋体" w:hAnsi="宋体" w:eastAsia="宋体"/>
          <w:b w:val="0"/>
          <w:bCs/>
          <w:szCs w:val="28"/>
        </w:rPr>
      </w:pPr>
      <w:r>
        <w:rPr>
          <w:rFonts w:hint="eastAsia" w:ascii="宋体" w:hAnsi="宋体" w:eastAsia="宋体" w:cs="宋体"/>
          <w:b w:val="0"/>
          <w:bCs/>
          <w:szCs w:val="28"/>
        </w:rPr>
        <w:t>烟花生产过程中无使用价值的烟火药制品、化工原材料中的危险化学品仍具有易燃、易爆或毒性，在施工过程中若对其清理处置不当，会造成火灾、爆炸等安全事故和环境污染。</w:t>
      </w:r>
    </w:p>
    <w:p w14:paraId="39CDF4FC">
      <w:pPr>
        <w:keepNext/>
        <w:keepLines/>
        <w:spacing w:before="120" w:beforeLines="50" w:line="360" w:lineRule="auto"/>
        <w:outlineLvl w:val="1"/>
        <w:rPr>
          <w:rFonts w:ascii="黑体" w:hAnsi="黑体" w:eastAsia="黑体"/>
          <w:b w:val="0"/>
          <w:bCs/>
          <w:snapToGrid w:val="0"/>
          <w:sz w:val="30"/>
          <w:szCs w:val="30"/>
        </w:rPr>
      </w:pPr>
      <w:bookmarkStart w:id="479" w:name="_Toc13578"/>
      <w:r>
        <w:rPr>
          <w:rFonts w:hint="eastAsia" w:ascii="黑体" w:hAnsi="黑体" w:eastAsia="黑体"/>
          <w:b w:val="0"/>
          <w:bCs/>
          <w:snapToGrid w:val="0"/>
          <w:sz w:val="30"/>
          <w:szCs w:val="30"/>
        </w:rPr>
        <w:t>3</w:t>
      </w:r>
      <w:r>
        <w:rPr>
          <w:rFonts w:ascii="黑体" w:hAnsi="黑体" w:eastAsia="黑体"/>
          <w:b w:val="0"/>
          <w:bCs/>
          <w:snapToGrid w:val="0"/>
          <w:sz w:val="30"/>
          <w:szCs w:val="30"/>
        </w:rPr>
        <w:t>.12</w:t>
      </w:r>
      <w:r>
        <w:rPr>
          <w:rFonts w:hint="eastAsia" w:ascii="黑体" w:hAnsi="黑体" w:eastAsia="黑体"/>
          <w:b w:val="0"/>
          <w:bCs/>
          <w:snapToGrid w:val="0"/>
          <w:sz w:val="30"/>
          <w:szCs w:val="30"/>
        </w:rPr>
        <w:t>人员因素危险性分析</w:t>
      </w:r>
      <w:bookmarkEnd w:id="474"/>
      <w:bookmarkEnd w:id="475"/>
      <w:bookmarkEnd w:id="476"/>
      <w:bookmarkEnd w:id="477"/>
      <w:bookmarkEnd w:id="478"/>
      <w:bookmarkEnd w:id="479"/>
    </w:p>
    <w:p w14:paraId="54807555">
      <w:pPr>
        <w:spacing w:line="360" w:lineRule="auto"/>
        <w:ind w:firstLine="560" w:firstLineChars="200"/>
        <w:rPr>
          <w:rFonts w:ascii="宋体" w:hAnsi="宋体"/>
          <w:b w:val="0"/>
          <w:snapToGrid w:val="0"/>
          <w:sz w:val="28"/>
          <w:szCs w:val="28"/>
        </w:rPr>
      </w:pPr>
      <w:r>
        <w:rPr>
          <w:rFonts w:hint="eastAsia" w:ascii="宋体" w:hAnsi="宋体"/>
          <w:b w:val="0"/>
          <w:sz w:val="28"/>
        </w:rPr>
        <w:t>从安全的角度来讲，人的因素非常重要。人的劳动是有意识、有目的的活动；人在具体工作时，更受其本身的文化教育、素质、知识、技能、经验、思维方式、情感、性格、年龄、健康状况、工作态度、人际关系等因素的控制和影响。显然，人的因素在上述诸多危险、有害因素中起着决定或支配作用。烟花生产事故中，人员的违章操作、违规指挥、违反纪律是导致事故发生和事故扩大造成伤亡和损失的主要原因</w:t>
      </w:r>
      <w:r>
        <w:rPr>
          <w:rFonts w:hint="eastAsia" w:ascii="宋体" w:hAnsi="宋体"/>
          <w:b w:val="0"/>
          <w:snapToGrid w:val="0"/>
          <w:sz w:val="28"/>
          <w:szCs w:val="28"/>
        </w:rPr>
        <w:t>。</w:t>
      </w:r>
    </w:p>
    <w:p w14:paraId="63684B59">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生产过程中人员危害因素分析如下：</w:t>
      </w:r>
    </w:p>
    <w:p w14:paraId="642F0C6F">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w:t>
      </w:r>
      <w:r>
        <w:rPr>
          <w:rFonts w:ascii="宋体" w:hAnsi="宋体"/>
          <w:b w:val="0"/>
          <w:snapToGrid w:val="0"/>
          <w:sz w:val="28"/>
          <w:szCs w:val="28"/>
        </w:rPr>
        <w:t>1</w:t>
      </w:r>
      <w:r>
        <w:rPr>
          <w:rFonts w:hint="eastAsia" w:ascii="宋体" w:hAnsi="宋体"/>
          <w:b w:val="0"/>
          <w:snapToGrid w:val="0"/>
          <w:sz w:val="28"/>
          <w:szCs w:val="28"/>
        </w:rPr>
        <w:t>）管理人员未经安全培训、安全意识不强、违规指挥，可能导致事故。</w:t>
      </w:r>
    </w:p>
    <w:p w14:paraId="20E927F9">
      <w:pPr>
        <w:spacing w:line="360" w:lineRule="auto"/>
        <w:ind w:firstLine="536" w:firstLineChars="200"/>
        <w:rPr>
          <w:rFonts w:ascii="宋体" w:hAnsi="宋体"/>
          <w:b w:val="0"/>
          <w:snapToGrid w:val="0"/>
          <w:sz w:val="28"/>
          <w:szCs w:val="28"/>
        </w:rPr>
      </w:pPr>
      <w:r>
        <w:rPr>
          <w:rFonts w:hint="eastAsia" w:ascii="宋体" w:hAnsi="宋体"/>
          <w:b w:val="0"/>
          <w:snapToGrid w:val="0"/>
          <w:spacing w:val="-6"/>
          <w:sz w:val="28"/>
          <w:szCs w:val="28"/>
        </w:rPr>
        <w:t>（</w:t>
      </w:r>
      <w:r>
        <w:rPr>
          <w:rFonts w:ascii="宋体" w:hAnsi="宋体"/>
          <w:b w:val="0"/>
          <w:snapToGrid w:val="0"/>
          <w:spacing w:val="-6"/>
          <w:sz w:val="28"/>
          <w:szCs w:val="28"/>
        </w:rPr>
        <w:t>2</w:t>
      </w:r>
      <w:r>
        <w:rPr>
          <w:rFonts w:hint="eastAsia" w:ascii="宋体" w:hAnsi="宋体"/>
          <w:b w:val="0"/>
          <w:snapToGrid w:val="0"/>
          <w:spacing w:val="-6"/>
          <w:sz w:val="28"/>
          <w:szCs w:val="28"/>
        </w:rPr>
        <w:t>）危险品操作人员安全知识欠缺、未取得上岗证书、劳动技能不熟练，可能导致烟火药或其制品处于失控状态引发燃烧、爆炸事故。</w:t>
      </w:r>
    </w:p>
    <w:p w14:paraId="645D503A">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w:t>
      </w:r>
      <w:r>
        <w:rPr>
          <w:rFonts w:ascii="宋体" w:hAnsi="宋体"/>
          <w:b w:val="0"/>
          <w:snapToGrid w:val="0"/>
          <w:sz w:val="28"/>
          <w:szCs w:val="28"/>
        </w:rPr>
        <w:t>3</w:t>
      </w:r>
      <w:r>
        <w:rPr>
          <w:rFonts w:hint="eastAsia" w:ascii="宋体" w:hAnsi="宋体"/>
          <w:b w:val="0"/>
          <w:snapToGrid w:val="0"/>
          <w:sz w:val="28"/>
          <w:szCs w:val="28"/>
        </w:rPr>
        <w:t>）危险品操作人员健康状况异常，带病上岗、色盲、听力差、视力差、记忆力差、反应迟钝、动作不协调、睡眠不足等都可能导致烟火药或其制品处于失控状态引发燃烧、爆炸、机械致害事故。</w:t>
      </w:r>
    </w:p>
    <w:p w14:paraId="45E10AC3">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w:t>
      </w:r>
      <w:r>
        <w:rPr>
          <w:rFonts w:ascii="宋体" w:hAnsi="宋体"/>
          <w:b w:val="0"/>
          <w:snapToGrid w:val="0"/>
          <w:sz w:val="28"/>
          <w:szCs w:val="28"/>
        </w:rPr>
        <w:t>4</w:t>
      </w:r>
      <w:r>
        <w:rPr>
          <w:rFonts w:hint="eastAsia" w:ascii="宋体" w:hAnsi="宋体"/>
          <w:b w:val="0"/>
          <w:snapToGrid w:val="0"/>
          <w:sz w:val="28"/>
          <w:szCs w:val="28"/>
        </w:rPr>
        <w:t>）危险品操作人员因各种原因超强度、超负荷工作，可能因体力不支导致烟火药或其制品处于失控状态引发燃烧、爆炸事故。</w:t>
      </w:r>
    </w:p>
    <w:p w14:paraId="7A4B2521">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w:t>
      </w:r>
      <w:r>
        <w:rPr>
          <w:rFonts w:ascii="宋体" w:hAnsi="宋体"/>
          <w:b w:val="0"/>
          <w:snapToGrid w:val="0"/>
          <w:sz w:val="28"/>
          <w:szCs w:val="28"/>
        </w:rPr>
        <w:t>5</w:t>
      </w:r>
      <w:r>
        <w:rPr>
          <w:rFonts w:hint="eastAsia" w:ascii="宋体" w:hAnsi="宋体"/>
          <w:b w:val="0"/>
          <w:snapToGrid w:val="0"/>
          <w:sz w:val="28"/>
          <w:szCs w:val="28"/>
        </w:rPr>
        <w:t>）危险品操作人员心理异常，情绪异常、有冒险心理、过度紧张等有可能导致操作失误、违规操作、甚至人为破坏引发事故。</w:t>
      </w:r>
    </w:p>
    <w:p w14:paraId="41417193">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另外，要提醒注意的是：1）有色盲的人不适宜从事烟火药工作；2）听力差、视力差的人员更不宜安排在危险工序作业；3）员工睡眠不足或有思想情绪不能上班。</w:t>
      </w:r>
    </w:p>
    <w:p w14:paraId="392B4BB3">
      <w:pPr>
        <w:keepNext/>
        <w:keepLines/>
        <w:spacing w:line="360" w:lineRule="auto"/>
        <w:outlineLvl w:val="1"/>
        <w:rPr>
          <w:rFonts w:ascii="黑体" w:hAnsi="黑体" w:eastAsia="黑体"/>
          <w:b w:val="0"/>
          <w:bCs/>
          <w:snapToGrid w:val="0"/>
          <w:sz w:val="32"/>
          <w:szCs w:val="32"/>
        </w:rPr>
      </w:pPr>
      <w:bookmarkStart w:id="480" w:name="_Toc227869291"/>
      <w:bookmarkStart w:id="481" w:name="_Toc326823027"/>
      <w:bookmarkStart w:id="482" w:name="_Toc325531551"/>
      <w:bookmarkStart w:id="483" w:name="_Toc173077682"/>
      <w:bookmarkStart w:id="484" w:name="_Toc335902418"/>
      <w:bookmarkStart w:id="485" w:name="_Toc27743"/>
      <w:bookmarkStart w:id="486" w:name="_Toc326007675"/>
      <w:r>
        <w:rPr>
          <w:rFonts w:ascii="黑体" w:hAnsi="黑体" w:eastAsia="黑体"/>
          <w:b w:val="0"/>
          <w:bCs/>
          <w:snapToGrid w:val="0"/>
          <w:sz w:val="32"/>
          <w:szCs w:val="32"/>
        </w:rPr>
        <w:t>3.</w:t>
      </w:r>
      <w:r>
        <w:rPr>
          <w:rFonts w:hint="eastAsia" w:ascii="黑体" w:hAnsi="黑体" w:eastAsia="黑体"/>
          <w:b w:val="0"/>
          <w:bCs/>
          <w:snapToGrid w:val="0"/>
          <w:sz w:val="32"/>
          <w:szCs w:val="32"/>
        </w:rPr>
        <w:t>1</w:t>
      </w:r>
      <w:r>
        <w:rPr>
          <w:rFonts w:ascii="黑体" w:hAnsi="黑体" w:eastAsia="黑体"/>
          <w:b w:val="0"/>
          <w:bCs/>
          <w:snapToGrid w:val="0"/>
          <w:sz w:val="32"/>
          <w:szCs w:val="32"/>
        </w:rPr>
        <w:t>3</w:t>
      </w:r>
      <w:r>
        <w:rPr>
          <w:rFonts w:hint="eastAsia" w:ascii="黑体" w:hAnsi="黑体" w:eastAsia="黑体"/>
          <w:b w:val="0"/>
          <w:bCs/>
          <w:snapToGrid w:val="0"/>
          <w:sz w:val="32"/>
          <w:szCs w:val="32"/>
        </w:rPr>
        <w:t>主要危险有害因素分析</w:t>
      </w:r>
      <w:bookmarkEnd w:id="480"/>
      <w:bookmarkEnd w:id="481"/>
      <w:bookmarkEnd w:id="482"/>
      <w:bookmarkEnd w:id="483"/>
      <w:bookmarkEnd w:id="484"/>
      <w:bookmarkEnd w:id="485"/>
      <w:bookmarkEnd w:id="486"/>
    </w:p>
    <w:p w14:paraId="6E32B5CF">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综上所述，通过对浏阳市太平复兴花炮厂（个人独资）烟花生产现场的勘查与分析，本项目评价组确定 浏阳市太平复兴花炮厂（个人独资）生产过程的主要危险、有害因素如下表3.1</w:t>
      </w:r>
      <w:r>
        <w:rPr>
          <w:rFonts w:ascii="宋体" w:hAnsi="宋体"/>
          <w:b w:val="0"/>
          <w:snapToGrid w:val="0"/>
          <w:sz w:val="28"/>
          <w:szCs w:val="28"/>
        </w:rPr>
        <w:t>3</w:t>
      </w:r>
      <w:r>
        <w:rPr>
          <w:rFonts w:hint="eastAsia" w:ascii="宋体" w:hAnsi="宋体"/>
          <w:b w:val="0"/>
          <w:snapToGrid w:val="0"/>
          <w:sz w:val="28"/>
          <w:szCs w:val="28"/>
        </w:rPr>
        <w:t>-1所示；其中最主要的危险、有害因素为燃烧、爆炸危险和电伤害（含静电、雷电），分述如下文。</w:t>
      </w:r>
    </w:p>
    <w:p w14:paraId="4A39AA75">
      <w:pPr>
        <w:spacing w:line="360" w:lineRule="auto"/>
        <w:ind w:firstLine="560" w:firstLineChars="200"/>
        <w:rPr>
          <w:rFonts w:ascii="宋体" w:hAnsi="宋体"/>
          <w:b w:val="0"/>
          <w:snapToGrid w:val="0"/>
          <w:sz w:val="28"/>
          <w:szCs w:val="28"/>
        </w:rPr>
      </w:pPr>
    </w:p>
    <w:p w14:paraId="7CB4DF60">
      <w:pPr>
        <w:jc w:val="center"/>
        <w:rPr>
          <w:rFonts w:ascii="黑体" w:hAnsi="宋体" w:eastAsia="黑体"/>
          <w:b w:val="0"/>
          <w:sz w:val="24"/>
        </w:rPr>
      </w:pPr>
      <w:r>
        <w:rPr>
          <w:rFonts w:hint="eastAsia" w:ascii="黑体" w:hAnsi="宋体" w:eastAsia="黑体"/>
          <w:b w:val="0"/>
          <w:sz w:val="24"/>
        </w:rPr>
        <w:t>表3.1</w:t>
      </w:r>
      <w:r>
        <w:rPr>
          <w:rFonts w:ascii="黑体" w:hAnsi="宋体" w:eastAsia="黑体"/>
          <w:b w:val="0"/>
          <w:sz w:val="24"/>
        </w:rPr>
        <w:t>3</w:t>
      </w:r>
      <w:r>
        <w:rPr>
          <w:rFonts w:hint="eastAsia" w:ascii="黑体" w:hAnsi="宋体" w:eastAsia="黑体"/>
          <w:b w:val="0"/>
          <w:sz w:val="24"/>
        </w:rPr>
        <w:t>-1  企业存在的主要危险、有害因素</w:t>
      </w:r>
    </w:p>
    <w:tbl>
      <w:tblPr>
        <w:tblStyle w:val="88"/>
        <w:tblW w:w="5038" w:type="pct"/>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autofit"/>
        <w:tblCellMar>
          <w:top w:w="0" w:type="dxa"/>
          <w:left w:w="108" w:type="dxa"/>
          <w:bottom w:w="0" w:type="dxa"/>
          <w:right w:w="108" w:type="dxa"/>
        </w:tblCellMar>
      </w:tblPr>
      <w:tblGrid>
        <w:gridCol w:w="426"/>
        <w:gridCol w:w="1673"/>
        <w:gridCol w:w="2654"/>
        <w:gridCol w:w="2549"/>
        <w:gridCol w:w="2057"/>
      </w:tblGrid>
      <w:tr w14:paraId="567E2DD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02" w:hRule="atLeast"/>
          <w:tblHeader/>
          <w:jc w:val="center"/>
        </w:trPr>
        <w:tc>
          <w:tcPr>
            <w:tcW w:w="1121" w:type="pct"/>
            <w:gridSpan w:val="2"/>
            <w:vAlign w:val="center"/>
          </w:tcPr>
          <w:p w14:paraId="2845DBF0">
            <w:pPr>
              <w:spacing w:line="240" w:lineRule="exact"/>
              <w:jc w:val="center"/>
              <w:rPr>
                <w:rFonts w:ascii="宋体" w:hAnsi="宋体"/>
                <w:szCs w:val="21"/>
              </w:rPr>
            </w:pPr>
            <w:r>
              <w:rPr>
                <w:rFonts w:hint="eastAsia" w:ascii="宋体" w:hAnsi="宋体"/>
                <w:szCs w:val="21"/>
              </w:rPr>
              <w:t>类别及代码</w:t>
            </w:r>
          </w:p>
        </w:tc>
        <w:tc>
          <w:tcPr>
            <w:tcW w:w="1417" w:type="pct"/>
            <w:vAlign w:val="center"/>
          </w:tcPr>
          <w:p w14:paraId="212E1D6A">
            <w:pPr>
              <w:spacing w:line="240" w:lineRule="exact"/>
              <w:jc w:val="center"/>
              <w:rPr>
                <w:rFonts w:ascii="宋体" w:hAnsi="宋体"/>
                <w:szCs w:val="21"/>
              </w:rPr>
            </w:pPr>
            <w:r>
              <w:rPr>
                <w:rFonts w:hint="eastAsia" w:ascii="宋体" w:hAnsi="宋体"/>
                <w:szCs w:val="21"/>
              </w:rPr>
              <w:t>危险有害因素</w:t>
            </w:r>
          </w:p>
        </w:tc>
        <w:tc>
          <w:tcPr>
            <w:tcW w:w="1361" w:type="pct"/>
            <w:vAlign w:val="center"/>
          </w:tcPr>
          <w:p w14:paraId="43A8641F">
            <w:pPr>
              <w:spacing w:line="240" w:lineRule="exact"/>
              <w:jc w:val="center"/>
              <w:rPr>
                <w:rFonts w:ascii="宋体" w:hAnsi="宋体"/>
                <w:szCs w:val="21"/>
              </w:rPr>
            </w:pPr>
            <w:r>
              <w:rPr>
                <w:rFonts w:hint="eastAsia" w:ascii="宋体" w:hAnsi="宋体"/>
                <w:szCs w:val="21"/>
              </w:rPr>
              <w:t>存在场所</w:t>
            </w:r>
          </w:p>
        </w:tc>
        <w:tc>
          <w:tcPr>
            <w:tcW w:w="1098" w:type="pct"/>
            <w:vAlign w:val="center"/>
          </w:tcPr>
          <w:p w14:paraId="20CBAEEF">
            <w:pPr>
              <w:spacing w:line="240" w:lineRule="exact"/>
              <w:jc w:val="center"/>
              <w:rPr>
                <w:rFonts w:ascii="宋体" w:hAnsi="宋体"/>
                <w:szCs w:val="21"/>
              </w:rPr>
            </w:pPr>
            <w:r>
              <w:rPr>
                <w:rFonts w:hint="eastAsia" w:ascii="宋体" w:hAnsi="宋体"/>
                <w:szCs w:val="21"/>
              </w:rPr>
              <w:t>可能导致的事故</w:t>
            </w:r>
          </w:p>
        </w:tc>
      </w:tr>
      <w:tr w14:paraId="7B1026B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39" w:hRule="atLeast"/>
          <w:jc w:val="center"/>
        </w:trPr>
        <w:tc>
          <w:tcPr>
            <w:tcW w:w="227" w:type="pct"/>
            <w:vMerge w:val="restart"/>
            <w:vAlign w:val="center"/>
          </w:tcPr>
          <w:p w14:paraId="75959B5F">
            <w:pPr>
              <w:spacing w:line="240" w:lineRule="exact"/>
              <w:jc w:val="center"/>
              <w:rPr>
                <w:rFonts w:ascii="宋体" w:hAnsi="宋体"/>
                <w:b w:val="0"/>
                <w:bCs/>
                <w:szCs w:val="21"/>
              </w:rPr>
            </w:pPr>
            <w:r>
              <w:rPr>
                <w:rFonts w:hint="eastAsia" w:ascii="宋体" w:hAnsi="宋体"/>
                <w:b w:val="0"/>
                <w:bCs/>
                <w:szCs w:val="21"/>
              </w:rPr>
              <w:t>人的因素1</w:t>
            </w:r>
          </w:p>
        </w:tc>
        <w:tc>
          <w:tcPr>
            <w:tcW w:w="894" w:type="pct"/>
            <w:vMerge w:val="restart"/>
            <w:vAlign w:val="center"/>
          </w:tcPr>
          <w:p w14:paraId="177CDCAC">
            <w:pPr>
              <w:spacing w:line="240" w:lineRule="exact"/>
              <w:jc w:val="left"/>
              <w:rPr>
                <w:rFonts w:ascii="宋体" w:hAnsi="宋体"/>
                <w:b w:val="0"/>
                <w:bCs/>
                <w:szCs w:val="21"/>
              </w:rPr>
            </w:pPr>
            <w:r>
              <w:rPr>
                <w:rFonts w:hint="eastAsia" w:ascii="宋体" w:hAnsi="宋体"/>
                <w:b w:val="0"/>
                <w:bCs/>
                <w:szCs w:val="21"/>
              </w:rPr>
              <w:t>心理、生理性危险有害因素11</w:t>
            </w:r>
          </w:p>
        </w:tc>
        <w:tc>
          <w:tcPr>
            <w:tcW w:w="1417" w:type="pct"/>
            <w:vAlign w:val="center"/>
          </w:tcPr>
          <w:p w14:paraId="7425DFCA">
            <w:pPr>
              <w:spacing w:line="240" w:lineRule="exact"/>
              <w:jc w:val="left"/>
              <w:rPr>
                <w:rFonts w:ascii="宋体" w:hAnsi="宋体"/>
                <w:b w:val="0"/>
                <w:bCs/>
                <w:szCs w:val="21"/>
              </w:rPr>
            </w:pPr>
            <w:r>
              <w:rPr>
                <w:rFonts w:hint="eastAsia" w:ascii="宋体" w:hAnsi="宋体"/>
                <w:b w:val="0"/>
                <w:bCs/>
                <w:szCs w:val="21"/>
              </w:rPr>
              <w:t>负荷超限</w:t>
            </w:r>
          </w:p>
        </w:tc>
        <w:tc>
          <w:tcPr>
            <w:tcW w:w="1361" w:type="pct"/>
            <w:vAlign w:val="center"/>
          </w:tcPr>
          <w:p w14:paraId="7628B562">
            <w:pPr>
              <w:spacing w:line="240" w:lineRule="exact"/>
              <w:jc w:val="left"/>
              <w:rPr>
                <w:rFonts w:ascii="宋体" w:hAnsi="宋体"/>
                <w:b w:val="0"/>
                <w:bCs/>
                <w:szCs w:val="21"/>
              </w:rPr>
            </w:pPr>
            <w:r>
              <w:rPr>
                <w:rFonts w:hint="eastAsia" w:ascii="宋体" w:hAnsi="宋体"/>
                <w:b w:val="0"/>
                <w:bCs/>
                <w:szCs w:val="21"/>
              </w:rPr>
              <w:t>厂内运输</w:t>
            </w:r>
          </w:p>
        </w:tc>
        <w:tc>
          <w:tcPr>
            <w:tcW w:w="1098" w:type="pct"/>
            <w:vAlign w:val="center"/>
          </w:tcPr>
          <w:p w14:paraId="0022955F">
            <w:pPr>
              <w:spacing w:line="240" w:lineRule="exact"/>
              <w:jc w:val="left"/>
              <w:rPr>
                <w:rFonts w:ascii="宋体" w:hAnsi="宋体"/>
                <w:b w:val="0"/>
                <w:bCs/>
                <w:szCs w:val="21"/>
              </w:rPr>
            </w:pPr>
            <w:r>
              <w:rPr>
                <w:rFonts w:hint="eastAsia" w:ascii="宋体" w:hAnsi="宋体"/>
                <w:b w:val="0"/>
                <w:bCs/>
                <w:szCs w:val="21"/>
              </w:rPr>
              <w:t>人体伤害或其它安全事故</w:t>
            </w:r>
          </w:p>
        </w:tc>
      </w:tr>
      <w:tr w14:paraId="18AAC7F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39" w:hRule="atLeast"/>
          <w:jc w:val="center"/>
        </w:trPr>
        <w:tc>
          <w:tcPr>
            <w:tcW w:w="0" w:type="auto"/>
            <w:vMerge w:val="continue"/>
            <w:vAlign w:val="center"/>
          </w:tcPr>
          <w:p w14:paraId="26D87361">
            <w:pPr>
              <w:widowControl/>
              <w:spacing w:line="240" w:lineRule="exact"/>
              <w:jc w:val="left"/>
              <w:rPr>
                <w:rFonts w:ascii="宋体" w:hAnsi="宋体"/>
                <w:b w:val="0"/>
                <w:bCs/>
                <w:szCs w:val="21"/>
              </w:rPr>
            </w:pPr>
          </w:p>
        </w:tc>
        <w:tc>
          <w:tcPr>
            <w:tcW w:w="894" w:type="pct"/>
            <w:vMerge w:val="continue"/>
            <w:vAlign w:val="center"/>
          </w:tcPr>
          <w:p w14:paraId="37E95FFC">
            <w:pPr>
              <w:widowControl/>
              <w:spacing w:line="240" w:lineRule="exact"/>
              <w:jc w:val="left"/>
              <w:rPr>
                <w:rFonts w:ascii="宋体" w:hAnsi="宋体"/>
                <w:b w:val="0"/>
                <w:bCs/>
                <w:szCs w:val="21"/>
              </w:rPr>
            </w:pPr>
          </w:p>
        </w:tc>
        <w:tc>
          <w:tcPr>
            <w:tcW w:w="1417" w:type="pct"/>
            <w:vAlign w:val="center"/>
          </w:tcPr>
          <w:p w14:paraId="1B8C3FFB">
            <w:pPr>
              <w:spacing w:line="240" w:lineRule="exact"/>
              <w:jc w:val="left"/>
              <w:rPr>
                <w:rFonts w:ascii="宋体" w:hAnsi="宋体"/>
                <w:b w:val="0"/>
                <w:bCs/>
                <w:szCs w:val="21"/>
              </w:rPr>
            </w:pPr>
            <w:r>
              <w:rPr>
                <w:rFonts w:hint="eastAsia" w:ascii="宋体" w:hAnsi="宋体"/>
                <w:b w:val="0"/>
                <w:bCs/>
                <w:szCs w:val="21"/>
              </w:rPr>
              <w:t>健康状况异常、辨识功能缺陷</w:t>
            </w:r>
          </w:p>
        </w:tc>
        <w:tc>
          <w:tcPr>
            <w:tcW w:w="1361" w:type="pct"/>
            <w:vAlign w:val="center"/>
          </w:tcPr>
          <w:p w14:paraId="7C94C1B5">
            <w:pPr>
              <w:spacing w:line="240" w:lineRule="exact"/>
              <w:jc w:val="left"/>
              <w:rPr>
                <w:rFonts w:ascii="宋体" w:hAnsi="宋体"/>
                <w:b w:val="0"/>
                <w:bCs/>
                <w:szCs w:val="21"/>
              </w:rPr>
            </w:pPr>
            <w:r>
              <w:rPr>
                <w:rFonts w:hint="eastAsia" w:ascii="宋体" w:hAnsi="宋体"/>
                <w:b w:val="0"/>
                <w:bCs/>
                <w:szCs w:val="21"/>
              </w:rPr>
              <w:t>各危险性作业场所</w:t>
            </w:r>
          </w:p>
        </w:tc>
        <w:tc>
          <w:tcPr>
            <w:tcW w:w="1098" w:type="pct"/>
            <w:vAlign w:val="center"/>
          </w:tcPr>
          <w:p w14:paraId="5C3E7D7F">
            <w:pPr>
              <w:spacing w:line="240" w:lineRule="exact"/>
              <w:jc w:val="left"/>
              <w:rPr>
                <w:rFonts w:ascii="宋体" w:hAnsi="宋体"/>
                <w:b w:val="0"/>
                <w:bCs/>
                <w:szCs w:val="21"/>
              </w:rPr>
            </w:pPr>
            <w:r>
              <w:rPr>
                <w:rFonts w:hint="eastAsia" w:ascii="宋体" w:hAnsi="宋体"/>
                <w:b w:val="0"/>
                <w:bCs/>
                <w:szCs w:val="21"/>
              </w:rPr>
              <w:t>健康危害或其它安全事故</w:t>
            </w:r>
          </w:p>
        </w:tc>
      </w:tr>
      <w:tr w14:paraId="172D069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48" w:hRule="atLeast"/>
          <w:jc w:val="center"/>
        </w:trPr>
        <w:tc>
          <w:tcPr>
            <w:tcW w:w="0" w:type="auto"/>
            <w:vMerge w:val="continue"/>
            <w:vAlign w:val="center"/>
          </w:tcPr>
          <w:p w14:paraId="7CBF754A">
            <w:pPr>
              <w:widowControl/>
              <w:spacing w:line="240" w:lineRule="exact"/>
              <w:jc w:val="left"/>
              <w:rPr>
                <w:rFonts w:ascii="宋体" w:hAnsi="宋体"/>
                <w:b w:val="0"/>
                <w:bCs/>
                <w:szCs w:val="21"/>
              </w:rPr>
            </w:pPr>
          </w:p>
        </w:tc>
        <w:tc>
          <w:tcPr>
            <w:tcW w:w="894" w:type="pct"/>
            <w:vMerge w:val="continue"/>
            <w:vAlign w:val="center"/>
          </w:tcPr>
          <w:p w14:paraId="68A5C6F8">
            <w:pPr>
              <w:widowControl/>
              <w:spacing w:line="240" w:lineRule="exact"/>
              <w:jc w:val="left"/>
              <w:rPr>
                <w:rFonts w:ascii="宋体" w:hAnsi="宋体"/>
                <w:b w:val="0"/>
                <w:bCs/>
                <w:szCs w:val="21"/>
              </w:rPr>
            </w:pPr>
          </w:p>
        </w:tc>
        <w:tc>
          <w:tcPr>
            <w:tcW w:w="1417" w:type="pct"/>
            <w:vAlign w:val="center"/>
          </w:tcPr>
          <w:p w14:paraId="7AA2DDBD">
            <w:pPr>
              <w:spacing w:line="240" w:lineRule="exact"/>
              <w:jc w:val="left"/>
              <w:rPr>
                <w:rFonts w:ascii="宋体" w:hAnsi="宋体"/>
                <w:b w:val="0"/>
                <w:bCs/>
                <w:szCs w:val="21"/>
              </w:rPr>
            </w:pPr>
            <w:r>
              <w:rPr>
                <w:rFonts w:hint="eastAsia" w:ascii="宋体" w:hAnsi="宋体"/>
                <w:b w:val="0"/>
                <w:bCs/>
                <w:szCs w:val="21"/>
              </w:rPr>
              <w:t>心理异常</w:t>
            </w:r>
          </w:p>
        </w:tc>
        <w:tc>
          <w:tcPr>
            <w:tcW w:w="1361" w:type="pct"/>
            <w:vAlign w:val="center"/>
          </w:tcPr>
          <w:p w14:paraId="1FC1E8B2">
            <w:pPr>
              <w:spacing w:line="240" w:lineRule="exact"/>
              <w:jc w:val="left"/>
              <w:rPr>
                <w:rFonts w:ascii="宋体" w:hAnsi="宋体"/>
                <w:b w:val="0"/>
                <w:bCs/>
                <w:szCs w:val="21"/>
              </w:rPr>
            </w:pPr>
            <w:r>
              <w:rPr>
                <w:rFonts w:hint="eastAsia" w:ascii="宋体" w:hAnsi="宋体"/>
                <w:b w:val="0"/>
                <w:bCs/>
                <w:szCs w:val="21"/>
              </w:rPr>
              <w:t>各危险性作业场所</w:t>
            </w:r>
          </w:p>
        </w:tc>
        <w:tc>
          <w:tcPr>
            <w:tcW w:w="1098" w:type="pct"/>
            <w:vAlign w:val="center"/>
          </w:tcPr>
          <w:p w14:paraId="15645E3B">
            <w:pPr>
              <w:spacing w:line="240" w:lineRule="exact"/>
              <w:jc w:val="left"/>
              <w:rPr>
                <w:rFonts w:ascii="宋体" w:hAnsi="宋体"/>
                <w:b w:val="0"/>
                <w:bCs/>
                <w:szCs w:val="21"/>
              </w:rPr>
            </w:pPr>
            <w:r>
              <w:rPr>
                <w:rFonts w:hint="eastAsia" w:ascii="宋体" w:hAnsi="宋体"/>
                <w:b w:val="0"/>
                <w:bCs/>
                <w:szCs w:val="21"/>
              </w:rPr>
              <w:t>各类安全事故</w:t>
            </w:r>
          </w:p>
        </w:tc>
      </w:tr>
      <w:tr w14:paraId="6B22D4D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48" w:hRule="atLeast"/>
          <w:jc w:val="center"/>
        </w:trPr>
        <w:tc>
          <w:tcPr>
            <w:tcW w:w="0" w:type="auto"/>
            <w:vMerge w:val="continue"/>
            <w:vAlign w:val="center"/>
          </w:tcPr>
          <w:p w14:paraId="5B523D36">
            <w:pPr>
              <w:widowControl/>
              <w:spacing w:line="240" w:lineRule="exact"/>
              <w:jc w:val="left"/>
              <w:rPr>
                <w:rFonts w:ascii="宋体" w:hAnsi="宋体"/>
                <w:b w:val="0"/>
                <w:bCs/>
                <w:szCs w:val="21"/>
              </w:rPr>
            </w:pPr>
          </w:p>
        </w:tc>
        <w:tc>
          <w:tcPr>
            <w:tcW w:w="894" w:type="pct"/>
            <w:vMerge w:val="restart"/>
            <w:vAlign w:val="center"/>
          </w:tcPr>
          <w:p w14:paraId="67A21DD7">
            <w:pPr>
              <w:spacing w:line="240" w:lineRule="exact"/>
              <w:jc w:val="left"/>
              <w:rPr>
                <w:rFonts w:ascii="宋体" w:hAnsi="宋体"/>
                <w:b w:val="0"/>
                <w:bCs/>
                <w:szCs w:val="21"/>
              </w:rPr>
            </w:pPr>
            <w:r>
              <w:rPr>
                <w:rFonts w:hint="eastAsia" w:ascii="宋体" w:hAnsi="宋体"/>
                <w:b w:val="0"/>
                <w:bCs/>
                <w:szCs w:val="21"/>
              </w:rPr>
              <w:t>行为性危险、有害因素12</w:t>
            </w:r>
          </w:p>
        </w:tc>
        <w:tc>
          <w:tcPr>
            <w:tcW w:w="1417" w:type="pct"/>
            <w:vAlign w:val="center"/>
          </w:tcPr>
          <w:p w14:paraId="41870795">
            <w:pPr>
              <w:spacing w:line="240" w:lineRule="exact"/>
              <w:jc w:val="left"/>
              <w:rPr>
                <w:rFonts w:ascii="宋体" w:hAnsi="宋体"/>
                <w:b w:val="0"/>
                <w:bCs/>
                <w:szCs w:val="21"/>
              </w:rPr>
            </w:pPr>
            <w:r>
              <w:rPr>
                <w:rFonts w:hint="eastAsia" w:ascii="宋体" w:hAnsi="宋体"/>
                <w:b w:val="0"/>
                <w:bCs/>
                <w:szCs w:val="21"/>
              </w:rPr>
              <w:t>指挥错误</w:t>
            </w:r>
          </w:p>
        </w:tc>
        <w:tc>
          <w:tcPr>
            <w:tcW w:w="1361" w:type="pct"/>
            <w:vAlign w:val="center"/>
          </w:tcPr>
          <w:p w14:paraId="64540229">
            <w:pPr>
              <w:spacing w:line="240" w:lineRule="exact"/>
              <w:jc w:val="left"/>
              <w:rPr>
                <w:rFonts w:ascii="宋体" w:hAnsi="宋体"/>
                <w:b w:val="0"/>
                <w:bCs/>
                <w:szCs w:val="21"/>
              </w:rPr>
            </w:pPr>
            <w:r>
              <w:rPr>
                <w:rFonts w:hint="eastAsia" w:ascii="宋体" w:hAnsi="宋体"/>
                <w:b w:val="0"/>
                <w:bCs/>
                <w:szCs w:val="21"/>
              </w:rPr>
              <w:t>各危险性作业场所</w:t>
            </w:r>
          </w:p>
        </w:tc>
        <w:tc>
          <w:tcPr>
            <w:tcW w:w="1098" w:type="pct"/>
            <w:vAlign w:val="center"/>
          </w:tcPr>
          <w:p w14:paraId="2D189149">
            <w:pPr>
              <w:spacing w:line="240" w:lineRule="exact"/>
              <w:jc w:val="left"/>
              <w:rPr>
                <w:rFonts w:ascii="宋体" w:hAnsi="宋体"/>
                <w:b w:val="0"/>
                <w:bCs/>
                <w:szCs w:val="21"/>
              </w:rPr>
            </w:pPr>
            <w:r>
              <w:rPr>
                <w:rFonts w:hint="eastAsia" w:ascii="宋体" w:hAnsi="宋体"/>
                <w:b w:val="0"/>
                <w:bCs/>
                <w:szCs w:val="21"/>
              </w:rPr>
              <w:t>各类安全事故</w:t>
            </w:r>
          </w:p>
        </w:tc>
      </w:tr>
      <w:tr w14:paraId="287E07D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48" w:hRule="atLeast"/>
          <w:jc w:val="center"/>
        </w:trPr>
        <w:tc>
          <w:tcPr>
            <w:tcW w:w="0" w:type="auto"/>
            <w:vMerge w:val="continue"/>
            <w:vAlign w:val="center"/>
          </w:tcPr>
          <w:p w14:paraId="6F2F5C3B">
            <w:pPr>
              <w:widowControl/>
              <w:spacing w:line="240" w:lineRule="exact"/>
              <w:jc w:val="left"/>
              <w:rPr>
                <w:rFonts w:ascii="宋体" w:hAnsi="宋体"/>
                <w:b w:val="0"/>
                <w:bCs/>
                <w:szCs w:val="21"/>
              </w:rPr>
            </w:pPr>
          </w:p>
        </w:tc>
        <w:tc>
          <w:tcPr>
            <w:tcW w:w="894" w:type="pct"/>
            <w:vMerge w:val="continue"/>
            <w:vAlign w:val="center"/>
          </w:tcPr>
          <w:p w14:paraId="0AAD56E5">
            <w:pPr>
              <w:widowControl/>
              <w:spacing w:line="240" w:lineRule="exact"/>
              <w:jc w:val="left"/>
              <w:rPr>
                <w:rFonts w:ascii="宋体" w:hAnsi="宋体"/>
                <w:b w:val="0"/>
                <w:bCs/>
                <w:szCs w:val="21"/>
              </w:rPr>
            </w:pPr>
          </w:p>
        </w:tc>
        <w:tc>
          <w:tcPr>
            <w:tcW w:w="1417" w:type="pct"/>
            <w:vAlign w:val="center"/>
          </w:tcPr>
          <w:p w14:paraId="109CD99F">
            <w:pPr>
              <w:spacing w:line="240" w:lineRule="exact"/>
              <w:jc w:val="left"/>
              <w:rPr>
                <w:rFonts w:ascii="宋体" w:hAnsi="宋体"/>
                <w:b w:val="0"/>
                <w:bCs/>
                <w:szCs w:val="21"/>
              </w:rPr>
            </w:pPr>
            <w:r>
              <w:rPr>
                <w:rFonts w:hint="eastAsia" w:ascii="宋体" w:hAnsi="宋体"/>
                <w:b w:val="0"/>
                <w:bCs/>
                <w:szCs w:val="21"/>
              </w:rPr>
              <w:t>操作错误</w:t>
            </w:r>
          </w:p>
        </w:tc>
        <w:tc>
          <w:tcPr>
            <w:tcW w:w="1361" w:type="pct"/>
            <w:vAlign w:val="center"/>
          </w:tcPr>
          <w:p w14:paraId="6202A20F">
            <w:pPr>
              <w:spacing w:line="240" w:lineRule="exact"/>
              <w:jc w:val="left"/>
              <w:rPr>
                <w:rFonts w:ascii="宋体" w:hAnsi="宋体"/>
                <w:b w:val="0"/>
                <w:bCs/>
                <w:szCs w:val="21"/>
              </w:rPr>
            </w:pPr>
            <w:r>
              <w:rPr>
                <w:rFonts w:hint="eastAsia" w:ascii="宋体" w:hAnsi="宋体"/>
                <w:b w:val="0"/>
                <w:bCs/>
                <w:szCs w:val="21"/>
              </w:rPr>
              <w:t>各危险性作业场所</w:t>
            </w:r>
          </w:p>
        </w:tc>
        <w:tc>
          <w:tcPr>
            <w:tcW w:w="1098" w:type="pct"/>
            <w:vAlign w:val="center"/>
          </w:tcPr>
          <w:p w14:paraId="36E327B4">
            <w:pPr>
              <w:spacing w:line="240" w:lineRule="exact"/>
              <w:jc w:val="left"/>
              <w:rPr>
                <w:rFonts w:ascii="宋体" w:hAnsi="宋体"/>
                <w:b w:val="0"/>
                <w:bCs/>
                <w:szCs w:val="21"/>
              </w:rPr>
            </w:pPr>
            <w:r>
              <w:rPr>
                <w:rFonts w:hint="eastAsia" w:ascii="宋体" w:hAnsi="宋体"/>
                <w:b w:val="0"/>
                <w:bCs/>
                <w:szCs w:val="21"/>
              </w:rPr>
              <w:t>各类安全事故</w:t>
            </w:r>
          </w:p>
        </w:tc>
      </w:tr>
      <w:tr w14:paraId="3F1C2ED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99" w:hRule="atLeast"/>
          <w:jc w:val="center"/>
        </w:trPr>
        <w:tc>
          <w:tcPr>
            <w:tcW w:w="227" w:type="pct"/>
            <w:vMerge w:val="restart"/>
            <w:vAlign w:val="center"/>
          </w:tcPr>
          <w:p w14:paraId="77F2F259">
            <w:pPr>
              <w:spacing w:line="240" w:lineRule="exact"/>
              <w:jc w:val="left"/>
              <w:rPr>
                <w:rFonts w:ascii="宋体" w:hAnsi="宋体"/>
                <w:b w:val="0"/>
                <w:bCs/>
                <w:szCs w:val="21"/>
              </w:rPr>
            </w:pPr>
            <w:r>
              <w:rPr>
                <w:rFonts w:hint="eastAsia" w:ascii="宋体" w:hAnsi="宋体"/>
                <w:b w:val="0"/>
                <w:bCs/>
                <w:szCs w:val="21"/>
              </w:rPr>
              <w:t>物的因素</w:t>
            </w:r>
          </w:p>
          <w:p w14:paraId="70BFFE55">
            <w:pPr>
              <w:spacing w:line="240" w:lineRule="exact"/>
              <w:jc w:val="center"/>
              <w:rPr>
                <w:rFonts w:ascii="宋体" w:hAnsi="宋体"/>
                <w:b w:val="0"/>
                <w:bCs/>
                <w:szCs w:val="21"/>
              </w:rPr>
            </w:pPr>
            <w:r>
              <w:rPr>
                <w:rFonts w:hint="eastAsia" w:ascii="宋体" w:hAnsi="宋体"/>
                <w:b w:val="0"/>
                <w:bCs/>
                <w:szCs w:val="21"/>
              </w:rPr>
              <w:t>2</w:t>
            </w:r>
          </w:p>
        </w:tc>
        <w:tc>
          <w:tcPr>
            <w:tcW w:w="894" w:type="pct"/>
            <w:vMerge w:val="restart"/>
            <w:vAlign w:val="center"/>
          </w:tcPr>
          <w:p w14:paraId="0C9B3FEE">
            <w:pPr>
              <w:spacing w:line="240" w:lineRule="exact"/>
              <w:jc w:val="left"/>
              <w:rPr>
                <w:rFonts w:ascii="宋体" w:hAnsi="宋体"/>
                <w:b w:val="0"/>
                <w:bCs/>
                <w:szCs w:val="21"/>
              </w:rPr>
            </w:pPr>
            <w:r>
              <w:rPr>
                <w:rFonts w:hint="eastAsia" w:ascii="宋体" w:hAnsi="宋体"/>
                <w:b w:val="0"/>
                <w:bCs/>
                <w:szCs w:val="21"/>
              </w:rPr>
              <w:t>物理性危险有害因素21</w:t>
            </w:r>
          </w:p>
        </w:tc>
        <w:tc>
          <w:tcPr>
            <w:tcW w:w="1417" w:type="pct"/>
            <w:vAlign w:val="center"/>
          </w:tcPr>
          <w:p w14:paraId="52D3049D">
            <w:pPr>
              <w:spacing w:line="240" w:lineRule="exact"/>
              <w:jc w:val="left"/>
              <w:rPr>
                <w:rFonts w:ascii="宋体" w:hAnsi="宋体"/>
                <w:b w:val="0"/>
                <w:bCs/>
                <w:szCs w:val="21"/>
              </w:rPr>
            </w:pPr>
            <w:r>
              <w:rPr>
                <w:rFonts w:hint="eastAsia" w:ascii="宋体" w:hAnsi="宋体"/>
                <w:b w:val="0"/>
                <w:bCs/>
                <w:szCs w:val="21"/>
              </w:rPr>
              <w:t>设备、设施、工具、附件缺陷</w:t>
            </w:r>
          </w:p>
        </w:tc>
        <w:tc>
          <w:tcPr>
            <w:tcW w:w="1361" w:type="pct"/>
            <w:vAlign w:val="center"/>
          </w:tcPr>
          <w:p w14:paraId="5E0FD68B">
            <w:pPr>
              <w:spacing w:line="240" w:lineRule="exact"/>
              <w:rPr>
                <w:rFonts w:ascii="宋体" w:hAnsi="宋体"/>
                <w:b w:val="0"/>
                <w:bCs/>
                <w:szCs w:val="21"/>
              </w:rPr>
            </w:pPr>
            <w:r>
              <w:rPr>
                <w:rFonts w:hint="eastAsia" w:ascii="宋体" w:hAnsi="宋体"/>
                <w:b w:val="0"/>
                <w:bCs/>
                <w:szCs w:val="21"/>
              </w:rPr>
              <w:t>各危险性作业场所</w:t>
            </w:r>
          </w:p>
        </w:tc>
        <w:tc>
          <w:tcPr>
            <w:tcW w:w="1098" w:type="pct"/>
            <w:vAlign w:val="center"/>
          </w:tcPr>
          <w:p w14:paraId="38825152">
            <w:pPr>
              <w:spacing w:line="240" w:lineRule="exact"/>
              <w:rPr>
                <w:rFonts w:ascii="宋体" w:hAnsi="宋体"/>
                <w:b w:val="0"/>
                <w:bCs/>
                <w:szCs w:val="21"/>
              </w:rPr>
            </w:pPr>
            <w:r>
              <w:rPr>
                <w:rFonts w:hint="eastAsia" w:ascii="宋体" w:hAnsi="宋体"/>
                <w:b w:val="0"/>
                <w:bCs/>
                <w:szCs w:val="21"/>
              </w:rPr>
              <w:t>机械致害、物体打击或引发火灾、爆炸</w:t>
            </w:r>
          </w:p>
        </w:tc>
      </w:tr>
      <w:tr w14:paraId="7B81937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9" w:hRule="atLeast"/>
          <w:jc w:val="center"/>
        </w:trPr>
        <w:tc>
          <w:tcPr>
            <w:tcW w:w="0" w:type="auto"/>
            <w:vMerge w:val="continue"/>
            <w:vAlign w:val="center"/>
          </w:tcPr>
          <w:p w14:paraId="72E755E7">
            <w:pPr>
              <w:widowControl/>
              <w:spacing w:line="240" w:lineRule="exact"/>
              <w:jc w:val="left"/>
              <w:rPr>
                <w:rFonts w:ascii="宋体" w:hAnsi="宋体"/>
                <w:b w:val="0"/>
                <w:bCs/>
                <w:szCs w:val="21"/>
              </w:rPr>
            </w:pPr>
          </w:p>
        </w:tc>
        <w:tc>
          <w:tcPr>
            <w:tcW w:w="894" w:type="pct"/>
            <w:vMerge w:val="continue"/>
            <w:vAlign w:val="center"/>
          </w:tcPr>
          <w:p w14:paraId="548026E7">
            <w:pPr>
              <w:widowControl/>
              <w:spacing w:line="240" w:lineRule="exact"/>
              <w:jc w:val="left"/>
              <w:rPr>
                <w:rFonts w:ascii="宋体" w:hAnsi="宋体"/>
                <w:b w:val="0"/>
                <w:bCs/>
                <w:szCs w:val="21"/>
              </w:rPr>
            </w:pPr>
          </w:p>
        </w:tc>
        <w:tc>
          <w:tcPr>
            <w:tcW w:w="1417" w:type="pct"/>
            <w:vAlign w:val="center"/>
          </w:tcPr>
          <w:p w14:paraId="0AA5E549">
            <w:pPr>
              <w:spacing w:line="240" w:lineRule="exact"/>
              <w:jc w:val="left"/>
              <w:rPr>
                <w:rFonts w:ascii="宋体" w:hAnsi="宋体"/>
                <w:b w:val="0"/>
                <w:bCs/>
                <w:szCs w:val="21"/>
              </w:rPr>
            </w:pPr>
            <w:r>
              <w:rPr>
                <w:rFonts w:hint="eastAsia" w:ascii="宋体" w:hAnsi="宋体"/>
                <w:b w:val="0"/>
                <w:bCs/>
                <w:szCs w:val="21"/>
              </w:rPr>
              <w:t>防护缺陷</w:t>
            </w:r>
          </w:p>
        </w:tc>
        <w:tc>
          <w:tcPr>
            <w:tcW w:w="1361" w:type="pct"/>
            <w:vAlign w:val="center"/>
          </w:tcPr>
          <w:p w14:paraId="0D4A763B">
            <w:pPr>
              <w:spacing w:line="240" w:lineRule="exact"/>
              <w:rPr>
                <w:rFonts w:ascii="宋体" w:hAnsi="宋体"/>
                <w:b w:val="0"/>
                <w:bCs/>
                <w:szCs w:val="21"/>
              </w:rPr>
            </w:pPr>
            <w:r>
              <w:rPr>
                <w:rFonts w:hint="eastAsia" w:ascii="宋体" w:hAnsi="宋体"/>
                <w:b w:val="0"/>
                <w:bCs/>
                <w:szCs w:val="21"/>
              </w:rPr>
              <w:t>需要设置防护屏障的危险性工、库房</w:t>
            </w:r>
          </w:p>
        </w:tc>
        <w:tc>
          <w:tcPr>
            <w:tcW w:w="1098" w:type="pct"/>
            <w:vAlign w:val="center"/>
          </w:tcPr>
          <w:p w14:paraId="30EB4D74">
            <w:pPr>
              <w:spacing w:line="240" w:lineRule="exact"/>
              <w:rPr>
                <w:rFonts w:ascii="宋体" w:hAnsi="宋体"/>
                <w:b w:val="0"/>
                <w:bCs/>
                <w:szCs w:val="21"/>
              </w:rPr>
            </w:pPr>
            <w:r>
              <w:rPr>
                <w:rFonts w:hint="eastAsia" w:ascii="宋体" w:hAnsi="宋体"/>
                <w:b w:val="0"/>
                <w:bCs/>
                <w:szCs w:val="21"/>
              </w:rPr>
              <w:t>机械致害、冲击波及其带来的碎片伤害</w:t>
            </w:r>
          </w:p>
        </w:tc>
      </w:tr>
      <w:tr w14:paraId="49831B9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4" w:hRule="atLeast"/>
          <w:jc w:val="center"/>
        </w:trPr>
        <w:tc>
          <w:tcPr>
            <w:tcW w:w="0" w:type="auto"/>
            <w:vMerge w:val="continue"/>
            <w:vAlign w:val="center"/>
          </w:tcPr>
          <w:p w14:paraId="0E0EAD20">
            <w:pPr>
              <w:widowControl/>
              <w:spacing w:line="240" w:lineRule="exact"/>
              <w:jc w:val="left"/>
              <w:rPr>
                <w:rFonts w:ascii="宋体" w:hAnsi="宋体"/>
                <w:b w:val="0"/>
                <w:bCs/>
                <w:szCs w:val="21"/>
              </w:rPr>
            </w:pPr>
          </w:p>
        </w:tc>
        <w:tc>
          <w:tcPr>
            <w:tcW w:w="894" w:type="pct"/>
            <w:vMerge w:val="continue"/>
            <w:vAlign w:val="center"/>
          </w:tcPr>
          <w:p w14:paraId="03116D30">
            <w:pPr>
              <w:widowControl/>
              <w:spacing w:line="240" w:lineRule="exact"/>
              <w:jc w:val="left"/>
              <w:rPr>
                <w:rFonts w:ascii="宋体" w:hAnsi="宋体"/>
                <w:b w:val="0"/>
                <w:bCs/>
                <w:szCs w:val="21"/>
              </w:rPr>
            </w:pPr>
          </w:p>
        </w:tc>
        <w:tc>
          <w:tcPr>
            <w:tcW w:w="1417" w:type="pct"/>
            <w:vAlign w:val="center"/>
          </w:tcPr>
          <w:p w14:paraId="214CE5F5">
            <w:pPr>
              <w:spacing w:line="240" w:lineRule="exact"/>
              <w:jc w:val="left"/>
              <w:rPr>
                <w:rFonts w:ascii="宋体" w:hAnsi="宋体"/>
                <w:b w:val="0"/>
                <w:bCs/>
                <w:szCs w:val="21"/>
              </w:rPr>
            </w:pPr>
            <w:r>
              <w:rPr>
                <w:rFonts w:hint="eastAsia" w:ascii="宋体" w:hAnsi="宋体"/>
                <w:b w:val="0"/>
                <w:bCs/>
                <w:szCs w:val="21"/>
              </w:rPr>
              <w:t>电伤害</w:t>
            </w:r>
          </w:p>
        </w:tc>
        <w:tc>
          <w:tcPr>
            <w:tcW w:w="1361" w:type="pct"/>
            <w:vAlign w:val="center"/>
          </w:tcPr>
          <w:p w14:paraId="4E379D52">
            <w:pPr>
              <w:spacing w:line="240" w:lineRule="exact"/>
              <w:rPr>
                <w:rFonts w:ascii="宋体" w:hAnsi="宋体"/>
                <w:b w:val="0"/>
                <w:bCs/>
                <w:szCs w:val="21"/>
              </w:rPr>
            </w:pPr>
            <w:r>
              <w:rPr>
                <w:rFonts w:hint="eastAsia" w:ascii="宋体" w:hAnsi="宋体"/>
                <w:b w:val="0"/>
                <w:bCs/>
                <w:szCs w:val="21"/>
              </w:rPr>
              <w:t>涉电工房和场所以及地处厂区高处的易受雷击的危险性工、库房</w:t>
            </w:r>
          </w:p>
        </w:tc>
        <w:tc>
          <w:tcPr>
            <w:tcW w:w="1098" w:type="pct"/>
            <w:vAlign w:val="center"/>
          </w:tcPr>
          <w:p w14:paraId="05BB3A06">
            <w:pPr>
              <w:spacing w:line="240" w:lineRule="exact"/>
              <w:rPr>
                <w:rFonts w:ascii="宋体" w:hAnsi="宋体"/>
                <w:b w:val="0"/>
                <w:bCs/>
                <w:szCs w:val="21"/>
              </w:rPr>
            </w:pPr>
            <w:r>
              <w:rPr>
                <w:rFonts w:hint="eastAsia" w:ascii="宋体" w:hAnsi="宋体"/>
                <w:b w:val="0"/>
                <w:bCs/>
                <w:szCs w:val="21"/>
              </w:rPr>
              <w:t>触电或引发火灾、爆炸</w:t>
            </w:r>
          </w:p>
        </w:tc>
      </w:tr>
      <w:tr w14:paraId="0FFA1BD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48" w:hRule="atLeast"/>
          <w:jc w:val="center"/>
        </w:trPr>
        <w:tc>
          <w:tcPr>
            <w:tcW w:w="0" w:type="auto"/>
            <w:vMerge w:val="continue"/>
            <w:vAlign w:val="center"/>
          </w:tcPr>
          <w:p w14:paraId="0EDDD2B9">
            <w:pPr>
              <w:widowControl/>
              <w:spacing w:line="240" w:lineRule="exact"/>
              <w:jc w:val="left"/>
              <w:rPr>
                <w:rFonts w:ascii="宋体" w:hAnsi="宋体"/>
                <w:b w:val="0"/>
                <w:bCs/>
                <w:szCs w:val="21"/>
              </w:rPr>
            </w:pPr>
          </w:p>
        </w:tc>
        <w:tc>
          <w:tcPr>
            <w:tcW w:w="894" w:type="pct"/>
            <w:vMerge w:val="continue"/>
            <w:vAlign w:val="center"/>
          </w:tcPr>
          <w:p w14:paraId="28BF7233">
            <w:pPr>
              <w:widowControl/>
              <w:spacing w:line="240" w:lineRule="exact"/>
              <w:jc w:val="left"/>
              <w:rPr>
                <w:rFonts w:ascii="宋体" w:hAnsi="宋体"/>
                <w:b w:val="0"/>
                <w:bCs/>
                <w:szCs w:val="21"/>
              </w:rPr>
            </w:pPr>
          </w:p>
        </w:tc>
        <w:tc>
          <w:tcPr>
            <w:tcW w:w="1417" w:type="pct"/>
            <w:vAlign w:val="center"/>
          </w:tcPr>
          <w:p w14:paraId="5273C9E9">
            <w:pPr>
              <w:spacing w:line="240" w:lineRule="exact"/>
              <w:jc w:val="left"/>
              <w:rPr>
                <w:rFonts w:ascii="宋体" w:hAnsi="宋体"/>
                <w:b w:val="0"/>
                <w:bCs/>
                <w:szCs w:val="21"/>
              </w:rPr>
            </w:pPr>
            <w:r>
              <w:rPr>
                <w:rFonts w:hint="eastAsia" w:ascii="宋体" w:hAnsi="宋体"/>
                <w:b w:val="0"/>
                <w:bCs/>
                <w:szCs w:val="21"/>
              </w:rPr>
              <w:t>振动、撞击、摩擦</w:t>
            </w:r>
          </w:p>
        </w:tc>
        <w:tc>
          <w:tcPr>
            <w:tcW w:w="1361" w:type="pct"/>
            <w:vAlign w:val="center"/>
          </w:tcPr>
          <w:p w14:paraId="62D52D7A">
            <w:pPr>
              <w:spacing w:line="240" w:lineRule="exact"/>
              <w:jc w:val="left"/>
              <w:rPr>
                <w:rFonts w:ascii="宋体" w:hAnsi="宋体"/>
                <w:b w:val="0"/>
                <w:szCs w:val="21"/>
              </w:rPr>
            </w:pPr>
            <w:r>
              <w:rPr>
                <w:rFonts w:hint="eastAsia" w:ascii="宋体" w:hAnsi="宋体"/>
                <w:b w:val="0"/>
                <w:bCs/>
                <w:szCs w:val="21"/>
              </w:rPr>
              <w:t>各危险性作业场所</w:t>
            </w:r>
          </w:p>
        </w:tc>
        <w:tc>
          <w:tcPr>
            <w:tcW w:w="1098" w:type="pct"/>
            <w:vAlign w:val="center"/>
          </w:tcPr>
          <w:p w14:paraId="3C976EB0">
            <w:pPr>
              <w:spacing w:line="240" w:lineRule="exact"/>
              <w:jc w:val="left"/>
              <w:rPr>
                <w:rFonts w:ascii="宋体" w:hAnsi="宋体"/>
                <w:b w:val="0"/>
                <w:bCs/>
                <w:szCs w:val="21"/>
              </w:rPr>
            </w:pPr>
            <w:r>
              <w:rPr>
                <w:rFonts w:hint="eastAsia" w:ascii="宋体" w:hAnsi="宋体"/>
                <w:b w:val="0"/>
                <w:bCs/>
                <w:szCs w:val="21"/>
              </w:rPr>
              <w:t>火灾、爆炸</w:t>
            </w:r>
          </w:p>
        </w:tc>
      </w:tr>
      <w:tr w14:paraId="47072EF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48" w:hRule="atLeast"/>
          <w:jc w:val="center"/>
        </w:trPr>
        <w:tc>
          <w:tcPr>
            <w:tcW w:w="0" w:type="auto"/>
            <w:vMerge w:val="continue"/>
            <w:vAlign w:val="center"/>
          </w:tcPr>
          <w:p w14:paraId="4543E8FB">
            <w:pPr>
              <w:widowControl/>
              <w:spacing w:line="240" w:lineRule="exact"/>
              <w:jc w:val="left"/>
              <w:rPr>
                <w:rFonts w:ascii="宋体" w:hAnsi="宋体"/>
                <w:b w:val="0"/>
                <w:bCs/>
                <w:szCs w:val="21"/>
              </w:rPr>
            </w:pPr>
          </w:p>
        </w:tc>
        <w:tc>
          <w:tcPr>
            <w:tcW w:w="894" w:type="pct"/>
            <w:vMerge w:val="continue"/>
            <w:vAlign w:val="center"/>
          </w:tcPr>
          <w:p w14:paraId="463BB2A1">
            <w:pPr>
              <w:widowControl/>
              <w:spacing w:line="240" w:lineRule="exact"/>
              <w:jc w:val="left"/>
              <w:rPr>
                <w:rFonts w:ascii="宋体" w:hAnsi="宋体"/>
                <w:b w:val="0"/>
                <w:bCs/>
                <w:szCs w:val="21"/>
              </w:rPr>
            </w:pPr>
          </w:p>
        </w:tc>
        <w:tc>
          <w:tcPr>
            <w:tcW w:w="1417" w:type="pct"/>
            <w:vAlign w:val="center"/>
          </w:tcPr>
          <w:p w14:paraId="392A6554">
            <w:pPr>
              <w:spacing w:line="240" w:lineRule="exact"/>
              <w:jc w:val="left"/>
              <w:rPr>
                <w:rFonts w:ascii="宋体" w:hAnsi="宋体"/>
                <w:b w:val="0"/>
                <w:bCs/>
                <w:szCs w:val="21"/>
              </w:rPr>
            </w:pPr>
            <w:r>
              <w:rPr>
                <w:rFonts w:hint="eastAsia" w:ascii="宋体" w:hAnsi="宋体"/>
                <w:b w:val="0"/>
                <w:bCs/>
                <w:szCs w:val="21"/>
              </w:rPr>
              <w:t>明火</w:t>
            </w:r>
          </w:p>
        </w:tc>
        <w:tc>
          <w:tcPr>
            <w:tcW w:w="1361" w:type="pct"/>
            <w:vAlign w:val="center"/>
          </w:tcPr>
          <w:p w14:paraId="671AEDC4">
            <w:pPr>
              <w:spacing w:line="240" w:lineRule="exact"/>
              <w:jc w:val="left"/>
              <w:rPr>
                <w:rFonts w:ascii="宋体" w:hAnsi="宋体"/>
                <w:b w:val="0"/>
                <w:bCs/>
                <w:szCs w:val="21"/>
              </w:rPr>
            </w:pPr>
            <w:r>
              <w:rPr>
                <w:rFonts w:hint="eastAsia" w:ascii="宋体" w:hAnsi="宋体"/>
                <w:b w:val="0"/>
                <w:bCs/>
                <w:szCs w:val="21"/>
              </w:rPr>
              <w:t>厂区及其周边山林地</w:t>
            </w:r>
          </w:p>
        </w:tc>
        <w:tc>
          <w:tcPr>
            <w:tcW w:w="1098" w:type="pct"/>
            <w:vAlign w:val="center"/>
          </w:tcPr>
          <w:p w14:paraId="4AB5C2DE">
            <w:pPr>
              <w:spacing w:line="240" w:lineRule="exact"/>
              <w:jc w:val="left"/>
              <w:rPr>
                <w:rFonts w:ascii="宋体" w:hAnsi="宋体"/>
                <w:b w:val="0"/>
                <w:bCs/>
                <w:szCs w:val="21"/>
              </w:rPr>
            </w:pPr>
            <w:r>
              <w:rPr>
                <w:rFonts w:hint="eastAsia" w:ascii="宋体" w:hAnsi="宋体"/>
                <w:b w:val="0"/>
                <w:bCs/>
                <w:szCs w:val="21"/>
              </w:rPr>
              <w:t>火灾、爆炸</w:t>
            </w:r>
          </w:p>
        </w:tc>
      </w:tr>
      <w:tr w14:paraId="5F6C394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39" w:hRule="atLeast"/>
          <w:jc w:val="center"/>
        </w:trPr>
        <w:tc>
          <w:tcPr>
            <w:tcW w:w="0" w:type="auto"/>
            <w:vMerge w:val="continue"/>
            <w:vAlign w:val="center"/>
          </w:tcPr>
          <w:p w14:paraId="6881AD4D">
            <w:pPr>
              <w:widowControl/>
              <w:spacing w:line="240" w:lineRule="exact"/>
              <w:jc w:val="left"/>
              <w:rPr>
                <w:rFonts w:ascii="宋体" w:hAnsi="宋体"/>
                <w:b w:val="0"/>
                <w:bCs/>
                <w:szCs w:val="21"/>
              </w:rPr>
            </w:pPr>
          </w:p>
        </w:tc>
        <w:tc>
          <w:tcPr>
            <w:tcW w:w="894" w:type="pct"/>
            <w:vMerge w:val="continue"/>
            <w:vAlign w:val="center"/>
          </w:tcPr>
          <w:p w14:paraId="5723D716">
            <w:pPr>
              <w:widowControl/>
              <w:spacing w:line="240" w:lineRule="exact"/>
              <w:jc w:val="left"/>
              <w:rPr>
                <w:rFonts w:ascii="宋体" w:hAnsi="宋体"/>
                <w:b w:val="0"/>
                <w:bCs/>
                <w:szCs w:val="21"/>
              </w:rPr>
            </w:pPr>
          </w:p>
        </w:tc>
        <w:tc>
          <w:tcPr>
            <w:tcW w:w="1417" w:type="pct"/>
            <w:vAlign w:val="center"/>
          </w:tcPr>
          <w:p w14:paraId="2DBD42D8">
            <w:pPr>
              <w:spacing w:line="240" w:lineRule="exact"/>
              <w:jc w:val="left"/>
              <w:rPr>
                <w:rFonts w:ascii="宋体" w:hAnsi="宋体"/>
                <w:b w:val="0"/>
                <w:bCs/>
                <w:szCs w:val="21"/>
              </w:rPr>
            </w:pPr>
            <w:r>
              <w:rPr>
                <w:rFonts w:hint="eastAsia" w:ascii="宋体" w:hAnsi="宋体"/>
                <w:b w:val="0"/>
                <w:bCs/>
                <w:szCs w:val="21"/>
              </w:rPr>
              <w:t>标志缺陷</w:t>
            </w:r>
          </w:p>
        </w:tc>
        <w:tc>
          <w:tcPr>
            <w:tcW w:w="1361" w:type="pct"/>
            <w:vAlign w:val="center"/>
          </w:tcPr>
          <w:p w14:paraId="6A925AED">
            <w:pPr>
              <w:spacing w:line="240" w:lineRule="exact"/>
              <w:jc w:val="left"/>
              <w:rPr>
                <w:rFonts w:ascii="宋体" w:hAnsi="宋体"/>
                <w:b w:val="0"/>
                <w:szCs w:val="21"/>
              </w:rPr>
            </w:pPr>
            <w:r>
              <w:rPr>
                <w:rFonts w:hint="eastAsia" w:ascii="宋体" w:hAnsi="宋体"/>
                <w:b w:val="0"/>
                <w:szCs w:val="21"/>
              </w:rPr>
              <w:t>各</w:t>
            </w:r>
            <w:r>
              <w:rPr>
                <w:rFonts w:hint="eastAsia" w:ascii="宋体" w:hAnsi="宋体"/>
                <w:b w:val="0"/>
                <w:bCs/>
                <w:szCs w:val="21"/>
              </w:rPr>
              <w:t>危险性</w:t>
            </w:r>
            <w:r>
              <w:rPr>
                <w:rFonts w:hint="eastAsia" w:ascii="宋体" w:hAnsi="宋体"/>
                <w:b w:val="0"/>
                <w:szCs w:val="21"/>
              </w:rPr>
              <w:t>工库房、安全通道以及产品内、外包装物</w:t>
            </w:r>
          </w:p>
        </w:tc>
        <w:tc>
          <w:tcPr>
            <w:tcW w:w="1098" w:type="pct"/>
            <w:vAlign w:val="center"/>
          </w:tcPr>
          <w:p w14:paraId="318BE326">
            <w:pPr>
              <w:spacing w:line="240" w:lineRule="exact"/>
              <w:jc w:val="left"/>
              <w:rPr>
                <w:rFonts w:ascii="宋体" w:hAnsi="宋体"/>
                <w:b w:val="0"/>
                <w:bCs/>
                <w:szCs w:val="21"/>
              </w:rPr>
            </w:pPr>
            <w:r>
              <w:rPr>
                <w:rFonts w:hint="eastAsia" w:ascii="宋体" w:hAnsi="宋体"/>
                <w:b w:val="0"/>
                <w:bCs/>
                <w:szCs w:val="21"/>
              </w:rPr>
              <w:t>人体伤害或引发火灾、爆炸</w:t>
            </w:r>
          </w:p>
        </w:tc>
      </w:tr>
      <w:tr w14:paraId="16F7528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39" w:hRule="atLeast"/>
          <w:jc w:val="center"/>
        </w:trPr>
        <w:tc>
          <w:tcPr>
            <w:tcW w:w="0" w:type="auto"/>
            <w:vMerge w:val="continue"/>
            <w:vAlign w:val="center"/>
          </w:tcPr>
          <w:p w14:paraId="7E3A2949">
            <w:pPr>
              <w:widowControl/>
              <w:spacing w:line="240" w:lineRule="exact"/>
              <w:jc w:val="left"/>
              <w:rPr>
                <w:rFonts w:ascii="宋体" w:hAnsi="宋体"/>
                <w:b w:val="0"/>
                <w:bCs/>
                <w:szCs w:val="21"/>
              </w:rPr>
            </w:pPr>
          </w:p>
        </w:tc>
        <w:tc>
          <w:tcPr>
            <w:tcW w:w="894" w:type="pct"/>
            <w:vMerge w:val="restart"/>
            <w:vAlign w:val="center"/>
          </w:tcPr>
          <w:p w14:paraId="19D8B6BE">
            <w:pPr>
              <w:spacing w:line="240" w:lineRule="exact"/>
              <w:jc w:val="left"/>
              <w:rPr>
                <w:rFonts w:ascii="宋体" w:hAnsi="宋体"/>
                <w:b w:val="0"/>
                <w:bCs/>
                <w:szCs w:val="21"/>
              </w:rPr>
            </w:pPr>
            <w:r>
              <w:rPr>
                <w:rFonts w:hint="eastAsia" w:ascii="宋体" w:hAnsi="宋体"/>
                <w:b w:val="0"/>
                <w:bCs/>
                <w:szCs w:val="21"/>
              </w:rPr>
              <w:t>化学性危险有害因素22</w:t>
            </w:r>
          </w:p>
        </w:tc>
        <w:tc>
          <w:tcPr>
            <w:tcW w:w="1417" w:type="pct"/>
            <w:vAlign w:val="center"/>
          </w:tcPr>
          <w:p w14:paraId="6520CF82">
            <w:pPr>
              <w:spacing w:line="240" w:lineRule="exact"/>
              <w:jc w:val="left"/>
              <w:rPr>
                <w:rFonts w:ascii="宋体" w:hAnsi="宋体"/>
                <w:b w:val="0"/>
                <w:bCs/>
                <w:szCs w:val="21"/>
              </w:rPr>
            </w:pPr>
            <w:r>
              <w:rPr>
                <w:rFonts w:hint="eastAsia" w:ascii="宋体" w:hAnsi="宋体"/>
                <w:b w:val="0"/>
                <w:bCs/>
                <w:szCs w:val="21"/>
              </w:rPr>
              <w:t>爆炸品</w:t>
            </w:r>
          </w:p>
        </w:tc>
        <w:tc>
          <w:tcPr>
            <w:tcW w:w="1361" w:type="pct"/>
            <w:vAlign w:val="center"/>
          </w:tcPr>
          <w:p w14:paraId="35A3B76B">
            <w:pPr>
              <w:spacing w:line="240" w:lineRule="exact"/>
              <w:jc w:val="left"/>
              <w:rPr>
                <w:rFonts w:ascii="宋体" w:hAnsi="宋体"/>
                <w:b w:val="0"/>
                <w:bCs/>
                <w:szCs w:val="21"/>
              </w:rPr>
            </w:pPr>
            <w:r>
              <w:rPr>
                <w:rFonts w:hint="eastAsia" w:ascii="宋体" w:hAnsi="宋体"/>
                <w:b w:val="0"/>
                <w:bCs/>
                <w:szCs w:val="21"/>
              </w:rPr>
              <w:t>危险性工库房、燃放试验场、销毁场</w:t>
            </w:r>
          </w:p>
        </w:tc>
        <w:tc>
          <w:tcPr>
            <w:tcW w:w="1098" w:type="pct"/>
            <w:vAlign w:val="center"/>
          </w:tcPr>
          <w:p w14:paraId="18938D0D">
            <w:pPr>
              <w:spacing w:line="240" w:lineRule="exact"/>
              <w:jc w:val="left"/>
              <w:rPr>
                <w:rFonts w:ascii="宋体" w:hAnsi="宋体"/>
                <w:b w:val="0"/>
                <w:bCs/>
                <w:szCs w:val="21"/>
              </w:rPr>
            </w:pPr>
            <w:r>
              <w:rPr>
                <w:rFonts w:hint="eastAsia" w:ascii="宋体" w:hAnsi="宋体"/>
                <w:b w:val="0"/>
                <w:bCs/>
                <w:szCs w:val="21"/>
              </w:rPr>
              <w:t>火灾、爆炸</w:t>
            </w:r>
          </w:p>
        </w:tc>
      </w:tr>
      <w:tr w14:paraId="3DCD1FD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39" w:hRule="atLeast"/>
          <w:jc w:val="center"/>
        </w:trPr>
        <w:tc>
          <w:tcPr>
            <w:tcW w:w="0" w:type="auto"/>
            <w:vMerge w:val="continue"/>
            <w:vAlign w:val="center"/>
          </w:tcPr>
          <w:p w14:paraId="31277A5A">
            <w:pPr>
              <w:widowControl/>
              <w:spacing w:line="240" w:lineRule="exact"/>
              <w:jc w:val="left"/>
              <w:rPr>
                <w:rFonts w:ascii="宋体" w:hAnsi="宋体"/>
                <w:b w:val="0"/>
                <w:bCs/>
                <w:szCs w:val="21"/>
              </w:rPr>
            </w:pPr>
          </w:p>
        </w:tc>
        <w:tc>
          <w:tcPr>
            <w:tcW w:w="894" w:type="pct"/>
            <w:vMerge w:val="continue"/>
            <w:vAlign w:val="center"/>
          </w:tcPr>
          <w:p w14:paraId="00577862">
            <w:pPr>
              <w:widowControl/>
              <w:spacing w:line="240" w:lineRule="exact"/>
              <w:jc w:val="left"/>
              <w:rPr>
                <w:rFonts w:ascii="宋体" w:hAnsi="宋体"/>
                <w:b w:val="0"/>
                <w:bCs/>
                <w:szCs w:val="21"/>
              </w:rPr>
            </w:pPr>
          </w:p>
        </w:tc>
        <w:tc>
          <w:tcPr>
            <w:tcW w:w="1417" w:type="pct"/>
            <w:vAlign w:val="center"/>
          </w:tcPr>
          <w:p w14:paraId="17B598FB">
            <w:pPr>
              <w:spacing w:line="240" w:lineRule="exact"/>
              <w:jc w:val="left"/>
              <w:rPr>
                <w:rFonts w:ascii="宋体" w:hAnsi="宋体"/>
                <w:b w:val="0"/>
                <w:bCs/>
                <w:szCs w:val="21"/>
              </w:rPr>
            </w:pPr>
            <w:r>
              <w:rPr>
                <w:rFonts w:hint="eastAsia" w:ascii="宋体" w:hAnsi="宋体"/>
                <w:b w:val="0"/>
                <w:bCs/>
                <w:szCs w:val="21"/>
              </w:rPr>
              <w:t>易燃固体、自燃物和遇湿易燃物品</w:t>
            </w:r>
          </w:p>
        </w:tc>
        <w:tc>
          <w:tcPr>
            <w:tcW w:w="1361" w:type="pct"/>
            <w:vAlign w:val="center"/>
          </w:tcPr>
          <w:p w14:paraId="20457C81">
            <w:pPr>
              <w:spacing w:line="240" w:lineRule="exact"/>
              <w:jc w:val="left"/>
              <w:rPr>
                <w:rFonts w:ascii="宋体" w:hAnsi="宋体"/>
                <w:b w:val="0"/>
                <w:bCs/>
                <w:szCs w:val="21"/>
              </w:rPr>
            </w:pPr>
            <w:r>
              <w:rPr>
                <w:rFonts w:hint="eastAsia" w:ascii="宋体" w:hAnsi="宋体"/>
                <w:b w:val="0"/>
                <w:bCs/>
                <w:szCs w:val="21"/>
              </w:rPr>
              <w:t>危险性工库房、燃放试验场、销毁场</w:t>
            </w:r>
          </w:p>
        </w:tc>
        <w:tc>
          <w:tcPr>
            <w:tcW w:w="1098" w:type="pct"/>
            <w:vAlign w:val="center"/>
          </w:tcPr>
          <w:p w14:paraId="2BA8EE29">
            <w:pPr>
              <w:spacing w:line="240" w:lineRule="exact"/>
              <w:jc w:val="left"/>
              <w:rPr>
                <w:rFonts w:ascii="宋体" w:hAnsi="宋体"/>
                <w:b w:val="0"/>
                <w:bCs/>
                <w:szCs w:val="21"/>
              </w:rPr>
            </w:pPr>
            <w:r>
              <w:rPr>
                <w:rFonts w:hint="eastAsia" w:ascii="宋体" w:hAnsi="宋体"/>
                <w:b w:val="0"/>
                <w:bCs/>
                <w:szCs w:val="21"/>
              </w:rPr>
              <w:t>火灾、爆炸</w:t>
            </w:r>
          </w:p>
        </w:tc>
      </w:tr>
      <w:tr w14:paraId="19B1EBD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39" w:hRule="atLeast"/>
          <w:jc w:val="center"/>
        </w:trPr>
        <w:tc>
          <w:tcPr>
            <w:tcW w:w="0" w:type="auto"/>
            <w:vMerge w:val="continue"/>
            <w:vAlign w:val="center"/>
          </w:tcPr>
          <w:p w14:paraId="5C40C172">
            <w:pPr>
              <w:widowControl/>
              <w:spacing w:line="240" w:lineRule="exact"/>
              <w:jc w:val="left"/>
              <w:rPr>
                <w:rFonts w:ascii="宋体" w:hAnsi="宋体"/>
                <w:b w:val="0"/>
                <w:bCs/>
                <w:szCs w:val="21"/>
              </w:rPr>
            </w:pPr>
          </w:p>
        </w:tc>
        <w:tc>
          <w:tcPr>
            <w:tcW w:w="894" w:type="pct"/>
            <w:vMerge w:val="continue"/>
            <w:vAlign w:val="center"/>
          </w:tcPr>
          <w:p w14:paraId="187EB4D4">
            <w:pPr>
              <w:widowControl/>
              <w:spacing w:line="240" w:lineRule="exact"/>
              <w:jc w:val="left"/>
              <w:rPr>
                <w:rFonts w:ascii="宋体" w:hAnsi="宋体"/>
                <w:b w:val="0"/>
                <w:bCs/>
                <w:szCs w:val="21"/>
              </w:rPr>
            </w:pPr>
          </w:p>
        </w:tc>
        <w:tc>
          <w:tcPr>
            <w:tcW w:w="1417" w:type="pct"/>
            <w:vAlign w:val="center"/>
          </w:tcPr>
          <w:p w14:paraId="43CF5FAB">
            <w:pPr>
              <w:spacing w:line="240" w:lineRule="exact"/>
              <w:jc w:val="left"/>
              <w:rPr>
                <w:rFonts w:ascii="宋体" w:hAnsi="宋体"/>
                <w:b w:val="0"/>
                <w:bCs/>
                <w:szCs w:val="21"/>
              </w:rPr>
            </w:pPr>
            <w:r>
              <w:rPr>
                <w:rFonts w:hint="eastAsia" w:ascii="宋体" w:hAnsi="宋体"/>
                <w:b w:val="0"/>
                <w:bCs/>
                <w:szCs w:val="21"/>
              </w:rPr>
              <w:t>氧化剂</w:t>
            </w:r>
          </w:p>
        </w:tc>
        <w:tc>
          <w:tcPr>
            <w:tcW w:w="1361" w:type="pct"/>
            <w:vAlign w:val="center"/>
          </w:tcPr>
          <w:p w14:paraId="7447C76B">
            <w:pPr>
              <w:spacing w:line="240" w:lineRule="exact"/>
              <w:jc w:val="left"/>
              <w:rPr>
                <w:rFonts w:ascii="宋体" w:hAnsi="宋体"/>
                <w:b w:val="0"/>
                <w:bCs/>
                <w:szCs w:val="21"/>
              </w:rPr>
            </w:pPr>
            <w:r>
              <w:rPr>
                <w:rFonts w:hint="eastAsia" w:ascii="宋体" w:hAnsi="宋体"/>
                <w:b w:val="0"/>
                <w:bCs/>
                <w:szCs w:val="21"/>
              </w:rPr>
              <w:t>称药工房、化工原料库及其中转库</w:t>
            </w:r>
          </w:p>
        </w:tc>
        <w:tc>
          <w:tcPr>
            <w:tcW w:w="1098" w:type="pct"/>
            <w:vAlign w:val="center"/>
          </w:tcPr>
          <w:p w14:paraId="2E727F69">
            <w:pPr>
              <w:spacing w:line="240" w:lineRule="exact"/>
              <w:jc w:val="left"/>
              <w:rPr>
                <w:rFonts w:ascii="宋体" w:hAnsi="宋体"/>
                <w:b w:val="0"/>
                <w:bCs/>
                <w:szCs w:val="21"/>
              </w:rPr>
            </w:pPr>
            <w:r>
              <w:rPr>
                <w:rFonts w:hint="eastAsia" w:ascii="宋体" w:hAnsi="宋体"/>
                <w:b w:val="0"/>
                <w:bCs/>
                <w:szCs w:val="21"/>
              </w:rPr>
              <w:t>中毒或火灾、爆炸</w:t>
            </w:r>
          </w:p>
        </w:tc>
      </w:tr>
      <w:tr w14:paraId="619CE16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48" w:hRule="atLeast"/>
          <w:jc w:val="center"/>
        </w:trPr>
        <w:tc>
          <w:tcPr>
            <w:tcW w:w="0" w:type="auto"/>
            <w:vMerge w:val="continue"/>
            <w:vAlign w:val="center"/>
          </w:tcPr>
          <w:p w14:paraId="2F797FD0">
            <w:pPr>
              <w:widowControl/>
              <w:spacing w:line="240" w:lineRule="exact"/>
              <w:jc w:val="left"/>
              <w:rPr>
                <w:rFonts w:ascii="宋体" w:hAnsi="宋体"/>
                <w:b w:val="0"/>
                <w:bCs/>
                <w:szCs w:val="21"/>
              </w:rPr>
            </w:pPr>
          </w:p>
        </w:tc>
        <w:tc>
          <w:tcPr>
            <w:tcW w:w="894" w:type="pct"/>
            <w:vMerge w:val="continue"/>
            <w:vAlign w:val="center"/>
          </w:tcPr>
          <w:p w14:paraId="3BD3B0CB">
            <w:pPr>
              <w:widowControl/>
              <w:spacing w:line="240" w:lineRule="exact"/>
              <w:jc w:val="left"/>
              <w:rPr>
                <w:rFonts w:ascii="宋体" w:hAnsi="宋体"/>
                <w:b w:val="0"/>
                <w:bCs/>
                <w:szCs w:val="21"/>
              </w:rPr>
            </w:pPr>
          </w:p>
        </w:tc>
        <w:tc>
          <w:tcPr>
            <w:tcW w:w="1417" w:type="pct"/>
            <w:vAlign w:val="center"/>
          </w:tcPr>
          <w:p w14:paraId="3892AA97">
            <w:pPr>
              <w:spacing w:line="240" w:lineRule="exact"/>
              <w:jc w:val="left"/>
              <w:rPr>
                <w:rFonts w:ascii="宋体" w:hAnsi="宋体"/>
                <w:b w:val="0"/>
                <w:bCs/>
                <w:szCs w:val="21"/>
              </w:rPr>
            </w:pPr>
            <w:r>
              <w:rPr>
                <w:rFonts w:hint="eastAsia" w:ascii="宋体" w:hAnsi="宋体"/>
                <w:b w:val="0"/>
                <w:bCs/>
                <w:szCs w:val="21"/>
              </w:rPr>
              <w:t>粉尘</w:t>
            </w:r>
          </w:p>
        </w:tc>
        <w:tc>
          <w:tcPr>
            <w:tcW w:w="1361" w:type="pct"/>
            <w:vAlign w:val="center"/>
          </w:tcPr>
          <w:p w14:paraId="24A42729">
            <w:pPr>
              <w:spacing w:line="240" w:lineRule="exact"/>
              <w:jc w:val="left"/>
              <w:rPr>
                <w:rFonts w:ascii="宋体" w:hAnsi="宋体"/>
                <w:b w:val="0"/>
                <w:bCs/>
                <w:szCs w:val="21"/>
              </w:rPr>
            </w:pPr>
            <w:r>
              <w:rPr>
                <w:rFonts w:hint="eastAsia" w:ascii="宋体" w:hAnsi="宋体"/>
                <w:b w:val="0"/>
                <w:bCs/>
                <w:szCs w:val="21"/>
              </w:rPr>
              <w:t>称料、药混合等</w:t>
            </w:r>
          </w:p>
        </w:tc>
        <w:tc>
          <w:tcPr>
            <w:tcW w:w="1098" w:type="pct"/>
            <w:vAlign w:val="center"/>
          </w:tcPr>
          <w:p w14:paraId="29F05B3E">
            <w:pPr>
              <w:spacing w:line="240" w:lineRule="exact"/>
              <w:jc w:val="left"/>
              <w:rPr>
                <w:rFonts w:ascii="宋体" w:hAnsi="宋体"/>
                <w:b w:val="0"/>
                <w:bCs/>
                <w:szCs w:val="21"/>
              </w:rPr>
            </w:pPr>
            <w:r>
              <w:rPr>
                <w:rFonts w:hint="eastAsia" w:ascii="宋体" w:hAnsi="宋体"/>
                <w:b w:val="0"/>
                <w:bCs/>
                <w:szCs w:val="21"/>
              </w:rPr>
              <w:t>中毒或火灾、爆炸</w:t>
            </w:r>
          </w:p>
        </w:tc>
      </w:tr>
      <w:tr w14:paraId="2745094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39" w:hRule="atLeast"/>
          <w:jc w:val="center"/>
        </w:trPr>
        <w:tc>
          <w:tcPr>
            <w:tcW w:w="227" w:type="pct"/>
            <w:vMerge w:val="restart"/>
            <w:vAlign w:val="center"/>
          </w:tcPr>
          <w:p w14:paraId="61DAAB18">
            <w:pPr>
              <w:spacing w:line="240" w:lineRule="exact"/>
              <w:jc w:val="left"/>
              <w:rPr>
                <w:rFonts w:ascii="宋体" w:hAnsi="宋体"/>
                <w:b w:val="0"/>
                <w:bCs/>
                <w:szCs w:val="21"/>
              </w:rPr>
            </w:pPr>
            <w:r>
              <w:rPr>
                <w:rFonts w:hint="eastAsia" w:ascii="宋体" w:hAnsi="宋体"/>
                <w:b w:val="0"/>
                <w:bCs/>
                <w:szCs w:val="21"/>
              </w:rPr>
              <w:t>环境因素</w:t>
            </w:r>
          </w:p>
          <w:p w14:paraId="547D6375">
            <w:pPr>
              <w:spacing w:line="240" w:lineRule="exact"/>
              <w:jc w:val="center"/>
              <w:rPr>
                <w:rFonts w:ascii="宋体" w:hAnsi="宋体"/>
                <w:b w:val="0"/>
                <w:bCs/>
                <w:szCs w:val="21"/>
              </w:rPr>
            </w:pPr>
            <w:r>
              <w:rPr>
                <w:rFonts w:hint="eastAsia" w:ascii="宋体" w:hAnsi="宋体"/>
                <w:b w:val="0"/>
                <w:bCs/>
                <w:szCs w:val="21"/>
              </w:rPr>
              <w:t>3</w:t>
            </w:r>
          </w:p>
        </w:tc>
        <w:tc>
          <w:tcPr>
            <w:tcW w:w="894" w:type="pct"/>
            <w:vMerge w:val="restart"/>
            <w:vAlign w:val="center"/>
          </w:tcPr>
          <w:p w14:paraId="3E6EB993">
            <w:pPr>
              <w:spacing w:line="240" w:lineRule="exact"/>
              <w:jc w:val="left"/>
              <w:rPr>
                <w:rFonts w:ascii="宋体" w:hAnsi="宋体"/>
                <w:b w:val="0"/>
                <w:bCs/>
                <w:szCs w:val="21"/>
              </w:rPr>
            </w:pPr>
            <w:r>
              <w:rPr>
                <w:rFonts w:hint="eastAsia" w:ascii="宋体" w:hAnsi="宋体"/>
                <w:b w:val="0"/>
                <w:bCs/>
                <w:szCs w:val="21"/>
              </w:rPr>
              <w:t>室内作业环境不良31</w:t>
            </w:r>
          </w:p>
        </w:tc>
        <w:tc>
          <w:tcPr>
            <w:tcW w:w="1417" w:type="pct"/>
            <w:vAlign w:val="center"/>
          </w:tcPr>
          <w:p w14:paraId="38E148CC">
            <w:pPr>
              <w:spacing w:line="240" w:lineRule="exact"/>
              <w:jc w:val="left"/>
              <w:rPr>
                <w:rFonts w:ascii="宋体" w:hAnsi="宋体"/>
                <w:b w:val="0"/>
                <w:bCs/>
                <w:szCs w:val="21"/>
              </w:rPr>
            </w:pPr>
            <w:r>
              <w:rPr>
                <w:rFonts w:hint="eastAsia" w:ascii="宋体" w:hAnsi="宋体"/>
                <w:b w:val="0"/>
                <w:bCs/>
                <w:szCs w:val="21"/>
              </w:rPr>
              <w:t>室内作业环境狭窄</w:t>
            </w:r>
          </w:p>
        </w:tc>
        <w:tc>
          <w:tcPr>
            <w:tcW w:w="1361" w:type="pct"/>
            <w:vAlign w:val="center"/>
          </w:tcPr>
          <w:p w14:paraId="6425D5AC">
            <w:pPr>
              <w:spacing w:line="240" w:lineRule="exact"/>
              <w:jc w:val="left"/>
              <w:rPr>
                <w:rFonts w:ascii="宋体" w:hAnsi="宋体"/>
                <w:b w:val="0"/>
                <w:bCs/>
                <w:szCs w:val="21"/>
              </w:rPr>
            </w:pPr>
            <w:r>
              <w:rPr>
                <w:rFonts w:hint="eastAsia" w:ascii="宋体" w:hAnsi="宋体"/>
                <w:b w:val="0"/>
                <w:bCs/>
                <w:szCs w:val="21"/>
              </w:rPr>
              <w:t>各危险性作业场所</w:t>
            </w:r>
          </w:p>
        </w:tc>
        <w:tc>
          <w:tcPr>
            <w:tcW w:w="1098" w:type="pct"/>
            <w:vAlign w:val="center"/>
          </w:tcPr>
          <w:p w14:paraId="157E85E7">
            <w:pPr>
              <w:spacing w:line="240" w:lineRule="exact"/>
              <w:jc w:val="left"/>
              <w:rPr>
                <w:rFonts w:ascii="宋体" w:hAnsi="宋体"/>
                <w:b w:val="0"/>
                <w:bCs/>
                <w:szCs w:val="21"/>
              </w:rPr>
            </w:pPr>
            <w:r>
              <w:rPr>
                <w:rFonts w:hint="eastAsia" w:ascii="宋体" w:hAnsi="宋体"/>
                <w:b w:val="0"/>
                <w:bCs/>
                <w:szCs w:val="21"/>
              </w:rPr>
              <w:t>人体伤害或引发火灾、爆炸</w:t>
            </w:r>
          </w:p>
        </w:tc>
      </w:tr>
      <w:tr w14:paraId="55B22C3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39" w:hRule="atLeast"/>
          <w:jc w:val="center"/>
        </w:trPr>
        <w:tc>
          <w:tcPr>
            <w:tcW w:w="0" w:type="auto"/>
            <w:vMerge w:val="continue"/>
            <w:vAlign w:val="center"/>
          </w:tcPr>
          <w:p w14:paraId="47E4ACC6">
            <w:pPr>
              <w:widowControl/>
              <w:spacing w:line="240" w:lineRule="exact"/>
              <w:jc w:val="left"/>
              <w:rPr>
                <w:rFonts w:ascii="宋体" w:hAnsi="宋体"/>
                <w:b w:val="0"/>
                <w:bCs/>
                <w:szCs w:val="21"/>
              </w:rPr>
            </w:pPr>
          </w:p>
        </w:tc>
        <w:tc>
          <w:tcPr>
            <w:tcW w:w="894" w:type="pct"/>
            <w:vMerge w:val="continue"/>
            <w:vAlign w:val="center"/>
          </w:tcPr>
          <w:p w14:paraId="1F1C17D9">
            <w:pPr>
              <w:widowControl/>
              <w:spacing w:line="240" w:lineRule="exact"/>
              <w:jc w:val="left"/>
              <w:rPr>
                <w:rFonts w:ascii="宋体" w:hAnsi="宋体"/>
                <w:b w:val="0"/>
                <w:bCs/>
                <w:szCs w:val="21"/>
              </w:rPr>
            </w:pPr>
          </w:p>
        </w:tc>
        <w:tc>
          <w:tcPr>
            <w:tcW w:w="1417" w:type="pct"/>
            <w:vAlign w:val="center"/>
          </w:tcPr>
          <w:p w14:paraId="2B57D9AB">
            <w:pPr>
              <w:spacing w:line="240" w:lineRule="exact"/>
              <w:jc w:val="left"/>
              <w:rPr>
                <w:rFonts w:ascii="宋体" w:hAnsi="宋体"/>
                <w:b w:val="0"/>
                <w:bCs/>
                <w:szCs w:val="21"/>
              </w:rPr>
            </w:pPr>
            <w:r>
              <w:rPr>
                <w:rFonts w:hint="eastAsia" w:ascii="宋体" w:hAnsi="宋体"/>
                <w:b w:val="0"/>
                <w:bCs/>
                <w:szCs w:val="21"/>
              </w:rPr>
              <w:t>室内安全通道、出口缺陷</w:t>
            </w:r>
          </w:p>
        </w:tc>
        <w:tc>
          <w:tcPr>
            <w:tcW w:w="1361" w:type="pct"/>
            <w:vAlign w:val="center"/>
          </w:tcPr>
          <w:p w14:paraId="42923555">
            <w:pPr>
              <w:spacing w:line="240" w:lineRule="exact"/>
              <w:jc w:val="left"/>
              <w:rPr>
                <w:rFonts w:ascii="宋体" w:hAnsi="宋体"/>
                <w:b w:val="0"/>
                <w:bCs/>
                <w:szCs w:val="21"/>
              </w:rPr>
            </w:pPr>
            <w:r>
              <w:rPr>
                <w:rFonts w:hint="eastAsia" w:ascii="宋体" w:hAnsi="宋体"/>
                <w:b w:val="0"/>
                <w:bCs/>
                <w:szCs w:val="21"/>
              </w:rPr>
              <w:t>各危险性作业场所</w:t>
            </w:r>
          </w:p>
        </w:tc>
        <w:tc>
          <w:tcPr>
            <w:tcW w:w="1098" w:type="pct"/>
            <w:vAlign w:val="center"/>
          </w:tcPr>
          <w:p w14:paraId="407EB3CA">
            <w:pPr>
              <w:spacing w:line="240" w:lineRule="exact"/>
              <w:jc w:val="left"/>
              <w:rPr>
                <w:rFonts w:ascii="宋体" w:hAnsi="宋体"/>
                <w:b w:val="0"/>
                <w:bCs/>
                <w:szCs w:val="21"/>
              </w:rPr>
            </w:pPr>
            <w:r>
              <w:rPr>
                <w:rFonts w:hint="eastAsia" w:ascii="宋体" w:hAnsi="宋体"/>
                <w:b w:val="0"/>
                <w:bCs/>
                <w:szCs w:val="21"/>
              </w:rPr>
              <w:t>火灾、爆炸时人员无法安全撤离</w:t>
            </w:r>
          </w:p>
        </w:tc>
      </w:tr>
      <w:tr w14:paraId="01555E8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48" w:hRule="atLeast"/>
          <w:jc w:val="center"/>
        </w:trPr>
        <w:tc>
          <w:tcPr>
            <w:tcW w:w="0" w:type="auto"/>
            <w:vMerge w:val="continue"/>
            <w:vAlign w:val="center"/>
          </w:tcPr>
          <w:p w14:paraId="32B81D28">
            <w:pPr>
              <w:widowControl/>
              <w:spacing w:line="240" w:lineRule="exact"/>
              <w:jc w:val="left"/>
              <w:rPr>
                <w:rFonts w:ascii="宋体" w:hAnsi="宋体"/>
                <w:b w:val="0"/>
                <w:bCs/>
                <w:szCs w:val="21"/>
              </w:rPr>
            </w:pPr>
          </w:p>
        </w:tc>
        <w:tc>
          <w:tcPr>
            <w:tcW w:w="894" w:type="pct"/>
            <w:vMerge w:val="continue"/>
            <w:vAlign w:val="center"/>
          </w:tcPr>
          <w:p w14:paraId="75385B53">
            <w:pPr>
              <w:widowControl/>
              <w:spacing w:line="240" w:lineRule="exact"/>
              <w:jc w:val="left"/>
              <w:rPr>
                <w:rFonts w:ascii="宋体" w:hAnsi="宋体"/>
                <w:b w:val="0"/>
                <w:bCs/>
                <w:szCs w:val="21"/>
              </w:rPr>
            </w:pPr>
          </w:p>
        </w:tc>
        <w:tc>
          <w:tcPr>
            <w:tcW w:w="1417" w:type="pct"/>
            <w:vAlign w:val="center"/>
          </w:tcPr>
          <w:p w14:paraId="5580B5A2">
            <w:pPr>
              <w:spacing w:line="240" w:lineRule="exact"/>
              <w:jc w:val="left"/>
              <w:rPr>
                <w:rFonts w:ascii="宋体" w:hAnsi="宋体"/>
                <w:b w:val="0"/>
                <w:bCs/>
                <w:szCs w:val="21"/>
              </w:rPr>
            </w:pPr>
            <w:r>
              <w:rPr>
                <w:rFonts w:hint="eastAsia" w:ascii="宋体" w:hAnsi="宋体"/>
                <w:b w:val="0"/>
                <w:bCs/>
                <w:szCs w:val="21"/>
              </w:rPr>
              <w:t>采光、照明不良</w:t>
            </w:r>
          </w:p>
        </w:tc>
        <w:tc>
          <w:tcPr>
            <w:tcW w:w="1361" w:type="pct"/>
            <w:vAlign w:val="center"/>
          </w:tcPr>
          <w:p w14:paraId="04D7F718">
            <w:pPr>
              <w:spacing w:line="240" w:lineRule="exact"/>
              <w:jc w:val="left"/>
              <w:rPr>
                <w:rFonts w:ascii="宋体" w:hAnsi="宋体"/>
                <w:b w:val="0"/>
                <w:bCs/>
                <w:szCs w:val="21"/>
              </w:rPr>
            </w:pPr>
            <w:r>
              <w:rPr>
                <w:rFonts w:hint="eastAsia" w:ascii="宋体" w:hAnsi="宋体"/>
                <w:b w:val="0"/>
                <w:bCs/>
                <w:szCs w:val="21"/>
              </w:rPr>
              <w:t>各危险性作业场所</w:t>
            </w:r>
          </w:p>
        </w:tc>
        <w:tc>
          <w:tcPr>
            <w:tcW w:w="1098" w:type="pct"/>
            <w:vAlign w:val="center"/>
          </w:tcPr>
          <w:p w14:paraId="2660719E">
            <w:pPr>
              <w:spacing w:line="240" w:lineRule="exact"/>
              <w:jc w:val="left"/>
              <w:rPr>
                <w:rFonts w:ascii="宋体" w:hAnsi="宋体"/>
                <w:b w:val="0"/>
                <w:bCs/>
                <w:szCs w:val="21"/>
              </w:rPr>
            </w:pPr>
            <w:r>
              <w:rPr>
                <w:rFonts w:hint="eastAsia" w:ascii="宋体" w:hAnsi="宋体"/>
                <w:b w:val="0"/>
                <w:bCs/>
                <w:szCs w:val="21"/>
              </w:rPr>
              <w:t>健康危害</w:t>
            </w:r>
          </w:p>
        </w:tc>
      </w:tr>
      <w:tr w14:paraId="036C9E6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48" w:hRule="atLeast"/>
          <w:jc w:val="center"/>
        </w:trPr>
        <w:tc>
          <w:tcPr>
            <w:tcW w:w="0" w:type="auto"/>
            <w:vMerge w:val="continue"/>
            <w:vAlign w:val="center"/>
          </w:tcPr>
          <w:p w14:paraId="5B30BB64">
            <w:pPr>
              <w:widowControl/>
              <w:spacing w:line="240" w:lineRule="exact"/>
              <w:jc w:val="left"/>
              <w:rPr>
                <w:rFonts w:ascii="宋体" w:hAnsi="宋体"/>
                <w:b w:val="0"/>
                <w:bCs/>
                <w:szCs w:val="21"/>
              </w:rPr>
            </w:pPr>
          </w:p>
        </w:tc>
        <w:tc>
          <w:tcPr>
            <w:tcW w:w="894" w:type="pct"/>
            <w:vMerge w:val="continue"/>
            <w:vAlign w:val="center"/>
          </w:tcPr>
          <w:p w14:paraId="1F9553C7">
            <w:pPr>
              <w:widowControl/>
              <w:spacing w:line="240" w:lineRule="exact"/>
              <w:jc w:val="left"/>
              <w:rPr>
                <w:rFonts w:ascii="宋体" w:hAnsi="宋体"/>
                <w:b w:val="0"/>
                <w:bCs/>
                <w:szCs w:val="21"/>
              </w:rPr>
            </w:pPr>
          </w:p>
        </w:tc>
        <w:tc>
          <w:tcPr>
            <w:tcW w:w="1417" w:type="pct"/>
            <w:vAlign w:val="center"/>
          </w:tcPr>
          <w:p w14:paraId="0F6BC706">
            <w:pPr>
              <w:spacing w:line="240" w:lineRule="exact"/>
              <w:jc w:val="left"/>
              <w:rPr>
                <w:rFonts w:ascii="宋体" w:hAnsi="宋体"/>
                <w:b w:val="0"/>
                <w:bCs/>
                <w:szCs w:val="21"/>
              </w:rPr>
            </w:pPr>
            <w:r>
              <w:rPr>
                <w:rFonts w:hint="eastAsia" w:ascii="宋体" w:hAnsi="宋体"/>
                <w:b w:val="0"/>
                <w:bCs/>
                <w:szCs w:val="21"/>
              </w:rPr>
              <w:t>室内温度、湿度不适</w:t>
            </w:r>
          </w:p>
        </w:tc>
        <w:tc>
          <w:tcPr>
            <w:tcW w:w="1361" w:type="pct"/>
            <w:vAlign w:val="center"/>
          </w:tcPr>
          <w:p w14:paraId="1B2E063B">
            <w:pPr>
              <w:spacing w:line="240" w:lineRule="exact"/>
              <w:jc w:val="left"/>
              <w:rPr>
                <w:rFonts w:ascii="宋体" w:hAnsi="宋体"/>
                <w:b w:val="0"/>
                <w:bCs/>
                <w:szCs w:val="21"/>
              </w:rPr>
            </w:pPr>
            <w:r>
              <w:rPr>
                <w:rFonts w:hint="eastAsia" w:ascii="宋体" w:hAnsi="宋体"/>
                <w:b w:val="0"/>
                <w:bCs/>
                <w:szCs w:val="21"/>
              </w:rPr>
              <w:t>各危险性作业场所</w:t>
            </w:r>
          </w:p>
        </w:tc>
        <w:tc>
          <w:tcPr>
            <w:tcW w:w="1098" w:type="pct"/>
            <w:vAlign w:val="center"/>
          </w:tcPr>
          <w:p w14:paraId="03195338">
            <w:pPr>
              <w:spacing w:line="240" w:lineRule="exact"/>
              <w:jc w:val="left"/>
              <w:rPr>
                <w:rFonts w:ascii="宋体" w:hAnsi="宋体"/>
                <w:b w:val="0"/>
                <w:bCs/>
                <w:szCs w:val="21"/>
              </w:rPr>
            </w:pPr>
            <w:r>
              <w:rPr>
                <w:rFonts w:hint="eastAsia" w:ascii="宋体" w:hAnsi="宋体"/>
                <w:b w:val="0"/>
                <w:bCs/>
                <w:szCs w:val="21"/>
              </w:rPr>
              <w:t>火灾、爆炸</w:t>
            </w:r>
          </w:p>
        </w:tc>
      </w:tr>
      <w:tr w14:paraId="63EBD17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48" w:hRule="atLeast"/>
          <w:jc w:val="center"/>
        </w:trPr>
        <w:tc>
          <w:tcPr>
            <w:tcW w:w="0" w:type="auto"/>
            <w:vMerge w:val="continue"/>
            <w:vAlign w:val="center"/>
          </w:tcPr>
          <w:p w14:paraId="4F5F4A05">
            <w:pPr>
              <w:widowControl/>
              <w:spacing w:line="240" w:lineRule="exact"/>
              <w:jc w:val="left"/>
              <w:rPr>
                <w:rFonts w:ascii="宋体" w:hAnsi="宋体"/>
                <w:b w:val="0"/>
                <w:bCs/>
                <w:szCs w:val="21"/>
              </w:rPr>
            </w:pPr>
          </w:p>
        </w:tc>
        <w:tc>
          <w:tcPr>
            <w:tcW w:w="894" w:type="pct"/>
            <w:vMerge w:val="restart"/>
            <w:vAlign w:val="center"/>
          </w:tcPr>
          <w:p w14:paraId="38F2866D">
            <w:pPr>
              <w:spacing w:line="240" w:lineRule="exact"/>
              <w:jc w:val="left"/>
              <w:rPr>
                <w:rFonts w:ascii="宋体" w:hAnsi="宋体"/>
                <w:b w:val="0"/>
                <w:bCs/>
                <w:szCs w:val="21"/>
              </w:rPr>
            </w:pPr>
            <w:r>
              <w:rPr>
                <w:rFonts w:hint="eastAsia" w:ascii="宋体" w:hAnsi="宋体"/>
                <w:b w:val="0"/>
                <w:bCs/>
                <w:szCs w:val="21"/>
              </w:rPr>
              <w:t>室外作业环境不良32</w:t>
            </w:r>
          </w:p>
        </w:tc>
        <w:tc>
          <w:tcPr>
            <w:tcW w:w="1417" w:type="pct"/>
            <w:vAlign w:val="center"/>
          </w:tcPr>
          <w:p w14:paraId="627296B2">
            <w:pPr>
              <w:spacing w:line="240" w:lineRule="exact"/>
              <w:jc w:val="left"/>
              <w:rPr>
                <w:rFonts w:ascii="宋体" w:hAnsi="宋体"/>
                <w:b w:val="0"/>
                <w:bCs/>
                <w:szCs w:val="21"/>
              </w:rPr>
            </w:pPr>
            <w:r>
              <w:rPr>
                <w:rFonts w:hint="eastAsia" w:ascii="宋体" w:hAnsi="宋体"/>
                <w:b w:val="0"/>
                <w:bCs/>
                <w:szCs w:val="21"/>
              </w:rPr>
              <w:t>恶劣气候与环境</w:t>
            </w:r>
          </w:p>
        </w:tc>
        <w:tc>
          <w:tcPr>
            <w:tcW w:w="1361" w:type="pct"/>
            <w:vAlign w:val="center"/>
          </w:tcPr>
          <w:p w14:paraId="5D809AE6">
            <w:pPr>
              <w:spacing w:line="240" w:lineRule="exact"/>
              <w:jc w:val="left"/>
              <w:rPr>
                <w:rFonts w:ascii="宋体" w:hAnsi="宋体"/>
                <w:b w:val="0"/>
                <w:bCs/>
                <w:szCs w:val="21"/>
              </w:rPr>
            </w:pPr>
            <w:r>
              <w:rPr>
                <w:rFonts w:hint="eastAsia" w:ascii="宋体" w:hAnsi="宋体"/>
                <w:b w:val="0"/>
                <w:bCs/>
                <w:szCs w:val="21"/>
              </w:rPr>
              <w:t>各危险性作业场所</w:t>
            </w:r>
          </w:p>
        </w:tc>
        <w:tc>
          <w:tcPr>
            <w:tcW w:w="1098" w:type="pct"/>
            <w:vAlign w:val="center"/>
          </w:tcPr>
          <w:p w14:paraId="1D317A02">
            <w:pPr>
              <w:spacing w:line="240" w:lineRule="exact"/>
              <w:jc w:val="left"/>
              <w:rPr>
                <w:rFonts w:ascii="宋体" w:hAnsi="宋体"/>
                <w:b w:val="0"/>
                <w:bCs/>
                <w:szCs w:val="21"/>
              </w:rPr>
            </w:pPr>
            <w:r>
              <w:rPr>
                <w:rFonts w:hint="eastAsia" w:ascii="宋体" w:hAnsi="宋体"/>
                <w:b w:val="0"/>
                <w:bCs/>
                <w:szCs w:val="21"/>
              </w:rPr>
              <w:t>火灾、爆炸</w:t>
            </w:r>
          </w:p>
        </w:tc>
      </w:tr>
      <w:tr w14:paraId="4D0AD19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39" w:hRule="atLeast"/>
          <w:jc w:val="center"/>
        </w:trPr>
        <w:tc>
          <w:tcPr>
            <w:tcW w:w="0" w:type="auto"/>
            <w:vMerge w:val="continue"/>
            <w:vAlign w:val="center"/>
          </w:tcPr>
          <w:p w14:paraId="698936D3">
            <w:pPr>
              <w:widowControl/>
              <w:spacing w:line="240" w:lineRule="exact"/>
              <w:jc w:val="left"/>
              <w:rPr>
                <w:rFonts w:ascii="宋体" w:hAnsi="宋体"/>
                <w:b w:val="0"/>
                <w:bCs/>
                <w:szCs w:val="21"/>
              </w:rPr>
            </w:pPr>
          </w:p>
        </w:tc>
        <w:tc>
          <w:tcPr>
            <w:tcW w:w="894" w:type="pct"/>
            <w:vMerge w:val="continue"/>
            <w:vAlign w:val="center"/>
          </w:tcPr>
          <w:p w14:paraId="647D94E9">
            <w:pPr>
              <w:widowControl/>
              <w:spacing w:line="240" w:lineRule="exact"/>
              <w:jc w:val="left"/>
              <w:rPr>
                <w:rFonts w:ascii="宋体" w:hAnsi="宋体"/>
                <w:b w:val="0"/>
                <w:bCs/>
                <w:szCs w:val="21"/>
              </w:rPr>
            </w:pPr>
          </w:p>
        </w:tc>
        <w:tc>
          <w:tcPr>
            <w:tcW w:w="1417" w:type="pct"/>
            <w:vAlign w:val="center"/>
          </w:tcPr>
          <w:p w14:paraId="2B223C23">
            <w:pPr>
              <w:spacing w:line="240" w:lineRule="exact"/>
              <w:jc w:val="left"/>
              <w:rPr>
                <w:rFonts w:ascii="宋体" w:hAnsi="宋体"/>
                <w:b w:val="0"/>
                <w:bCs/>
                <w:szCs w:val="21"/>
              </w:rPr>
            </w:pPr>
            <w:r>
              <w:rPr>
                <w:rFonts w:hint="eastAsia" w:ascii="宋体" w:hAnsi="宋体"/>
                <w:b w:val="0"/>
                <w:bCs/>
                <w:szCs w:val="21"/>
              </w:rPr>
              <w:t>作业场地和交通设施湿滑</w:t>
            </w:r>
          </w:p>
        </w:tc>
        <w:tc>
          <w:tcPr>
            <w:tcW w:w="1361" w:type="pct"/>
            <w:vAlign w:val="center"/>
          </w:tcPr>
          <w:p w14:paraId="0B8BE9E1">
            <w:pPr>
              <w:spacing w:line="240" w:lineRule="exact"/>
              <w:jc w:val="left"/>
              <w:rPr>
                <w:rFonts w:ascii="宋体" w:hAnsi="宋体"/>
                <w:b w:val="0"/>
                <w:bCs/>
                <w:szCs w:val="21"/>
              </w:rPr>
            </w:pPr>
            <w:r>
              <w:rPr>
                <w:rFonts w:hint="eastAsia" w:ascii="宋体" w:hAnsi="宋体"/>
                <w:b w:val="0"/>
                <w:bCs/>
                <w:szCs w:val="21"/>
              </w:rPr>
              <w:t>各危险性作业场所</w:t>
            </w:r>
          </w:p>
        </w:tc>
        <w:tc>
          <w:tcPr>
            <w:tcW w:w="1098" w:type="pct"/>
            <w:vAlign w:val="center"/>
          </w:tcPr>
          <w:p w14:paraId="61CF465F">
            <w:pPr>
              <w:spacing w:line="240" w:lineRule="exact"/>
              <w:jc w:val="left"/>
              <w:rPr>
                <w:rFonts w:ascii="宋体" w:hAnsi="宋体"/>
                <w:b w:val="0"/>
                <w:bCs/>
                <w:szCs w:val="21"/>
              </w:rPr>
            </w:pPr>
            <w:r>
              <w:rPr>
                <w:rFonts w:hint="eastAsia" w:ascii="宋体" w:hAnsi="宋体"/>
                <w:b w:val="0"/>
                <w:bCs/>
                <w:szCs w:val="21"/>
              </w:rPr>
              <w:t>人体伤害或引发火灾、爆炸</w:t>
            </w:r>
          </w:p>
        </w:tc>
      </w:tr>
      <w:tr w14:paraId="6A836DE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39" w:hRule="atLeast"/>
          <w:jc w:val="center"/>
        </w:trPr>
        <w:tc>
          <w:tcPr>
            <w:tcW w:w="0" w:type="auto"/>
            <w:vMerge w:val="continue"/>
            <w:vAlign w:val="center"/>
          </w:tcPr>
          <w:p w14:paraId="496D75E5">
            <w:pPr>
              <w:widowControl/>
              <w:spacing w:line="240" w:lineRule="exact"/>
              <w:jc w:val="left"/>
              <w:rPr>
                <w:rFonts w:ascii="宋体" w:hAnsi="宋体"/>
                <w:b w:val="0"/>
                <w:bCs/>
                <w:szCs w:val="21"/>
              </w:rPr>
            </w:pPr>
          </w:p>
        </w:tc>
        <w:tc>
          <w:tcPr>
            <w:tcW w:w="894" w:type="pct"/>
            <w:vMerge w:val="continue"/>
            <w:vAlign w:val="center"/>
          </w:tcPr>
          <w:p w14:paraId="1FEA4077">
            <w:pPr>
              <w:widowControl/>
              <w:spacing w:line="240" w:lineRule="exact"/>
              <w:jc w:val="left"/>
              <w:rPr>
                <w:rFonts w:ascii="宋体" w:hAnsi="宋体"/>
                <w:b w:val="0"/>
                <w:bCs/>
                <w:szCs w:val="21"/>
              </w:rPr>
            </w:pPr>
          </w:p>
        </w:tc>
        <w:tc>
          <w:tcPr>
            <w:tcW w:w="1417" w:type="pct"/>
            <w:vAlign w:val="center"/>
          </w:tcPr>
          <w:p w14:paraId="1DA9EEDB">
            <w:pPr>
              <w:spacing w:line="240" w:lineRule="exact"/>
              <w:jc w:val="left"/>
              <w:rPr>
                <w:rFonts w:ascii="宋体" w:hAnsi="宋体"/>
                <w:b w:val="0"/>
                <w:bCs/>
                <w:szCs w:val="21"/>
              </w:rPr>
            </w:pPr>
            <w:r>
              <w:rPr>
                <w:rFonts w:hint="eastAsia" w:ascii="宋体" w:hAnsi="宋体"/>
                <w:b w:val="0"/>
                <w:bCs/>
                <w:szCs w:val="21"/>
              </w:rPr>
              <w:t>作业场地狭窄、杂乱、不平</w:t>
            </w:r>
          </w:p>
        </w:tc>
        <w:tc>
          <w:tcPr>
            <w:tcW w:w="1361" w:type="pct"/>
            <w:vAlign w:val="center"/>
          </w:tcPr>
          <w:p w14:paraId="7DB5E6B9">
            <w:pPr>
              <w:spacing w:line="240" w:lineRule="exact"/>
              <w:jc w:val="left"/>
              <w:rPr>
                <w:rFonts w:ascii="宋体" w:hAnsi="宋体"/>
                <w:b w:val="0"/>
                <w:bCs/>
                <w:szCs w:val="21"/>
              </w:rPr>
            </w:pPr>
            <w:r>
              <w:rPr>
                <w:rFonts w:hint="eastAsia" w:ascii="宋体" w:hAnsi="宋体"/>
                <w:b w:val="0"/>
                <w:bCs/>
                <w:szCs w:val="21"/>
              </w:rPr>
              <w:t>各危险性作业场所</w:t>
            </w:r>
          </w:p>
        </w:tc>
        <w:tc>
          <w:tcPr>
            <w:tcW w:w="1098" w:type="pct"/>
            <w:vAlign w:val="center"/>
          </w:tcPr>
          <w:p w14:paraId="6DD77618">
            <w:pPr>
              <w:spacing w:line="240" w:lineRule="exact"/>
              <w:jc w:val="left"/>
              <w:rPr>
                <w:rFonts w:ascii="宋体" w:hAnsi="宋体"/>
                <w:b w:val="0"/>
                <w:bCs/>
                <w:szCs w:val="21"/>
              </w:rPr>
            </w:pPr>
            <w:r>
              <w:rPr>
                <w:rFonts w:hint="eastAsia" w:ascii="宋体" w:hAnsi="宋体"/>
                <w:b w:val="0"/>
                <w:bCs/>
                <w:szCs w:val="21"/>
              </w:rPr>
              <w:t>人体伤害或引发火灾、爆炸</w:t>
            </w:r>
          </w:p>
        </w:tc>
      </w:tr>
      <w:tr w14:paraId="58BE341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39" w:hRule="atLeast"/>
          <w:jc w:val="center"/>
        </w:trPr>
        <w:tc>
          <w:tcPr>
            <w:tcW w:w="0" w:type="auto"/>
            <w:vMerge w:val="continue"/>
            <w:vAlign w:val="center"/>
          </w:tcPr>
          <w:p w14:paraId="36EE3932">
            <w:pPr>
              <w:widowControl/>
              <w:spacing w:line="240" w:lineRule="exact"/>
              <w:jc w:val="left"/>
              <w:rPr>
                <w:rFonts w:ascii="宋体" w:hAnsi="宋体"/>
                <w:b w:val="0"/>
                <w:bCs/>
                <w:szCs w:val="21"/>
              </w:rPr>
            </w:pPr>
          </w:p>
        </w:tc>
        <w:tc>
          <w:tcPr>
            <w:tcW w:w="894" w:type="pct"/>
            <w:vMerge w:val="continue"/>
            <w:vAlign w:val="center"/>
          </w:tcPr>
          <w:p w14:paraId="205FA467">
            <w:pPr>
              <w:widowControl/>
              <w:spacing w:line="240" w:lineRule="exact"/>
              <w:jc w:val="left"/>
              <w:rPr>
                <w:rFonts w:ascii="宋体" w:hAnsi="宋体"/>
                <w:b w:val="0"/>
                <w:bCs/>
                <w:szCs w:val="21"/>
              </w:rPr>
            </w:pPr>
          </w:p>
        </w:tc>
        <w:tc>
          <w:tcPr>
            <w:tcW w:w="1417" w:type="pct"/>
            <w:vAlign w:val="center"/>
          </w:tcPr>
          <w:p w14:paraId="767274AB">
            <w:pPr>
              <w:spacing w:line="240" w:lineRule="exact"/>
              <w:jc w:val="left"/>
              <w:rPr>
                <w:rFonts w:ascii="宋体" w:hAnsi="宋体"/>
                <w:b w:val="0"/>
                <w:bCs/>
                <w:szCs w:val="21"/>
              </w:rPr>
            </w:pPr>
            <w:r>
              <w:rPr>
                <w:rFonts w:hint="eastAsia" w:ascii="宋体" w:hAnsi="宋体"/>
                <w:b w:val="0"/>
                <w:bCs/>
                <w:szCs w:val="21"/>
              </w:rPr>
              <w:t>室外安全通道、出口缺陷</w:t>
            </w:r>
          </w:p>
        </w:tc>
        <w:tc>
          <w:tcPr>
            <w:tcW w:w="1361" w:type="pct"/>
            <w:vAlign w:val="center"/>
          </w:tcPr>
          <w:p w14:paraId="695BD9E5">
            <w:pPr>
              <w:spacing w:line="240" w:lineRule="exact"/>
              <w:jc w:val="left"/>
              <w:rPr>
                <w:rFonts w:ascii="宋体" w:hAnsi="宋体"/>
                <w:b w:val="0"/>
                <w:bCs/>
                <w:szCs w:val="21"/>
              </w:rPr>
            </w:pPr>
            <w:r>
              <w:rPr>
                <w:rFonts w:hint="eastAsia" w:ascii="宋体" w:hAnsi="宋体"/>
                <w:b w:val="0"/>
                <w:bCs/>
                <w:szCs w:val="21"/>
              </w:rPr>
              <w:t>各危险性作业场所</w:t>
            </w:r>
          </w:p>
        </w:tc>
        <w:tc>
          <w:tcPr>
            <w:tcW w:w="1098" w:type="pct"/>
            <w:vAlign w:val="center"/>
          </w:tcPr>
          <w:p w14:paraId="436F8ABC">
            <w:pPr>
              <w:spacing w:line="240" w:lineRule="exact"/>
              <w:jc w:val="left"/>
              <w:rPr>
                <w:rFonts w:ascii="宋体" w:hAnsi="宋体"/>
                <w:b w:val="0"/>
                <w:bCs/>
                <w:szCs w:val="21"/>
              </w:rPr>
            </w:pPr>
            <w:r>
              <w:rPr>
                <w:rFonts w:hint="eastAsia" w:ascii="宋体" w:hAnsi="宋体"/>
                <w:b w:val="0"/>
                <w:bCs/>
                <w:szCs w:val="21"/>
              </w:rPr>
              <w:t>火灾、爆炸时人员无法安全撤离</w:t>
            </w:r>
          </w:p>
        </w:tc>
      </w:tr>
      <w:tr w14:paraId="7AE0A9D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69" w:hRule="atLeast"/>
          <w:jc w:val="center"/>
        </w:trPr>
        <w:tc>
          <w:tcPr>
            <w:tcW w:w="227" w:type="pct"/>
            <w:vMerge w:val="restart"/>
            <w:vAlign w:val="center"/>
          </w:tcPr>
          <w:p w14:paraId="7C62B6C9">
            <w:pPr>
              <w:widowControl/>
              <w:spacing w:line="240" w:lineRule="exact"/>
              <w:jc w:val="left"/>
              <w:rPr>
                <w:rFonts w:ascii="宋体" w:hAnsi="宋体"/>
                <w:b w:val="0"/>
                <w:bCs/>
                <w:szCs w:val="21"/>
              </w:rPr>
            </w:pPr>
            <w:r>
              <w:rPr>
                <w:rFonts w:hint="eastAsia" w:ascii="宋体" w:hAnsi="宋体"/>
                <w:b w:val="0"/>
                <w:bCs/>
                <w:szCs w:val="21"/>
              </w:rPr>
              <w:t>管理</w:t>
            </w:r>
          </w:p>
          <w:p w14:paraId="4FDCBCC7">
            <w:pPr>
              <w:widowControl/>
              <w:spacing w:line="240" w:lineRule="exact"/>
              <w:jc w:val="left"/>
              <w:rPr>
                <w:rFonts w:ascii="宋体" w:hAnsi="宋体"/>
                <w:b w:val="0"/>
                <w:bCs/>
                <w:szCs w:val="21"/>
              </w:rPr>
            </w:pPr>
            <w:r>
              <w:rPr>
                <w:rFonts w:hint="eastAsia" w:ascii="宋体" w:hAnsi="宋体"/>
                <w:b w:val="0"/>
                <w:bCs/>
                <w:szCs w:val="21"/>
              </w:rPr>
              <w:t>因</w:t>
            </w:r>
          </w:p>
          <w:p w14:paraId="346DBB5D">
            <w:pPr>
              <w:widowControl/>
              <w:spacing w:line="240" w:lineRule="exact"/>
              <w:jc w:val="left"/>
              <w:rPr>
                <w:rFonts w:ascii="宋体" w:hAnsi="宋体"/>
                <w:b w:val="0"/>
                <w:bCs/>
                <w:szCs w:val="21"/>
              </w:rPr>
            </w:pPr>
            <w:r>
              <w:rPr>
                <w:rFonts w:hint="eastAsia" w:ascii="宋体" w:hAnsi="宋体"/>
                <w:b w:val="0"/>
                <w:bCs/>
                <w:szCs w:val="21"/>
              </w:rPr>
              <w:t>素</w:t>
            </w:r>
          </w:p>
          <w:p w14:paraId="1DFEB1D2">
            <w:pPr>
              <w:widowControl/>
              <w:spacing w:line="240" w:lineRule="exact"/>
              <w:jc w:val="center"/>
              <w:rPr>
                <w:rFonts w:ascii="宋体" w:hAnsi="宋体"/>
                <w:b w:val="0"/>
                <w:bCs/>
                <w:szCs w:val="21"/>
              </w:rPr>
            </w:pPr>
            <w:r>
              <w:rPr>
                <w:rFonts w:hint="eastAsia" w:ascii="宋体" w:hAnsi="宋体"/>
                <w:b w:val="0"/>
                <w:bCs/>
                <w:szCs w:val="21"/>
              </w:rPr>
              <w:t>4</w:t>
            </w:r>
          </w:p>
        </w:tc>
        <w:tc>
          <w:tcPr>
            <w:tcW w:w="894" w:type="pct"/>
            <w:vAlign w:val="center"/>
          </w:tcPr>
          <w:p w14:paraId="64D03396">
            <w:pPr>
              <w:widowControl/>
              <w:spacing w:line="240" w:lineRule="exact"/>
              <w:jc w:val="left"/>
              <w:rPr>
                <w:rFonts w:ascii="宋体" w:hAnsi="宋体"/>
                <w:b w:val="0"/>
                <w:bCs/>
                <w:szCs w:val="21"/>
              </w:rPr>
            </w:pPr>
            <w:r>
              <w:rPr>
                <w:rFonts w:hint="eastAsia" w:ascii="宋体" w:hAnsi="宋体"/>
                <w:b w:val="0"/>
                <w:bCs/>
                <w:szCs w:val="21"/>
              </w:rPr>
              <w:t>安全管理机构不健全41</w:t>
            </w:r>
          </w:p>
        </w:tc>
        <w:tc>
          <w:tcPr>
            <w:tcW w:w="1417" w:type="pct"/>
            <w:vAlign w:val="center"/>
          </w:tcPr>
          <w:p w14:paraId="74CA15DE">
            <w:pPr>
              <w:widowControl/>
              <w:spacing w:line="240" w:lineRule="exact"/>
              <w:jc w:val="left"/>
              <w:rPr>
                <w:rFonts w:ascii="宋体" w:hAnsi="宋体"/>
                <w:b w:val="0"/>
                <w:bCs/>
                <w:szCs w:val="21"/>
              </w:rPr>
            </w:pPr>
            <w:r>
              <w:rPr>
                <w:rFonts w:hint="eastAsia" w:ascii="宋体" w:hAnsi="宋体"/>
                <w:b w:val="0"/>
                <w:bCs/>
                <w:szCs w:val="21"/>
              </w:rPr>
              <w:t>未按规定设置安全管理机构或未配备专职安全生产管理人员</w:t>
            </w:r>
          </w:p>
        </w:tc>
        <w:tc>
          <w:tcPr>
            <w:tcW w:w="1361" w:type="pct"/>
            <w:vAlign w:val="center"/>
          </w:tcPr>
          <w:p w14:paraId="62D081FC">
            <w:pPr>
              <w:spacing w:line="240" w:lineRule="exact"/>
              <w:jc w:val="left"/>
              <w:rPr>
                <w:rFonts w:ascii="宋体" w:hAnsi="宋体"/>
                <w:b w:val="0"/>
                <w:bCs/>
                <w:szCs w:val="21"/>
              </w:rPr>
            </w:pPr>
            <w:r>
              <w:rPr>
                <w:rFonts w:hint="eastAsia" w:ascii="宋体" w:hAnsi="宋体"/>
                <w:b w:val="0"/>
                <w:bCs/>
                <w:szCs w:val="21"/>
              </w:rPr>
              <w:t>企业管理层</w:t>
            </w:r>
          </w:p>
        </w:tc>
        <w:tc>
          <w:tcPr>
            <w:tcW w:w="1098" w:type="pct"/>
            <w:vAlign w:val="center"/>
          </w:tcPr>
          <w:p w14:paraId="4F7AB21C">
            <w:pPr>
              <w:spacing w:line="240" w:lineRule="exact"/>
              <w:jc w:val="left"/>
              <w:rPr>
                <w:rFonts w:ascii="宋体" w:hAnsi="宋体"/>
                <w:b w:val="0"/>
                <w:bCs/>
                <w:szCs w:val="21"/>
              </w:rPr>
            </w:pPr>
            <w:r>
              <w:rPr>
                <w:rFonts w:hint="eastAsia" w:ascii="宋体" w:hAnsi="宋体"/>
                <w:b w:val="0"/>
                <w:bCs/>
                <w:szCs w:val="21"/>
              </w:rPr>
              <w:t>各类安全事故</w:t>
            </w:r>
          </w:p>
        </w:tc>
      </w:tr>
      <w:tr w14:paraId="6C7F987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79" w:hRule="atLeast"/>
          <w:jc w:val="center"/>
        </w:trPr>
        <w:tc>
          <w:tcPr>
            <w:tcW w:w="0" w:type="auto"/>
            <w:vMerge w:val="continue"/>
            <w:vAlign w:val="center"/>
          </w:tcPr>
          <w:p w14:paraId="72AE5D2B">
            <w:pPr>
              <w:widowControl/>
              <w:spacing w:line="240" w:lineRule="exact"/>
              <w:jc w:val="left"/>
              <w:rPr>
                <w:rFonts w:ascii="宋体" w:hAnsi="宋体"/>
                <w:b w:val="0"/>
                <w:bCs/>
                <w:szCs w:val="21"/>
              </w:rPr>
            </w:pPr>
          </w:p>
        </w:tc>
        <w:tc>
          <w:tcPr>
            <w:tcW w:w="894" w:type="pct"/>
            <w:vAlign w:val="center"/>
          </w:tcPr>
          <w:p w14:paraId="244CF072">
            <w:pPr>
              <w:widowControl/>
              <w:spacing w:line="240" w:lineRule="exact"/>
              <w:jc w:val="left"/>
              <w:rPr>
                <w:rFonts w:ascii="宋体" w:hAnsi="宋体"/>
                <w:b w:val="0"/>
                <w:bCs/>
                <w:szCs w:val="21"/>
              </w:rPr>
            </w:pPr>
            <w:r>
              <w:rPr>
                <w:rFonts w:hint="eastAsia" w:ascii="宋体" w:hAnsi="宋体"/>
                <w:b w:val="0"/>
                <w:szCs w:val="21"/>
              </w:rPr>
              <w:t>安全生产责任制未落实42</w:t>
            </w:r>
          </w:p>
        </w:tc>
        <w:tc>
          <w:tcPr>
            <w:tcW w:w="1417" w:type="pct"/>
            <w:vAlign w:val="center"/>
          </w:tcPr>
          <w:p w14:paraId="3AFD323B">
            <w:pPr>
              <w:widowControl/>
              <w:spacing w:line="240" w:lineRule="exact"/>
              <w:ind w:firstLine="205" w:firstLineChars="98"/>
              <w:jc w:val="left"/>
              <w:rPr>
                <w:rFonts w:ascii="宋体" w:hAnsi="宋体"/>
                <w:b w:val="0"/>
                <w:szCs w:val="21"/>
              </w:rPr>
            </w:pPr>
            <w:r>
              <w:rPr>
                <w:rFonts w:hint="eastAsia" w:ascii="宋体" w:hAnsi="宋体"/>
                <w:b w:val="0"/>
                <w:szCs w:val="21"/>
              </w:rPr>
              <w:t>安全生产责任制未制定或未落实</w:t>
            </w:r>
          </w:p>
        </w:tc>
        <w:tc>
          <w:tcPr>
            <w:tcW w:w="1361" w:type="pct"/>
            <w:vAlign w:val="center"/>
          </w:tcPr>
          <w:p w14:paraId="5B2D46B0">
            <w:pPr>
              <w:spacing w:line="240" w:lineRule="exact"/>
              <w:jc w:val="left"/>
              <w:rPr>
                <w:rFonts w:ascii="宋体" w:hAnsi="宋体"/>
                <w:b w:val="0"/>
                <w:bCs/>
                <w:szCs w:val="21"/>
              </w:rPr>
            </w:pPr>
            <w:r>
              <w:rPr>
                <w:rFonts w:hint="eastAsia" w:ascii="宋体" w:hAnsi="宋体"/>
                <w:b w:val="0"/>
                <w:bCs/>
                <w:szCs w:val="21"/>
              </w:rPr>
              <w:t>全体员工</w:t>
            </w:r>
          </w:p>
        </w:tc>
        <w:tc>
          <w:tcPr>
            <w:tcW w:w="1098" w:type="pct"/>
            <w:vAlign w:val="center"/>
          </w:tcPr>
          <w:p w14:paraId="35143432">
            <w:pPr>
              <w:spacing w:line="240" w:lineRule="exact"/>
              <w:jc w:val="left"/>
              <w:rPr>
                <w:rFonts w:ascii="宋体" w:hAnsi="宋体"/>
                <w:b w:val="0"/>
                <w:bCs/>
                <w:szCs w:val="21"/>
              </w:rPr>
            </w:pPr>
            <w:r>
              <w:rPr>
                <w:rFonts w:hint="eastAsia" w:ascii="宋体" w:hAnsi="宋体"/>
                <w:b w:val="0"/>
                <w:bCs/>
                <w:szCs w:val="21"/>
              </w:rPr>
              <w:t>各类安全事故</w:t>
            </w:r>
          </w:p>
        </w:tc>
      </w:tr>
      <w:tr w14:paraId="23B751E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4" w:hRule="atLeast"/>
          <w:jc w:val="center"/>
        </w:trPr>
        <w:tc>
          <w:tcPr>
            <w:tcW w:w="0" w:type="auto"/>
            <w:vMerge w:val="continue"/>
            <w:vAlign w:val="center"/>
          </w:tcPr>
          <w:p w14:paraId="32CA43AF">
            <w:pPr>
              <w:widowControl/>
              <w:spacing w:line="240" w:lineRule="exact"/>
              <w:jc w:val="left"/>
              <w:rPr>
                <w:rFonts w:ascii="宋体" w:hAnsi="宋体"/>
                <w:b w:val="0"/>
                <w:bCs/>
                <w:szCs w:val="21"/>
              </w:rPr>
            </w:pPr>
          </w:p>
        </w:tc>
        <w:tc>
          <w:tcPr>
            <w:tcW w:w="894" w:type="pct"/>
            <w:vAlign w:val="center"/>
          </w:tcPr>
          <w:p w14:paraId="443936D0">
            <w:pPr>
              <w:widowControl/>
              <w:spacing w:line="240" w:lineRule="exact"/>
              <w:jc w:val="left"/>
              <w:rPr>
                <w:rFonts w:ascii="宋体" w:hAnsi="宋体"/>
                <w:b w:val="0"/>
                <w:bCs/>
                <w:szCs w:val="21"/>
              </w:rPr>
            </w:pPr>
            <w:r>
              <w:rPr>
                <w:rFonts w:hint="eastAsia" w:ascii="宋体" w:hAnsi="宋体"/>
                <w:b w:val="0"/>
                <w:szCs w:val="21"/>
              </w:rPr>
              <w:t>安全管理规章制度不完善43</w:t>
            </w:r>
          </w:p>
        </w:tc>
        <w:tc>
          <w:tcPr>
            <w:tcW w:w="1417" w:type="pct"/>
            <w:vAlign w:val="center"/>
          </w:tcPr>
          <w:p w14:paraId="3128369B">
            <w:pPr>
              <w:widowControl/>
              <w:spacing w:line="240" w:lineRule="exact"/>
              <w:jc w:val="left"/>
              <w:rPr>
                <w:rFonts w:ascii="宋体" w:hAnsi="宋体"/>
                <w:b w:val="0"/>
                <w:szCs w:val="21"/>
              </w:rPr>
            </w:pPr>
            <w:r>
              <w:rPr>
                <w:rFonts w:hint="eastAsia" w:ascii="宋体" w:hAnsi="宋体"/>
                <w:b w:val="0"/>
                <w:szCs w:val="21"/>
              </w:rPr>
              <w:t>规章制度不健全、操作规程不规范、应急预案存在缺陷、培训制度不完善等</w:t>
            </w:r>
          </w:p>
        </w:tc>
        <w:tc>
          <w:tcPr>
            <w:tcW w:w="1361" w:type="pct"/>
            <w:vAlign w:val="center"/>
          </w:tcPr>
          <w:p w14:paraId="34957BC4">
            <w:pPr>
              <w:spacing w:line="240" w:lineRule="exact"/>
              <w:jc w:val="left"/>
              <w:rPr>
                <w:rFonts w:ascii="宋体" w:hAnsi="宋体"/>
                <w:b w:val="0"/>
                <w:bCs/>
                <w:szCs w:val="21"/>
              </w:rPr>
            </w:pPr>
            <w:r>
              <w:rPr>
                <w:rFonts w:hint="eastAsia" w:ascii="宋体" w:hAnsi="宋体"/>
                <w:b w:val="0"/>
                <w:bCs/>
                <w:szCs w:val="21"/>
              </w:rPr>
              <w:t>企业管理层</w:t>
            </w:r>
          </w:p>
        </w:tc>
        <w:tc>
          <w:tcPr>
            <w:tcW w:w="1098" w:type="pct"/>
            <w:vAlign w:val="center"/>
          </w:tcPr>
          <w:p w14:paraId="60143144">
            <w:pPr>
              <w:spacing w:line="240" w:lineRule="exact"/>
              <w:jc w:val="left"/>
              <w:rPr>
                <w:rFonts w:ascii="宋体" w:hAnsi="宋体"/>
                <w:b w:val="0"/>
                <w:bCs/>
                <w:szCs w:val="21"/>
              </w:rPr>
            </w:pPr>
            <w:r>
              <w:rPr>
                <w:rFonts w:hint="eastAsia" w:ascii="宋体" w:hAnsi="宋体"/>
                <w:b w:val="0"/>
                <w:bCs/>
                <w:szCs w:val="21"/>
              </w:rPr>
              <w:t>各类安全事故</w:t>
            </w:r>
          </w:p>
        </w:tc>
      </w:tr>
      <w:tr w14:paraId="4C9E4F3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133" w:hRule="atLeast"/>
          <w:jc w:val="center"/>
        </w:trPr>
        <w:tc>
          <w:tcPr>
            <w:tcW w:w="0" w:type="auto"/>
            <w:vMerge w:val="continue"/>
            <w:vAlign w:val="center"/>
          </w:tcPr>
          <w:p w14:paraId="4E554557">
            <w:pPr>
              <w:widowControl/>
              <w:spacing w:line="240" w:lineRule="exact"/>
              <w:jc w:val="left"/>
              <w:rPr>
                <w:rFonts w:ascii="宋体" w:hAnsi="宋体"/>
                <w:b w:val="0"/>
                <w:bCs/>
                <w:szCs w:val="21"/>
              </w:rPr>
            </w:pPr>
          </w:p>
        </w:tc>
        <w:tc>
          <w:tcPr>
            <w:tcW w:w="894" w:type="pct"/>
            <w:vAlign w:val="center"/>
          </w:tcPr>
          <w:p w14:paraId="24C817D3">
            <w:pPr>
              <w:widowControl/>
              <w:spacing w:line="240" w:lineRule="exact"/>
              <w:jc w:val="left"/>
              <w:rPr>
                <w:rFonts w:ascii="宋体" w:hAnsi="宋体"/>
                <w:b w:val="0"/>
                <w:bCs/>
                <w:szCs w:val="21"/>
              </w:rPr>
            </w:pPr>
            <w:r>
              <w:rPr>
                <w:rFonts w:hint="eastAsia" w:ascii="宋体" w:hAnsi="宋体"/>
                <w:b w:val="0"/>
                <w:szCs w:val="21"/>
              </w:rPr>
              <w:t>安全投入不足44</w:t>
            </w:r>
          </w:p>
        </w:tc>
        <w:tc>
          <w:tcPr>
            <w:tcW w:w="1417" w:type="pct"/>
            <w:vAlign w:val="center"/>
          </w:tcPr>
          <w:p w14:paraId="62BFC0AF">
            <w:pPr>
              <w:widowControl/>
              <w:spacing w:line="240" w:lineRule="exact"/>
              <w:jc w:val="left"/>
              <w:rPr>
                <w:rFonts w:ascii="宋体" w:hAnsi="宋体"/>
                <w:b w:val="0"/>
                <w:szCs w:val="21"/>
              </w:rPr>
            </w:pPr>
            <w:r>
              <w:rPr>
                <w:rFonts w:hint="eastAsia" w:ascii="宋体" w:hAnsi="宋体"/>
                <w:b w:val="0"/>
                <w:szCs w:val="21"/>
              </w:rPr>
              <w:t>安全防护设备、设施无法更新改造，员工安全生产教育和培训以及劳动保护用品和设施无法满足等</w:t>
            </w:r>
          </w:p>
        </w:tc>
        <w:tc>
          <w:tcPr>
            <w:tcW w:w="1361" w:type="pct"/>
            <w:vAlign w:val="center"/>
          </w:tcPr>
          <w:p w14:paraId="6F9B7C07">
            <w:pPr>
              <w:spacing w:line="240" w:lineRule="exact"/>
              <w:jc w:val="left"/>
              <w:rPr>
                <w:rFonts w:ascii="宋体" w:hAnsi="宋体"/>
                <w:b w:val="0"/>
                <w:bCs/>
                <w:szCs w:val="21"/>
              </w:rPr>
            </w:pPr>
            <w:r>
              <w:rPr>
                <w:rFonts w:hint="eastAsia" w:ascii="宋体" w:hAnsi="宋体"/>
                <w:b w:val="0"/>
                <w:bCs/>
                <w:szCs w:val="21"/>
              </w:rPr>
              <w:t>企业管理层</w:t>
            </w:r>
          </w:p>
        </w:tc>
        <w:tc>
          <w:tcPr>
            <w:tcW w:w="1098" w:type="pct"/>
            <w:vAlign w:val="center"/>
          </w:tcPr>
          <w:p w14:paraId="04DE6707">
            <w:pPr>
              <w:spacing w:line="240" w:lineRule="exact"/>
              <w:jc w:val="left"/>
              <w:rPr>
                <w:rFonts w:ascii="宋体" w:hAnsi="宋体"/>
                <w:b w:val="0"/>
                <w:bCs/>
                <w:szCs w:val="21"/>
              </w:rPr>
            </w:pPr>
            <w:r>
              <w:rPr>
                <w:rFonts w:hint="eastAsia" w:ascii="宋体" w:hAnsi="宋体"/>
                <w:b w:val="0"/>
                <w:bCs/>
                <w:szCs w:val="21"/>
              </w:rPr>
              <w:t>各类安全事故</w:t>
            </w:r>
          </w:p>
        </w:tc>
      </w:tr>
    </w:tbl>
    <w:p w14:paraId="0A43F9C8">
      <w:pPr>
        <w:spacing w:before="120" w:beforeLines="50" w:line="360" w:lineRule="auto"/>
        <w:outlineLvl w:val="2"/>
        <w:rPr>
          <w:rFonts w:ascii="黑体" w:hAnsi="黑体" w:eastAsia="黑体"/>
          <w:b w:val="0"/>
          <w:sz w:val="30"/>
          <w:szCs w:val="30"/>
        </w:rPr>
      </w:pPr>
      <w:bookmarkStart w:id="487" w:name="_Toc202015921"/>
      <w:bookmarkStart w:id="488" w:name="_Toc325531552"/>
      <w:bookmarkStart w:id="489" w:name="_Toc60129124"/>
      <w:bookmarkStart w:id="490" w:name="_Toc58946841"/>
      <w:bookmarkStart w:id="491" w:name="_Toc271898778"/>
      <w:bookmarkStart w:id="492" w:name="_Toc145275217"/>
      <w:bookmarkStart w:id="493" w:name="_Toc326007676"/>
      <w:bookmarkStart w:id="494" w:name="_Toc280010184"/>
      <w:bookmarkStart w:id="495" w:name="_Toc301365471"/>
      <w:bookmarkStart w:id="496" w:name="_Toc181194090"/>
      <w:bookmarkStart w:id="497" w:name="_Toc299549427"/>
      <w:bookmarkStart w:id="498" w:name="_Toc173077683"/>
      <w:bookmarkStart w:id="499" w:name="_Toc188265319"/>
      <w:bookmarkStart w:id="500" w:name="_Toc148037012"/>
      <w:bookmarkStart w:id="501" w:name="_Toc326823028"/>
      <w:bookmarkStart w:id="502" w:name="_Toc335902419"/>
      <w:bookmarkStart w:id="503" w:name="_Toc83159008"/>
      <w:bookmarkStart w:id="504" w:name="_Toc58862009"/>
      <w:r>
        <w:rPr>
          <w:rFonts w:hint="eastAsia" w:ascii="黑体" w:hAnsi="黑体" w:eastAsia="黑体"/>
          <w:b w:val="0"/>
          <w:sz w:val="30"/>
          <w:szCs w:val="30"/>
        </w:rPr>
        <w:t>3.1</w:t>
      </w:r>
      <w:r>
        <w:rPr>
          <w:rFonts w:ascii="黑体" w:hAnsi="黑体" w:eastAsia="黑体"/>
          <w:b w:val="0"/>
          <w:sz w:val="30"/>
          <w:szCs w:val="30"/>
        </w:rPr>
        <w:t>3</w:t>
      </w:r>
      <w:r>
        <w:rPr>
          <w:rFonts w:hint="eastAsia" w:ascii="黑体" w:hAnsi="黑体" w:eastAsia="黑体"/>
          <w:b w:val="0"/>
          <w:sz w:val="30"/>
          <w:szCs w:val="30"/>
        </w:rPr>
        <w:t>.1</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Fonts w:hint="eastAsia" w:ascii="黑体" w:hAnsi="黑体" w:eastAsia="黑体"/>
          <w:b w:val="0"/>
          <w:bCs/>
          <w:sz w:val="30"/>
          <w:szCs w:val="30"/>
        </w:rPr>
        <w:t>火灾、爆炸危害</w:t>
      </w:r>
    </w:p>
    <w:p w14:paraId="56BDAD3D">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w:t>
      </w:r>
      <w:r>
        <w:rPr>
          <w:rFonts w:ascii="宋体" w:hAnsi="宋体"/>
          <w:b w:val="0"/>
          <w:snapToGrid w:val="0"/>
          <w:sz w:val="28"/>
          <w:szCs w:val="28"/>
        </w:rPr>
        <w:t>1</w:t>
      </w:r>
      <w:r>
        <w:rPr>
          <w:rFonts w:hint="eastAsia" w:ascii="宋体" w:hAnsi="宋体"/>
          <w:b w:val="0"/>
          <w:snapToGrid w:val="0"/>
          <w:sz w:val="28"/>
          <w:szCs w:val="28"/>
        </w:rPr>
        <w:t>）火灾危害</w:t>
      </w:r>
    </w:p>
    <w:p w14:paraId="626F6DCF">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火灾危害的主要作用方式是：①火焰的直接作用；②热对流，即燃烧后产生的热气体同未加热的气体对流，使整个空间温度迅速升高；③热辐射，即被燃烧加热的高温物体以辐射的形式向外发射能量，温度越高，辐射越强；④热传导，即热能由物体温度较高的部分传至较低的部分。本项目燃烧的主要危害方式是火焰的直接作用。火焰除可对人员造成直接伤害外，还可使建筑物的结构强度降低，造成建筑物倒塌、破坏，特别是在一定条件下可能引起更大范围的燃烧和爆炸。另外，在燃烧的发光、发热、生成新物质的过程中，产生的燃烧产物主要为</w:t>
      </w:r>
      <w:r>
        <w:rPr>
          <w:rFonts w:ascii="宋体" w:hAnsi="宋体"/>
          <w:b w:val="0"/>
          <w:snapToGrid w:val="0"/>
          <w:sz w:val="28"/>
          <w:szCs w:val="28"/>
        </w:rPr>
        <w:t>CO</w:t>
      </w:r>
      <w:r>
        <w:rPr>
          <w:rFonts w:hint="eastAsia" w:ascii="宋体" w:hAnsi="宋体"/>
          <w:b w:val="0"/>
          <w:snapToGrid w:val="0"/>
          <w:sz w:val="28"/>
          <w:szCs w:val="28"/>
        </w:rPr>
        <w:t>、</w:t>
      </w:r>
      <w:r>
        <w:rPr>
          <w:rFonts w:ascii="宋体" w:hAnsi="宋体"/>
          <w:b w:val="0"/>
          <w:snapToGrid w:val="0"/>
          <w:sz w:val="28"/>
          <w:szCs w:val="28"/>
        </w:rPr>
        <w:t>CO</w:t>
      </w:r>
      <w:r>
        <w:rPr>
          <w:rFonts w:ascii="宋体" w:hAnsi="宋体"/>
          <w:b w:val="0"/>
          <w:snapToGrid w:val="0"/>
          <w:sz w:val="28"/>
          <w:szCs w:val="28"/>
          <w:vertAlign w:val="subscript"/>
        </w:rPr>
        <w:t>2</w:t>
      </w:r>
      <w:r>
        <w:rPr>
          <w:rFonts w:hint="eastAsia" w:ascii="宋体" w:hAnsi="宋体"/>
          <w:b w:val="0"/>
          <w:snapToGrid w:val="0"/>
          <w:sz w:val="28"/>
          <w:szCs w:val="28"/>
        </w:rPr>
        <w:t>、</w:t>
      </w:r>
      <w:r>
        <w:rPr>
          <w:rFonts w:ascii="宋体" w:hAnsi="宋体"/>
          <w:b w:val="0"/>
          <w:snapToGrid w:val="0"/>
          <w:sz w:val="28"/>
          <w:szCs w:val="28"/>
        </w:rPr>
        <w:t>NO</w:t>
      </w:r>
      <w:r>
        <w:rPr>
          <w:rFonts w:ascii="宋体" w:hAnsi="宋体"/>
          <w:b w:val="0"/>
          <w:snapToGrid w:val="0"/>
          <w:sz w:val="28"/>
          <w:szCs w:val="28"/>
          <w:vertAlign w:val="subscript"/>
        </w:rPr>
        <w:t>2</w:t>
      </w:r>
      <w:r>
        <w:rPr>
          <w:rFonts w:hint="eastAsia" w:ascii="宋体" w:hAnsi="宋体"/>
          <w:b w:val="0"/>
          <w:snapToGrid w:val="0"/>
          <w:sz w:val="28"/>
          <w:szCs w:val="28"/>
        </w:rPr>
        <w:t>、烟雾等，这些有毒有害物质也会对周围人员造成危害，导致窒息、甚至死亡。</w:t>
      </w:r>
    </w:p>
    <w:p w14:paraId="2DC6D9B8">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w:t>
      </w:r>
      <w:r>
        <w:rPr>
          <w:rFonts w:ascii="宋体" w:hAnsi="宋体"/>
          <w:b w:val="0"/>
          <w:snapToGrid w:val="0"/>
          <w:sz w:val="28"/>
          <w:szCs w:val="28"/>
        </w:rPr>
        <w:t>2</w:t>
      </w:r>
      <w:r>
        <w:rPr>
          <w:rFonts w:hint="eastAsia" w:ascii="宋体" w:hAnsi="宋体"/>
          <w:b w:val="0"/>
          <w:snapToGrid w:val="0"/>
          <w:sz w:val="28"/>
          <w:szCs w:val="28"/>
        </w:rPr>
        <w:t>）烟花爆竹爆炸危害</w:t>
      </w:r>
    </w:p>
    <w:p w14:paraId="7EC2AD36">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烟火药或烟花爆竹爆炸会产生爆轰产物、飞散物、地震波、冲击波四种破坏效应。</w:t>
      </w:r>
    </w:p>
    <w:p w14:paraId="48E183D2">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一旦发生爆炸，高温、高压的爆轰产物立即迅速向四周膨胀，对周围介质产生很大的破坏作用。爆炸掀起的破片、砖石等固体飞散物也会对周围人员建筑等造成破坏，但这种破坏一般是局部的、随机的。</w:t>
      </w:r>
    </w:p>
    <w:p w14:paraId="2D733219">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地面爆炸还能引起地面的震动，地震波能造成建筑物和相关设备的破坏，如一般建筑可以承受的振动速度为</w:t>
      </w:r>
      <w:r>
        <w:rPr>
          <w:rFonts w:ascii="宋体" w:hAnsi="宋体"/>
          <w:b w:val="0"/>
          <w:snapToGrid w:val="0"/>
          <w:sz w:val="28"/>
          <w:szCs w:val="28"/>
        </w:rPr>
        <w:t>5cm/s</w:t>
      </w:r>
      <w:r>
        <w:rPr>
          <w:rFonts w:hint="eastAsia" w:ascii="宋体" w:hAnsi="宋体"/>
          <w:b w:val="0"/>
          <w:snapToGrid w:val="0"/>
          <w:sz w:val="28"/>
          <w:szCs w:val="28"/>
        </w:rPr>
        <w:t>。但地震波破坏效应一般远小于冲击波的破坏效应，可以忽略不计。</w:t>
      </w:r>
    </w:p>
    <w:p w14:paraId="0B69464F">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爆炸对周围建筑物和人员等目标的破坏主要是爆炸空气冲击波作用。烟火药在空气中爆炸形成高温、高压气体产物，迅速向外膨胀，使原来静止的空气的压力、温度突然升高，形成爆炸冲击波。爆炸冲击波传播距离大大超出爆炸本身占有的范围，对周围人员和建筑物造成很大破坏和伤害。描述空气冲击波强弱的参数有三个：峰值超压、正压作用时间和冲量。空气冲击波对人员杀伤的主要征象是引起听觉器官的损伤、内脏出血以及死亡。冲击波峰值超压和冲量共同作用可导致建筑物倒塌，如果建筑物内有危险品，还可引发次生灾害。</w:t>
      </w:r>
    </w:p>
    <w:p w14:paraId="1EEE6278">
      <w:pPr>
        <w:spacing w:line="360" w:lineRule="auto"/>
        <w:ind w:firstLine="420" w:firstLineChars="150"/>
        <w:rPr>
          <w:rFonts w:ascii="宋体" w:hAnsi="宋体"/>
          <w:b w:val="0"/>
          <w:snapToGrid w:val="0"/>
          <w:sz w:val="28"/>
          <w:szCs w:val="28"/>
        </w:rPr>
      </w:pPr>
      <w:r>
        <w:rPr>
          <w:rFonts w:hint="eastAsia" w:ascii="宋体" w:hAnsi="宋体"/>
          <w:b w:val="0"/>
          <w:snapToGrid w:val="0"/>
          <w:sz w:val="28"/>
          <w:szCs w:val="28"/>
        </w:rPr>
        <w:t>（3）危险有害因素导致事故触发条件</w:t>
      </w:r>
    </w:p>
    <w:p w14:paraId="7C1EBC14">
      <w:pPr>
        <w:spacing w:line="360" w:lineRule="auto"/>
        <w:ind w:firstLine="560" w:firstLineChars="200"/>
        <w:rPr>
          <w:rFonts w:ascii="宋体" w:hAnsi="宋体"/>
          <w:b w:val="0"/>
          <w:snapToGrid w:val="0"/>
          <w:sz w:val="28"/>
          <w:szCs w:val="28"/>
        </w:rPr>
      </w:pPr>
      <w:r>
        <w:rPr>
          <w:rFonts w:hint="eastAsia" w:ascii="宋体" w:hAnsi="宋体"/>
          <w:b w:val="0"/>
          <w:snapToGrid w:val="0"/>
          <w:sz w:val="28"/>
          <w:szCs w:val="28"/>
        </w:rPr>
        <w:t>根据对各种引起烟火药燃烧爆炸的条件分析，烟火药导致火灾爆炸事故的触发条件如下图3.1</w:t>
      </w:r>
      <w:r>
        <w:rPr>
          <w:rFonts w:ascii="宋体" w:hAnsi="宋体"/>
          <w:b w:val="0"/>
          <w:snapToGrid w:val="0"/>
          <w:sz w:val="28"/>
          <w:szCs w:val="28"/>
        </w:rPr>
        <w:t>3</w:t>
      </w:r>
      <w:r>
        <w:rPr>
          <w:rFonts w:hint="eastAsia" w:ascii="宋体" w:hAnsi="宋体"/>
          <w:b w:val="0"/>
          <w:snapToGrid w:val="0"/>
          <w:sz w:val="28"/>
          <w:szCs w:val="28"/>
        </w:rPr>
        <w:t>-1鱼刺图所示。</w:t>
      </w:r>
    </w:p>
    <w:p w14:paraId="249D2400">
      <w:pPr>
        <w:spacing w:line="360" w:lineRule="auto"/>
        <w:jc w:val="center"/>
        <w:rPr>
          <w:rFonts w:ascii="黑体" w:hAnsi="宋体" w:eastAsia="黑体"/>
          <w:b w:val="0"/>
          <w:sz w:val="24"/>
        </w:rPr>
      </w:pPr>
      <w:r>
        <w:rPr>
          <w:rFonts w:ascii="Times New Roman" w:hAnsi="Times New Roman"/>
        </w:rPr>
        <mc:AlternateContent>
          <mc:Choice Requires="wpc">
            <w:drawing>
              <wp:inline distT="0" distB="0" distL="0" distR="0">
                <wp:extent cx="5922645" cy="2375535"/>
                <wp:effectExtent l="0" t="8890" r="20955" b="0"/>
                <wp:docPr id="553" name="画布 553"/>
                <wp:cNvGraphicFramePr/>
                <a:graphic xmlns:a="http://schemas.openxmlformats.org/drawingml/2006/main">
                  <a:graphicData uri="http://schemas.microsoft.com/office/word/2010/wordprocessingCanvas">
                    <wpc:wpc>
                      <wpc:bg>
                        <a:noFill/>
                      </wpc:bg>
                      <wpc:whole>
                        <a:ln>
                          <a:noFill/>
                        </a:ln>
                      </wpc:whole>
                      <wpg:wgp>
                        <wpg:cNvPr id="673" name="Group 8"/>
                        <wpg:cNvGrpSpPr/>
                        <wpg:grpSpPr>
                          <a:xfrm>
                            <a:off x="0" y="0"/>
                            <a:ext cx="5922645" cy="2081530"/>
                            <a:chOff x="1631" y="9309"/>
                            <a:chExt cx="7634" cy="3535"/>
                          </a:xfrm>
                        </wpg:grpSpPr>
                        <wps:wsp>
                          <wps:cNvPr id="674" name="AutoShape 9"/>
                          <wps:cNvSpPr>
                            <a:spLocks noChangeArrowheads="1"/>
                          </wps:cNvSpPr>
                          <wps:spPr bwMode="auto">
                            <a:xfrm>
                              <a:off x="7854" y="10197"/>
                              <a:ext cx="1411" cy="1540"/>
                            </a:xfrm>
                            <a:prstGeom prst="irregularSeal2">
                              <a:avLst/>
                            </a:prstGeom>
                            <a:noFill/>
                            <a:ln w="9525">
                              <a:solidFill>
                                <a:srgbClr val="000000"/>
                              </a:solidFill>
                              <a:miter lim="800000"/>
                            </a:ln>
                          </wps:spPr>
                          <wps:txbx>
                            <w:txbxContent>
                              <w:p w14:paraId="3EA1B4E9">
                                <w:pPr>
                                  <w:spacing w:before="120" w:beforeLines="50"/>
                                  <w:rPr>
                                    <w:rFonts w:ascii="宋体" w:hAnsi="宋体"/>
                                    <w:b w:val="0"/>
                                    <w:sz w:val="20"/>
                                  </w:rPr>
                                </w:pPr>
                                <w:r>
                                  <w:rPr>
                                    <w:rFonts w:hint="eastAsia" w:ascii="宋体" w:hAnsi="宋体"/>
                                    <w:b w:val="0"/>
                                    <w:sz w:val="20"/>
                                  </w:rPr>
                                  <w:t>爆  炸</w:t>
                                </w:r>
                              </w:p>
                            </w:txbxContent>
                          </wps:txbx>
                          <wps:bodyPr rot="0" vert="horz" wrap="square" lIns="87782" tIns="43891" rIns="87782" bIns="43891" anchor="t" anchorCtr="0" upright="1">
                            <a:noAutofit/>
                          </wps:bodyPr>
                        </wps:wsp>
                        <wps:wsp>
                          <wps:cNvPr id="675" name="Line 10"/>
                          <wps:cNvCnPr>
                            <a:cxnSpLocks noChangeShapeType="1"/>
                          </wps:cNvCnPr>
                          <wps:spPr bwMode="auto">
                            <a:xfrm flipV="1">
                              <a:off x="2731" y="11008"/>
                              <a:ext cx="5268" cy="16"/>
                            </a:xfrm>
                            <a:prstGeom prst="line">
                              <a:avLst/>
                            </a:prstGeom>
                            <a:noFill/>
                            <a:ln w="19050">
                              <a:solidFill>
                                <a:srgbClr val="000000"/>
                              </a:solidFill>
                              <a:round/>
                              <a:tailEnd type="triangle" w="med" len="med"/>
                            </a:ln>
                          </wps:spPr>
                          <wps:bodyPr/>
                        </wps:wsp>
                        <wps:wsp>
                          <wps:cNvPr id="676" name="AutoShape 11"/>
                          <wps:cNvSpPr>
                            <a:spLocks noChangeArrowheads="1"/>
                          </wps:cNvSpPr>
                          <wps:spPr bwMode="auto">
                            <a:xfrm>
                              <a:off x="6789" y="10197"/>
                              <a:ext cx="987" cy="883"/>
                            </a:xfrm>
                            <a:prstGeom prst="cloudCallout">
                              <a:avLst>
                                <a:gd name="adj1" fmla="val -43731"/>
                                <a:gd name="adj2" fmla="val 69977"/>
                              </a:avLst>
                            </a:prstGeom>
                            <a:noFill/>
                            <a:ln w="9525">
                              <a:solidFill>
                                <a:srgbClr val="000000"/>
                              </a:solidFill>
                              <a:round/>
                            </a:ln>
                          </wps:spPr>
                          <wps:txbx>
                            <w:txbxContent>
                              <w:p w14:paraId="25A3F95C">
                                <w:pPr>
                                  <w:jc w:val="center"/>
                                  <w:rPr>
                                    <w:rFonts w:ascii="宋体" w:hAnsi="宋体"/>
                                    <w:b w:val="0"/>
                                    <w:sz w:val="20"/>
                                  </w:rPr>
                                </w:pPr>
                                <w:r>
                                  <w:rPr>
                                    <w:rFonts w:hint="eastAsia" w:ascii="宋体" w:hAnsi="宋体"/>
                                    <w:b w:val="0"/>
                                    <w:sz w:val="20"/>
                                  </w:rPr>
                                  <w:t>着</w:t>
                                </w:r>
                                <w:r>
                                  <w:rPr>
                                    <w:rFonts w:hint="eastAsia" w:ascii="宋体" w:hAnsi="宋体"/>
                                    <w:b w:val="0"/>
                                    <w:color w:val="FF0000"/>
                                    <w:sz w:val="20"/>
                                  </w:rPr>
                                  <w:t xml:space="preserve"> </w:t>
                                </w:r>
                                <w:r>
                                  <w:rPr>
                                    <w:rFonts w:hint="eastAsia" w:ascii="宋体" w:hAnsi="宋体"/>
                                    <w:b w:val="0"/>
                                    <w:sz w:val="20"/>
                                  </w:rPr>
                                  <w:t>火</w:t>
                                </w:r>
                              </w:p>
                            </w:txbxContent>
                          </wps:txbx>
                          <wps:bodyPr rot="0" vert="horz" wrap="square" lIns="87782" tIns="43891" rIns="87782" bIns="43891" anchor="t" anchorCtr="0" upright="1">
                            <a:noAutofit/>
                          </wps:bodyPr>
                        </wps:wsp>
                        <wps:wsp>
                          <wps:cNvPr id="677" name="Line 12"/>
                          <wps:cNvCnPr>
                            <a:cxnSpLocks noChangeShapeType="1"/>
                          </wps:cNvCnPr>
                          <wps:spPr bwMode="auto">
                            <a:xfrm rot="7176324" flipV="1">
                              <a:off x="2446" y="9490"/>
                              <a:ext cx="987" cy="1468"/>
                            </a:xfrm>
                            <a:prstGeom prst="line">
                              <a:avLst/>
                            </a:prstGeom>
                            <a:noFill/>
                            <a:ln w="19050">
                              <a:solidFill>
                                <a:srgbClr val="000000"/>
                              </a:solidFill>
                              <a:round/>
                              <a:tailEnd type="arrow" w="med" len="med"/>
                            </a:ln>
                          </wps:spPr>
                          <wps:bodyPr/>
                        </wps:wsp>
                        <wps:wsp>
                          <wps:cNvPr id="678" name="Line 13"/>
                          <wps:cNvCnPr>
                            <a:cxnSpLocks noChangeShapeType="1"/>
                          </wps:cNvCnPr>
                          <wps:spPr bwMode="auto">
                            <a:xfrm rot="7176324" flipV="1">
                              <a:off x="4006" y="9476"/>
                              <a:ext cx="988" cy="1468"/>
                            </a:xfrm>
                            <a:prstGeom prst="line">
                              <a:avLst/>
                            </a:prstGeom>
                            <a:noFill/>
                            <a:ln w="19050">
                              <a:solidFill>
                                <a:srgbClr val="000000"/>
                              </a:solidFill>
                              <a:round/>
                              <a:tailEnd type="arrow" w="med" len="med"/>
                            </a:ln>
                          </wps:spPr>
                          <wps:bodyPr/>
                        </wps:wsp>
                        <wps:wsp>
                          <wps:cNvPr id="679" name="Line 14"/>
                          <wps:cNvCnPr>
                            <a:cxnSpLocks noChangeShapeType="1"/>
                          </wps:cNvCnPr>
                          <wps:spPr bwMode="auto">
                            <a:xfrm rot="7176324" flipV="1">
                              <a:off x="5513" y="9484"/>
                              <a:ext cx="986" cy="1468"/>
                            </a:xfrm>
                            <a:prstGeom prst="line">
                              <a:avLst/>
                            </a:prstGeom>
                            <a:noFill/>
                            <a:ln w="19050">
                              <a:solidFill>
                                <a:srgbClr val="000000"/>
                              </a:solidFill>
                              <a:round/>
                              <a:tailEnd type="arrow" w="med" len="med"/>
                            </a:ln>
                          </wps:spPr>
                          <wps:bodyPr/>
                        </wps:wsp>
                        <wps:wsp>
                          <wps:cNvPr id="680" name="Line 15"/>
                          <wps:cNvCnPr>
                            <a:cxnSpLocks noChangeShapeType="1"/>
                          </wps:cNvCnPr>
                          <wps:spPr bwMode="auto">
                            <a:xfrm rot="3359447" flipV="1">
                              <a:off x="3700" y="9633"/>
                              <a:ext cx="505" cy="757"/>
                            </a:xfrm>
                            <a:prstGeom prst="line">
                              <a:avLst/>
                            </a:prstGeom>
                            <a:noFill/>
                            <a:ln w="19050">
                              <a:solidFill>
                                <a:srgbClr val="000000"/>
                              </a:solidFill>
                              <a:round/>
                              <a:tailEnd type="arrow" w="med" len="med"/>
                            </a:ln>
                          </wps:spPr>
                          <wps:bodyPr/>
                        </wps:wsp>
                        <wps:wsp>
                          <wps:cNvPr id="681" name="Line 16"/>
                          <wps:cNvCnPr>
                            <a:cxnSpLocks noChangeShapeType="1"/>
                          </wps:cNvCnPr>
                          <wps:spPr bwMode="auto">
                            <a:xfrm rot="3359447" flipV="1">
                              <a:off x="5108" y="9585"/>
                              <a:ext cx="567" cy="790"/>
                            </a:xfrm>
                            <a:prstGeom prst="line">
                              <a:avLst/>
                            </a:prstGeom>
                            <a:noFill/>
                            <a:ln w="19050">
                              <a:solidFill>
                                <a:srgbClr val="000000"/>
                              </a:solidFill>
                              <a:round/>
                              <a:tailEnd type="arrow" w="med" len="med"/>
                            </a:ln>
                          </wps:spPr>
                          <wps:bodyPr/>
                        </wps:wsp>
                        <wps:wsp>
                          <wps:cNvPr id="682" name="Line 17"/>
                          <wps:cNvCnPr>
                            <a:cxnSpLocks noChangeShapeType="1"/>
                          </wps:cNvCnPr>
                          <wps:spPr bwMode="auto">
                            <a:xfrm rot="21168184" flipV="1">
                              <a:off x="2188" y="11166"/>
                              <a:ext cx="1104" cy="1636"/>
                            </a:xfrm>
                            <a:prstGeom prst="line">
                              <a:avLst/>
                            </a:prstGeom>
                            <a:noFill/>
                            <a:ln w="19050">
                              <a:solidFill>
                                <a:srgbClr val="000000"/>
                              </a:solidFill>
                              <a:round/>
                              <a:tailEnd type="arrow" w="med" len="med"/>
                            </a:ln>
                          </wps:spPr>
                          <wps:bodyPr/>
                        </wps:wsp>
                        <wps:wsp>
                          <wps:cNvPr id="683" name="Line 18"/>
                          <wps:cNvCnPr>
                            <a:cxnSpLocks noChangeShapeType="1"/>
                          </wps:cNvCnPr>
                          <wps:spPr bwMode="auto">
                            <a:xfrm rot="21168184" flipV="1">
                              <a:off x="3334" y="11135"/>
                              <a:ext cx="1143" cy="1667"/>
                            </a:xfrm>
                            <a:prstGeom prst="line">
                              <a:avLst/>
                            </a:prstGeom>
                            <a:noFill/>
                            <a:ln w="19050">
                              <a:solidFill>
                                <a:srgbClr val="000000"/>
                              </a:solidFill>
                              <a:round/>
                              <a:tailEnd type="arrow" w="med" len="med"/>
                            </a:ln>
                          </wps:spPr>
                          <wps:bodyPr/>
                        </wps:wsp>
                        <wps:wsp>
                          <wps:cNvPr id="684" name="Line 19"/>
                          <wps:cNvCnPr>
                            <a:cxnSpLocks noChangeShapeType="1"/>
                          </wps:cNvCnPr>
                          <wps:spPr bwMode="auto">
                            <a:xfrm rot="21168184" flipV="1">
                              <a:off x="4477" y="11185"/>
                              <a:ext cx="1080" cy="1658"/>
                            </a:xfrm>
                            <a:prstGeom prst="line">
                              <a:avLst/>
                            </a:prstGeom>
                            <a:noFill/>
                            <a:ln w="19050">
                              <a:solidFill>
                                <a:srgbClr val="000000"/>
                              </a:solidFill>
                              <a:round/>
                              <a:tailEnd type="arrow" w="med" len="med"/>
                            </a:ln>
                          </wps:spPr>
                          <wps:bodyPr/>
                        </wps:wsp>
                        <wps:wsp>
                          <wps:cNvPr id="685" name="Line 20"/>
                          <wps:cNvCnPr>
                            <a:cxnSpLocks noChangeShapeType="1"/>
                          </wps:cNvCnPr>
                          <wps:spPr bwMode="auto">
                            <a:xfrm rot="21168184" flipV="1">
                              <a:off x="5652" y="11090"/>
                              <a:ext cx="1092" cy="1711"/>
                            </a:xfrm>
                            <a:prstGeom prst="line">
                              <a:avLst/>
                            </a:prstGeom>
                            <a:noFill/>
                            <a:ln w="19050">
                              <a:solidFill>
                                <a:srgbClr val="000000"/>
                              </a:solidFill>
                              <a:round/>
                              <a:tailEnd type="arrow" w="med" len="med"/>
                            </a:ln>
                          </wps:spPr>
                          <wps:bodyPr/>
                        </wps:wsp>
                        <wps:wsp>
                          <wps:cNvPr id="686" name="Line 21"/>
                          <wps:cNvCnPr>
                            <a:cxnSpLocks noChangeShapeType="1"/>
                          </wps:cNvCnPr>
                          <wps:spPr bwMode="auto">
                            <a:xfrm rot="14149631" flipV="1">
                              <a:off x="6315" y="11824"/>
                              <a:ext cx="680" cy="956"/>
                            </a:xfrm>
                            <a:prstGeom prst="line">
                              <a:avLst/>
                            </a:prstGeom>
                            <a:noFill/>
                            <a:ln w="19050">
                              <a:solidFill>
                                <a:srgbClr val="000000"/>
                              </a:solidFill>
                              <a:round/>
                              <a:tailEnd type="arrow" w="med" len="med"/>
                            </a:ln>
                          </wps:spPr>
                          <wps:bodyPr/>
                        </wps:wsp>
                        <wps:wsp>
                          <wps:cNvPr id="714" name="Line 22"/>
                          <wps:cNvCnPr>
                            <a:cxnSpLocks noChangeShapeType="1"/>
                          </wps:cNvCnPr>
                          <wps:spPr bwMode="auto">
                            <a:xfrm rot="3359447" flipV="1">
                              <a:off x="3988" y="11920"/>
                              <a:ext cx="566" cy="770"/>
                            </a:xfrm>
                            <a:prstGeom prst="line">
                              <a:avLst/>
                            </a:prstGeom>
                            <a:noFill/>
                            <a:ln w="19050">
                              <a:solidFill>
                                <a:srgbClr val="000000"/>
                              </a:solidFill>
                              <a:round/>
                              <a:tailEnd type="arrow" w="med" len="med"/>
                            </a:ln>
                          </wps:spPr>
                          <wps:bodyPr/>
                        </wps:wsp>
                        <wps:wsp>
                          <wps:cNvPr id="715" name="Line 23"/>
                          <wps:cNvCnPr>
                            <a:cxnSpLocks noChangeShapeType="1"/>
                          </wps:cNvCnPr>
                          <wps:spPr bwMode="auto">
                            <a:xfrm rot="3359447" flipV="1">
                              <a:off x="2813" y="12206"/>
                              <a:ext cx="523" cy="753"/>
                            </a:xfrm>
                            <a:prstGeom prst="line">
                              <a:avLst/>
                            </a:prstGeom>
                            <a:noFill/>
                            <a:ln w="19050">
                              <a:solidFill>
                                <a:srgbClr val="000000"/>
                              </a:solidFill>
                              <a:round/>
                              <a:tailEnd type="arrow" w="med" len="med"/>
                            </a:ln>
                          </wps:spPr>
                          <wps:bodyPr/>
                        </wps:wsp>
                        <wps:wsp>
                          <wps:cNvPr id="716" name="Line 24"/>
                          <wps:cNvCnPr>
                            <a:cxnSpLocks noChangeShapeType="1"/>
                          </wps:cNvCnPr>
                          <wps:spPr bwMode="auto">
                            <a:xfrm rot="3359447" flipV="1">
                              <a:off x="5094" y="12055"/>
                              <a:ext cx="545" cy="751"/>
                            </a:xfrm>
                            <a:prstGeom prst="line">
                              <a:avLst/>
                            </a:prstGeom>
                            <a:noFill/>
                            <a:ln w="19050">
                              <a:solidFill>
                                <a:srgbClr val="000000"/>
                              </a:solidFill>
                              <a:round/>
                              <a:tailEnd type="arrow" w="med" len="med"/>
                            </a:ln>
                          </wps:spPr>
                          <wps:bodyPr/>
                        </wps:wsp>
                        <wps:wsp>
                          <wps:cNvPr id="717" name="Rectangle 25"/>
                          <wps:cNvSpPr>
                            <a:spLocks noChangeArrowheads="1"/>
                          </wps:cNvSpPr>
                          <wps:spPr bwMode="auto">
                            <a:xfrm>
                              <a:off x="5044" y="11972"/>
                              <a:ext cx="903" cy="367"/>
                            </a:xfrm>
                            <a:prstGeom prst="rect">
                              <a:avLst/>
                            </a:prstGeom>
                            <a:solidFill>
                              <a:srgbClr val="FFFFFF">
                                <a:alpha val="0"/>
                              </a:srgbClr>
                            </a:solidFill>
                            <a:ln>
                              <a:noFill/>
                            </a:ln>
                          </wps:spPr>
                          <wps:txbx>
                            <w:txbxContent>
                              <w:p w14:paraId="30AA11CC">
                                <w:pPr>
                                  <w:jc w:val="center"/>
                                  <w:rPr>
                                    <w:rFonts w:ascii="宋体" w:hAnsi="宋体"/>
                                    <w:b w:val="0"/>
                                    <w:sz w:val="20"/>
                                  </w:rPr>
                                </w:pPr>
                                <w:r>
                                  <w:rPr>
                                    <w:rFonts w:hint="eastAsia" w:ascii="宋体" w:hAnsi="宋体"/>
                                    <w:b w:val="0"/>
                                    <w:sz w:val="20"/>
                                  </w:rPr>
                                  <w:t>吸湿受潮</w:t>
                                </w:r>
                              </w:p>
                            </w:txbxContent>
                          </wps:txbx>
                          <wps:bodyPr rot="0" vert="horz" wrap="square" lIns="87782" tIns="43891" rIns="87782" bIns="43891" anchor="t" anchorCtr="0" upright="1">
                            <a:noAutofit/>
                          </wps:bodyPr>
                        </wps:wsp>
                        <wps:wsp>
                          <wps:cNvPr id="718" name="Line 26"/>
                          <wps:cNvCnPr>
                            <a:cxnSpLocks noChangeShapeType="1"/>
                          </wps:cNvCnPr>
                          <wps:spPr bwMode="auto">
                            <a:xfrm rot="3359447" flipV="1">
                              <a:off x="3095" y="11708"/>
                              <a:ext cx="514" cy="730"/>
                            </a:xfrm>
                            <a:prstGeom prst="line">
                              <a:avLst/>
                            </a:prstGeom>
                            <a:noFill/>
                            <a:ln w="19050">
                              <a:solidFill>
                                <a:srgbClr val="000000"/>
                              </a:solidFill>
                              <a:round/>
                              <a:tailEnd type="arrow" w="med" len="med"/>
                            </a:ln>
                          </wps:spPr>
                          <wps:bodyPr/>
                        </wps:wsp>
                        <wps:wsp>
                          <wps:cNvPr id="719" name="Rectangle 27"/>
                          <wps:cNvSpPr>
                            <a:spLocks noChangeArrowheads="1"/>
                          </wps:cNvSpPr>
                          <wps:spPr bwMode="auto">
                            <a:xfrm>
                              <a:off x="5801" y="9392"/>
                              <a:ext cx="735" cy="350"/>
                            </a:xfrm>
                            <a:prstGeom prst="rect">
                              <a:avLst/>
                            </a:prstGeom>
                            <a:solidFill>
                              <a:srgbClr val="FFFFFF">
                                <a:alpha val="0"/>
                              </a:srgbClr>
                            </a:solidFill>
                            <a:ln>
                              <a:noFill/>
                            </a:ln>
                          </wps:spPr>
                          <wps:txbx>
                            <w:txbxContent>
                              <w:p w14:paraId="06049C89">
                                <w:pPr>
                                  <w:jc w:val="center"/>
                                  <w:rPr>
                                    <w:rFonts w:ascii="宋体" w:hAnsi="宋体"/>
                                    <w:b w:val="0"/>
                                    <w:sz w:val="20"/>
                                  </w:rPr>
                                </w:pPr>
                                <w:r>
                                  <w:rPr>
                                    <w:rFonts w:hint="eastAsia" w:ascii="宋体" w:hAnsi="宋体"/>
                                    <w:b w:val="0"/>
                                    <w:sz w:val="20"/>
                                  </w:rPr>
                                  <w:t>热积聚</w:t>
                                </w:r>
                              </w:p>
                            </w:txbxContent>
                          </wps:txbx>
                          <wps:bodyPr rot="0" vert="horz" wrap="square" lIns="87782" tIns="43891" rIns="87782" bIns="43891" anchor="t" anchorCtr="0" upright="1">
                            <a:noAutofit/>
                          </wps:bodyPr>
                        </wps:wsp>
                        <wps:wsp>
                          <wps:cNvPr id="720" name="Rectangle 28"/>
                          <wps:cNvSpPr>
                            <a:spLocks noChangeArrowheads="1"/>
                          </wps:cNvSpPr>
                          <wps:spPr bwMode="auto">
                            <a:xfrm>
                              <a:off x="5801" y="10264"/>
                              <a:ext cx="624" cy="440"/>
                            </a:xfrm>
                            <a:prstGeom prst="rect">
                              <a:avLst/>
                            </a:prstGeom>
                            <a:solidFill>
                              <a:srgbClr val="FFFFFF">
                                <a:alpha val="0"/>
                              </a:srgbClr>
                            </a:solidFill>
                            <a:ln>
                              <a:noFill/>
                            </a:ln>
                          </wps:spPr>
                          <wps:txbx>
                            <w:txbxContent>
                              <w:p w14:paraId="0FC7ECB8">
                                <w:pPr>
                                  <w:jc w:val="center"/>
                                  <w:rPr>
                                    <w:rFonts w:ascii="宋体" w:hAnsi="宋体"/>
                                    <w:b w:val="0"/>
                                    <w:sz w:val="20"/>
                                  </w:rPr>
                                </w:pPr>
                                <w:r>
                                  <w:rPr>
                                    <w:rFonts w:hint="eastAsia" w:ascii="宋体" w:hAnsi="宋体"/>
                                    <w:b w:val="0"/>
                                    <w:sz w:val="20"/>
                                  </w:rPr>
                                  <w:t>自燃</w:t>
                                </w:r>
                              </w:p>
                            </w:txbxContent>
                          </wps:txbx>
                          <wps:bodyPr rot="0" vert="horz" wrap="square" lIns="87782" tIns="43891" rIns="87782" bIns="43891" anchor="t" anchorCtr="0" upright="1">
                            <a:noAutofit/>
                          </wps:bodyPr>
                        </wps:wsp>
                        <wps:wsp>
                          <wps:cNvPr id="721" name="Rectangle 29"/>
                          <wps:cNvSpPr>
                            <a:spLocks noChangeArrowheads="1"/>
                          </wps:cNvSpPr>
                          <wps:spPr bwMode="auto">
                            <a:xfrm>
                              <a:off x="4915" y="9551"/>
                              <a:ext cx="733" cy="367"/>
                            </a:xfrm>
                            <a:prstGeom prst="rect">
                              <a:avLst/>
                            </a:prstGeom>
                            <a:solidFill>
                              <a:srgbClr val="FFFFFF">
                                <a:alpha val="0"/>
                              </a:srgbClr>
                            </a:solidFill>
                            <a:ln>
                              <a:noFill/>
                            </a:ln>
                          </wps:spPr>
                          <wps:txbx>
                            <w:txbxContent>
                              <w:p w14:paraId="39EDB87E">
                                <w:pPr>
                                  <w:jc w:val="center"/>
                                  <w:rPr>
                                    <w:rFonts w:ascii="宋体" w:hAnsi="宋体"/>
                                    <w:b w:val="0"/>
                                    <w:sz w:val="20"/>
                                  </w:rPr>
                                </w:pPr>
                                <w:r>
                                  <w:rPr>
                                    <w:rFonts w:hint="eastAsia" w:ascii="宋体" w:hAnsi="宋体"/>
                                    <w:b w:val="0"/>
                                    <w:sz w:val="20"/>
                                  </w:rPr>
                                  <w:t>热分解</w:t>
                                </w:r>
                              </w:p>
                            </w:txbxContent>
                          </wps:txbx>
                          <wps:bodyPr rot="0" vert="horz" wrap="square" lIns="87782" tIns="43891" rIns="87782" bIns="43891" anchor="t" anchorCtr="0" upright="1">
                            <a:noAutofit/>
                          </wps:bodyPr>
                        </wps:wsp>
                        <wps:wsp>
                          <wps:cNvPr id="722" name="Rectangle 30"/>
                          <wps:cNvSpPr>
                            <a:spLocks noChangeArrowheads="1"/>
                          </wps:cNvSpPr>
                          <wps:spPr bwMode="auto">
                            <a:xfrm>
                              <a:off x="4114" y="10264"/>
                              <a:ext cx="930" cy="367"/>
                            </a:xfrm>
                            <a:prstGeom prst="rect">
                              <a:avLst/>
                            </a:prstGeom>
                            <a:solidFill>
                              <a:srgbClr val="FFFFFF">
                                <a:alpha val="0"/>
                              </a:srgbClr>
                            </a:solidFill>
                            <a:ln>
                              <a:noFill/>
                            </a:ln>
                          </wps:spPr>
                          <wps:txbx>
                            <w:txbxContent>
                              <w:p w14:paraId="09592425">
                                <w:pPr>
                                  <w:jc w:val="center"/>
                                  <w:rPr>
                                    <w:rFonts w:ascii="宋体" w:hAnsi="宋体"/>
                                    <w:b w:val="0"/>
                                    <w:sz w:val="20"/>
                                  </w:rPr>
                                </w:pPr>
                                <w:r>
                                  <w:rPr>
                                    <w:rFonts w:hint="eastAsia" w:ascii="宋体" w:hAnsi="宋体"/>
                                    <w:b w:val="0"/>
                                    <w:sz w:val="20"/>
                                  </w:rPr>
                                  <w:t>摩擦撞击</w:t>
                                </w:r>
                              </w:p>
                            </w:txbxContent>
                          </wps:txbx>
                          <wps:bodyPr rot="0" vert="horz" wrap="square" lIns="87782" tIns="43891" rIns="87782" bIns="43891" anchor="t" anchorCtr="0" upright="1">
                            <a:noAutofit/>
                          </wps:bodyPr>
                        </wps:wsp>
                        <wps:wsp>
                          <wps:cNvPr id="723" name="Rectangle 31"/>
                          <wps:cNvSpPr>
                            <a:spLocks noChangeArrowheads="1"/>
                          </wps:cNvSpPr>
                          <wps:spPr bwMode="auto">
                            <a:xfrm>
                              <a:off x="4781" y="11421"/>
                              <a:ext cx="777" cy="367"/>
                            </a:xfrm>
                            <a:prstGeom prst="rect">
                              <a:avLst/>
                            </a:prstGeom>
                            <a:solidFill>
                              <a:srgbClr val="FFFFFF">
                                <a:alpha val="0"/>
                              </a:srgbClr>
                            </a:solidFill>
                            <a:ln>
                              <a:noFill/>
                            </a:ln>
                          </wps:spPr>
                          <wps:txbx>
                            <w:txbxContent>
                              <w:p w14:paraId="52F68F38">
                                <w:pPr>
                                  <w:jc w:val="center"/>
                                  <w:rPr>
                                    <w:rFonts w:ascii="宋体" w:hAnsi="宋体"/>
                                    <w:b w:val="0"/>
                                    <w:sz w:val="20"/>
                                  </w:rPr>
                                </w:pPr>
                                <w:r>
                                  <w:rPr>
                                    <w:rFonts w:hint="eastAsia" w:ascii="宋体" w:hAnsi="宋体"/>
                                    <w:b w:val="0"/>
                                    <w:sz w:val="20"/>
                                  </w:rPr>
                                  <w:t>雷击</w:t>
                                </w:r>
                              </w:p>
                            </w:txbxContent>
                          </wps:txbx>
                          <wps:bodyPr rot="0" vert="horz" wrap="square" lIns="87782" tIns="43891" rIns="87782" bIns="43891" anchor="t" anchorCtr="0" upright="1">
                            <a:noAutofit/>
                          </wps:bodyPr>
                        </wps:wsp>
                        <wps:wsp>
                          <wps:cNvPr id="724" name="Rectangle 32"/>
                          <wps:cNvSpPr>
                            <a:spLocks noChangeArrowheads="1"/>
                          </wps:cNvSpPr>
                          <wps:spPr bwMode="auto">
                            <a:xfrm>
                              <a:off x="5801" y="11421"/>
                              <a:ext cx="988" cy="367"/>
                            </a:xfrm>
                            <a:prstGeom prst="rect">
                              <a:avLst/>
                            </a:prstGeom>
                            <a:solidFill>
                              <a:srgbClr val="FFFFFF">
                                <a:alpha val="0"/>
                              </a:srgbClr>
                            </a:solidFill>
                            <a:ln>
                              <a:noFill/>
                            </a:ln>
                          </wps:spPr>
                          <wps:txbx>
                            <w:txbxContent>
                              <w:p w14:paraId="3B7CB61F">
                                <w:pPr>
                                  <w:jc w:val="center"/>
                                  <w:rPr>
                                    <w:rFonts w:ascii="宋体" w:hAnsi="宋体"/>
                                    <w:b w:val="0"/>
                                    <w:sz w:val="20"/>
                                  </w:rPr>
                                </w:pPr>
                                <w:r>
                                  <w:rPr>
                                    <w:rFonts w:hint="eastAsia" w:ascii="宋体" w:hAnsi="宋体"/>
                                    <w:b w:val="0"/>
                                    <w:sz w:val="20"/>
                                  </w:rPr>
                                  <w:t>化学反应</w:t>
                                </w:r>
                              </w:p>
                            </w:txbxContent>
                          </wps:txbx>
                          <wps:bodyPr rot="0" vert="horz" wrap="square" lIns="87782" tIns="43891" rIns="87782" bIns="43891" anchor="t" anchorCtr="0" upright="1">
                            <a:noAutofit/>
                          </wps:bodyPr>
                        </wps:wsp>
                        <wps:wsp>
                          <wps:cNvPr id="725" name="Rectangle 33"/>
                          <wps:cNvSpPr>
                            <a:spLocks noChangeArrowheads="1"/>
                          </wps:cNvSpPr>
                          <wps:spPr bwMode="auto">
                            <a:xfrm>
                              <a:off x="3674" y="11421"/>
                              <a:ext cx="700" cy="367"/>
                            </a:xfrm>
                            <a:prstGeom prst="rect">
                              <a:avLst/>
                            </a:prstGeom>
                            <a:solidFill>
                              <a:srgbClr val="FFFFFF">
                                <a:alpha val="0"/>
                              </a:srgbClr>
                            </a:solidFill>
                            <a:ln>
                              <a:noFill/>
                            </a:ln>
                          </wps:spPr>
                          <wps:txbx>
                            <w:txbxContent>
                              <w:p w14:paraId="0B8B8170">
                                <w:pPr>
                                  <w:jc w:val="center"/>
                                  <w:rPr>
                                    <w:rFonts w:ascii="宋体" w:hAnsi="宋体"/>
                                    <w:b w:val="0"/>
                                    <w:sz w:val="20"/>
                                  </w:rPr>
                                </w:pPr>
                                <w:r>
                                  <w:rPr>
                                    <w:rFonts w:hint="eastAsia" w:ascii="宋体" w:hAnsi="宋体"/>
                                    <w:b w:val="0"/>
                                    <w:sz w:val="20"/>
                                  </w:rPr>
                                  <w:t>明火</w:t>
                                </w:r>
                              </w:p>
                            </w:txbxContent>
                          </wps:txbx>
                          <wps:bodyPr rot="0" vert="horz" wrap="square" lIns="87782" tIns="43891" rIns="87782" bIns="43891" anchor="t" anchorCtr="0" upright="1">
                            <a:noAutofit/>
                          </wps:bodyPr>
                        </wps:wsp>
                        <wps:wsp>
                          <wps:cNvPr id="726" name="Rectangle 34"/>
                          <wps:cNvSpPr>
                            <a:spLocks noChangeArrowheads="1"/>
                          </wps:cNvSpPr>
                          <wps:spPr bwMode="auto">
                            <a:xfrm>
                              <a:off x="2522" y="11421"/>
                              <a:ext cx="935" cy="367"/>
                            </a:xfrm>
                            <a:prstGeom prst="rect">
                              <a:avLst/>
                            </a:prstGeom>
                            <a:solidFill>
                              <a:srgbClr val="FFFFFF">
                                <a:alpha val="0"/>
                              </a:srgbClr>
                            </a:solidFill>
                            <a:ln>
                              <a:noFill/>
                            </a:ln>
                          </wps:spPr>
                          <wps:txbx>
                            <w:txbxContent>
                              <w:p w14:paraId="4BE150D7">
                                <w:pPr>
                                  <w:jc w:val="center"/>
                                  <w:rPr>
                                    <w:rFonts w:ascii="宋体" w:hAnsi="宋体"/>
                                    <w:b w:val="0"/>
                                    <w:sz w:val="20"/>
                                  </w:rPr>
                                </w:pPr>
                                <w:r>
                                  <w:rPr>
                                    <w:rFonts w:hint="eastAsia" w:ascii="宋体" w:hAnsi="宋体"/>
                                    <w:b w:val="0"/>
                                    <w:sz w:val="20"/>
                                  </w:rPr>
                                  <w:t>静电火花</w:t>
                                </w:r>
                              </w:p>
                            </w:txbxContent>
                          </wps:txbx>
                          <wps:bodyPr rot="0" vert="horz" wrap="square" lIns="87782" tIns="43891" rIns="87782" bIns="43891" anchor="t" anchorCtr="0" upright="1">
                            <a:noAutofit/>
                          </wps:bodyPr>
                        </wps:wsp>
                        <wps:wsp>
                          <wps:cNvPr id="727" name="Rectangle 35"/>
                          <wps:cNvSpPr>
                            <a:spLocks noChangeArrowheads="1"/>
                          </wps:cNvSpPr>
                          <wps:spPr bwMode="auto">
                            <a:xfrm>
                              <a:off x="2699" y="10264"/>
                              <a:ext cx="635" cy="367"/>
                            </a:xfrm>
                            <a:prstGeom prst="rect">
                              <a:avLst/>
                            </a:prstGeom>
                            <a:solidFill>
                              <a:srgbClr val="FFFFFF">
                                <a:alpha val="0"/>
                              </a:srgbClr>
                            </a:solidFill>
                            <a:ln>
                              <a:noFill/>
                            </a:ln>
                          </wps:spPr>
                          <wps:txbx>
                            <w:txbxContent>
                              <w:p w14:paraId="13A20C76">
                                <w:pPr>
                                  <w:jc w:val="center"/>
                                  <w:rPr>
                                    <w:rFonts w:ascii="宋体" w:hAnsi="宋体"/>
                                    <w:b w:val="0"/>
                                    <w:sz w:val="20"/>
                                  </w:rPr>
                                </w:pPr>
                                <w:r>
                                  <w:rPr>
                                    <w:rFonts w:hint="eastAsia" w:ascii="宋体" w:hAnsi="宋体"/>
                                    <w:b w:val="0"/>
                                    <w:sz w:val="20"/>
                                  </w:rPr>
                                  <w:t>高温</w:t>
                                </w:r>
                              </w:p>
                            </w:txbxContent>
                          </wps:txbx>
                          <wps:bodyPr rot="0" vert="horz" wrap="square" lIns="87782" tIns="43891" rIns="87782" bIns="43891" anchor="t" anchorCtr="0" upright="1">
                            <a:noAutofit/>
                          </wps:bodyPr>
                        </wps:wsp>
                        <wps:wsp>
                          <wps:cNvPr id="728" name="Rectangle 36"/>
                          <wps:cNvSpPr>
                            <a:spLocks noChangeArrowheads="1"/>
                          </wps:cNvSpPr>
                          <wps:spPr bwMode="auto">
                            <a:xfrm>
                              <a:off x="6276" y="11849"/>
                              <a:ext cx="1036" cy="367"/>
                            </a:xfrm>
                            <a:prstGeom prst="rect">
                              <a:avLst/>
                            </a:prstGeom>
                            <a:solidFill>
                              <a:srgbClr val="FFFFFF">
                                <a:alpha val="0"/>
                              </a:srgbClr>
                            </a:solidFill>
                            <a:ln>
                              <a:noFill/>
                            </a:ln>
                          </wps:spPr>
                          <wps:txbx>
                            <w:txbxContent>
                              <w:p w14:paraId="2EEE09C6">
                                <w:pPr>
                                  <w:jc w:val="center"/>
                                  <w:rPr>
                                    <w:rFonts w:ascii="宋体" w:hAnsi="宋体"/>
                                    <w:b w:val="0"/>
                                    <w:sz w:val="20"/>
                                  </w:rPr>
                                </w:pPr>
                                <w:r>
                                  <w:rPr>
                                    <w:rFonts w:hint="eastAsia" w:ascii="宋体" w:hAnsi="宋体"/>
                                    <w:b w:val="0"/>
                                    <w:sz w:val="20"/>
                                  </w:rPr>
                                  <w:t>接触反应</w:t>
                                </w:r>
                              </w:p>
                            </w:txbxContent>
                          </wps:txbx>
                          <wps:bodyPr rot="0" vert="horz" wrap="square" lIns="87782" tIns="43891" rIns="87782" bIns="43891" anchor="t" anchorCtr="0" upright="1">
                            <a:noAutofit/>
                          </wps:bodyPr>
                        </wps:wsp>
                        <wps:wsp>
                          <wps:cNvPr id="729" name="Rectangle 37"/>
                          <wps:cNvSpPr>
                            <a:spLocks noChangeArrowheads="1"/>
                          </wps:cNvSpPr>
                          <wps:spPr bwMode="auto">
                            <a:xfrm>
                              <a:off x="2699" y="12164"/>
                              <a:ext cx="593" cy="335"/>
                            </a:xfrm>
                            <a:prstGeom prst="rect">
                              <a:avLst/>
                            </a:prstGeom>
                            <a:solidFill>
                              <a:srgbClr val="FFFFFF">
                                <a:alpha val="0"/>
                              </a:srgbClr>
                            </a:solidFill>
                            <a:ln>
                              <a:noFill/>
                            </a:ln>
                          </wps:spPr>
                          <wps:txbx>
                            <w:txbxContent>
                              <w:p w14:paraId="6EBA8CC1">
                                <w:pPr>
                                  <w:jc w:val="center"/>
                                  <w:rPr>
                                    <w:rFonts w:ascii="宋体" w:hAnsi="宋体"/>
                                    <w:b w:val="0"/>
                                    <w:sz w:val="20"/>
                                  </w:rPr>
                                </w:pPr>
                                <w:r>
                                  <w:rPr>
                                    <w:rFonts w:hint="eastAsia" w:ascii="宋体" w:hAnsi="宋体"/>
                                    <w:b w:val="0"/>
                                    <w:sz w:val="20"/>
                                  </w:rPr>
                                  <w:t>吸烟</w:t>
                                </w:r>
                              </w:p>
                            </w:txbxContent>
                          </wps:txbx>
                          <wps:bodyPr rot="0" vert="horz" wrap="square" lIns="87782" tIns="43891" rIns="87782" bIns="43891" anchor="t" anchorCtr="0" upright="1">
                            <a:noAutofit/>
                          </wps:bodyPr>
                        </wps:wsp>
                        <wps:wsp>
                          <wps:cNvPr id="730" name="Rectangle 38"/>
                          <wps:cNvSpPr>
                            <a:spLocks noChangeArrowheads="1"/>
                          </wps:cNvSpPr>
                          <wps:spPr bwMode="auto">
                            <a:xfrm>
                              <a:off x="2966" y="11719"/>
                              <a:ext cx="777" cy="315"/>
                            </a:xfrm>
                            <a:prstGeom prst="rect">
                              <a:avLst/>
                            </a:prstGeom>
                            <a:solidFill>
                              <a:srgbClr val="FFFFFF">
                                <a:alpha val="0"/>
                              </a:srgbClr>
                            </a:solidFill>
                            <a:ln>
                              <a:noFill/>
                            </a:ln>
                          </wps:spPr>
                          <wps:txbx>
                            <w:txbxContent>
                              <w:p w14:paraId="59BB2AA0">
                                <w:pPr>
                                  <w:jc w:val="center"/>
                                  <w:rPr>
                                    <w:rFonts w:ascii="宋体" w:hAnsi="宋体"/>
                                    <w:b w:val="0"/>
                                    <w:sz w:val="20"/>
                                  </w:rPr>
                                </w:pPr>
                                <w:r>
                                  <w:rPr>
                                    <w:rFonts w:hint="eastAsia" w:ascii="宋体" w:hAnsi="宋体"/>
                                    <w:b w:val="0"/>
                                    <w:sz w:val="20"/>
                                  </w:rPr>
                                  <w:t>电火花</w:t>
                                </w:r>
                              </w:p>
                            </w:txbxContent>
                          </wps:txbx>
                          <wps:bodyPr rot="0" vert="horz" wrap="square" lIns="87782" tIns="43891" rIns="87782" bIns="43891" anchor="t" anchorCtr="0" upright="1">
                            <a:noAutofit/>
                          </wps:bodyPr>
                        </wps:wsp>
                        <wps:wsp>
                          <wps:cNvPr id="731" name="Rectangle 39"/>
                          <wps:cNvSpPr>
                            <a:spLocks noChangeArrowheads="1"/>
                          </wps:cNvSpPr>
                          <wps:spPr bwMode="auto">
                            <a:xfrm>
                              <a:off x="3916" y="11959"/>
                              <a:ext cx="933" cy="315"/>
                            </a:xfrm>
                            <a:prstGeom prst="rect">
                              <a:avLst/>
                            </a:prstGeom>
                            <a:solidFill>
                              <a:srgbClr val="FFFFFF">
                                <a:alpha val="0"/>
                              </a:srgbClr>
                            </a:solidFill>
                            <a:ln>
                              <a:noFill/>
                            </a:ln>
                          </wps:spPr>
                          <wps:txbx>
                            <w:txbxContent>
                              <w:p w14:paraId="02B64664">
                                <w:pPr>
                                  <w:jc w:val="center"/>
                                  <w:rPr>
                                    <w:rFonts w:ascii="宋体" w:hAnsi="宋体"/>
                                    <w:b w:val="0"/>
                                    <w:sz w:val="20"/>
                                  </w:rPr>
                                </w:pPr>
                                <w:r>
                                  <w:rPr>
                                    <w:rFonts w:hint="eastAsia" w:ascii="宋体" w:hAnsi="宋体"/>
                                    <w:b w:val="0"/>
                                    <w:sz w:val="20"/>
                                  </w:rPr>
                                  <w:t>环境因素</w:t>
                                </w:r>
                              </w:p>
                            </w:txbxContent>
                          </wps:txbx>
                          <wps:bodyPr rot="0" vert="horz" wrap="square" lIns="87782" tIns="43891" rIns="87782" bIns="43891" anchor="t" anchorCtr="0" upright="1">
                            <a:noAutofit/>
                          </wps:bodyPr>
                        </wps:wsp>
                        <wps:wsp>
                          <wps:cNvPr id="732" name="Rectangle 40"/>
                          <wps:cNvSpPr>
                            <a:spLocks noChangeArrowheads="1"/>
                          </wps:cNvSpPr>
                          <wps:spPr bwMode="auto">
                            <a:xfrm>
                              <a:off x="3186" y="9619"/>
                              <a:ext cx="928" cy="367"/>
                            </a:xfrm>
                            <a:prstGeom prst="rect">
                              <a:avLst/>
                            </a:prstGeom>
                            <a:solidFill>
                              <a:srgbClr val="FFFFFF">
                                <a:alpha val="0"/>
                              </a:srgbClr>
                            </a:solidFill>
                            <a:ln>
                              <a:noFill/>
                            </a:ln>
                          </wps:spPr>
                          <wps:txbx>
                            <w:txbxContent>
                              <w:p w14:paraId="6889DCE0">
                                <w:pPr>
                                  <w:jc w:val="center"/>
                                  <w:rPr>
                                    <w:rFonts w:ascii="宋体" w:hAnsi="宋体"/>
                                    <w:b w:val="0"/>
                                    <w:sz w:val="20"/>
                                  </w:rPr>
                                </w:pPr>
                                <w:r>
                                  <w:rPr>
                                    <w:rFonts w:hint="eastAsia" w:ascii="宋体" w:hAnsi="宋体"/>
                                    <w:b w:val="0"/>
                                    <w:sz w:val="20"/>
                                  </w:rPr>
                                  <w:t>硬质工具</w:t>
                                </w:r>
                              </w:p>
                            </w:txbxContent>
                          </wps:txbx>
                          <wps:bodyPr rot="0" vert="horz" wrap="square" lIns="87782" tIns="43891" rIns="87782" bIns="43891" anchor="t" anchorCtr="0" upright="1">
                            <a:noAutofit/>
                          </wps:bodyPr>
                        </wps:wsp>
                        <wps:wsp>
                          <wps:cNvPr id="733" name="Line 41"/>
                          <wps:cNvCnPr>
                            <a:cxnSpLocks noChangeShapeType="1"/>
                          </wps:cNvCnPr>
                          <wps:spPr bwMode="auto">
                            <a:xfrm rot="14149631" flipV="1">
                              <a:off x="2811" y="9471"/>
                              <a:ext cx="315" cy="476"/>
                            </a:xfrm>
                            <a:prstGeom prst="line">
                              <a:avLst/>
                            </a:prstGeom>
                            <a:noFill/>
                            <a:ln w="19050">
                              <a:solidFill>
                                <a:srgbClr val="000000"/>
                              </a:solidFill>
                              <a:round/>
                              <a:tailEnd type="arrow" w="med" len="med"/>
                            </a:ln>
                          </wps:spPr>
                          <wps:bodyPr/>
                        </wps:wsp>
                        <wps:wsp>
                          <wps:cNvPr id="734" name="Rectangle 42"/>
                          <wps:cNvSpPr>
                            <a:spLocks noChangeArrowheads="1"/>
                          </wps:cNvSpPr>
                          <wps:spPr bwMode="auto">
                            <a:xfrm>
                              <a:off x="2731" y="9311"/>
                              <a:ext cx="562" cy="339"/>
                            </a:xfrm>
                            <a:prstGeom prst="rect">
                              <a:avLst/>
                            </a:prstGeom>
                            <a:solidFill>
                              <a:srgbClr val="FFFFFF">
                                <a:alpha val="0"/>
                              </a:srgbClr>
                            </a:solidFill>
                            <a:ln>
                              <a:noFill/>
                            </a:ln>
                          </wps:spPr>
                          <wps:txbx>
                            <w:txbxContent>
                              <w:p w14:paraId="499D651A">
                                <w:pPr>
                                  <w:rPr>
                                    <w:rFonts w:ascii="宋体" w:hAnsi="宋体"/>
                                    <w:b w:val="0"/>
                                    <w:sz w:val="20"/>
                                  </w:rPr>
                                </w:pPr>
                                <w:r>
                                  <w:rPr>
                                    <w:rFonts w:hint="eastAsia" w:ascii="宋体" w:hAnsi="宋体"/>
                                    <w:b w:val="0"/>
                                    <w:sz w:val="20"/>
                                  </w:rPr>
                                  <w:t>曝晒</w:t>
                                </w:r>
                              </w:p>
                            </w:txbxContent>
                          </wps:txbx>
                          <wps:bodyPr rot="0" vert="horz" wrap="square" lIns="87782" tIns="43891" rIns="87782" bIns="43891" anchor="t" anchorCtr="0" upright="1">
                            <a:noAutofit/>
                          </wps:bodyPr>
                        </wps:wsp>
                        <wps:wsp>
                          <wps:cNvPr id="735" name="Line 43"/>
                          <wps:cNvCnPr>
                            <a:cxnSpLocks noChangeShapeType="1"/>
                          </wps:cNvCnPr>
                          <wps:spPr bwMode="auto">
                            <a:xfrm rot="3359447" flipV="1">
                              <a:off x="1881" y="9625"/>
                              <a:ext cx="674" cy="975"/>
                            </a:xfrm>
                            <a:prstGeom prst="line">
                              <a:avLst/>
                            </a:prstGeom>
                            <a:noFill/>
                            <a:ln w="19050">
                              <a:solidFill>
                                <a:srgbClr val="000000"/>
                              </a:solidFill>
                              <a:round/>
                              <a:tailEnd type="arrow" w="med" len="med"/>
                            </a:ln>
                          </wps:spPr>
                          <wps:bodyPr/>
                        </wps:wsp>
                        <wps:wsp>
                          <wps:cNvPr id="549" name="Rectangle 44"/>
                          <wps:cNvSpPr>
                            <a:spLocks noChangeArrowheads="1"/>
                          </wps:cNvSpPr>
                          <wps:spPr bwMode="auto">
                            <a:xfrm>
                              <a:off x="1631" y="9716"/>
                              <a:ext cx="943" cy="367"/>
                            </a:xfrm>
                            <a:prstGeom prst="rect">
                              <a:avLst/>
                            </a:prstGeom>
                            <a:solidFill>
                              <a:srgbClr val="FFFFFF">
                                <a:alpha val="0"/>
                              </a:srgbClr>
                            </a:solidFill>
                            <a:ln>
                              <a:noFill/>
                            </a:ln>
                          </wps:spPr>
                          <wps:txbx>
                            <w:txbxContent>
                              <w:p w14:paraId="3A4A9550">
                                <w:pPr>
                                  <w:rPr>
                                    <w:rFonts w:ascii="宋体" w:hAnsi="宋体"/>
                                    <w:b w:val="0"/>
                                    <w:sz w:val="20"/>
                                  </w:rPr>
                                </w:pPr>
                                <w:r>
                                  <w:rPr>
                                    <w:rFonts w:hint="eastAsia" w:ascii="宋体" w:hAnsi="宋体"/>
                                    <w:b w:val="0"/>
                                    <w:sz w:val="20"/>
                                  </w:rPr>
                                  <w:t>玻璃聚焦</w:t>
                                </w:r>
                              </w:p>
                            </w:txbxContent>
                          </wps:txbx>
                          <wps:bodyPr rot="0" vert="horz" wrap="square" lIns="87782" tIns="43891" rIns="87782" bIns="43891" anchor="t" anchorCtr="0" upright="1">
                            <a:noAutofit/>
                          </wps:bodyPr>
                        </wps:wsp>
                        <wps:wsp>
                          <wps:cNvPr id="550" name="Rectangle 45"/>
                          <wps:cNvSpPr>
                            <a:spLocks noChangeArrowheads="1"/>
                          </wps:cNvSpPr>
                          <wps:spPr bwMode="auto">
                            <a:xfrm>
                              <a:off x="1977" y="10821"/>
                              <a:ext cx="754" cy="367"/>
                            </a:xfrm>
                            <a:prstGeom prst="rect">
                              <a:avLst/>
                            </a:prstGeom>
                            <a:solidFill>
                              <a:srgbClr val="FFFFFF">
                                <a:alpha val="0"/>
                              </a:srgbClr>
                            </a:solidFill>
                            <a:ln>
                              <a:noFill/>
                            </a:ln>
                          </wps:spPr>
                          <wps:txbx>
                            <w:txbxContent>
                              <w:p w14:paraId="0DAC9066">
                                <w:pPr>
                                  <w:rPr>
                                    <w:rFonts w:ascii="宋体" w:hAnsi="宋体"/>
                                    <w:b w:val="0"/>
                                    <w:sz w:val="20"/>
                                  </w:rPr>
                                </w:pPr>
                                <w:r>
                                  <w:rPr>
                                    <w:rFonts w:hint="eastAsia" w:ascii="宋体" w:hAnsi="宋体"/>
                                    <w:b w:val="0"/>
                                    <w:sz w:val="20"/>
                                  </w:rPr>
                                  <w:t>烟火药</w:t>
                                </w:r>
                              </w:p>
                            </w:txbxContent>
                          </wps:txbx>
                          <wps:bodyPr rot="0" vert="horz" wrap="square" lIns="87782" tIns="43891" rIns="87782" bIns="43891" anchor="t" anchorCtr="0" upright="1">
                            <a:noAutofit/>
                          </wps:bodyPr>
                        </wps:wsp>
                        <wps:wsp>
                          <wps:cNvPr id="551" name="Line 46"/>
                          <wps:cNvCnPr>
                            <a:cxnSpLocks noChangeShapeType="1"/>
                          </wps:cNvCnPr>
                          <wps:spPr bwMode="auto">
                            <a:xfrm rot="14149631" flipV="1">
                              <a:off x="4323" y="9473"/>
                              <a:ext cx="348" cy="482"/>
                            </a:xfrm>
                            <a:prstGeom prst="line">
                              <a:avLst/>
                            </a:prstGeom>
                            <a:noFill/>
                            <a:ln w="19050">
                              <a:solidFill>
                                <a:srgbClr val="000000"/>
                              </a:solidFill>
                              <a:round/>
                              <a:tailEnd type="arrow" w="med" len="med"/>
                            </a:ln>
                          </wps:spPr>
                          <wps:bodyPr/>
                        </wps:wsp>
                        <wps:wsp>
                          <wps:cNvPr id="552" name="Rectangle 47"/>
                          <wps:cNvSpPr>
                            <a:spLocks noChangeArrowheads="1"/>
                          </wps:cNvSpPr>
                          <wps:spPr bwMode="auto">
                            <a:xfrm>
                              <a:off x="4302" y="9309"/>
                              <a:ext cx="613" cy="341"/>
                            </a:xfrm>
                            <a:prstGeom prst="rect">
                              <a:avLst/>
                            </a:prstGeom>
                            <a:solidFill>
                              <a:srgbClr val="FFFFFF">
                                <a:alpha val="0"/>
                              </a:srgbClr>
                            </a:solidFill>
                            <a:ln>
                              <a:noFill/>
                            </a:ln>
                          </wps:spPr>
                          <wps:txbx>
                            <w:txbxContent>
                              <w:p w14:paraId="02872A9F">
                                <w:pPr>
                                  <w:rPr>
                                    <w:rFonts w:ascii="宋体" w:hAnsi="宋体"/>
                                    <w:b w:val="0"/>
                                    <w:sz w:val="20"/>
                                  </w:rPr>
                                </w:pPr>
                                <w:r>
                                  <w:rPr>
                                    <w:rFonts w:hint="eastAsia" w:ascii="宋体" w:hAnsi="宋体"/>
                                    <w:b w:val="0"/>
                                    <w:sz w:val="20"/>
                                  </w:rPr>
                                  <w:t>坠落</w:t>
                                </w:r>
                              </w:p>
                            </w:txbxContent>
                          </wps:txbx>
                          <wps:bodyPr rot="0" vert="horz" wrap="square" lIns="87782" tIns="43891" rIns="87782" bIns="43891" anchor="t" anchorCtr="0" upright="1">
                            <a:noAutofit/>
                          </wps:bodyPr>
                        </wps:wsp>
                      </wpg:wgp>
                    </wpc:wpc>
                  </a:graphicData>
                </a:graphic>
              </wp:inline>
            </w:drawing>
          </mc:Choice>
          <mc:Fallback>
            <w:pict>
              <v:group id="_x0000_s1026" o:spid="_x0000_s1026" o:spt="203" style="height:187.05pt;width:466.35pt;" coordsize="5922645,2375535" editas="canvas" o:gfxdata="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">
                <o:lock v:ext="edit" aspectratio="f"/>
                <v:shape id="_x0000_s1026" o:spid="_x0000_s1026" style="position:absolute;left:0;top:0;height:2375535;width:5922645;" filled="f" stroked="f" coordsize="21600,21600" o:gfxdata="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">
                  <v:fill on="f" focussize="0,0"/>
                  <v:stroke on="f"/>
                  <v:imagedata o:title=""/>
                  <o:lock v:ext="edit" aspectratio="f"/>
                </v:shape>
                <v:group id="Group 8" o:spid="_x0000_s1026" o:spt="203" style="position:absolute;left:0;top:0;height:2081530;width:5922645;" coordorigin="1631,9309" coordsize="7634,3535" o:gfxdata="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">
                  <o:lock v:ext="edit" aspectratio="f"/>
                  <v:shape id="AutoShape 9" o:spid="_x0000_s1026" o:spt="72" type="#_x0000_t72" style="position:absolute;left:7854;top:10197;height:1540;width:1411;" filled="f" stroked="t" coordsize="21600,21600" o:gfxdata="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E+BEi/&#10;AAAA3AAAAA8AAAAAAAAAAQAgAAAAIgAAAGRycy9kb3ducmV2LnhtbFBLAQIUABQAAAAIAIdO4kAz&#10;LwWeOwAAADkAAAAQAAAAAAAAAAEAIAAAAA4BAABkcnMvc2hhcGV4bWwueG1sUEsFBgAAAAAGAAYA&#10;WwEAALgDAAAAAA==&#10;">
                    <v:fill on="f" focussize="0,0"/>
                    <v:stroke color="#000000" miterlimit="8" joinstyle="miter"/>
                    <v:imagedata o:title=""/>
                    <o:lock v:ext="edit" aspectratio="f"/>
                    <v:textbox inset="6.91196850393701pt,3.4559842519685pt,6.91196850393701pt,3.4559842519685pt">
                      <w:txbxContent>
                        <w:p w14:paraId="3EA1B4E9">
                          <w:pPr>
                            <w:spacing w:before="120" w:beforeLines="50"/>
                            <w:rPr>
                              <w:rFonts w:ascii="宋体" w:hAnsi="宋体"/>
                              <w:b w:val="0"/>
                              <w:sz w:val="20"/>
                            </w:rPr>
                          </w:pPr>
                          <w:r>
                            <w:rPr>
                              <w:rFonts w:hint="eastAsia" w:ascii="宋体" w:hAnsi="宋体"/>
                              <w:b w:val="0"/>
                              <w:sz w:val="20"/>
                            </w:rPr>
                            <w:t>爆  炸</w:t>
                          </w:r>
                        </w:p>
                      </w:txbxContent>
                    </v:textbox>
                  </v:shape>
                  <v:line id="Line 10" o:spid="_x0000_s1026" o:spt="20" style="position:absolute;left:2731;top:11008;flip:y;height:16;width:5268;" filled="f" stroked="t" coordsize="21600,21600" o:gfxdata="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BpRwL4A&#10;AADcAAAADwAAAAAAAAABACAAAAAiAAAAZHJzL2Rvd25yZXYueG1sUEsBAhQAFAAAAAgAh07iQDMv&#10;BZ47AAAAOQAAABAAAAAAAAAAAQAgAAAADQEAAGRycy9zaGFwZXhtbC54bWxQSwUGAAAAAAYABgBb&#10;AQAAtwMAAAAA&#10;">
                    <v:fill on="f" focussize="0,0"/>
                    <v:stroke weight="1.5pt" color="#000000" joinstyle="round" endarrow="block"/>
                    <v:imagedata o:title=""/>
                    <o:lock v:ext="edit" aspectratio="f"/>
                  </v:line>
                  <v:shape id="AutoShape 11" o:spid="_x0000_s1026" o:spt="106" type="#_x0000_t106" style="position:absolute;left:6789;top:10197;height:883;width:987;" filled="f" stroked="t" coordsize="21600,21600" o:gfxdata="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yOsvQAA&#10;ANwAAAAPAAAAAAAAAAEAIAAAACIAAABkcnMvZG93bnJldi54bWxQSwECFAAUAAAACACHTuJAMy8F&#10;njsAAAA5AAAAEAAAAAAAAAABACAAAAAMAQAAZHJzL3NoYXBleG1sLnhtbFBLBQYAAAAABgAGAFsB&#10;AAC2AwAAAAA=&#10;" adj="1354,25915">
                    <v:fill on="f" focussize="0,0"/>
                    <v:stroke color="#000000" joinstyle="round"/>
                    <v:imagedata o:title=""/>
                    <o:lock v:ext="edit" aspectratio="f"/>
                    <v:textbox inset="6.91196850393701pt,3.4559842519685pt,6.91196850393701pt,3.4559842519685pt">
                      <w:txbxContent>
                        <w:p w14:paraId="25A3F95C">
                          <w:pPr>
                            <w:jc w:val="center"/>
                            <w:rPr>
                              <w:rFonts w:ascii="宋体" w:hAnsi="宋体"/>
                              <w:b w:val="0"/>
                              <w:sz w:val="20"/>
                            </w:rPr>
                          </w:pPr>
                          <w:r>
                            <w:rPr>
                              <w:rFonts w:hint="eastAsia" w:ascii="宋体" w:hAnsi="宋体"/>
                              <w:b w:val="0"/>
                              <w:sz w:val="20"/>
                            </w:rPr>
                            <w:t>着</w:t>
                          </w:r>
                          <w:r>
                            <w:rPr>
                              <w:rFonts w:hint="eastAsia" w:ascii="宋体" w:hAnsi="宋体"/>
                              <w:b w:val="0"/>
                              <w:color w:val="FF0000"/>
                              <w:sz w:val="20"/>
                            </w:rPr>
                            <w:t xml:space="preserve"> </w:t>
                          </w:r>
                          <w:r>
                            <w:rPr>
                              <w:rFonts w:hint="eastAsia" w:ascii="宋体" w:hAnsi="宋体"/>
                              <w:b w:val="0"/>
                              <w:sz w:val="20"/>
                            </w:rPr>
                            <w:t>火</w:t>
                          </w:r>
                        </w:p>
                      </w:txbxContent>
                    </v:textbox>
                  </v:shape>
                  <v:line id="Line 12" o:spid="_x0000_s1026" o:spt="20" style="position:absolute;left:2446;top:9490;flip:y;height:1468;width:987;rotation:-7838459f;" filled="f" stroked="t" coordsize="21600,21600" o:gfxdata="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dURur4A&#10;AADcAAAADwAAAAAAAAABACAAAAAiAAAAZHJzL2Rvd25yZXYueG1sUEsBAhQAFAAAAAgAh07iQDMv&#10;BZ47AAAAOQAAABAAAAAAAAAAAQAgAAAADQEAAGRycy9zaGFwZXhtbC54bWxQSwUGAAAAAAYABgBb&#10;AQAAtwMAAAAA&#10;">
                    <v:fill on="f" focussize="0,0"/>
                    <v:stroke weight="1.5pt" color="#000000" joinstyle="round" endarrow="open"/>
                    <v:imagedata o:title=""/>
                    <o:lock v:ext="edit" aspectratio="f"/>
                  </v:line>
                  <v:line id="Line 13" o:spid="_x0000_s1026" o:spt="20" style="position:absolute;left:4006;top:9476;flip:y;height:1468;width:988;rotation:-7838459f;" filled="f" stroked="t" coordsize="21600,21600" o:gfxdata="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EqFyLgAAADcAAAA&#10;DwAAAAAAAAABACAAAAAiAAAAZHJzL2Rvd25yZXYueG1sUEsBAhQAFAAAAAgAh07iQDMvBZ47AAAA&#10;OQAAABAAAAAAAAAAAQAgAAAABwEAAGRycy9zaGFwZXhtbC54bWxQSwUGAAAAAAYABgBbAQAAsQMA&#10;AAAA&#10;">
                    <v:fill on="f" focussize="0,0"/>
                    <v:stroke weight="1.5pt" color="#000000" joinstyle="round" endarrow="open"/>
                    <v:imagedata o:title=""/>
                    <o:lock v:ext="edit" aspectratio="f"/>
                  </v:line>
                  <v:line id="Line 14" o:spid="_x0000_s1026" o:spt="20" style="position:absolute;left:5513;top:9484;flip:y;height:1468;width:986;rotation:-7838459f;" filled="f" stroked="t" coordsize="21600,21600" o:gfxdata="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BiBTvQAA&#10;ANwAAAAPAAAAAAAAAAEAIAAAACIAAABkcnMvZG93bnJldi54bWxQSwECFAAUAAAACACHTuJAMy8F&#10;njsAAAA5AAAAEAAAAAAAAAABACAAAAAMAQAAZHJzL3NoYXBleG1sLnhtbFBLBQYAAAAABgAGAFsB&#10;AAC2AwAAAAA=&#10;">
                    <v:fill on="f" focussize="0,0"/>
                    <v:stroke weight="1.5pt" color="#000000" joinstyle="round" endarrow="open"/>
                    <v:imagedata o:title=""/>
                    <o:lock v:ext="edit" aspectratio="f"/>
                  </v:line>
                  <v:line id="Line 15" o:spid="_x0000_s1026" o:spt="20" style="position:absolute;left:3700;top:9633;flip:y;height:757;width:505;rotation:-3669412f;" filled="f" stroked="t" coordsize="21600,21600" o:gfxdata="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eiyFy5AAAA3AAA&#10;AA8AAAAAAAAAAQAgAAAAIgAAAGRycy9kb3ducmV2LnhtbFBLAQIUABQAAAAIAIdO4kAzLwWeOwAA&#10;ADkAAAAQAAAAAAAAAAEAIAAAAAgBAABkcnMvc2hhcGV4bWwueG1sUEsFBgAAAAAGAAYAWwEAALID&#10;AAAAAA==&#10;">
                    <v:fill on="f" focussize="0,0"/>
                    <v:stroke weight="1.5pt" color="#000000" joinstyle="round" endarrow="open"/>
                    <v:imagedata o:title=""/>
                    <o:lock v:ext="edit" aspectratio="f"/>
                  </v:line>
                  <v:line id="Line 16" o:spid="_x0000_s1026" o:spt="20" style="position:absolute;left:5108;top:9585;flip:y;height:790;width:567;rotation:-3669412f;" filled="f" stroked="t" coordsize="21600,21600" o:gfxdata="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7m3HvQAA&#10;ANwAAAAPAAAAAAAAAAEAIAAAACIAAABkcnMvZG93bnJldi54bWxQSwECFAAUAAAACACHTuJAMy8F&#10;njsAAAA5AAAAEAAAAAAAAAABACAAAAAMAQAAZHJzL3NoYXBleG1sLnhtbFBLBQYAAAAABgAGAFsB&#10;AAC2AwAAAAA=&#10;">
                    <v:fill on="f" focussize="0,0"/>
                    <v:stroke weight="1.5pt" color="#000000" joinstyle="round" endarrow="open"/>
                    <v:imagedata o:title=""/>
                    <o:lock v:ext="edit" aspectratio="f"/>
                  </v:line>
                  <v:line id="Line 17" o:spid="_x0000_s1026" o:spt="20" style="position:absolute;left:2188;top:11166;flip:y;height:1636;width:1104;rotation:471658f;" filled="f" stroked="t" coordsize="21600,21600" o:gfxdata="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cSoY7sAAADc&#10;AAAADwAAAAAAAAABACAAAAAiAAAAZHJzL2Rvd25yZXYueG1sUEsBAhQAFAAAAAgAh07iQDMvBZ47&#10;AAAAOQAAABAAAAAAAAAAAQAgAAAACgEAAGRycy9zaGFwZXhtbC54bWxQSwUGAAAAAAYABgBbAQAA&#10;tAMAAAAA&#10;">
                    <v:fill on="f" focussize="0,0"/>
                    <v:stroke weight="1.5pt" color="#000000" joinstyle="round" endarrow="open"/>
                    <v:imagedata o:title=""/>
                    <o:lock v:ext="edit" aspectratio="f"/>
                  </v:line>
                  <v:line id="Line 18" o:spid="_x0000_s1026" o:spt="20" style="position:absolute;left:3334;top:11135;flip:y;height:1667;width:1143;rotation:471658f;" filled="f" stroked="t" coordsize="21600,21600" o:gfxdata="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ogN+LsAAADc&#10;AAAADwAAAAAAAAABACAAAAAiAAAAZHJzL2Rvd25yZXYueG1sUEsBAhQAFAAAAAgAh07iQDMvBZ47&#10;AAAAOQAAABAAAAAAAAAAAQAgAAAACgEAAGRycy9zaGFwZXhtbC54bWxQSwUGAAAAAAYABgBbAQAA&#10;tAMAAAAA&#10;">
                    <v:fill on="f" focussize="0,0"/>
                    <v:stroke weight="1.5pt" color="#000000" joinstyle="round" endarrow="open"/>
                    <v:imagedata o:title=""/>
                    <o:lock v:ext="edit" aspectratio="f"/>
                  </v:line>
                  <v:line id="Line 19" o:spid="_x0000_s1026" o:spt="20" style="position:absolute;left:4477;top:11185;flip:y;height:1658;width:1080;rotation:471658f;" filled="f" stroked="t" coordsize="21600,21600" o:gfxdata="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WGVjLsAAADc&#10;AAAADwAAAAAAAAABACAAAAAiAAAAZHJzL2Rvd25yZXYueG1sUEsBAhQAFAAAAAgAh07iQDMvBZ47&#10;AAAAOQAAABAAAAAAAAAAAQAgAAAACgEAAGRycy9zaGFwZXhtbC54bWxQSwUGAAAAAAYABgBbAQAA&#10;tAMAAAAA&#10;">
                    <v:fill on="f" focussize="0,0"/>
                    <v:stroke weight="1.5pt" color="#000000" joinstyle="round" endarrow="open"/>
                    <v:imagedata o:title=""/>
                    <o:lock v:ext="edit" aspectratio="f"/>
                  </v:line>
                  <v:line id="Line 20" o:spid="_x0000_s1026" o:spt="20" style="position:absolute;left:5652;top:11090;flip:y;height:1711;width:1092;rotation:471658f;" filled="f" stroked="t" coordsize="21600,21600" o:gfxdata="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i0wF7sAAADc&#10;AAAADwAAAAAAAAABACAAAAAiAAAAZHJzL2Rvd25yZXYueG1sUEsBAhQAFAAAAAgAh07iQDMvBZ47&#10;AAAAOQAAABAAAAAAAAAAAQAgAAAACgEAAGRycy9zaGFwZXhtbC54bWxQSwUGAAAAAAYABgBbAQAA&#10;tAMAAAAA&#10;">
                    <v:fill on="f" focussize="0,0"/>
                    <v:stroke weight="1.5pt" color="#000000" joinstyle="round" endarrow="open"/>
                    <v:imagedata o:title=""/>
                    <o:lock v:ext="edit" aspectratio="f"/>
                  </v:line>
                  <v:line id="Line 21" o:spid="_x0000_s1026" o:spt="20" style="position:absolute;left:6315;top:11824;flip:y;height:956;width:680;rotation:8137790f;" filled="f" stroked="t" coordsize="21600,21600" o:gfxdata="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VAdJK/&#10;AAAA3AAAAA8AAAAAAAAAAQAgAAAAIgAAAGRycy9kb3ducmV2LnhtbFBLAQIUABQAAAAIAIdO4kAz&#10;LwWeOwAAADkAAAAQAAAAAAAAAAEAIAAAAA4BAABkcnMvc2hhcGV4bWwueG1sUEsFBgAAAAAGAAYA&#10;WwEAALgDAAAAAA==&#10;">
                    <v:fill on="f" focussize="0,0"/>
                    <v:stroke weight="1.5pt" color="#000000" joinstyle="round" endarrow="open"/>
                    <v:imagedata o:title=""/>
                    <o:lock v:ext="edit" aspectratio="f"/>
                  </v:line>
                  <v:line id="Line 22" o:spid="_x0000_s1026" o:spt="20" style="position:absolute;left:3988;top:11920;flip:y;height:770;width:566;rotation:-3669412f;" filled="f" stroked="t" coordsize="21600,21600" o:gfxdata="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clRFvQAA&#10;ANwAAAAPAAAAAAAAAAEAIAAAACIAAABkcnMvZG93bnJldi54bWxQSwECFAAUAAAACACHTuJAMy8F&#10;njsAAAA5AAAAEAAAAAAAAAABACAAAAAMAQAAZHJzL3NoYXBleG1sLnhtbFBLBQYAAAAABgAGAFsB&#10;AAC2AwAAAAA=&#10;">
                    <v:fill on="f" focussize="0,0"/>
                    <v:stroke weight="1.5pt" color="#000000" joinstyle="round" endarrow="open"/>
                    <v:imagedata o:title=""/>
                    <o:lock v:ext="edit" aspectratio="f"/>
                  </v:line>
                  <v:line id="Line 23" o:spid="_x0000_s1026" o:spt="20" style="position:absolute;left:2813;top:12206;flip:y;height:753;width:523;rotation:-3669412f;" filled="f" stroked="t" coordsize="21600,21600" o:gfxdata="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T7x3r4A&#10;AADcAAAADwAAAAAAAAABACAAAAAiAAAAZHJzL2Rvd25yZXYueG1sUEsBAhQAFAAAAAgAh07iQDMv&#10;BZ47AAAAOQAAABAAAAAAAAAAAQAgAAAADQEAAGRycy9zaGFwZXhtbC54bWxQSwUGAAAAAAYABgBb&#10;AQAAtwMAAAAA&#10;">
                    <v:fill on="f" focussize="0,0"/>
                    <v:stroke weight="1.5pt" color="#000000" joinstyle="round" endarrow="open"/>
                    <v:imagedata o:title=""/>
                    <o:lock v:ext="edit" aspectratio="f"/>
                  </v:line>
                  <v:line id="Line 24" o:spid="_x0000_s1026" o:spt="20" style="position:absolute;left:5094;top:12055;flip:y;height:751;width:545;rotation:-3669412f;" filled="f" stroked="t" coordsize="21600,21600" o:gfxdata="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exvqb4A&#10;AADcAAAADwAAAAAAAAABACAAAAAiAAAAZHJzL2Rvd25yZXYueG1sUEsBAhQAFAAAAAgAh07iQDMv&#10;BZ47AAAAOQAAABAAAAAAAAAAAQAgAAAADQEAAGRycy9zaGFwZXhtbC54bWxQSwUGAAAAAAYABgBb&#10;AQAAtwMAAAAA&#10;">
                    <v:fill on="f" focussize="0,0"/>
                    <v:stroke weight="1.5pt" color="#000000" joinstyle="round" endarrow="open"/>
                    <v:imagedata o:title=""/>
                    <o:lock v:ext="edit" aspectratio="f"/>
                  </v:line>
                  <v:rect id="Rectangle 25" o:spid="_x0000_s1026" o:spt="1" style="position:absolute;left:5044;top:11972;height:367;width:903;" fillcolor="#FFFFFF" filled="t" stroked="f" coordsize="21600,21600" o:gfxdata="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Ho8FvQAA&#10;ANwAAAAPAAAAAAAAAAEAIAAAACIAAABkcnMvZG93bnJldi54bWxQSwECFAAUAAAACACHTuJAMy8F&#10;njsAAAA5AAAAEAAAAAAAAAABACAAAAAMAQAAZHJzL3NoYXBleG1sLnhtbFBLBQYAAAAABgAGAFsB&#10;AAC2AwAAAAA=&#10;">
                    <v:fill on="t" opacity="0f" focussize="0,0"/>
                    <v:stroke on="f"/>
                    <v:imagedata o:title=""/>
                    <o:lock v:ext="edit" aspectratio="f"/>
                    <v:textbox inset="6.91196850393701pt,3.4559842519685pt,6.91196850393701pt,3.4559842519685pt">
                      <w:txbxContent>
                        <w:p w14:paraId="30AA11CC">
                          <w:pPr>
                            <w:jc w:val="center"/>
                            <w:rPr>
                              <w:rFonts w:ascii="宋体" w:hAnsi="宋体"/>
                              <w:b w:val="0"/>
                              <w:sz w:val="20"/>
                            </w:rPr>
                          </w:pPr>
                          <w:r>
                            <w:rPr>
                              <w:rFonts w:hint="eastAsia" w:ascii="宋体" w:hAnsi="宋体"/>
                              <w:b w:val="0"/>
                              <w:sz w:val="20"/>
                            </w:rPr>
                            <w:t>吸湿受潮</w:t>
                          </w:r>
                        </w:p>
                      </w:txbxContent>
                    </v:textbox>
                  </v:rect>
                  <v:line id="Line 26" o:spid="_x0000_s1026" o:spt="20" style="position:absolute;left:3095;top:11708;flip:y;height:730;width:514;rotation:-3669412f;" filled="f" stroked="t" coordsize="21600,21600" o:gfxdata="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z9eQLsAAADc&#10;AAAADwAAAAAAAAABACAAAAAiAAAAZHJzL2Rvd25yZXYueG1sUEsBAhQAFAAAAAgAh07iQDMvBZ47&#10;AAAAOQAAABAAAAAAAAAAAQAgAAAACgEAAGRycy9zaGFwZXhtbC54bWxQSwUGAAAAAAYABgBbAQAA&#10;tAMAAAAA&#10;">
                    <v:fill on="f" focussize="0,0"/>
                    <v:stroke weight="1.5pt" color="#000000" joinstyle="round" endarrow="open"/>
                    <v:imagedata o:title=""/>
                    <o:lock v:ext="edit" aspectratio="f"/>
                  </v:line>
                  <v:rect id="Rectangle 27" o:spid="_x0000_s1026" o:spt="1" style="position:absolute;left:5801;top:9392;height:350;width:735;" fillcolor="#FFFFFF" filled="t" stroked="f" coordsize="21600,21600" o:gfxdata="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Nvuy/&#10;AAAA3AAAAA8AAAAAAAAAAQAgAAAAIgAAAGRycy9kb3ducmV2LnhtbFBLAQIUABQAAAAIAIdO4kAz&#10;LwWeOwAAADkAAAAQAAAAAAAAAAEAIAAAAA4BAABkcnMvc2hhcGV4bWwueG1sUEsFBgAAAAAGAAYA&#10;WwEAALgDAAAAAA==&#10;">
                    <v:fill on="t" opacity="0f" focussize="0,0"/>
                    <v:stroke on="f"/>
                    <v:imagedata o:title=""/>
                    <o:lock v:ext="edit" aspectratio="f"/>
                    <v:textbox inset="6.91196850393701pt,3.4559842519685pt,6.91196850393701pt,3.4559842519685pt">
                      <w:txbxContent>
                        <w:p w14:paraId="06049C89">
                          <w:pPr>
                            <w:jc w:val="center"/>
                            <w:rPr>
                              <w:rFonts w:ascii="宋体" w:hAnsi="宋体"/>
                              <w:b w:val="0"/>
                              <w:sz w:val="20"/>
                            </w:rPr>
                          </w:pPr>
                          <w:r>
                            <w:rPr>
                              <w:rFonts w:hint="eastAsia" w:ascii="宋体" w:hAnsi="宋体"/>
                              <w:b w:val="0"/>
                              <w:sz w:val="20"/>
                            </w:rPr>
                            <w:t>热积聚</w:t>
                          </w:r>
                        </w:p>
                      </w:txbxContent>
                    </v:textbox>
                  </v:rect>
                  <v:rect id="Rectangle 28" o:spid="_x0000_s1026" o:spt="1" style="position:absolute;left:5801;top:10264;height:440;width:624;" fillcolor="#FFFFFF" filled="t" stroked="f" coordsize="21600,21600" o:gfxdata="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JvdzLsAAADc&#10;AAAADwAAAAAAAAABACAAAAAiAAAAZHJzL2Rvd25yZXYueG1sUEsBAhQAFAAAAAgAh07iQDMvBZ47&#10;AAAAOQAAABAAAAAAAAAAAQAgAAAACgEAAGRycy9zaGFwZXhtbC54bWxQSwUGAAAAAAYABgBbAQAA&#10;tAMAAAAA&#10;">
                    <v:fill on="t" opacity="0f" focussize="0,0"/>
                    <v:stroke on="f"/>
                    <v:imagedata o:title=""/>
                    <o:lock v:ext="edit" aspectratio="f"/>
                    <v:textbox inset="6.91196850393701pt,3.4559842519685pt,6.91196850393701pt,3.4559842519685pt">
                      <w:txbxContent>
                        <w:p w14:paraId="0FC7ECB8">
                          <w:pPr>
                            <w:jc w:val="center"/>
                            <w:rPr>
                              <w:rFonts w:ascii="宋体" w:hAnsi="宋体"/>
                              <w:b w:val="0"/>
                              <w:sz w:val="20"/>
                            </w:rPr>
                          </w:pPr>
                          <w:r>
                            <w:rPr>
                              <w:rFonts w:hint="eastAsia" w:ascii="宋体" w:hAnsi="宋体"/>
                              <w:b w:val="0"/>
                              <w:sz w:val="20"/>
                            </w:rPr>
                            <w:t>自燃</w:t>
                          </w:r>
                        </w:p>
                      </w:txbxContent>
                    </v:textbox>
                  </v:rect>
                  <v:rect id="Rectangle 29" o:spid="_x0000_s1026" o:spt="1" style="position:absolute;left:4915;top:9551;height:367;width:733;" fillcolor="#FFFFFF" filled="t" stroked="f" coordsize="21600,21600" o:gfxdata="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13hXvQAA&#10;ANwAAAAPAAAAAAAAAAEAIAAAACIAAABkcnMvZG93bnJldi54bWxQSwECFAAUAAAACACHTuJAMy8F&#10;njsAAAA5AAAAEAAAAAAAAAABACAAAAAMAQAAZHJzL3NoYXBleG1sLnhtbFBLBQYAAAAABgAGAFsB&#10;AAC2AwAAAAA=&#10;">
                    <v:fill on="t" opacity="0f" focussize="0,0"/>
                    <v:stroke on="f"/>
                    <v:imagedata o:title=""/>
                    <o:lock v:ext="edit" aspectratio="f"/>
                    <v:textbox inset="6.91196850393701pt,3.4559842519685pt,6.91196850393701pt,3.4559842519685pt">
                      <w:txbxContent>
                        <w:p w14:paraId="39EDB87E">
                          <w:pPr>
                            <w:jc w:val="center"/>
                            <w:rPr>
                              <w:rFonts w:ascii="宋体" w:hAnsi="宋体"/>
                              <w:b w:val="0"/>
                              <w:sz w:val="20"/>
                            </w:rPr>
                          </w:pPr>
                          <w:r>
                            <w:rPr>
                              <w:rFonts w:hint="eastAsia" w:ascii="宋体" w:hAnsi="宋体"/>
                              <w:b w:val="0"/>
                              <w:sz w:val="20"/>
                            </w:rPr>
                            <w:t>热分解</w:t>
                          </w:r>
                        </w:p>
                      </w:txbxContent>
                    </v:textbox>
                  </v:rect>
                  <v:rect id="Rectangle 30" o:spid="_x0000_s1026" o:spt="1" style="position:absolute;left:4114;top:10264;height:367;width:930;" fillcolor="#FFFFFF" filled="t" stroked="f" coordsize="21600,21600" o:gfxdata="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wXmIL4A&#10;AADcAAAADwAAAAAAAAABACAAAAAiAAAAZHJzL2Rvd25yZXYueG1sUEsBAhQAFAAAAAgAh07iQDMv&#10;BZ47AAAAOQAAABAAAAAAAAAAAQAgAAAADQEAAGRycy9zaGFwZXhtbC54bWxQSwUGAAAAAAYABgBb&#10;AQAAtwMAAAAA&#10;">
                    <v:fill on="t" opacity="0f" focussize="0,0"/>
                    <v:stroke on="f"/>
                    <v:imagedata o:title=""/>
                    <o:lock v:ext="edit" aspectratio="f"/>
                    <v:textbox inset="6.91196850393701pt,3.4559842519685pt,6.91196850393701pt,3.4559842519685pt">
                      <w:txbxContent>
                        <w:p w14:paraId="09592425">
                          <w:pPr>
                            <w:jc w:val="center"/>
                            <w:rPr>
                              <w:rFonts w:ascii="宋体" w:hAnsi="宋体"/>
                              <w:b w:val="0"/>
                              <w:sz w:val="20"/>
                            </w:rPr>
                          </w:pPr>
                          <w:r>
                            <w:rPr>
                              <w:rFonts w:hint="eastAsia" w:ascii="宋体" w:hAnsi="宋体"/>
                              <w:b w:val="0"/>
                              <w:sz w:val="20"/>
                            </w:rPr>
                            <w:t>摩擦撞击</w:t>
                          </w:r>
                        </w:p>
                      </w:txbxContent>
                    </v:textbox>
                  </v:rect>
                  <v:rect id="Rectangle 31" o:spid="_x0000_s1026" o:spt="1" style="position:absolute;left:4781;top:11421;height:367;width:777;" fillcolor="#FFFFFF" filled="t" stroked="f" coordsize="21600,21600" o:gfxdata="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ElDu74A&#10;AADcAAAADwAAAAAAAAABACAAAAAiAAAAZHJzL2Rvd25yZXYueG1sUEsBAhQAFAAAAAgAh07iQDMv&#10;BZ47AAAAOQAAABAAAAAAAAAAAQAgAAAADQEAAGRycy9zaGFwZXhtbC54bWxQSwUGAAAAAAYABgBb&#10;AQAAtwMAAAAA&#10;">
                    <v:fill on="t" opacity="0f" focussize="0,0"/>
                    <v:stroke on="f"/>
                    <v:imagedata o:title=""/>
                    <o:lock v:ext="edit" aspectratio="f"/>
                    <v:textbox inset="6.91196850393701pt,3.4559842519685pt,6.91196850393701pt,3.4559842519685pt">
                      <w:txbxContent>
                        <w:p w14:paraId="52F68F38">
                          <w:pPr>
                            <w:jc w:val="center"/>
                            <w:rPr>
                              <w:rFonts w:ascii="宋体" w:hAnsi="宋体"/>
                              <w:b w:val="0"/>
                              <w:sz w:val="20"/>
                            </w:rPr>
                          </w:pPr>
                          <w:r>
                            <w:rPr>
                              <w:rFonts w:hint="eastAsia" w:ascii="宋体" w:hAnsi="宋体"/>
                              <w:b w:val="0"/>
                              <w:sz w:val="20"/>
                            </w:rPr>
                            <w:t>雷击</w:t>
                          </w:r>
                        </w:p>
                      </w:txbxContent>
                    </v:textbox>
                  </v:rect>
                  <v:rect id="Rectangle 32" o:spid="_x0000_s1026" o:spt="1" style="position:absolute;left:5801;top:11421;height:367;width:988;" fillcolor="#FFFFFF" filled="t" stroked="f" coordsize="21600,21600" o:gfxdata="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6Dbz74A&#10;AADcAAAADwAAAAAAAAABACAAAAAiAAAAZHJzL2Rvd25yZXYueG1sUEsBAhQAFAAAAAgAh07iQDMv&#10;BZ47AAAAOQAAABAAAAAAAAAAAQAgAAAADQEAAGRycy9zaGFwZXhtbC54bWxQSwUGAAAAAAYABgBb&#10;AQAAtwMAAAAA&#10;">
                    <v:fill on="t" opacity="0f" focussize="0,0"/>
                    <v:stroke on="f"/>
                    <v:imagedata o:title=""/>
                    <o:lock v:ext="edit" aspectratio="f"/>
                    <v:textbox inset="6.91196850393701pt,3.4559842519685pt,6.91196850393701pt,3.4559842519685pt">
                      <w:txbxContent>
                        <w:p w14:paraId="3B7CB61F">
                          <w:pPr>
                            <w:jc w:val="center"/>
                            <w:rPr>
                              <w:rFonts w:ascii="宋体" w:hAnsi="宋体"/>
                              <w:b w:val="0"/>
                              <w:sz w:val="20"/>
                            </w:rPr>
                          </w:pPr>
                          <w:r>
                            <w:rPr>
                              <w:rFonts w:hint="eastAsia" w:ascii="宋体" w:hAnsi="宋体"/>
                              <w:b w:val="0"/>
                              <w:sz w:val="20"/>
                            </w:rPr>
                            <w:t>化学反应</w:t>
                          </w:r>
                        </w:p>
                      </w:txbxContent>
                    </v:textbox>
                  </v:rect>
                  <v:rect id="Rectangle 33" o:spid="_x0000_s1026" o:spt="1" style="position:absolute;left:3674;top:11421;height:367;width:700;" fillcolor="#FFFFFF" filled="t" stroked="f" coordsize="21600,21600" o:gfxdata="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Ox+VL4A&#10;AADcAAAADwAAAAAAAAABACAAAAAiAAAAZHJzL2Rvd25yZXYueG1sUEsBAhQAFAAAAAgAh07iQDMv&#10;BZ47AAAAOQAAABAAAAAAAAAAAQAgAAAADQEAAGRycy9zaGFwZXhtbC54bWxQSwUGAAAAAAYABgBb&#10;AQAAtwMAAAAA&#10;">
                    <v:fill on="t" opacity="0f" focussize="0,0"/>
                    <v:stroke on="f"/>
                    <v:imagedata o:title=""/>
                    <o:lock v:ext="edit" aspectratio="f"/>
                    <v:textbox inset="6.91196850393701pt,3.4559842519685pt,6.91196850393701pt,3.4559842519685pt">
                      <w:txbxContent>
                        <w:p w14:paraId="0B8B8170">
                          <w:pPr>
                            <w:jc w:val="center"/>
                            <w:rPr>
                              <w:rFonts w:ascii="宋体" w:hAnsi="宋体"/>
                              <w:b w:val="0"/>
                              <w:sz w:val="20"/>
                            </w:rPr>
                          </w:pPr>
                          <w:r>
                            <w:rPr>
                              <w:rFonts w:hint="eastAsia" w:ascii="宋体" w:hAnsi="宋体"/>
                              <w:b w:val="0"/>
                              <w:sz w:val="20"/>
                            </w:rPr>
                            <w:t>明火</w:t>
                          </w:r>
                        </w:p>
                      </w:txbxContent>
                    </v:textbox>
                  </v:rect>
                  <v:rect id="Rectangle 34" o:spid="_x0000_s1026" o:spt="1" style="position:absolute;left:2522;top:11421;height:367;width:935;" fillcolor="#FFFFFF" filled="t" stroked="f" coordsize="21600,21600" o:gfxdata="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PuAjvQAA&#10;ANwAAAAPAAAAAAAAAAEAIAAAACIAAABkcnMvZG93bnJldi54bWxQSwECFAAUAAAACACHTuJAMy8F&#10;njsAAAA5AAAAEAAAAAAAAAABACAAAAAMAQAAZHJzL3NoYXBleG1sLnhtbFBLBQYAAAAABgAGAFsB&#10;AAC2AwAAAAA=&#10;">
                    <v:fill on="t" opacity="0f" focussize="0,0"/>
                    <v:stroke on="f"/>
                    <v:imagedata o:title=""/>
                    <o:lock v:ext="edit" aspectratio="f"/>
                    <v:textbox inset="6.91196850393701pt,3.4559842519685pt,6.91196850393701pt,3.4559842519685pt">
                      <w:txbxContent>
                        <w:p w14:paraId="4BE150D7">
                          <w:pPr>
                            <w:jc w:val="center"/>
                            <w:rPr>
                              <w:rFonts w:ascii="宋体" w:hAnsi="宋体"/>
                              <w:b w:val="0"/>
                              <w:sz w:val="20"/>
                            </w:rPr>
                          </w:pPr>
                          <w:r>
                            <w:rPr>
                              <w:rFonts w:hint="eastAsia" w:ascii="宋体" w:hAnsi="宋体"/>
                              <w:b w:val="0"/>
                              <w:sz w:val="20"/>
                            </w:rPr>
                            <w:t>静电火花</w:t>
                          </w:r>
                        </w:p>
                      </w:txbxContent>
                    </v:textbox>
                  </v:rect>
                  <v:rect id="Rectangle 35" o:spid="_x0000_s1026" o:spt="1" style="position:absolute;left:2699;top:10264;height:367;width:635;" fillcolor="#FFFFFF" filled="t" stroked="f" coordsize="21600,21600" o:gfxdata="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kW4vQAA&#10;ANwAAAAPAAAAAAAAAAEAIAAAACIAAABkcnMvZG93bnJldi54bWxQSwECFAAUAAAACACHTuJAMy8F&#10;njsAAAA5AAAAEAAAAAAAAAABACAAAAAMAQAAZHJzL3NoYXBleG1sLnhtbFBLBQYAAAAABgAGAFsB&#10;AAC2AwAAAAA=&#10;">
                    <v:fill on="t" opacity="0f" focussize="0,0"/>
                    <v:stroke on="f"/>
                    <v:imagedata o:title=""/>
                    <o:lock v:ext="edit" aspectratio="f"/>
                    <v:textbox inset="6.91196850393701pt,3.4559842519685pt,6.91196850393701pt,3.4559842519685pt">
                      <w:txbxContent>
                        <w:p w14:paraId="13A20C76">
                          <w:pPr>
                            <w:jc w:val="center"/>
                            <w:rPr>
                              <w:rFonts w:ascii="宋体" w:hAnsi="宋体"/>
                              <w:b w:val="0"/>
                              <w:sz w:val="20"/>
                            </w:rPr>
                          </w:pPr>
                          <w:r>
                            <w:rPr>
                              <w:rFonts w:hint="eastAsia" w:ascii="宋体" w:hAnsi="宋体"/>
                              <w:b w:val="0"/>
                              <w:sz w:val="20"/>
                            </w:rPr>
                            <w:t>高温</w:t>
                          </w:r>
                        </w:p>
                      </w:txbxContent>
                    </v:textbox>
                  </v:rect>
                  <v:rect id="Rectangle 36" o:spid="_x0000_s1026" o:spt="1" style="position:absolute;left:6276;top:11849;height:367;width:1036;" fillcolor="#FFFFFF" filled="t" stroked="f" coordsize="21600,21600" o:gfxdata="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u3RyrsAAADc&#10;AAAADwAAAAAAAAABACAAAAAiAAAAZHJzL2Rvd25yZXYueG1sUEsBAhQAFAAAAAgAh07iQDMvBZ47&#10;AAAAOQAAABAAAAAAAAAAAQAgAAAACgEAAGRycy9zaGFwZXhtbC54bWxQSwUGAAAAAAYABgBbAQAA&#10;tAMAAAAA&#10;">
                    <v:fill on="t" opacity="0f" focussize="0,0"/>
                    <v:stroke on="f"/>
                    <v:imagedata o:title=""/>
                    <o:lock v:ext="edit" aspectratio="f"/>
                    <v:textbox inset="6.91196850393701pt,3.4559842519685pt,6.91196850393701pt,3.4559842519685pt">
                      <w:txbxContent>
                        <w:p w14:paraId="2EEE09C6">
                          <w:pPr>
                            <w:jc w:val="center"/>
                            <w:rPr>
                              <w:rFonts w:ascii="宋体" w:hAnsi="宋体"/>
                              <w:b w:val="0"/>
                              <w:sz w:val="20"/>
                            </w:rPr>
                          </w:pPr>
                          <w:r>
                            <w:rPr>
                              <w:rFonts w:hint="eastAsia" w:ascii="宋体" w:hAnsi="宋体"/>
                              <w:b w:val="0"/>
                              <w:sz w:val="20"/>
                            </w:rPr>
                            <w:t>接触反应</w:t>
                          </w:r>
                        </w:p>
                      </w:txbxContent>
                    </v:textbox>
                  </v:rect>
                  <v:rect id="Rectangle 37" o:spid="_x0000_s1026" o:spt="1" style="position:absolute;left:2699;top:12164;height:335;width:593;" fillcolor="#FFFFFF" filled="t" stroked="f" coordsize="21600,21600" o:gfxdata="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GhdFG/&#10;AAAA3AAAAA8AAAAAAAAAAQAgAAAAIgAAAGRycy9kb3ducmV2LnhtbFBLAQIUABQAAAAIAIdO4kAz&#10;LwWeOwAAADkAAAAQAAAAAAAAAAEAIAAAAA4BAABkcnMvc2hhcGV4bWwueG1sUEsFBgAAAAAGAAYA&#10;WwEAALgDAAAAAA==&#10;">
                    <v:fill on="t" opacity="0f" focussize="0,0"/>
                    <v:stroke on="f"/>
                    <v:imagedata o:title=""/>
                    <o:lock v:ext="edit" aspectratio="f"/>
                    <v:textbox inset="6.91196850393701pt,3.4559842519685pt,6.91196850393701pt,3.4559842519685pt">
                      <w:txbxContent>
                        <w:p w14:paraId="6EBA8CC1">
                          <w:pPr>
                            <w:jc w:val="center"/>
                            <w:rPr>
                              <w:rFonts w:ascii="宋体" w:hAnsi="宋体"/>
                              <w:b w:val="0"/>
                              <w:sz w:val="20"/>
                            </w:rPr>
                          </w:pPr>
                          <w:r>
                            <w:rPr>
                              <w:rFonts w:hint="eastAsia" w:ascii="宋体" w:hAnsi="宋体"/>
                              <w:b w:val="0"/>
                              <w:sz w:val="20"/>
                            </w:rPr>
                            <w:t>吸烟</w:t>
                          </w:r>
                        </w:p>
                      </w:txbxContent>
                    </v:textbox>
                  </v:rect>
                  <v:rect id="Rectangle 38" o:spid="_x0000_s1026" o:spt="1" style="position:absolute;left:2966;top:11719;height:315;width:777;" fillcolor="#FFFFFF" filled="t" stroked="f" coordsize="21600,21600" o:gfxdata="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1QksRugAAANwA&#10;AAAPAAAAAAAAAAEAIAAAACIAAABkcnMvZG93bnJldi54bWxQSwECFAAUAAAACACHTuJAMy8FnjsA&#10;AAA5AAAAEAAAAAAAAAABACAAAAAJAQAAZHJzL3NoYXBleG1sLnhtbFBLBQYAAAAABgAGAFsBAACz&#10;AwAAAAA=&#10;">
                    <v:fill on="t" opacity="0f" focussize="0,0"/>
                    <v:stroke on="f"/>
                    <v:imagedata o:title=""/>
                    <o:lock v:ext="edit" aspectratio="f"/>
                    <v:textbox inset="6.91196850393701pt,3.4559842519685pt,6.91196850393701pt,3.4559842519685pt">
                      <w:txbxContent>
                        <w:p w14:paraId="59BB2AA0">
                          <w:pPr>
                            <w:jc w:val="center"/>
                            <w:rPr>
                              <w:rFonts w:ascii="宋体" w:hAnsi="宋体"/>
                              <w:b w:val="0"/>
                              <w:sz w:val="20"/>
                            </w:rPr>
                          </w:pPr>
                          <w:r>
                            <w:rPr>
                              <w:rFonts w:hint="eastAsia" w:ascii="宋体" w:hAnsi="宋体"/>
                              <w:b w:val="0"/>
                              <w:sz w:val="20"/>
                            </w:rPr>
                            <w:t>电火花</w:t>
                          </w:r>
                        </w:p>
                      </w:txbxContent>
                    </v:textbox>
                  </v:rect>
                  <v:rect id="Rectangle 39" o:spid="_x0000_s1026" o:spt="1" style="position:absolute;left:3916;top:11959;height:315;width:933;" fillcolor="#FFFFFF" filled="t" stroked="f" coordsize="21600,21600" o:gfxdata="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g7uir4A&#10;AADcAAAADwAAAAAAAAABACAAAAAiAAAAZHJzL2Rvd25yZXYueG1sUEsBAhQAFAAAAAgAh07iQDMv&#10;BZ47AAAAOQAAABAAAAAAAAAAAQAgAAAADQEAAGRycy9zaGFwZXhtbC54bWxQSwUGAAAAAAYABgBb&#10;AQAAtwMAAAAA&#10;">
                    <v:fill on="t" opacity="0f" focussize="0,0"/>
                    <v:stroke on="f"/>
                    <v:imagedata o:title=""/>
                    <o:lock v:ext="edit" aspectratio="f"/>
                    <v:textbox inset="6.91196850393701pt,3.4559842519685pt,6.91196850393701pt,3.4559842519685pt">
                      <w:txbxContent>
                        <w:p w14:paraId="02B64664">
                          <w:pPr>
                            <w:jc w:val="center"/>
                            <w:rPr>
                              <w:rFonts w:ascii="宋体" w:hAnsi="宋体"/>
                              <w:b w:val="0"/>
                              <w:sz w:val="20"/>
                            </w:rPr>
                          </w:pPr>
                          <w:r>
                            <w:rPr>
                              <w:rFonts w:hint="eastAsia" w:ascii="宋体" w:hAnsi="宋体"/>
                              <w:b w:val="0"/>
                              <w:sz w:val="20"/>
                            </w:rPr>
                            <w:t>环境因素</w:t>
                          </w:r>
                        </w:p>
                      </w:txbxContent>
                    </v:textbox>
                  </v:rect>
                  <v:rect id="Rectangle 40" o:spid="_x0000_s1026" o:spt="1" style="position:absolute;left:3186;top:9619;height:367;width:928;" fillcolor="#FFFFFF" filled="t" stroked="f" coordsize="21600,21600" o:gfxdata="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txw/b4A&#10;AADcAAAADwAAAAAAAAABACAAAAAiAAAAZHJzL2Rvd25yZXYueG1sUEsBAhQAFAAAAAgAh07iQDMv&#10;BZ47AAAAOQAAABAAAAAAAAAAAQAgAAAADQEAAGRycy9zaGFwZXhtbC54bWxQSwUGAAAAAAYABgBb&#10;AQAAtwMAAAAA&#10;">
                    <v:fill on="t" opacity="0f" focussize="0,0"/>
                    <v:stroke on="f"/>
                    <v:imagedata o:title=""/>
                    <o:lock v:ext="edit" aspectratio="f"/>
                    <v:textbox inset="6.91196850393701pt,3.4559842519685pt,6.91196850393701pt,3.4559842519685pt">
                      <w:txbxContent>
                        <w:p w14:paraId="6889DCE0">
                          <w:pPr>
                            <w:jc w:val="center"/>
                            <w:rPr>
                              <w:rFonts w:ascii="宋体" w:hAnsi="宋体"/>
                              <w:b w:val="0"/>
                              <w:sz w:val="20"/>
                            </w:rPr>
                          </w:pPr>
                          <w:r>
                            <w:rPr>
                              <w:rFonts w:hint="eastAsia" w:ascii="宋体" w:hAnsi="宋体"/>
                              <w:b w:val="0"/>
                              <w:sz w:val="20"/>
                            </w:rPr>
                            <w:t>硬质工具</w:t>
                          </w:r>
                        </w:p>
                      </w:txbxContent>
                    </v:textbox>
                  </v:rect>
                  <v:line id="Line 41" o:spid="_x0000_s1026" o:spt="20" style="position:absolute;left:2811;top:9471;flip:y;height:476;width:315;rotation:8137790f;" filled="f" stroked="t" coordsize="21600,21600" o:gfxdata="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QaRFw&#10;wAAAANwAAAAPAAAAAAAAAAEAIAAAACIAAABkcnMvZG93bnJldi54bWxQSwECFAAUAAAACACHTuJA&#10;My8FnjsAAAA5AAAAEAAAAAAAAAABACAAAAAPAQAAZHJzL3NoYXBleG1sLnhtbFBLBQYAAAAABgAG&#10;AFsBAAC5AwAAAAA=&#10;">
                    <v:fill on="f" focussize="0,0"/>
                    <v:stroke weight="1.5pt" color="#000000" joinstyle="round" endarrow="open"/>
                    <v:imagedata o:title=""/>
                    <o:lock v:ext="edit" aspectratio="f"/>
                  </v:line>
                  <v:rect id="Rectangle 42" o:spid="_x0000_s1026" o:spt="1" style="position:absolute;left:2731;top:9311;height:339;width:562;" fillcolor="#FFFFFF" filled="t" stroked="f" coordsize="21600,21600" o:gfxdata="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nlNEr4A&#10;AADcAAAADwAAAAAAAAABACAAAAAiAAAAZHJzL2Rvd25yZXYueG1sUEsBAhQAFAAAAAgAh07iQDMv&#10;BZ47AAAAOQAAABAAAAAAAAAAAQAgAAAADQEAAGRycy9zaGFwZXhtbC54bWxQSwUGAAAAAAYABgBb&#10;AQAAtwMAAAAA&#10;">
                    <v:fill on="t" opacity="0f" focussize="0,0"/>
                    <v:stroke on="f"/>
                    <v:imagedata o:title=""/>
                    <o:lock v:ext="edit" aspectratio="f"/>
                    <v:textbox inset="6.91196850393701pt,3.4559842519685pt,6.91196850393701pt,3.4559842519685pt">
                      <w:txbxContent>
                        <w:p w14:paraId="499D651A">
                          <w:pPr>
                            <w:rPr>
                              <w:rFonts w:ascii="宋体" w:hAnsi="宋体"/>
                              <w:b w:val="0"/>
                              <w:sz w:val="20"/>
                            </w:rPr>
                          </w:pPr>
                          <w:r>
                            <w:rPr>
                              <w:rFonts w:hint="eastAsia" w:ascii="宋体" w:hAnsi="宋体"/>
                              <w:b w:val="0"/>
                              <w:sz w:val="20"/>
                            </w:rPr>
                            <w:t>曝晒</w:t>
                          </w:r>
                        </w:p>
                      </w:txbxContent>
                    </v:textbox>
                  </v:rect>
                  <v:line id="Line 43" o:spid="_x0000_s1026" o:spt="20" style="position:absolute;left:1881;top:9625;flip:y;height:975;width:674;rotation:-3669412f;" filled="f" stroked="t" coordsize="21600,21600" o:gfxdata="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KLrb68AAAA&#10;3AAAAA8AAAAAAAAAAQAgAAAAIgAAAGRycy9kb3ducmV2LnhtbFBLAQIUABQAAAAIAIdO4kAzLwWe&#10;OwAAADkAAAAQAAAAAAAAAAEAIAAAAAsBAABkcnMvc2hhcGV4bWwueG1sUEsFBgAAAAAGAAYAWwEA&#10;ALUDAAAAAA==&#10;">
                    <v:fill on="f" focussize="0,0"/>
                    <v:stroke weight="1.5pt" color="#000000" joinstyle="round" endarrow="open"/>
                    <v:imagedata o:title=""/>
                    <o:lock v:ext="edit" aspectratio="f"/>
                  </v:line>
                  <v:rect id="Rectangle 44" o:spid="_x0000_s1026" o:spt="1" style="position:absolute;left:1631;top:9716;height:367;width:943;" fillcolor="#FFFFFF" filled="t" stroked="f" coordsize="21600,21600" o:gfxdata="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br/EL4A&#10;AADcAAAADwAAAAAAAAABACAAAAAiAAAAZHJzL2Rvd25yZXYueG1sUEsBAhQAFAAAAAgAh07iQDMv&#10;BZ47AAAAOQAAABAAAAAAAAAAAQAgAAAADQEAAGRycy9zaGFwZXhtbC54bWxQSwUGAAAAAAYABgBb&#10;AQAAtwMAAAAA&#10;">
                    <v:fill on="t" opacity="0f" focussize="0,0"/>
                    <v:stroke on="f"/>
                    <v:imagedata o:title=""/>
                    <o:lock v:ext="edit" aspectratio="f"/>
                    <v:textbox inset="6.91196850393701pt,3.4559842519685pt,6.91196850393701pt,3.4559842519685pt">
                      <w:txbxContent>
                        <w:p w14:paraId="3A4A9550">
                          <w:pPr>
                            <w:rPr>
                              <w:rFonts w:ascii="宋体" w:hAnsi="宋体"/>
                              <w:b w:val="0"/>
                              <w:sz w:val="20"/>
                            </w:rPr>
                          </w:pPr>
                          <w:r>
                            <w:rPr>
                              <w:rFonts w:hint="eastAsia" w:ascii="宋体" w:hAnsi="宋体"/>
                              <w:b w:val="0"/>
                              <w:sz w:val="20"/>
                            </w:rPr>
                            <w:t>玻璃聚焦</w:t>
                          </w:r>
                        </w:p>
                      </w:txbxContent>
                    </v:textbox>
                  </v:rect>
                  <v:rect id="Rectangle 45" o:spid="_x0000_s1026" o:spt="1" style="position:absolute;left:1977;top:10821;height:367;width:754;" fillcolor="#FFFFFF" filled="t" stroked="f" coordsize="21600,21600" o:gfxdata="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FWcBQugAAANwA&#10;AAAPAAAAAAAAAAEAIAAAACIAAABkcnMvZG93bnJldi54bWxQSwECFAAUAAAACACHTuJAMy8FnjsA&#10;AAA5AAAAEAAAAAAAAAABACAAAAAJAQAAZHJzL3NoYXBleG1sLnhtbFBLBQYAAAAABgAGAFsBAACz&#10;AwAAAAA=&#10;">
                    <v:fill on="t" opacity="0f" focussize="0,0"/>
                    <v:stroke on="f"/>
                    <v:imagedata o:title=""/>
                    <o:lock v:ext="edit" aspectratio="f"/>
                    <v:textbox inset="6.91196850393701pt,3.4559842519685pt,6.91196850393701pt,3.4559842519685pt">
                      <w:txbxContent>
                        <w:p w14:paraId="0DAC9066">
                          <w:pPr>
                            <w:rPr>
                              <w:rFonts w:ascii="宋体" w:hAnsi="宋体"/>
                              <w:b w:val="0"/>
                              <w:sz w:val="20"/>
                            </w:rPr>
                          </w:pPr>
                          <w:r>
                            <w:rPr>
                              <w:rFonts w:hint="eastAsia" w:ascii="宋体" w:hAnsi="宋体"/>
                              <w:b w:val="0"/>
                              <w:sz w:val="20"/>
                            </w:rPr>
                            <w:t>烟火药</w:t>
                          </w:r>
                        </w:p>
                      </w:txbxContent>
                    </v:textbox>
                  </v:rect>
                  <v:line id="Line 46" o:spid="_x0000_s1026" o:spt="20" style="position:absolute;left:4323;top:9473;flip:y;height:482;width:348;rotation:8137790f;" filled="f" stroked="t" coordsize="21600,21600" o:gfxdata="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sod2/&#10;AAAA3AAAAA8AAAAAAAAAAQAgAAAAIgAAAGRycy9kb3ducmV2LnhtbFBLAQIUABQAAAAIAIdO4kAz&#10;LwWeOwAAADkAAAAQAAAAAAAAAAEAIAAAAA4BAABkcnMvc2hhcGV4bWwueG1sUEsFBgAAAAAGAAYA&#10;WwEAALgDAAAAAA==&#10;">
                    <v:fill on="f" focussize="0,0"/>
                    <v:stroke weight="1.5pt" color="#000000" joinstyle="round" endarrow="open"/>
                    <v:imagedata o:title=""/>
                    <o:lock v:ext="edit" aspectratio="f"/>
                  </v:line>
                  <v:rect id="Rectangle 47" o:spid="_x0000_s1026" o:spt="1" style="position:absolute;left:4302;top:9309;height:341;width:613;" fillcolor="#FFFFFF" filled="t" stroked="f" coordsize="21600,21600" o:gfxdata="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x/u8vQAA&#10;ANwAAAAPAAAAAAAAAAEAIAAAACIAAABkcnMvZG93bnJldi54bWxQSwECFAAUAAAACACHTuJAMy8F&#10;njsAAAA5AAAAEAAAAAAAAAABACAAAAAMAQAAZHJzL3NoYXBleG1sLnhtbFBLBQYAAAAABgAGAFsB&#10;AAC2AwAAAAA=&#10;">
                    <v:fill on="t" opacity="0f" focussize="0,0"/>
                    <v:stroke on="f"/>
                    <v:imagedata o:title=""/>
                    <o:lock v:ext="edit" aspectratio="f"/>
                    <v:textbox inset="6.91196850393701pt,3.4559842519685pt,6.91196850393701pt,3.4559842519685pt">
                      <w:txbxContent>
                        <w:p w14:paraId="02872A9F">
                          <w:pPr>
                            <w:rPr>
                              <w:rFonts w:ascii="宋体" w:hAnsi="宋体"/>
                              <w:b w:val="0"/>
                              <w:sz w:val="20"/>
                            </w:rPr>
                          </w:pPr>
                          <w:r>
                            <w:rPr>
                              <w:rFonts w:hint="eastAsia" w:ascii="宋体" w:hAnsi="宋体"/>
                              <w:b w:val="0"/>
                              <w:sz w:val="20"/>
                            </w:rPr>
                            <w:t>坠落</w:t>
                          </w:r>
                        </w:p>
                      </w:txbxContent>
                    </v:textbox>
                  </v:rect>
                </v:group>
                <w10:wrap type="none"/>
                <w10:anchorlock/>
              </v:group>
            </w:pict>
          </mc:Fallback>
        </mc:AlternateContent>
      </w:r>
      <w:r>
        <w:rPr>
          <w:rFonts w:hint="eastAsia" w:ascii="黑体" w:hAnsi="宋体" w:eastAsia="黑体"/>
          <w:b w:val="0"/>
          <w:sz w:val="24"/>
        </w:rPr>
        <w:t>图3</w:t>
      </w:r>
      <w:r>
        <w:rPr>
          <w:rFonts w:ascii="黑体" w:hAnsi="宋体" w:eastAsia="黑体"/>
          <w:b w:val="0"/>
          <w:sz w:val="24"/>
        </w:rPr>
        <w:t xml:space="preserve">.13-1 </w:t>
      </w:r>
      <w:r>
        <w:rPr>
          <w:rFonts w:hint="eastAsia" w:ascii="黑体" w:hAnsi="宋体" w:eastAsia="黑体"/>
          <w:b w:val="0"/>
          <w:sz w:val="24"/>
        </w:rPr>
        <w:t>燃烧、爆炸触发条件分析图</w:t>
      </w:r>
    </w:p>
    <w:p w14:paraId="29C1DD74">
      <w:pPr>
        <w:spacing w:line="600" w:lineRule="exact"/>
        <w:ind w:firstLine="420" w:firstLineChars="150"/>
        <w:rPr>
          <w:rFonts w:ascii="宋体" w:hAnsi="宋体"/>
          <w:b w:val="0"/>
          <w:snapToGrid w:val="0"/>
          <w:sz w:val="28"/>
          <w:szCs w:val="28"/>
        </w:rPr>
      </w:pPr>
      <w:r>
        <w:rPr>
          <w:rFonts w:hint="eastAsia" w:ascii="宋体" w:hAnsi="宋体"/>
          <w:b w:val="0"/>
          <w:snapToGrid w:val="0"/>
          <w:sz w:val="28"/>
          <w:szCs w:val="28"/>
        </w:rPr>
        <w:t>（4）导致事故扩大的因素分析</w:t>
      </w:r>
    </w:p>
    <w:p w14:paraId="708D7CEC">
      <w:pPr>
        <w:spacing w:line="600" w:lineRule="exact"/>
        <w:ind w:firstLine="560" w:firstLineChars="200"/>
        <w:rPr>
          <w:rFonts w:ascii="宋体" w:hAnsi="宋体"/>
          <w:b w:val="0"/>
          <w:snapToGrid w:val="0"/>
          <w:sz w:val="28"/>
          <w:szCs w:val="28"/>
        </w:rPr>
      </w:pPr>
      <w:r>
        <w:rPr>
          <w:rFonts w:hint="eastAsia" w:ascii="宋体" w:hAnsi="宋体"/>
          <w:b w:val="0"/>
          <w:snapToGrid w:val="0"/>
          <w:sz w:val="28"/>
          <w:szCs w:val="28"/>
        </w:rPr>
        <w:t>根据烟花生产特性及烟花爆竹行业重大事故案例资料分析，导致烟花生产企业事故扩大的因素主要有：</w:t>
      </w:r>
    </w:p>
    <w:p w14:paraId="5D2FBF6E">
      <w:pPr>
        <w:spacing w:line="600" w:lineRule="exact"/>
        <w:ind w:firstLine="700" w:firstLineChars="250"/>
        <w:rPr>
          <w:rFonts w:ascii="宋体" w:hAnsi="宋体"/>
          <w:b w:val="0"/>
          <w:snapToGrid w:val="0"/>
          <w:sz w:val="28"/>
          <w:szCs w:val="28"/>
        </w:rPr>
      </w:pPr>
      <w:r>
        <w:rPr>
          <w:rFonts w:ascii="宋体" w:hAnsi="宋体"/>
          <w:b w:val="0"/>
          <w:snapToGrid w:val="0"/>
          <w:sz w:val="28"/>
          <w:szCs w:val="28"/>
        </w:rPr>
        <w:t>1</w:t>
      </w:r>
      <w:r>
        <w:rPr>
          <w:rFonts w:hint="eastAsia" w:ascii="宋体" w:hAnsi="宋体"/>
          <w:b w:val="0"/>
          <w:snapToGrid w:val="0"/>
          <w:sz w:val="28"/>
          <w:szCs w:val="28"/>
        </w:rPr>
        <w:t>）安全距离不够，防护屏障不符合要求，相邻工库房间发生连环爆炸。</w:t>
      </w:r>
    </w:p>
    <w:p w14:paraId="50BAACCD">
      <w:pPr>
        <w:spacing w:line="600" w:lineRule="exact"/>
        <w:ind w:firstLine="700" w:firstLineChars="250"/>
        <w:rPr>
          <w:rFonts w:ascii="宋体" w:hAnsi="宋体"/>
          <w:b w:val="0"/>
          <w:snapToGrid w:val="0"/>
          <w:sz w:val="28"/>
          <w:szCs w:val="28"/>
        </w:rPr>
      </w:pPr>
      <w:r>
        <w:rPr>
          <w:rFonts w:ascii="宋体" w:hAnsi="宋体"/>
          <w:b w:val="0"/>
          <w:snapToGrid w:val="0"/>
          <w:sz w:val="28"/>
          <w:szCs w:val="28"/>
        </w:rPr>
        <w:t>2</w:t>
      </w:r>
      <w:r>
        <w:rPr>
          <w:rFonts w:hint="eastAsia" w:ascii="宋体" w:hAnsi="宋体"/>
          <w:b w:val="0"/>
          <w:snapToGrid w:val="0"/>
          <w:sz w:val="28"/>
          <w:szCs w:val="28"/>
        </w:rPr>
        <w:t>）擅自改变工房用途，在低危险等级建筑物内从事高危险等级建筑物内的作业。</w:t>
      </w:r>
    </w:p>
    <w:p w14:paraId="558BCD14">
      <w:pPr>
        <w:spacing w:line="600" w:lineRule="exact"/>
        <w:ind w:firstLine="700" w:firstLineChars="250"/>
        <w:rPr>
          <w:rFonts w:ascii="宋体" w:hAnsi="宋体"/>
          <w:b w:val="0"/>
          <w:snapToGrid w:val="0"/>
          <w:sz w:val="28"/>
          <w:szCs w:val="28"/>
        </w:rPr>
      </w:pPr>
      <w:r>
        <w:rPr>
          <w:rFonts w:ascii="宋体" w:hAnsi="宋体"/>
          <w:b w:val="0"/>
          <w:snapToGrid w:val="0"/>
          <w:sz w:val="28"/>
          <w:szCs w:val="28"/>
        </w:rPr>
        <w:t>3</w:t>
      </w:r>
      <w:r>
        <w:rPr>
          <w:rFonts w:hint="eastAsia" w:ascii="宋体" w:hAnsi="宋体"/>
          <w:b w:val="0"/>
          <w:snapToGrid w:val="0"/>
          <w:sz w:val="28"/>
          <w:szCs w:val="28"/>
        </w:rPr>
        <w:t>）工库房超量存放危险品。</w:t>
      </w:r>
    </w:p>
    <w:p w14:paraId="2FF97997">
      <w:pPr>
        <w:spacing w:line="600" w:lineRule="exact"/>
        <w:ind w:firstLine="700" w:firstLineChars="250"/>
        <w:rPr>
          <w:rFonts w:ascii="宋体" w:hAnsi="宋体"/>
          <w:b w:val="0"/>
          <w:snapToGrid w:val="0"/>
          <w:sz w:val="28"/>
          <w:szCs w:val="28"/>
        </w:rPr>
      </w:pPr>
      <w:r>
        <w:rPr>
          <w:rFonts w:ascii="宋体" w:hAnsi="宋体"/>
          <w:b w:val="0"/>
          <w:snapToGrid w:val="0"/>
          <w:sz w:val="28"/>
          <w:szCs w:val="28"/>
        </w:rPr>
        <w:t>4</w:t>
      </w:r>
      <w:r>
        <w:rPr>
          <w:rFonts w:hint="eastAsia" w:ascii="宋体" w:hAnsi="宋体"/>
          <w:b w:val="0"/>
          <w:snapToGrid w:val="0"/>
          <w:sz w:val="28"/>
          <w:szCs w:val="28"/>
        </w:rPr>
        <w:t>）疏散通道不畅或无关人员出入危险品作业场所。</w:t>
      </w:r>
    </w:p>
    <w:p w14:paraId="4401D86D">
      <w:pPr>
        <w:spacing w:line="600" w:lineRule="exact"/>
        <w:ind w:firstLine="700" w:firstLineChars="250"/>
        <w:rPr>
          <w:rFonts w:ascii="宋体" w:hAnsi="宋体"/>
          <w:b w:val="0"/>
          <w:snapToGrid w:val="0"/>
          <w:sz w:val="28"/>
          <w:szCs w:val="28"/>
        </w:rPr>
      </w:pPr>
      <w:r>
        <w:rPr>
          <w:rFonts w:ascii="宋体" w:hAnsi="宋体"/>
          <w:b w:val="0"/>
          <w:snapToGrid w:val="0"/>
          <w:sz w:val="28"/>
          <w:szCs w:val="28"/>
        </w:rPr>
        <w:t>5</w:t>
      </w:r>
      <w:r>
        <w:rPr>
          <w:rFonts w:hint="eastAsia" w:ascii="宋体" w:hAnsi="宋体"/>
          <w:b w:val="0"/>
          <w:snapToGrid w:val="0"/>
          <w:sz w:val="28"/>
          <w:szCs w:val="28"/>
        </w:rPr>
        <w:t>）工库房建筑强度不够，易在冲击波冲击波作用下倒塌。</w:t>
      </w:r>
    </w:p>
    <w:p w14:paraId="0BC84FAE">
      <w:pPr>
        <w:spacing w:line="600" w:lineRule="exact"/>
        <w:ind w:firstLine="700" w:firstLineChars="250"/>
        <w:rPr>
          <w:rFonts w:ascii="宋体" w:hAnsi="宋体"/>
          <w:b w:val="0"/>
          <w:snapToGrid w:val="0"/>
          <w:sz w:val="28"/>
          <w:szCs w:val="28"/>
        </w:rPr>
      </w:pPr>
      <w:r>
        <w:rPr>
          <w:rFonts w:ascii="宋体" w:hAnsi="宋体"/>
          <w:b w:val="0"/>
          <w:snapToGrid w:val="0"/>
          <w:sz w:val="28"/>
          <w:szCs w:val="28"/>
        </w:rPr>
        <w:t>6</w:t>
      </w:r>
      <w:r>
        <w:rPr>
          <w:rFonts w:hint="eastAsia" w:ascii="宋体" w:hAnsi="宋体"/>
          <w:b w:val="0"/>
          <w:snapToGrid w:val="0"/>
          <w:sz w:val="28"/>
          <w:szCs w:val="28"/>
        </w:rPr>
        <w:t>）应急救援措施失效。</w:t>
      </w:r>
    </w:p>
    <w:p w14:paraId="1E465682">
      <w:pPr>
        <w:spacing w:line="600" w:lineRule="exact"/>
        <w:outlineLvl w:val="2"/>
        <w:rPr>
          <w:rFonts w:ascii="黑体" w:hAnsi="黑体" w:eastAsia="黑体"/>
          <w:b w:val="0"/>
          <w:sz w:val="30"/>
          <w:szCs w:val="30"/>
        </w:rPr>
      </w:pPr>
      <w:bookmarkStart w:id="505" w:name="_Toc326007677"/>
      <w:bookmarkStart w:id="506" w:name="_Toc335902420"/>
      <w:bookmarkStart w:id="507" w:name="_Toc325531553"/>
      <w:bookmarkStart w:id="508" w:name="_Toc299549428"/>
      <w:bookmarkStart w:id="509" w:name="_Toc60129125"/>
      <w:bookmarkStart w:id="510" w:name="_Toc181194091"/>
      <w:bookmarkStart w:id="511" w:name="_Toc326823029"/>
      <w:bookmarkStart w:id="512" w:name="_Toc145275218"/>
      <w:bookmarkStart w:id="513" w:name="_Toc173077684"/>
      <w:bookmarkStart w:id="514" w:name="_Toc280010185"/>
      <w:bookmarkStart w:id="515" w:name="_Toc301365472"/>
      <w:bookmarkStart w:id="516" w:name="_Toc58862010"/>
      <w:bookmarkStart w:id="517" w:name="_Toc58946842"/>
      <w:bookmarkStart w:id="518" w:name="_Toc148037013"/>
      <w:r>
        <w:rPr>
          <w:rFonts w:hint="eastAsia" w:ascii="黑体" w:hAnsi="黑体" w:eastAsia="黑体"/>
          <w:b w:val="0"/>
          <w:sz w:val="30"/>
          <w:szCs w:val="30"/>
        </w:rPr>
        <w:t>3.1</w:t>
      </w:r>
      <w:r>
        <w:rPr>
          <w:rFonts w:ascii="黑体" w:hAnsi="黑体" w:eastAsia="黑体"/>
          <w:b w:val="0"/>
          <w:sz w:val="30"/>
          <w:szCs w:val="30"/>
        </w:rPr>
        <w:t>3</w:t>
      </w:r>
      <w:r>
        <w:rPr>
          <w:rFonts w:hint="eastAsia" w:ascii="黑体" w:hAnsi="黑体" w:eastAsia="黑体"/>
          <w:b w:val="0"/>
          <w:sz w:val="30"/>
          <w:szCs w:val="30"/>
        </w:rPr>
        <w:t>.2电伤害</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14:paraId="119C5566">
      <w:pPr>
        <w:spacing w:line="600" w:lineRule="exact"/>
        <w:ind w:firstLine="560" w:firstLineChars="200"/>
        <w:rPr>
          <w:rFonts w:ascii="宋体" w:hAnsi="宋体"/>
          <w:b w:val="0"/>
          <w:snapToGrid w:val="0"/>
          <w:sz w:val="28"/>
          <w:szCs w:val="28"/>
        </w:rPr>
      </w:pPr>
      <w:r>
        <w:rPr>
          <w:rFonts w:hint="eastAsia" w:ascii="宋体" w:hAnsi="宋体"/>
          <w:b w:val="0"/>
          <w:snapToGrid w:val="0"/>
          <w:sz w:val="28"/>
          <w:szCs w:val="28"/>
        </w:rPr>
        <w:t>电伤害包括静电危害、电气事故危害和雷电灾害，雷电灾害已在“3.</w:t>
      </w:r>
      <w:r>
        <w:rPr>
          <w:rFonts w:ascii="宋体" w:hAnsi="宋体"/>
          <w:b w:val="0"/>
          <w:snapToGrid w:val="0"/>
          <w:sz w:val="28"/>
          <w:szCs w:val="28"/>
        </w:rPr>
        <w:t>9</w:t>
      </w:r>
      <w:r>
        <w:rPr>
          <w:rFonts w:hint="eastAsia" w:ascii="宋体" w:hAnsi="宋体"/>
          <w:b w:val="0"/>
          <w:snapToGrid w:val="0"/>
          <w:sz w:val="28"/>
          <w:szCs w:val="28"/>
        </w:rPr>
        <w:t>.1自然环境危险有害因素”章节中进行了辨识、分析，此处不再重复。</w:t>
      </w:r>
    </w:p>
    <w:p w14:paraId="78CEA729">
      <w:pPr>
        <w:spacing w:line="600" w:lineRule="exact"/>
        <w:ind w:firstLine="420" w:firstLineChars="150"/>
        <w:rPr>
          <w:rFonts w:ascii="宋体" w:hAnsi="宋体"/>
          <w:b w:val="0"/>
          <w:snapToGrid w:val="0"/>
          <w:sz w:val="28"/>
          <w:szCs w:val="28"/>
        </w:rPr>
      </w:pPr>
      <w:r>
        <w:rPr>
          <w:rFonts w:hint="eastAsia" w:ascii="宋体" w:hAnsi="宋体"/>
          <w:b w:val="0"/>
          <w:snapToGrid w:val="0"/>
          <w:sz w:val="28"/>
          <w:szCs w:val="28"/>
        </w:rPr>
        <w:t>（1）静电危害</w:t>
      </w:r>
    </w:p>
    <w:p w14:paraId="623EC17C">
      <w:pPr>
        <w:spacing w:line="600" w:lineRule="exact"/>
        <w:ind w:firstLine="560" w:firstLineChars="200"/>
        <w:rPr>
          <w:rFonts w:ascii="宋体" w:hAnsi="宋体"/>
          <w:b w:val="0"/>
          <w:snapToGrid w:val="0"/>
          <w:sz w:val="28"/>
          <w:szCs w:val="28"/>
        </w:rPr>
      </w:pPr>
      <w:r>
        <w:rPr>
          <w:rFonts w:hint="eastAsia" w:ascii="宋体" w:hAnsi="宋体"/>
          <w:b w:val="0"/>
          <w:snapToGrid w:val="0"/>
          <w:sz w:val="28"/>
          <w:szCs w:val="28"/>
        </w:rPr>
        <w:t>静电是不同物质的物体之间相互摩擦或接触时产生的，有引起火灾爆炸成为点火源的危害，烟花生产中的操作人员、工装器具均处于运动状态，烟火药是电的不良导体，在各涉药工序的加工、操作过程中极易产生静电积累，若工库房内空气干燥，地、台面导电条件差以及工装器具材料绝缘性强都会导致静电积累，一旦具备静电放电条件就会产生静电放电火花，当火花能量大于烟火药的最小发火能，就可能引起火灾和爆炸事故。</w:t>
      </w:r>
    </w:p>
    <w:p w14:paraId="27C4EDDE">
      <w:pPr>
        <w:spacing w:line="600" w:lineRule="exact"/>
        <w:ind w:firstLine="560" w:firstLineChars="200"/>
        <w:rPr>
          <w:rFonts w:ascii="宋体" w:hAnsi="宋体"/>
          <w:b w:val="0"/>
          <w:snapToGrid w:val="0"/>
          <w:sz w:val="28"/>
          <w:szCs w:val="28"/>
        </w:rPr>
      </w:pPr>
      <w:r>
        <w:rPr>
          <w:rFonts w:hint="eastAsia" w:ascii="宋体" w:hAnsi="宋体"/>
          <w:b w:val="0"/>
          <w:snapToGrid w:val="0"/>
          <w:sz w:val="28"/>
          <w:szCs w:val="28"/>
        </w:rPr>
        <w:t>本项目中，下面一些工序和设备容易产生静电。</w:t>
      </w:r>
    </w:p>
    <w:p w14:paraId="09897DEF">
      <w:pPr>
        <w:spacing w:line="600" w:lineRule="exact"/>
        <w:ind w:firstLine="560" w:firstLineChars="200"/>
        <w:rPr>
          <w:rFonts w:ascii="宋体" w:hAnsi="宋体"/>
          <w:b w:val="0"/>
          <w:snapToGrid w:val="0"/>
          <w:sz w:val="28"/>
          <w:szCs w:val="28"/>
        </w:rPr>
      </w:pPr>
      <w:r>
        <w:rPr>
          <w:rFonts w:hint="eastAsia" w:ascii="宋体" w:hAnsi="宋体"/>
          <w:b w:val="0"/>
          <w:snapToGrid w:val="0"/>
          <w:sz w:val="28"/>
          <w:szCs w:val="28"/>
        </w:rPr>
        <w:t>①烟火药在搅拌、混合时也会产生静电。</w:t>
      </w:r>
    </w:p>
    <w:p w14:paraId="7A5FCDCE">
      <w:pPr>
        <w:spacing w:line="600" w:lineRule="exact"/>
        <w:ind w:firstLine="560" w:firstLineChars="200"/>
        <w:rPr>
          <w:rFonts w:ascii="宋体" w:hAnsi="宋体"/>
          <w:b w:val="0"/>
          <w:snapToGrid w:val="0"/>
          <w:sz w:val="28"/>
          <w:szCs w:val="28"/>
        </w:rPr>
      </w:pPr>
      <w:r>
        <w:rPr>
          <w:rFonts w:hint="eastAsia" w:ascii="宋体" w:hAnsi="宋体"/>
          <w:b w:val="0"/>
          <w:snapToGrid w:val="0"/>
          <w:sz w:val="28"/>
          <w:szCs w:val="28"/>
        </w:rPr>
        <w:t>②化学原材料在筛选、混合和酒精喷成雾状时，都会产生静电。</w:t>
      </w:r>
    </w:p>
    <w:p w14:paraId="1E337CCD">
      <w:pPr>
        <w:spacing w:line="600" w:lineRule="exact"/>
        <w:ind w:firstLine="560" w:firstLineChars="200"/>
        <w:rPr>
          <w:rFonts w:ascii="宋体" w:hAnsi="宋体"/>
          <w:b w:val="0"/>
          <w:snapToGrid w:val="0"/>
          <w:sz w:val="28"/>
          <w:szCs w:val="28"/>
        </w:rPr>
      </w:pPr>
      <w:r>
        <w:rPr>
          <w:rFonts w:hint="eastAsia" w:ascii="宋体" w:hAnsi="宋体"/>
          <w:b w:val="0"/>
          <w:snapToGrid w:val="0"/>
          <w:sz w:val="28"/>
          <w:szCs w:val="28"/>
        </w:rPr>
        <w:t>③倾倒烟火药或用瓢舀取烟火药时会因摩擦产生静电。</w:t>
      </w:r>
    </w:p>
    <w:p w14:paraId="66E6F654">
      <w:pPr>
        <w:spacing w:line="600" w:lineRule="exact"/>
        <w:ind w:firstLine="560" w:firstLineChars="200"/>
        <w:rPr>
          <w:rFonts w:ascii="宋体" w:hAnsi="宋体"/>
          <w:b w:val="0"/>
          <w:snapToGrid w:val="0"/>
          <w:sz w:val="28"/>
          <w:szCs w:val="28"/>
        </w:rPr>
      </w:pPr>
      <w:r>
        <w:rPr>
          <w:rFonts w:hint="eastAsia" w:ascii="宋体" w:hAnsi="宋体"/>
          <w:b w:val="0"/>
          <w:snapToGrid w:val="0"/>
          <w:sz w:val="28"/>
          <w:szCs w:val="28"/>
        </w:rPr>
        <w:t>④操作人员穿化纤衣服、塑料鞋底和橡胶鞋操作或走路时都会带电，如果不能接地把静电导走，就会积累。这时若接触不带电的烟火药，就可能发生静电放电，引起烟火药的燃烧或爆炸。</w:t>
      </w:r>
    </w:p>
    <w:p w14:paraId="76D832FC">
      <w:pPr>
        <w:spacing w:line="600" w:lineRule="exact"/>
        <w:ind w:firstLine="560" w:firstLineChars="200"/>
        <w:rPr>
          <w:rFonts w:ascii="宋体" w:hAnsi="宋体"/>
          <w:b w:val="0"/>
          <w:snapToGrid w:val="0"/>
          <w:sz w:val="28"/>
          <w:szCs w:val="28"/>
        </w:rPr>
      </w:pPr>
      <w:r>
        <w:rPr>
          <w:rFonts w:hint="eastAsia" w:ascii="宋体" w:hAnsi="宋体"/>
          <w:b w:val="0"/>
          <w:snapToGrid w:val="0"/>
          <w:sz w:val="28"/>
          <w:szCs w:val="28"/>
        </w:rPr>
        <w:t>另外，如人在未采取任何防护措施的情况下，不小心碰触聚集静电的物体，静电放电时产生的瞬间冲击电流，通过人体的某一部分，可能使人体受到伤害或引起二次伤害。静电还会引起人的恐惧和不适，静电放电会引起人体的疼痛、肌肉抽搐、麻木、动作失误，可能产生次生灾害。静电电击人体的反应见表3.1</w:t>
      </w:r>
      <w:r>
        <w:rPr>
          <w:rFonts w:ascii="宋体" w:hAnsi="宋体"/>
          <w:b w:val="0"/>
          <w:snapToGrid w:val="0"/>
          <w:sz w:val="28"/>
          <w:szCs w:val="28"/>
        </w:rPr>
        <w:t>3</w:t>
      </w:r>
      <w:r>
        <w:rPr>
          <w:rFonts w:hint="eastAsia" w:ascii="宋体" w:hAnsi="宋体"/>
          <w:b w:val="0"/>
          <w:snapToGrid w:val="0"/>
          <w:sz w:val="28"/>
          <w:szCs w:val="28"/>
        </w:rPr>
        <w:t>-2。</w:t>
      </w:r>
    </w:p>
    <w:p w14:paraId="2D0F8E73">
      <w:pPr>
        <w:jc w:val="center"/>
        <w:rPr>
          <w:rFonts w:ascii="黑体" w:hAnsi="宋体" w:eastAsia="黑体"/>
          <w:b w:val="0"/>
          <w:sz w:val="24"/>
        </w:rPr>
      </w:pPr>
      <w:r>
        <w:rPr>
          <w:rFonts w:hint="eastAsia" w:ascii="黑体" w:hAnsi="宋体" w:eastAsia="黑体"/>
          <w:b w:val="0"/>
          <w:sz w:val="24"/>
        </w:rPr>
        <w:t>表3.1</w:t>
      </w:r>
      <w:r>
        <w:rPr>
          <w:rFonts w:ascii="黑体" w:hAnsi="宋体" w:eastAsia="黑体"/>
          <w:b w:val="0"/>
          <w:sz w:val="24"/>
        </w:rPr>
        <w:t>3</w:t>
      </w:r>
      <w:r>
        <w:rPr>
          <w:rFonts w:hint="eastAsia" w:ascii="黑体" w:hAnsi="宋体" w:eastAsia="黑体"/>
          <w:b w:val="0"/>
          <w:sz w:val="24"/>
        </w:rPr>
        <w:t>-2 静电电击人体的反应</w:t>
      </w:r>
    </w:p>
    <w:tbl>
      <w:tblPr>
        <w:tblStyle w:val="88"/>
        <w:tblW w:w="5016"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427"/>
        <w:gridCol w:w="4145"/>
        <w:gridCol w:w="2746"/>
      </w:tblGrid>
      <w:tr w14:paraId="30C601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1" w:hRule="atLeast"/>
          <w:tblHeader/>
        </w:trPr>
        <w:tc>
          <w:tcPr>
            <w:tcW w:w="1302" w:type="pct"/>
            <w:vAlign w:val="center"/>
          </w:tcPr>
          <w:p w14:paraId="35F65A0D">
            <w:pPr>
              <w:jc w:val="center"/>
              <w:rPr>
                <w:rFonts w:ascii="宋体" w:hAnsi="宋体"/>
                <w:bCs/>
                <w:szCs w:val="21"/>
              </w:rPr>
            </w:pPr>
            <w:r>
              <w:rPr>
                <w:rFonts w:hint="eastAsia" w:ascii="宋体" w:hAnsi="宋体"/>
                <w:bCs/>
                <w:szCs w:val="21"/>
              </w:rPr>
              <w:t>人体带电电位（V）</w:t>
            </w:r>
          </w:p>
        </w:tc>
        <w:tc>
          <w:tcPr>
            <w:tcW w:w="2223" w:type="pct"/>
            <w:vAlign w:val="center"/>
          </w:tcPr>
          <w:p w14:paraId="5CC8B8DB">
            <w:pPr>
              <w:jc w:val="center"/>
              <w:rPr>
                <w:rFonts w:ascii="宋体" w:hAnsi="宋体"/>
                <w:bCs/>
                <w:szCs w:val="21"/>
              </w:rPr>
            </w:pPr>
            <w:r>
              <w:rPr>
                <w:rFonts w:hint="eastAsia" w:ascii="宋体" w:hAnsi="宋体"/>
                <w:bCs/>
                <w:szCs w:val="21"/>
              </w:rPr>
              <w:t>静电放电时人体感觉程度</w:t>
            </w:r>
          </w:p>
        </w:tc>
        <w:tc>
          <w:tcPr>
            <w:tcW w:w="1473" w:type="pct"/>
            <w:vAlign w:val="center"/>
          </w:tcPr>
          <w:p w14:paraId="13D25203">
            <w:pPr>
              <w:jc w:val="center"/>
              <w:rPr>
                <w:rFonts w:ascii="宋体" w:hAnsi="宋体"/>
                <w:bCs/>
                <w:szCs w:val="21"/>
              </w:rPr>
            </w:pPr>
            <w:r>
              <w:rPr>
                <w:rFonts w:hint="eastAsia" w:ascii="宋体" w:hAnsi="宋体"/>
                <w:bCs/>
                <w:szCs w:val="21"/>
              </w:rPr>
              <w:t>备注</w:t>
            </w:r>
          </w:p>
        </w:tc>
      </w:tr>
      <w:tr w14:paraId="38C19C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302" w:type="pct"/>
            <w:vAlign w:val="center"/>
          </w:tcPr>
          <w:p w14:paraId="0FF325F0">
            <w:pPr>
              <w:jc w:val="center"/>
              <w:rPr>
                <w:rFonts w:ascii="宋体" w:hAnsi="宋体"/>
                <w:b w:val="0"/>
                <w:szCs w:val="21"/>
              </w:rPr>
            </w:pPr>
            <w:r>
              <w:rPr>
                <w:rFonts w:hint="eastAsia" w:ascii="宋体" w:hAnsi="宋体"/>
                <w:b w:val="0"/>
                <w:szCs w:val="21"/>
              </w:rPr>
              <w:t>1000</w:t>
            </w:r>
          </w:p>
        </w:tc>
        <w:tc>
          <w:tcPr>
            <w:tcW w:w="2223" w:type="pct"/>
            <w:vAlign w:val="center"/>
          </w:tcPr>
          <w:p w14:paraId="4E68E1EE">
            <w:pPr>
              <w:jc w:val="center"/>
              <w:rPr>
                <w:rFonts w:ascii="宋体" w:hAnsi="宋体"/>
                <w:b w:val="0"/>
                <w:szCs w:val="21"/>
              </w:rPr>
            </w:pPr>
            <w:r>
              <w:rPr>
                <w:rFonts w:hint="eastAsia" w:ascii="宋体" w:hAnsi="宋体"/>
                <w:b w:val="0"/>
                <w:szCs w:val="21"/>
              </w:rPr>
              <w:t>没有感觉</w:t>
            </w:r>
          </w:p>
        </w:tc>
        <w:tc>
          <w:tcPr>
            <w:tcW w:w="1473" w:type="pct"/>
            <w:vAlign w:val="center"/>
          </w:tcPr>
          <w:p w14:paraId="6D73EDD3">
            <w:pPr>
              <w:jc w:val="center"/>
              <w:rPr>
                <w:rFonts w:ascii="宋体" w:hAnsi="宋体"/>
                <w:b w:val="0"/>
                <w:szCs w:val="21"/>
              </w:rPr>
            </w:pPr>
          </w:p>
        </w:tc>
      </w:tr>
      <w:tr w14:paraId="11F50D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302" w:type="pct"/>
            <w:vAlign w:val="center"/>
          </w:tcPr>
          <w:p w14:paraId="1B1FE0AF">
            <w:pPr>
              <w:jc w:val="center"/>
              <w:rPr>
                <w:rFonts w:ascii="宋体" w:hAnsi="宋体"/>
                <w:b w:val="0"/>
                <w:szCs w:val="21"/>
              </w:rPr>
            </w:pPr>
            <w:r>
              <w:rPr>
                <w:rFonts w:hint="eastAsia" w:ascii="宋体" w:hAnsi="宋体"/>
                <w:b w:val="0"/>
                <w:szCs w:val="21"/>
              </w:rPr>
              <w:t>2000</w:t>
            </w:r>
          </w:p>
        </w:tc>
        <w:tc>
          <w:tcPr>
            <w:tcW w:w="2223" w:type="pct"/>
            <w:vAlign w:val="center"/>
          </w:tcPr>
          <w:p w14:paraId="4E43E58F">
            <w:pPr>
              <w:jc w:val="center"/>
              <w:rPr>
                <w:rFonts w:ascii="宋体" w:hAnsi="宋体"/>
                <w:b w:val="0"/>
                <w:szCs w:val="21"/>
              </w:rPr>
            </w:pPr>
            <w:r>
              <w:rPr>
                <w:rFonts w:hint="eastAsia" w:ascii="宋体" w:hAnsi="宋体"/>
                <w:b w:val="0"/>
                <w:szCs w:val="21"/>
              </w:rPr>
              <w:t>手指外侧有感觉，但不痛</w:t>
            </w:r>
          </w:p>
        </w:tc>
        <w:tc>
          <w:tcPr>
            <w:tcW w:w="1473" w:type="pct"/>
            <w:vAlign w:val="center"/>
          </w:tcPr>
          <w:p w14:paraId="733B8F1A">
            <w:pPr>
              <w:jc w:val="center"/>
              <w:rPr>
                <w:rFonts w:ascii="宋体" w:hAnsi="宋体"/>
                <w:b w:val="0"/>
                <w:szCs w:val="21"/>
              </w:rPr>
            </w:pPr>
            <w:r>
              <w:rPr>
                <w:rFonts w:hint="eastAsia" w:ascii="宋体" w:hAnsi="宋体"/>
                <w:b w:val="0"/>
                <w:szCs w:val="21"/>
              </w:rPr>
              <w:t>产生微弱放电声</w:t>
            </w:r>
          </w:p>
        </w:tc>
      </w:tr>
      <w:tr w14:paraId="11B545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302" w:type="pct"/>
            <w:vAlign w:val="center"/>
          </w:tcPr>
          <w:p w14:paraId="49C5DAF3">
            <w:pPr>
              <w:jc w:val="center"/>
              <w:rPr>
                <w:rFonts w:ascii="宋体" w:hAnsi="宋体"/>
                <w:b w:val="0"/>
                <w:szCs w:val="21"/>
              </w:rPr>
            </w:pPr>
            <w:r>
              <w:rPr>
                <w:rFonts w:hint="eastAsia" w:ascii="宋体" w:hAnsi="宋体"/>
                <w:b w:val="0"/>
                <w:szCs w:val="21"/>
              </w:rPr>
              <w:t>3000</w:t>
            </w:r>
          </w:p>
        </w:tc>
        <w:tc>
          <w:tcPr>
            <w:tcW w:w="2223" w:type="pct"/>
            <w:vAlign w:val="center"/>
          </w:tcPr>
          <w:p w14:paraId="32D53A00">
            <w:pPr>
              <w:jc w:val="center"/>
              <w:rPr>
                <w:rFonts w:ascii="宋体" w:hAnsi="宋体"/>
                <w:b w:val="0"/>
                <w:szCs w:val="21"/>
              </w:rPr>
            </w:pPr>
            <w:r>
              <w:rPr>
                <w:rFonts w:hint="eastAsia" w:ascii="宋体" w:hAnsi="宋体"/>
                <w:b w:val="0"/>
                <w:szCs w:val="21"/>
              </w:rPr>
              <w:t>有微弱的刺痛感</w:t>
            </w:r>
          </w:p>
        </w:tc>
        <w:tc>
          <w:tcPr>
            <w:tcW w:w="1473" w:type="pct"/>
            <w:vAlign w:val="center"/>
          </w:tcPr>
          <w:p w14:paraId="5E586FEC">
            <w:pPr>
              <w:jc w:val="center"/>
              <w:rPr>
                <w:rFonts w:ascii="宋体" w:hAnsi="宋体"/>
                <w:b w:val="0"/>
                <w:szCs w:val="21"/>
              </w:rPr>
            </w:pPr>
          </w:p>
        </w:tc>
      </w:tr>
      <w:tr w14:paraId="358DD4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302" w:type="pct"/>
            <w:vAlign w:val="center"/>
          </w:tcPr>
          <w:p w14:paraId="79D17703">
            <w:pPr>
              <w:jc w:val="center"/>
              <w:rPr>
                <w:rFonts w:ascii="宋体" w:hAnsi="宋体"/>
                <w:b w:val="0"/>
                <w:szCs w:val="21"/>
              </w:rPr>
            </w:pPr>
            <w:r>
              <w:rPr>
                <w:rFonts w:hint="eastAsia" w:ascii="宋体" w:hAnsi="宋体"/>
                <w:b w:val="0"/>
                <w:szCs w:val="21"/>
              </w:rPr>
              <w:t>4000</w:t>
            </w:r>
          </w:p>
        </w:tc>
        <w:tc>
          <w:tcPr>
            <w:tcW w:w="2223" w:type="pct"/>
            <w:vAlign w:val="center"/>
          </w:tcPr>
          <w:p w14:paraId="68DE7B79">
            <w:pPr>
              <w:jc w:val="center"/>
              <w:rPr>
                <w:rFonts w:ascii="宋体" w:hAnsi="宋体"/>
                <w:b w:val="0"/>
                <w:szCs w:val="21"/>
              </w:rPr>
            </w:pPr>
            <w:r>
              <w:rPr>
                <w:rFonts w:hint="eastAsia" w:ascii="宋体" w:hAnsi="宋体"/>
                <w:b w:val="0"/>
                <w:szCs w:val="21"/>
              </w:rPr>
              <w:t>手指微痛感，如针刺感</w:t>
            </w:r>
          </w:p>
        </w:tc>
        <w:tc>
          <w:tcPr>
            <w:tcW w:w="1473" w:type="pct"/>
            <w:vAlign w:val="center"/>
          </w:tcPr>
          <w:p w14:paraId="202E42E1">
            <w:pPr>
              <w:jc w:val="center"/>
              <w:rPr>
                <w:rFonts w:ascii="宋体" w:hAnsi="宋体"/>
                <w:b w:val="0"/>
                <w:szCs w:val="21"/>
              </w:rPr>
            </w:pPr>
            <w:r>
              <w:rPr>
                <w:rFonts w:hint="eastAsia" w:ascii="宋体" w:hAnsi="宋体"/>
                <w:b w:val="0"/>
                <w:szCs w:val="21"/>
              </w:rPr>
              <w:t>可见到放电火花</w:t>
            </w:r>
          </w:p>
        </w:tc>
      </w:tr>
      <w:tr w14:paraId="586F8C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302" w:type="pct"/>
            <w:vAlign w:val="center"/>
          </w:tcPr>
          <w:p w14:paraId="597B13F7">
            <w:pPr>
              <w:jc w:val="center"/>
              <w:rPr>
                <w:rFonts w:ascii="宋体" w:hAnsi="宋体"/>
                <w:b w:val="0"/>
                <w:szCs w:val="21"/>
              </w:rPr>
            </w:pPr>
            <w:r>
              <w:rPr>
                <w:rFonts w:hint="eastAsia" w:ascii="宋体" w:hAnsi="宋体"/>
                <w:b w:val="0"/>
                <w:szCs w:val="21"/>
              </w:rPr>
              <w:t>5000</w:t>
            </w:r>
          </w:p>
        </w:tc>
        <w:tc>
          <w:tcPr>
            <w:tcW w:w="2223" w:type="pct"/>
            <w:vAlign w:val="center"/>
          </w:tcPr>
          <w:p w14:paraId="3E6D4711">
            <w:pPr>
              <w:jc w:val="center"/>
              <w:rPr>
                <w:rFonts w:ascii="宋体" w:hAnsi="宋体"/>
                <w:b w:val="0"/>
                <w:szCs w:val="21"/>
              </w:rPr>
            </w:pPr>
            <w:r>
              <w:rPr>
                <w:rFonts w:hint="eastAsia" w:ascii="宋体" w:hAnsi="宋体"/>
                <w:b w:val="0"/>
                <w:szCs w:val="21"/>
              </w:rPr>
              <w:t>手掌到手臂前半部有电极击痛感</w:t>
            </w:r>
          </w:p>
        </w:tc>
        <w:tc>
          <w:tcPr>
            <w:tcW w:w="1473" w:type="pct"/>
            <w:vAlign w:val="center"/>
          </w:tcPr>
          <w:p w14:paraId="6CCB4353">
            <w:pPr>
              <w:jc w:val="center"/>
              <w:rPr>
                <w:rFonts w:ascii="宋体" w:hAnsi="宋体"/>
                <w:b w:val="0"/>
                <w:szCs w:val="21"/>
              </w:rPr>
            </w:pPr>
            <w:r>
              <w:rPr>
                <w:rFonts w:hint="eastAsia" w:ascii="宋体" w:hAnsi="宋体"/>
                <w:b w:val="0"/>
                <w:szCs w:val="21"/>
              </w:rPr>
              <w:t>放电火花从手指延伸</w:t>
            </w:r>
          </w:p>
        </w:tc>
      </w:tr>
      <w:tr w14:paraId="0511EE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302" w:type="pct"/>
            <w:vAlign w:val="center"/>
          </w:tcPr>
          <w:p w14:paraId="35269600">
            <w:pPr>
              <w:jc w:val="center"/>
              <w:rPr>
                <w:rFonts w:ascii="宋体" w:hAnsi="宋体"/>
                <w:b w:val="0"/>
                <w:szCs w:val="21"/>
              </w:rPr>
            </w:pPr>
            <w:r>
              <w:rPr>
                <w:rFonts w:hint="eastAsia" w:ascii="宋体" w:hAnsi="宋体"/>
                <w:b w:val="0"/>
                <w:szCs w:val="21"/>
              </w:rPr>
              <w:t>6000</w:t>
            </w:r>
          </w:p>
        </w:tc>
        <w:tc>
          <w:tcPr>
            <w:tcW w:w="2223" w:type="pct"/>
            <w:vAlign w:val="center"/>
          </w:tcPr>
          <w:p w14:paraId="51908615">
            <w:pPr>
              <w:jc w:val="center"/>
              <w:rPr>
                <w:rFonts w:ascii="宋体" w:hAnsi="宋体"/>
                <w:b w:val="0"/>
                <w:szCs w:val="21"/>
              </w:rPr>
            </w:pPr>
            <w:r>
              <w:rPr>
                <w:rFonts w:hint="eastAsia" w:ascii="宋体" w:hAnsi="宋体"/>
                <w:b w:val="0"/>
                <w:szCs w:val="21"/>
              </w:rPr>
              <w:t>手指剧烈痛感，电击后手臂感觉沉重</w:t>
            </w:r>
          </w:p>
        </w:tc>
        <w:tc>
          <w:tcPr>
            <w:tcW w:w="1473" w:type="pct"/>
            <w:vAlign w:val="center"/>
          </w:tcPr>
          <w:p w14:paraId="7B788E31">
            <w:pPr>
              <w:jc w:val="center"/>
              <w:rPr>
                <w:rFonts w:ascii="宋体" w:hAnsi="宋体"/>
                <w:b w:val="0"/>
                <w:szCs w:val="21"/>
              </w:rPr>
            </w:pPr>
          </w:p>
        </w:tc>
      </w:tr>
      <w:tr w14:paraId="6CF941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302" w:type="pct"/>
            <w:vAlign w:val="center"/>
          </w:tcPr>
          <w:p w14:paraId="28303F49">
            <w:pPr>
              <w:jc w:val="center"/>
              <w:rPr>
                <w:rFonts w:ascii="宋体" w:hAnsi="宋体"/>
                <w:b w:val="0"/>
                <w:szCs w:val="21"/>
              </w:rPr>
            </w:pPr>
            <w:r>
              <w:rPr>
                <w:rFonts w:hint="eastAsia" w:ascii="宋体" w:hAnsi="宋体"/>
                <w:b w:val="0"/>
                <w:szCs w:val="21"/>
              </w:rPr>
              <w:t>7000</w:t>
            </w:r>
          </w:p>
        </w:tc>
        <w:tc>
          <w:tcPr>
            <w:tcW w:w="2223" w:type="pct"/>
            <w:vAlign w:val="center"/>
          </w:tcPr>
          <w:p w14:paraId="19D23F68">
            <w:pPr>
              <w:jc w:val="center"/>
              <w:rPr>
                <w:rFonts w:ascii="宋体" w:hAnsi="宋体"/>
                <w:b w:val="0"/>
                <w:szCs w:val="21"/>
              </w:rPr>
            </w:pPr>
            <w:r>
              <w:rPr>
                <w:rFonts w:hint="eastAsia" w:ascii="宋体" w:hAnsi="宋体"/>
                <w:b w:val="0"/>
                <w:szCs w:val="21"/>
              </w:rPr>
              <w:t>手指、手掌有强烈痛感，麻痹感</w:t>
            </w:r>
          </w:p>
        </w:tc>
        <w:tc>
          <w:tcPr>
            <w:tcW w:w="1473" w:type="pct"/>
            <w:vAlign w:val="center"/>
          </w:tcPr>
          <w:p w14:paraId="7EB4EB9D">
            <w:pPr>
              <w:jc w:val="center"/>
              <w:rPr>
                <w:rFonts w:ascii="宋体" w:hAnsi="宋体"/>
                <w:b w:val="0"/>
                <w:szCs w:val="21"/>
              </w:rPr>
            </w:pPr>
          </w:p>
        </w:tc>
      </w:tr>
      <w:tr w14:paraId="48F856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302" w:type="pct"/>
            <w:vAlign w:val="center"/>
          </w:tcPr>
          <w:p w14:paraId="7826586B">
            <w:pPr>
              <w:jc w:val="center"/>
              <w:rPr>
                <w:rFonts w:ascii="宋体" w:hAnsi="宋体"/>
                <w:b w:val="0"/>
                <w:szCs w:val="21"/>
              </w:rPr>
            </w:pPr>
            <w:r>
              <w:rPr>
                <w:rFonts w:hint="eastAsia" w:ascii="宋体" w:hAnsi="宋体"/>
                <w:b w:val="0"/>
                <w:szCs w:val="21"/>
              </w:rPr>
              <w:t>8000</w:t>
            </w:r>
          </w:p>
        </w:tc>
        <w:tc>
          <w:tcPr>
            <w:tcW w:w="2223" w:type="pct"/>
            <w:vAlign w:val="center"/>
          </w:tcPr>
          <w:p w14:paraId="7CEBA68E">
            <w:pPr>
              <w:jc w:val="center"/>
              <w:rPr>
                <w:rFonts w:ascii="宋体" w:hAnsi="宋体"/>
                <w:b w:val="0"/>
                <w:szCs w:val="21"/>
              </w:rPr>
            </w:pPr>
            <w:r>
              <w:rPr>
                <w:rFonts w:hint="eastAsia" w:ascii="宋体" w:hAnsi="宋体"/>
                <w:b w:val="0"/>
                <w:szCs w:val="21"/>
              </w:rPr>
              <w:t>从手掌到前臂的麻痹感</w:t>
            </w:r>
          </w:p>
        </w:tc>
        <w:tc>
          <w:tcPr>
            <w:tcW w:w="1473" w:type="pct"/>
            <w:vAlign w:val="center"/>
          </w:tcPr>
          <w:p w14:paraId="49B92947">
            <w:pPr>
              <w:jc w:val="center"/>
              <w:rPr>
                <w:rFonts w:ascii="宋体" w:hAnsi="宋体"/>
                <w:b w:val="0"/>
                <w:szCs w:val="21"/>
              </w:rPr>
            </w:pPr>
          </w:p>
        </w:tc>
      </w:tr>
      <w:tr w14:paraId="0823E6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302" w:type="pct"/>
            <w:vAlign w:val="center"/>
          </w:tcPr>
          <w:p w14:paraId="3A2555E8">
            <w:pPr>
              <w:jc w:val="center"/>
              <w:rPr>
                <w:rFonts w:ascii="宋体" w:hAnsi="宋体"/>
                <w:b w:val="0"/>
                <w:szCs w:val="21"/>
              </w:rPr>
            </w:pPr>
            <w:r>
              <w:rPr>
                <w:rFonts w:hint="eastAsia" w:ascii="宋体" w:hAnsi="宋体"/>
                <w:b w:val="0"/>
                <w:szCs w:val="21"/>
              </w:rPr>
              <w:t>9000</w:t>
            </w:r>
          </w:p>
        </w:tc>
        <w:tc>
          <w:tcPr>
            <w:tcW w:w="2223" w:type="pct"/>
            <w:vAlign w:val="center"/>
          </w:tcPr>
          <w:p w14:paraId="6A5D3942">
            <w:pPr>
              <w:jc w:val="center"/>
              <w:rPr>
                <w:rFonts w:ascii="宋体" w:hAnsi="宋体"/>
                <w:b w:val="0"/>
                <w:szCs w:val="21"/>
              </w:rPr>
            </w:pPr>
            <w:r>
              <w:rPr>
                <w:rFonts w:hint="eastAsia" w:ascii="宋体" w:hAnsi="宋体"/>
                <w:b w:val="0"/>
                <w:szCs w:val="21"/>
              </w:rPr>
              <w:t>手腕有强烈痛感，手掌有很强麻痹感</w:t>
            </w:r>
          </w:p>
        </w:tc>
        <w:tc>
          <w:tcPr>
            <w:tcW w:w="1473" w:type="pct"/>
            <w:vAlign w:val="center"/>
          </w:tcPr>
          <w:p w14:paraId="532ED86B">
            <w:pPr>
              <w:jc w:val="center"/>
              <w:rPr>
                <w:rFonts w:ascii="宋体" w:hAnsi="宋体"/>
                <w:b w:val="0"/>
                <w:szCs w:val="21"/>
              </w:rPr>
            </w:pPr>
          </w:p>
        </w:tc>
      </w:tr>
      <w:tr w14:paraId="6F2492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302" w:type="pct"/>
            <w:vAlign w:val="center"/>
          </w:tcPr>
          <w:p w14:paraId="071339D7">
            <w:pPr>
              <w:jc w:val="center"/>
              <w:rPr>
                <w:rFonts w:ascii="宋体" w:hAnsi="宋体"/>
                <w:b w:val="0"/>
                <w:szCs w:val="21"/>
              </w:rPr>
            </w:pPr>
            <w:r>
              <w:rPr>
                <w:rFonts w:hint="eastAsia" w:ascii="宋体" w:hAnsi="宋体"/>
                <w:b w:val="0"/>
                <w:szCs w:val="21"/>
              </w:rPr>
              <w:t>10000</w:t>
            </w:r>
          </w:p>
        </w:tc>
        <w:tc>
          <w:tcPr>
            <w:tcW w:w="2223" w:type="pct"/>
            <w:vAlign w:val="center"/>
          </w:tcPr>
          <w:p w14:paraId="56BEDC51">
            <w:pPr>
              <w:jc w:val="center"/>
              <w:rPr>
                <w:rFonts w:ascii="宋体" w:hAnsi="宋体"/>
                <w:b w:val="0"/>
                <w:szCs w:val="21"/>
              </w:rPr>
            </w:pPr>
            <w:r>
              <w:rPr>
                <w:rFonts w:hint="eastAsia" w:ascii="宋体" w:hAnsi="宋体"/>
                <w:b w:val="0"/>
                <w:szCs w:val="21"/>
              </w:rPr>
              <w:t>整个手都痛，感到电流流过</w:t>
            </w:r>
          </w:p>
        </w:tc>
        <w:tc>
          <w:tcPr>
            <w:tcW w:w="1473" w:type="pct"/>
            <w:vAlign w:val="center"/>
          </w:tcPr>
          <w:p w14:paraId="1B4C7738">
            <w:pPr>
              <w:jc w:val="center"/>
              <w:rPr>
                <w:rFonts w:ascii="宋体" w:hAnsi="宋体"/>
                <w:b w:val="0"/>
                <w:szCs w:val="21"/>
              </w:rPr>
            </w:pPr>
          </w:p>
        </w:tc>
      </w:tr>
    </w:tbl>
    <w:p w14:paraId="1C15135E">
      <w:pPr>
        <w:rPr>
          <w:rFonts w:hint="eastAsia" w:ascii="宋体" w:hAnsi="宋体"/>
          <w:b w:val="0"/>
          <w:snapToGrid w:val="0"/>
          <w:sz w:val="28"/>
          <w:szCs w:val="28"/>
        </w:rPr>
      </w:pPr>
      <w:r>
        <w:rPr>
          <w:rFonts w:hint="eastAsia" w:ascii="宋体" w:hAnsi="宋体"/>
          <w:b w:val="0"/>
          <w:snapToGrid w:val="0"/>
          <w:sz w:val="28"/>
          <w:szCs w:val="28"/>
        </w:rPr>
        <w:br w:type="page"/>
      </w:r>
    </w:p>
    <w:p w14:paraId="4E1BA4B5">
      <w:pPr>
        <w:spacing w:before="120" w:beforeLines="50" w:line="600" w:lineRule="exact"/>
        <w:ind w:firstLine="560" w:firstLineChars="200"/>
        <w:rPr>
          <w:rFonts w:ascii="宋体" w:hAnsi="宋体"/>
          <w:b w:val="0"/>
          <w:snapToGrid w:val="0"/>
          <w:sz w:val="28"/>
          <w:szCs w:val="28"/>
        </w:rPr>
      </w:pPr>
      <w:r>
        <w:rPr>
          <w:rFonts w:hint="eastAsia" w:ascii="宋体" w:hAnsi="宋体"/>
          <w:b w:val="0"/>
          <w:snapToGrid w:val="0"/>
          <w:sz w:val="28"/>
          <w:szCs w:val="28"/>
        </w:rPr>
        <w:t>（2）电气事故危害</w:t>
      </w:r>
    </w:p>
    <w:p w14:paraId="2A4D2F33">
      <w:pPr>
        <w:spacing w:line="600" w:lineRule="exact"/>
        <w:ind w:firstLine="560" w:firstLineChars="200"/>
        <w:rPr>
          <w:rFonts w:ascii="宋体" w:hAnsi="宋体"/>
          <w:b w:val="0"/>
          <w:snapToGrid w:val="0"/>
          <w:sz w:val="28"/>
          <w:szCs w:val="28"/>
        </w:rPr>
      </w:pPr>
      <w:r>
        <w:rPr>
          <w:rFonts w:hint="eastAsia" w:ascii="宋体" w:hAnsi="宋体"/>
          <w:b w:val="0"/>
          <w:snapToGrid w:val="0"/>
          <w:sz w:val="28"/>
          <w:szCs w:val="28"/>
        </w:rPr>
        <w:t>电气安全包括设备安全和人身安全两个方面。</w:t>
      </w:r>
    </w:p>
    <w:p w14:paraId="19F49902">
      <w:pPr>
        <w:spacing w:line="600" w:lineRule="exact"/>
        <w:ind w:firstLine="560" w:firstLineChars="200"/>
        <w:rPr>
          <w:rFonts w:ascii="宋体" w:hAnsi="宋体"/>
          <w:b w:val="0"/>
          <w:snapToGrid w:val="0"/>
          <w:sz w:val="28"/>
          <w:szCs w:val="28"/>
        </w:rPr>
      </w:pPr>
      <w:r>
        <w:rPr>
          <w:rFonts w:hint="eastAsia" w:ascii="宋体" w:hAnsi="宋体"/>
          <w:b w:val="0"/>
          <w:snapToGrid w:val="0"/>
          <w:sz w:val="28"/>
          <w:szCs w:val="28"/>
        </w:rPr>
        <w:t>如果设备及配套电器未使用防爆型，产生的电火花可能引起烟火药及其制品燃烧、爆炸。如果线路绝缘老化、受潮、机械磨损，会造成绝缘强度降低或绝缘层损坏，可能导致人体触电或短路。线路因过载、短路等故障导致的高温、电火花可能引燃、引爆烟火药及其制品，引起火灾、爆炸事故。</w:t>
      </w:r>
    </w:p>
    <w:p w14:paraId="6C3CBDEC">
      <w:pPr>
        <w:spacing w:line="600" w:lineRule="exact"/>
        <w:ind w:firstLine="560" w:firstLineChars="200"/>
        <w:rPr>
          <w:rFonts w:ascii="宋体" w:hAnsi="宋体"/>
          <w:b w:val="0"/>
          <w:snapToGrid w:val="0"/>
          <w:sz w:val="28"/>
          <w:szCs w:val="28"/>
        </w:rPr>
      </w:pPr>
      <w:r>
        <w:rPr>
          <w:rFonts w:hint="eastAsia" w:ascii="宋体" w:hAnsi="宋体"/>
          <w:b w:val="0"/>
          <w:snapToGrid w:val="0"/>
          <w:sz w:val="28"/>
          <w:szCs w:val="28"/>
        </w:rPr>
        <w:t>电流对人体的伤害有两种类型：电击和电伤。绝大部分的触电事故都属于电击，而电击伤害的严重程度与通过人体电流的大小、持续时间、部位、电流频率有关。工作人员有意、无意触及或过分接近带电体(包括正常不带电，而发生事故时可能带电的配电装置与电气设备外露可导电部分)、工作人员误操作、误入带电间隔和跨步电压等，均有可能造成触电事故。</w:t>
      </w:r>
    </w:p>
    <w:p w14:paraId="344E063F">
      <w:pPr>
        <w:pStyle w:val="87"/>
        <w:ind w:firstLine="560"/>
        <w:rPr>
          <w:rFonts w:asciiTheme="minorEastAsia" w:hAnsiTheme="minorEastAsia" w:eastAsiaTheme="minorEastAsia"/>
          <w:b w:val="0"/>
          <w:bCs/>
          <w:color w:val="FF0000"/>
        </w:rPr>
      </w:pPr>
    </w:p>
    <w:p w14:paraId="3E95AE22">
      <w:pPr>
        <w:keepNext/>
        <w:pageBreakBefore/>
        <w:widowControl/>
        <w:spacing w:before="120" w:beforeLines="50" w:line="360" w:lineRule="auto"/>
        <w:jc w:val="center"/>
        <w:outlineLvl w:val="0"/>
        <w:rPr>
          <w:rFonts w:ascii="黑体" w:hAnsi="宋体" w:eastAsia="黑体"/>
          <w:b w:val="0"/>
          <w:sz w:val="32"/>
          <w:szCs w:val="32"/>
        </w:rPr>
      </w:pPr>
      <w:bookmarkStart w:id="519" w:name="_Toc32084"/>
      <w:bookmarkStart w:id="520" w:name="_Toc233449786"/>
      <w:r>
        <w:rPr>
          <w:rFonts w:hint="eastAsia" w:ascii="黑体" w:hAnsi="宋体" w:eastAsia="黑体"/>
          <w:b w:val="0"/>
          <w:sz w:val="32"/>
          <w:szCs w:val="32"/>
        </w:rPr>
        <w:t>第四章 评价单元划分及评价方法的选择</w:t>
      </w:r>
      <w:bookmarkEnd w:id="519"/>
    </w:p>
    <w:p w14:paraId="7944D999">
      <w:pPr>
        <w:keepNext/>
        <w:keepLines/>
        <w:spacing w:before="120" w:beforeLines="50" w:line="360" w:lineRule="auto"/>
        <w:outlineLvl w:val="1"/>
        <w:rPr>
          <w:rFonts w:ascii="黑体" w:hAnsi="宋体" w:eastAsia="黑体"/>
          <w:b w:val="0"/>
          <w:bCs/>
          <w:snapToGrid w:val="0"/>
          <w:sz w:val="30"/>
          <w:szCs w:val="30"/>
        </w:rPr>
      </w:pPr>
      <w:bookmarkStart w:id="521" w:name="_Toc235865724"/>
      <w:bookmarkStart w:id="522" w:name="_Toc235865635"/>
      <w:bookmarkStart w:id="523" w:name="_Toc235352372"/>
      <w:bookmarkStart w:id="524" w:name="_Toc30792"/>
      <w:bookmarkStart w:id="525" w:name="_Toc221454626"/>
      <w:bookmarkStart w:id="526" w:name="_Toc211769696"/>
      <w:bookmarkStart w:id="527" w:name="_Toc364346095"/>
      <w:bookmarkStart w:id="528" w:name="_Toc235352276"/>
      <w:bookmarkStart w:id="529" w:name="_Toc235862393"/>
      <w:r>
        <w:rPr>
          <w:rFonts w:hint="eastAsia" w:ascii="黑体" w:hAnsi="宋体" w:eastAsia="黑体"/>
          <w:b w:val="0"/>
          <w:bCs/>
          <w:snapToGrid w:val="0"/>
          <w:sz w:val="30"/>
          <w:szCs w:val="30"/>
        </w:rPr>
        <w:t>4.1评价单元划分</w:t>
      </w:r>
      <w:bookmarkEnd w:id="521"/>
      <w:bookmarkEnd w:id="522"/>
      <w:bookmarkEnd w:id="523"/>
      <w:bookmarkEnd w:id="524"/>
      <w:bookmarkEnd w:id="525"/>
      <w:bookmarkEnd w:id="526"/>
      <w:bookmarkEnd w:id="527"/>
      <w:bookmarkEnd w:id="528"/>
      <w:bookmarkEnd w:id="529"/>
    </w:p>
    <w:p w14:paraId="4139FF23">
      <w:pPr>
        <w:adjustRightInd w:val="0"/>
        <w:snapToGrid w:val="0"/>
        <w:spacing w:line="360" w:lineRule="auto"/>
        <w:ind w:firstLine="523" w:firstLineChars="187"/>
        <w:rPr>
          <w:rFonts w:ascii="宋体" w:hAnsi="宋体" w:cs="宋体"/>
          <w:b w:val="0"/>
          <w:sz w:val="28"/>
        </w:rPr>
      </w:pPr>
      <w:r>
        <w:rPr>
          <w:rFonts w:hint="eastAsia" w:ascii="宋体" w:hAnsi="宋体" w:cs="宋体"/>
          <w:b w:val="0"/>
          <w:sz w:val="28"/>
        </w:rPr>
        <w:t xml:space="preserve">根据《安全预评价导则》（AQ8002-2007）和《烟花爆竹企业安全评价规范》（AQ4113-2008）结合评价对象的主要功能、区域划分及其危险性质，结合安全评价单元的划分原则，为简单有效地对厂区各环节危险、有害因素进行评价，考虑本项目的特点，本次评价将对象划分为以下几个评价单元： </w:t>
      </w:r>
    </w:p>
    <w:p w14:paraId="30FB8E79">
      <w:pPr>
        <w:adjustRightInd w:val="0"/>
        <w:snapToGrid w:val="0"/>
        <w:spacing w:line="360" w:lineRule="auto"/>
        <w:ind w:firstLine="548" w:firstLineChars="196"/>
        <w:rPr>
          <w:rFonts w:ascii="宋体" w:hAnsi="宋体" w:cs="宋体"/>
          <w:b w:val="0"/>
          <w:sz w:val="28"/>
          <w:szCs w:val="28"/>
        </w:rPr>
      </w:pPr>
      <w:r>
        <w:rPr>
          <w:rFonts w:hint="eastAsia" w:ascii="宋体" w:hAnsi="宋体" w:cs="宋体"/>
          <w:b w:val="0"/>
          <w:sz w:val="28"/>
          <w:szCs w:val="28"/>
        </w:rPr>
        <w:t>1）建设项目安全条件单元；</w:t>
      </w:r>
    </w:p>
    <w:p w14:paraId="57971B30">
      <w:pPr>
        <w:adjustRightInd w:val="0"/>
        <w:snapToGrid w:val="0"/>
        <w:spacing w:line="360" w:lineRule="auto"/>
        <w:ind w:firstLine="548" w:firstLineChars="196"/>
        <w:rPr>
          <w:rFonts w:ascii="宋体" w:hAnsi="宋体" w:cs="宋体"/>
          <w:b w:val="0"/>
          <w:sz w:val="28"/>
          <w:szCs w:val="28"/>
        </w:rPr>
      </w:pPr>
      <w:r>
        <w:rPr>
          <w:rFonts w:hint="eastAsia" w:ascii="宋体" w:hAnsi="宋体" w:cs="宋体"/>
          <w:b w:val="0"/>
          <w:sz w:val="28"/>
          <w:szCs w:val="28"/>
        </w:rPr>
        <w:t>2）建设项目总体布局；</w:t>
      </w:r>
    </w:p>
    <w:p w14:paraId="505CAE88">
      <w:pPr>
        <w:adjustRightInd w:val="0"/>
        <w:snapToGrid w:val="0"/>
        <w:spacing w:line="360" w:lineRule="auto"/>
        <w:ind w:firstLine="548" w:firstLineChars="196"/>
        <w:rPr>
          <w:rFonts w:ascii="宋体" w:hAnsi="宋体" w:cs="宋体"/>
          <w:b w:val="0"/>
          <w:sz w:val="28"/>
          <w:szCs w:val="28"/>
        </w:rPr>
      </w:pPr>
      <w:r>
        <w:rPr>
          <w:rFonts w:hint="eastAsia" w:ascii="宋体" w:hAnsi="宋体" w:cs="宋体"/>
          <w:b w:val="0"/>
          <w:sz w:val="28"/>
          <w:szCs w:val="28"/>
        </w:rPr>
        <w:t>3）安全设施及公用工程单元；</w:t>
      </w:r>
    </w:p>
    <w:p w14:paraId="2D416C8A">
      <w:pPr>
        <w:pStyle w:val="87"/>
        <w:ind w:firstLine="560"/>
        <w:rPr>
          <w:rFonts w:ascii="宋体" w:hAnsi="宋体" w:eastAsia="宋体" w:cs="宋体"/>
          <w:b w:val="0"/>
          <w:kern w:val="2"/>
          <w:szCs w:val="28"/>
        </w:rPr>
      </w:pPr>
      <w:r>
        <w:rPr>
          <w:rFonts w:ascii="宋体" w:hAnsi="宋体" w:eastAsia="宋体" w:cs="宋体"/>
          <w:b w:val="0"/>
          <w:kern w:val="2"/>
          <w:szCs w:val="28"/>
        </w:rPr>
        <w:t>4</w:t>
      </w:r>
      <w:r>
        <w:rPr>
          <w:rFonts w:hint="eastAsia" w:ascii="宋体" w:hAnsi="宋体" w:eastAsia="宋体" w:cs="宋体"/>
          <w:b w:val="0"/>
          <w:kern w:val="2"/>
          <w:szCs w:val="28"/>
        </w:rPr>
        <w:t>）安全管理；</w:t>
      </w:r>
    </w:p>
    <w:p w14:paraId="5D39E4A6">
      <w:pPr>
        <w:pStyle w:val="87"/>
        <w:ind w:firstLine="560"/>
        <w:rPr>
          <w:rFonts w:ascii="宋体" w:hAnsi="宋体" w:eastAsia="宋体" w:cs="宋体"/>
          <w:b w:val="0"/>
          <w:kern w:val="2"/>
          <w:szCs w:val="28"/>
        </w:rPr>
      </w:pPr>
      <w:r>
        <w:rPr>
          <w:rFonts w:hint="eastAsia" w:ascii="宋体" w:hAnsi="宋体" w:eastAsia="宋体" w:cs="宋体"/>
          <w:b w:val="0"/>
          <w:kern w:val="2"/>
          <w:szCs w:val="28"/>
        </w:rPr>
        <w:t>5）生产过程</w:t>
      </w:r>
    </w:p>
    <w:p w14:paraId="043AF304">
      <w:pPr>
        <w:pStyle w:val="87"/>
        <w:ind w:firstLine="560"/>
        <w:rPr>
          <w:rFonts w:ascii="宋体" w:hAnsi="宋体" w:eastAsia="宋体" w:cs="宋体"/>
          <w:b w:val="0"/>
          <w:kern w:val="2"/>
          <w:szCs w:val="28"/>
        </w:rPr>
      </w:pPr>
      <w:r>
        <w:rPr>
          <w:rFonts w:hint="eastAsia" w:ascii="宋体" w:hAnsi="宋体" w:eastAsia="宋体" w:cs="宋体"/>
          <w:b w:val="0"/>
          <w:kern w:val="2"/>
          <w:szCs w:val="28"/>
        </w:rPr>
        <w:t>6）建筑施工；</w:t>
      </w:r>
    </w:p>
    <w:p w14:paraId="5122C347">
      <w:pPr>
        <w:pStyle w:val="87"/>
        <w:ind w:firstLine="560"/>
        <w:rPr>
          <w:rFonts w:ascii="宋体" w:hAnsi="宋体" w:eastAsia="宋体" w:cs="宋体"/>
          <w:b w:val="0"/>
          <w:kern w:val="2"/>
          <w:szCs w:val="28"/>
        </w:rPr>
      </w:pPr>
      <w:r>
        <w:rPr>
          <w:rFonts w:hint="eastAsia" w:ascii="宋体" w:hAnsi="宋体" w:eastAsia="宋体" w:cs="宋体"/>
          <w:b w:val="0"/>
          <w:kern w:val="2"/>
          <w:szCs w:val="28"/>
        </w:rPr>
        <w:t>7）事故后果模拟分析。</w:t>
      </w:r>
    </w:p>
    <w:p w14:paraId="7C9A731F">
      <w:pPr>
        <w:pStyle w:val="87"/>
        <w:ind w:firstLine="560"/>
        <w:rPr>
          <w:rFonts w:ascii="宋体" w:hAnsi="宋体" w:eastAsia="宋体" w:cs="宋体"/>
          <w:b w:val="0"/>
          <w:kern w:val="2"/>
          <w:szCs w:val="28"/>
        </w:rPr>
      </w:pPr>
      <w:r>
        <w:rPr>
          <w:rFonts w:hint="eastAsia" w:ascii="宋体" w:hAnsi="宋体" w:eastAsia="宋体" w:cs="宋体"/>
          <w:b w:val="0"/>
          <w:kern w:val="2"/>
          <w:szCs w:val="28"/>
        </w:rPr>
        <w:t>8）重大危险源评价</w:t>
      </w:r>
    </w:p>
    <w:p w14:paraId="488E2221">
      <w:pPr>
        <w:keepNext/>
        <w:keepLines/>
        <w:spacing w:before="120" w:beforeLines="50" w:line="360" w:lineRule="auto"/>
        <w:outlineLvl w:val="1"/>
        <w:rPr>
          <w:rFonts w:ascii="黑体" w:hAnsi="宋体" w:eastAsia="黑体"/>
          <w:b w:val="0"/>
          <w:bCs/>
          <w:snapToGrid w:val="0"/>
          <w:sz w:val="30"/>
          <w:szCs w:val="30"/>
        </w:rPr>
      </w:pPr>
      <w:bookmarkStart w:id="530" w:name="_Toc17896"/>
      <w:r>
        <w:rPr>
          <w:rFonts w:hint="eastAsia" w:ascii="黑体" w:hAnsi="宋体" w:eastAsia="黑体"/>
          <w:b w:val="0"/>
          <w:bCs/>
          <w:snapToGrid w:val="0"/>
          <w:sz w:val="30"/>
          <w:szCs w:val="30"/>
        </w:rPr>
        <w:t>4.2评价方法的选择</w:t>
      </w:r>
      <w:bookmarkEnd w:id="530"/>
    </w:p>
    <w:p w14:paraId="29AB0CC9">
      <w:pPr>
        <w:spacing w:line="360" w:lineRule="auto"/>
        <w:ind w:firstLine="560" w:firstLineChars="200"/>
        <w:rPr>
          <w:rFonts w:ascii="Times New Roman" w:hAnsi="Times New Roman"/>
          <w:b w:val="0"/>
          <w:sz w:val="28"/>
        </w:rPr>
      </w:pPr>
      <w:r>
        <w:rPr>
          <w:rFonts w:hint="eastAsia" w:ascii="宋体" w:hAnsi="宋体"/>
          <w:b w:val="0"/>
          <w:sz w:val="28"/>
        </w:rPr>
        <w:t>根据国家对该企业改建项目的有关法律法规要求及《烟花爆竹工程设计安全标准》（GB50161-2022）的要求</w:t>
      </w:r>
      <w:r>
        <w:rPr>
          <w:rFonts w:hint="eastAsia" w:ascii="Times New Roman" w:hAnsi="Times New Roman"/>
          <w:b w:val="0"/>
          <w:sz w:val="28"/>
        </w:rPr>
        <w:t>，为了确保安全评价工作的科学性、系统性、全面性及预测性：</w:t>
      </w:r>
    </w:p>
    <w:p w14:paraId="12ACB6A1">
      <w:pPr>
        <w:spacing w:line="360" w:lineRule="auto"/>
        <w:ind w:firstLine="560" w:firstLineChars="200"/>
        <w:rPr>
          <w:rFonts w:ascii="Times New Roman" w:hAnsi="Times New Roman"/>
          <w:b w:val="0"/>
          <w:sz w:val="28"/>
        </w:rPr>
      </w:pPr>
      <w:r>
        <w:rPr>
          <w:rFonts w:hint="eastAsia" w:ascii="Times New Roman" w:hAnsi="Times New Roman"/>
          <w:b w:val="0"/>
          <w:sz w:val="28"/>
        </w:rPr>
        <w:t>对建设项目安全条件、</w:t>
      </w:r>
      <w:bookmarkStart w:id="531" w:name="_Toc15457"/>
      <w:r>
        <w:rPr>
          <w:rFonts w:hint="eastAsia" w:ascii="Times New Roman" w:hAnsi="Times New Roman"/>
          <w:b w:val="0"/>
          <w:sz w:val="28"/>
        </w:rPr>
        <w:t>安全设施及公用工程</w:t>
      </w:r>
      <w:bookmarkEnd w:id="531"/>
      <w:r>
        <w:rPr>
          <w:rFonts w:hint="eastAsia" w:ascii="Times New Roman" w:hAnsi="Times New Roman"/>
          <w:b w:val="0"/>
          <w:sz w:val="28"/>
        </w:rPr>
        <w:t>单元采用对照分析法。</w:t>
      </w:r>
    </w:p>
    <w:p w14:paraId="7F1EB69C">
      <w:pPr>
        <w:spacing w:line="360" w:lineRule="auto"/>
        <w:ind w:firstLine="560" w:firstLineChars="200"/>
        <w:rPr>
          <w:rFonts w:ascii="Times New Roman" w:hAnsi="Times New Roman"/>
          <w:b w:val="0"/>
          <w:sz w:val="28"/>
        </w:rPr>
      </w:pPr>
      <w:r>
        <w:rPr>
          <w:rFonts w:hint="eastAsia" w:ascii="Times New Roman" w:hAnsi="Times New Roman"/>
          <w:b w:val="0"/>
          <w:sz w:val="28"/>
        </w:rPr>
        <w:t>对建设项目总体布局、安全管理单元采用安全检查表法。</w:t>
      </w:r>
    </w:p>
    <w:p w14:paraId="2E93BDCC">
      <w:pPr>
        <w:spacing w:line="360" w:lineRule="auto"/>
        <w:ind w:firstLine="560" w:firstLineChars="200"/>
        <w:rPr>
          <w:rFonts w:ascii="Times New Roman" w:hAnsi="Times New Roman"/>
          <w:b w:val="0"/>
          <w:sz w:val="28"/>
        </w:rPr>
      </w:pPr>
      <w:r>
        <w:rPr>
          <w:rFonts w:hint="eastAsia" w:ascii="Times New Roman" w:hAnsi="Times New Roman"/>
          <w:b w:val="0"/>
          <w:sz w:val="28"/>
        </w:rPr>
        <w:t>对生产过程单元和建筑施工单元采用预先危险性分析法。</w:t>
      </w:r>
    </w:p>
    <w:p w14:paraId="127D0D78">
      <w:pPr>
        <w:spacing w:line="360" w:lineRule="auto"/>
        <w:ind w:firstLine="560" w:firstLineChars="200"/>
        <w:rPr>
          <w:rFonts w:ascii="Times New Roman" w:hAnsi="Times New Roman"/>
          <w:b w:val="0"/>
          <w:sz w:val="28"/>
        </w:rPr>
      </w:pPr>
      <w:r>
        <w:rPr>
          <w:rFonts w:hint="eastAsia" w:ascii="Times New Roman" w:hAnsi="Times New Roman"/>
          <w:b w:val="0"/>
          <w:sz w:val="28"/>
        </w:rPr>
        <w:t>对事故后果模拟分析单元采用伤害（或破坏）范围评价法。</w:t>
      </w:r>
    </w:p>
    <w:p w14:paraId="031DC4FD">
      <w:pPr>
        <w:pStyle w:val="87"/>
        <w:ind w:firstLine="560"/>
        <w:rPr>
          <w:rFonts w:ascii="黑体" w:hAnsi="黑体" w:eastAsia="黑体" w:cs="宋体"/>
          <w:b w:val="0"/>
          <w:kern w:val="2"/>
          <w:sz w:val="24"/>
          <w:szCs w:val="24"/>
        </w:rPr>
      </w:pPr>
      <w:r>
        <w:rPr>
          <w:rFonts w:hint="eastAsia" w:ascii="宋体" w:hAnsi="宋体" w:eastAsia="宋体"/>
          <w:b w:val="0"/>
          <w:kern w:val="2"/>
          <w:szCs w:val="24"/>
        </w:rPr>
        <w:t>针对被评价单位的危险、有害因素及现场情况，该项目评价组以表4.</w:t>
      </w:r>
      <w:r>
        <w:rPr>
          <w:rFonts w:ascii="宋体" w:hAnsi="宋体" w:eastAsia="宋体"/>
          <w:b w:val="0"/>
          <w:kern w:val="2"/>
          <w:szCs w:val="24"/>
        </w:rPr>
        <w:t>2</w:t>
      </w:r>
      <w:r>
        <w:rPr>
          <w:rFonts w:hint="eastAsia" w:ascii="宋体" w:hAnsi="宋体" w:eastAsia="宋体"/>
          <w:b w:val="0"/>
          <w:kern w:val="2"/>
          <w:szCs w:val="24"/>
        </w:rPr>
        <w:t>-1所示的方法对各单元进行评价。</w:t>
      </w:r>
      <w:r>
        <w:rPr>
          <w:rFonts w:hint="eastAsia" w:ascii="黑体" w:hAnsi="黑体" w:eastAsia="黑体" w:cs="宋体"/>
          <w:b w:val="0"/>
          <w:sz w:val="24"/>
        </w:rPr>
        <w:br w:type="page"/>
      </w:r>
      <w:r>
        <w:rPr>
          <w:rFonts w:hint="eastAsia" w:ascii="黑体" w:hAnsi="黑体" w:eastAsia="黑体" w:cs="宋体"/>
          <w:b w:val="0"/>
          <w:sz w:val="24"/>
        </w:rPr>
        <w:t xml:space="preserve">                        </w:t>
      </w:r>
      <w:r>
        <w:rPr>
          <w:rFonts w:hint="eastAsia" w:ascii="黑体" w:hAnsi="黑体" w:eastAsia="黑体" w:cs="宋体"/>
          <w:b w:val="0"/>
          <w:kern w:val="2"/>
          <w:sz w:val="24"/>
          <w:szCs w:val="24"/>
        </w:rPr>
        <w:t>表4</w:t>
      </w:r>
      <w:r>
        <w:rPr>
          <w:rFonts w:ascii="黑体" w:hAnsi="黑体" w:eastAsia="黑体" w:cs="宋体"/>
          <w:b w:val="0"/>
          <w:kern w:val="2"/>
          <w:sz w:val="24"/>
          <w:szCs w:val="24"/>
        </w:rPr>
        <w:t>.2</w:t>
      </w:r>
      <w:r>
        <w:rPr>
          <w:rFonts w:hint="eastAsia" w:ascii="黑体" w:hAnsi="黑体" w:eastAsia="黑体" w:cs="宋体"/>
          <w:b w:val="0"/>
          <w:kern w:val="2"/>
          <w:sz w:val="24"/>
          <w:szCs w:val="24"/>
        </w:rPr>
        <w:t>-1 评价方法选择情况表</w:t>
      </w:r>
    </w:p>
    <w:tbl>
      <w:tblPr>
        <w:tblStyle w:val="88"/>
        <w:tblW w:w="501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56"/>
        <w:gridCol w:w="3095"/>
        <w:gridCol w:w="3000"/>
        <w:gridCol w:w="2567"/>
      </w:tblGrid>
      <w:tr w14:paraId="6D7789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blHeader/>
        </w:trPr>
        <w:tc>
          <w:tcPr>
            <w:tcW w:w="352" w:type="pct"/>
            <w:vAlign w:val="center"/>
          </w:tcPr>
          <w:p w14:paraId="7D448968">
            <w:pPr>
              <w:widowControl/>
              <w:jc w:val="center"/>
              <w:textAlignment w:val="center"/>
              <w:rPr>
                <w:rFonts w:ascii="宋体" w:hAnsi="宋体" w:cs="宋体"/>
                <w:bCs/>
                <w:kern w:val="0"/>
                <w:szCs w:val="21"/>
                <w:lang w:bidi="ar"/>
              </w:rPr>
            </w:pPr>
            <w:r>
              <w:rPr>
                <w:rFonts w:hint="eastAsia" w:ascii="宋体" w:hAnsi="宋体" w:cs="宋体"/>
                <w:bCs/>
                <w:kern w:val="0"/>
                <w:szCs w:val="21"/>
                <w:lang w:bidi="ar"/>
              </w:rPr>
              <w:t>序号</w:t>
            </w:r>
          </w:p>
        </w:tc>
        <w:tc>
          <w:tcPr>
            <w:tcW w:w="1660" w:type="pct"/>
            <w:vAlign w:val="center"/>
          </w:tcPr>
          <w:p w14:paraId="4D3777D7">
            <w:pPr>
              <w:widowControl/>
              <w:jc w:val="center"/>
              <w:textAlignment w:val="center"/>
              <w:rPr>
                <w:rFonts w:ascii="宋体" w:hAnsi="宋体" w:cs="宋体"/>
                <w:bCs/>
                <w:kern w:val="0"/>
                <w:szCs w:val="21"/>
                <w:lang w:bidi="ar"/>
              </w:rPr>
            </w:pPr>
            <w:r>
              <w:rPr>
                <w:rFonts w:hint="eastAsia" w:ascii="宋体" w:hAnsi="宋体" w:cs="宋体"/>
                <w:bCs/>
                <w:kern w:val="0"/>
                <w:szCs w:val="21"/>
                <w:lang w:bidi="ar"/>
              </w:rPr>
              <w:t>评价单元名称</w:t>
            </w:r>
          </w:p>
        </w:tc>
        <w:tc>
          <w:tcPr>
            <w:tcW w:w="1609" w:type="pct"/>
            <w:vAlign w:val="center"/>
          </w:tcPr>
          <w:p w14:paraId="47114894">
            <w:pPr>
              <w:widowControl/>
              <w:jc w:val="center"/>
              <w:textAlignment w:val="center"/>
              <w:rPr>
                <w:rFonts w:ascii="宋体" w:hAnsi="宋体" w:cs="宋体"/>
                <w:bCs/>
                <w:kern w:val="0"/>
                <w:szCs w:val="21"/>
                <w:lang w:bidi="ar"/>
              </w:rPr>
            </w:pPr>
            <w:r>
              <w:rPr>
                <w:rFonts w:hint="eastAsia" w:ascii="宋体" w:hAnsi="宋体" w:cs="宋体"/>
                <w:bCs/>
                <w:kern w:val="0"/>
                <w:szCs w:val="21"/>
                <w:lang w:bidi="ar"/>
              </w:rPr>
              <w:t>评价子单元名称</w:t>
            </w:r>
          </w:p>
        </w:tc>
        <w:tc>
          <w:tcPr>
            <w:tcW w:w="1377" w:type="pct"/>
            <w:vAlign w:val="center"/>
          </w:tcPr>
          <w:p w14:paraId="0F01C387">
            <w:pPr>
              <w:widowControl/>
              <w:jc w:val="center"/>
              <w:textAlignment w:val="center"/>
              <w:rPr>
                <w:rFonts w:ascii="宋体" w:hAnsi="宋体" w:cs="宋体"/>
                <w:bCs/>
                <w:kern w:val="0"/>
                <w:szCs w:val="21"/>
                <w:lang w:bidi="ar"/>
              </w:rPr>
            </w:pPr>
            <w:r>
              <w:rPr>
                <w:rFonts w:hint="eastAsia" w:ascii="宋体" w:hAnsi="宋体" w:cs="宋体"/>
                <w:bCs/>
                <w:kern w:val="0"/>
                <w:szCs w:val="21"/>
                <w:lang w:bidi="ar"/>
              </w:rPr>
              <w:t>采用的评价方法</w:t>
            </w:r>
          </w:p>
        </w:tc>
      </w:tr>
      <w:tr w14:paraId="628F8F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8" w:hRule="atLeast"/>
        </w:trPr>
        <w:tc>
          <w:tcPr>
            <w:tcW w:w="352" w:type="pct"/>
            <w:vAlign w:val="center"/>
          </w:tcPr>
          <w:p w14:paraId="44D1647A">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1</w:t>
            </w:r>
          </w:p>
        </w:tc>
        <w:tc>
          <w:tcPr>
            <w:tcW w:w="1660" w:type="pct"/>
            <w:vAlign w:val="center"/>
          </w:tcPr>
          <w:p w14:paraId="51161D2B">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建设项目安全条件</w:t>
            </w:r>
          </w:p>
        </w:tc>
        <w:tc>
          <w:tcPr>
            <w:tcW w:w="1609" w:type="pct"/>
            <w:vAlign w:val="center"/>
          </w:tcPr>
          <w:p w14:paraId="6ACE1120">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w:t>
            </w:r>
          </w:p>
        </w:tc>
        <w:tc>
          <w:tcPr>
            <w:tcW w:w="1377" w:type="pct"/>
            <w:vAlign w:val="center"/>
          </w:tcPr>
          <w:p w14:paraId="20EFCED8">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对照分析法</w:t>
            </w:r>
          </w:p>
        </w:tc>
      </w:tr>
      <w:tr w14:paraId="6E4EAE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352" w:type="pct"/>
            <w:vAlign w:val="center"/>
          </w:tcPr>
          <w:p w14:paraId="2FD86A06">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2</w:t>
            </w:r>
          </w:p>
        </w:tc>
        <w:tc>
          <w:tcPr>
            <w:tcW w:w="1660" w:type="pct"/>
            <w:vAlign w:val="center"/>
          </w:tcPr>
          <w:p w14:paraId="5D3992D2">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建设项目总体布局</w:t>
            </w:r>
          </w:p>
        </w:tc>
        <w:tc>
          <w:tcPr>
            <w:tcW w:w="1609" w:type="pct"/>
            <w:tcBorders>
              <w:bottom w:val="single" w:color="auto" w:sz="4" w:space="0"/>
            </w:tcBorders>
            <w:vAlign w:val="center"/>
          </w:tcPr>
          <w:p w14:paraId="25AC83AE">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规划、工艺布置、条件与设施</w:t>
            </w:r>
          </w:p>
        </w:tc>
        <w:tc>
          <w:tcPr>
            <w:tcW w:w="1377" w:type="pct"/>
            <w:tcBorders>
              <w:bottom w:val="single" w:color="auto" w:sz="4" w:space="0"/>
            </w:tcBorders>
            <w:vAlign w:val="center"/>
          </w:tcPr>
          <w:p w14:paraId="6430044F">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安全检查表法</w:t>
            </w:r>
          </w:p>
        </w:tc>
      </w:tr>
      <w:tr w14:paraId="509B59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8" w:hRule="atLeast"/>
        </w:trPr>
        <w:tc>
          <w:tcPr>
            <w:tcW w:w="352" w:type="pct"/>
            <w:vAlign w:val="center"/>
          </w:tcPr>
          <w:p w14:paraId="1B740E06">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3</w:t>
            </w:r>
          </w:p>
        </w:tc>
        <w:tc>
          <w:tcPr>
            <w:tcW w:w="1660" w:type="pct"/>
            <w:vAlign w:val="center"/>
          </w:tcPr>
          <w:p w14:paraId="2007D61D">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安全设施及公用工程</w:t>
            </w:r>
          </w:p>
        </w:tc>
        <w:tc>
          <w:tcPr>
            <w:tcW w:w="1609" w:type="pct"/>
            <w:tcBorders>
              <w:bottom w:val="single" w:color="auto" w:sz="4" w:space="0"/>
            </w:tcBorders>
            <w:vAlign w:val="center"/>
          </w:tcPr>
          <w:p w14:paraId="108F4A45">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消防、防雷、防静电等</w:t>
            </w:r>
          </w:p>
        </w:tc>
        <w:tc>
          <w:tcPr>
            <w:tcW w:w="1377" w:type="pct"/>
            <w:vAlign w:val="center"/>
          </w:tcPr>
          <w:p w14:paraId="02FDC7E3">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对照分析法</w:t>
            </w:r>
          </w:p>
        </w:tc>
      </w:tr>
      <w:tr w14:paraId="284ECC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8" w:hRule="atLeast"/>
        </w:trPr>
        <w:tc>
          <w:tcPr>
            <w:tcW w:w="352" w:type="pct"/>
            <w:vAlign w:val="center"/>
          </w:tcPr>
          <w:p w14:paraId="08CCB454">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4</w:t>
            </w:r>
          </w:p>
        </w:tc>
        <w:tc>
          <w:tcPr>
            <w:tcW w:w="1660" w:type="pct"/>
            <w:vAlign w:val="center"/>
          </w:tcPr>
          <w:p w14:paraId="711A2D2F">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安全管理</w:t>
            </w:r>
          </w:p>
        </w:tc>
        <w:tc>
          <w:tcPr>
            <w:tcW w:w="1609" w:type="pct"/>
            <w:vAlign w:val="center"/>
          </w:tcPr>
          <w:p w14:paraId="0845C9B1">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w:t>
            </w:r>
          </w:p>
        </w:tc>
        <w:tc>
          <w:tcPr>
            <w:tcW w:w="1377" w:type="pct"/>
            <w:vAlign w:val="center"/>
          </w:tcPr>
          <w:p w14:paraId="4F5303E7">
            <w:pPr>
              <w:widowControl/>
              <w:jc w:val="center"/>
              <w:textAlignment w:val="center"/>
              <w:rPr>
                <w:rFonts w:ascii="宋体" w:hAnsi="宋体" w:cs="宋体"/>
                <w:b w:val="0"/>
                <w:kern w:val="0"/>
                <w:szCs w:val="21"/>
                <w:lang w:val="en-GB" w:bidi="ar"/>
              </w:rPr>
            </w:pPr>
            <w:r>
              <w:rPr>
                <w:rFonts w:hint="eastAsia" w:ascii="宋体" w:hAnsi="宋体" w:cs="宋体"/>
                <w:b w:val="0"/>
                <w:kern w:val="0"/>
                <w:szCs w:val="21"/>
                <w:lang w:val="en-GB" w:bidi="ar"/>
              </w:rPr>
              <w:t>安全检查表法</w:t>
            </w:r>
          </w:p>
        </w:tc>
      </w:tr>
      <w:tr w14:paraId="382E9D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8" w:hRule="atLeast"/>
        </w:trPr>
        <w:tc>
          <w:tcPr>
            <w:tcW w:w="352" w:type="pct"/>
            <w:vAlign w:val="center"/>
          </w:tcPr>
          <w:p w14:paraId="6AB3E0BD">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5</w:t>
            </w:r>
          </w:p>
        </w:tc>
        <w:tc>
          <w:tcPr>
            <w:tcW w:w="1660" w:type="pct"/>
            <w:vAlign w:val="center"/>
          </w:tcPr>
          <w:p w14:paraId="73F314ED">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生产过程</w:t>
            </w:r>
          </w:p>
        </w:tc>
        <w:tc>
          <w:tcPr>
            <w:tcW w:w="1609" w:type="pct"/>
            <w:vAlign w:val="center"/>
          </w:tcPr>
          <w:p w14:paraId="6B217FB7">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w:t>
            </w:r>
          </w:p>
        </w:tc>
        <w:tc>
          <w:tcPr>
            <w:tcW w:w="1377" w:type="pct"/>
            <w:vAlign w:val="center"/>
          </w:tcPr>
          <w:p w14:paraId="04F5BF76">
            <w:pPr>
              <w:widowControl/>
              <w:jc w:val="center"/>
              <w:textAlignment w:val="center"/>
              <w:rPr>
                <w:rFonts w:ascii="宋体" w:hAnsi="宋体" w:cs="宋体"/>
                <w:b w:val="0"/>
                <w:kern w:val="0"/>
                <w:szCs w:val="21"/>
                <w:lang w:val="en-GB" w:bidi="ar"/>
              </w:rPr>
            </w:pPr>
            <w:r>
              <w:rPr>
                <w:rFonts w:hint="eastAsia" w:ascii="宋体" w:hAnsi="宋体" w:cs="宋体"/>
                <w:b w:val="0"/>
                <w:kern w:val="0"/>
                <w:szCs w:val="21"/>
                <w:lang w:bidi="ar"/>
              </w:rPr>
              <w:t>预先危险性分析法</w:t>
            </w:r>
          </w:p>
        </w:tc>
      </w:tr>
      <w:tr w14:paraId="7E03AD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8" w:hRule="atLeast"/>
        </w:trPr>
        <w:tc>
          <w:tcPr>
            <w:tcW w:w="352" w:type="pct"/>
            <w:vAlign w:val="center"/>
          </w:tcPr>
          <w:p w14:paraId="79DB83F8">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6</w:t>
            </w:r>
          </w:p>
        </w:tc>
        <w:tc>
          <w:tcPr>
            <w:tcW w:w="1660" w:type="pct"/>
            <w:vAlign w:val="center"/>
          </w:tcPr>
          <w:p w14:paraId="02D28401">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建筑施工</w:t>
            </w:r>
          </w:p>
        </w:tc>
        <w:tc>
          <w:tcPr>
            <w:tcW w:w="1609" w:type="pct"/>
            <w:vAlign w:val="center"/>
          </w:tcPr>
          <w:p w14:paraId="285F68F1">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w:t>
            </w:r>
          </w:p>
        </w:tc>
        <w:tc>
          <w:tcPr>
            <w:tcW w:w="1377" w:type="pct"/>
            <w:vAlign w:val="center"/>
          </w:tcPr>
          <w:p w14:paraId="48C95834">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预先危险性分析法</w:t>
            </w:r>
          </w:p>
        </w:tc>
      </w:tr>
      <w:tr w14:paraId="77776D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7" w:hRule="atLeast"/>
        </w:trPr>
        <w:tc>
          <w:tcPr>
            <w:tcW w:w="352" w:type="pct"/>
            <w:vAlign w:val="center"/>
          </w:tcPr>
          <w:p w14:paraId="14763D1D">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7</w:t>
            </w:r>
          </w:p>
        </w:tc>
        <w:tc>
          <w:tcPr>
            <w:tcW w:w="1660" w:type="pct"/>
            <w:vAlign w:val="center"/>
          </w:tcPr>
          <w:p w14:paraId="65DBF926">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事故后果模拟分析</w:t>
            </w:r>
          </w:p>
        </w:tc>
        <w:tc>
          <w:tcPr>
            <w:tcW w:w="1609" w:type="pct"/>
            <w:vAlign w:val="center"/>
          </w:tcPr>
          <w:p w14:paraId="0315C35E">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w:t>
            </w:r>
          </w:p>
        </w:tc>
        <w:tc>
          <w:tcPr>
            <w:tcW w:w="1377" w:type="pct"/>
            <w:vAlign w:val="center"/>
          </w:tcPr>
          <w:p w14:paraId="7FC60A82">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伤害（或破坏）范围评价法</w:t>
            </w:r>
          </w:p>
        </w:tc>
      </w:tr>
      <w:tr w14:paraId="10A14E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7" w:hRule="atLeast"/>
        </w:trPr>
        <w:tc>
          <w:tcPr>
            <w:tcW w:w="352" w:type="pct"/>
            <w:vAlign w:val="center"/>
          </w:tcPr>
          <w:p w14:paraId="6BA4B3EE">
            <w:pPr>
              <w:widowControl/>
              <w:jc w:val="center"/>
              <w:textAlignment w:val="center"/>
              <w:rPr>
                <w:rFonts w:ascii="宋体" w:hAnsi="宋体" w:cs="宋体"/>
                <w:b w:val="0"/>
                <w:kern w:val="0"/>
                <w:szCs w:val="21"/>
                <w:lang w:bidi="ar"/>
              </w:rPr>
            </w:pPr>
            <w:bookmarkStart w:id="532" w:name="_Toc21714"/>
            <w:bookmarkStart w:id="533" w:name="_Toc233449789"/>
            <w:r>
              <w:rPr>
                <w:rFonts w:hint="eastAsia" w:ascii="宋体" w:hAnsi="宋体" w:cs="宋体"/>
                <w:b w:val="0"/>
                <w:kern w:val="0"/>
                <w:szCs w:val="21"/>
                <w:lang w:bidi="ar"/>
              </w:rPr>
              <w:t>8</w:t>
            </w:r>
          </w:p>
        </w:tc>
        <w:tc>
          <w:tcPr>
            <w:tcW w:w="1660" w:type="pct"/>
            <w:vAlign w:val="center"/>
          </w:tcPr>
          <w:p w14:paraId="5C80A181">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重大危险源评价</w:t>
            </w:r>
          </w:p>
        </w:tc>
        <w:tc>
          <w:tcPr>
            <w:tcW w:w="1609" w:type="pct"/>
            <w:vAlign w:val="center"/>
          </w:tcPr>
          <w:p w14:paraId="27B7B028">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w:t>
            </w:r>
          </w:p>
        </w:tc>
        <w:tc>
          <w:tcPr>
            <w:tcW w:w="1377" w:type="pct"/>
            <w:vAlign w:val="center"/>
          </w:tcPr>
          <w:p w14:paraId="49B6FA23">
            <w:pPr>
              <w:widowControl/>
              <w:jc w:val="center"/>
              <w:textAlignment w:val="center"/>
              <w:rPr>
                <w:rFonts w:ascii="宋体" w:hAnsi="宋体" w:cs="宋体"/>
                <w:b w:val="0"/>
                <w:kern w:val="0"/>
                <w:szCs w:val="21"/>
                <w:lang w:bidi="ar"/>
              </w:rPr>
            </w:pPr>
            <w:r>
              <w:rPr>
                <w:rFonts w:hint="eastAsia" w:ascii="宋体" w:hAnsi="宋体" w:cs="宋体"/>
                <w:b w:val="0"/>
                <w:kern w:val="0"/>
                <w:szCs w:val="21"/>
                <w:lang w:bidi="ar"/>
              </w:rPr>
              <w:t>安全检查表法</w:t>
            </w:r>
          </w:p>
        </w:tc>
      </w:tr>
      <w:bookmarkEnd w:id="520"/>
    </w:tbl>
    <w:p w14:paraId="36321377">
      <w:pPr>
        <w:keepNext/>
        <w:keepLines/>
        <w:spacing w:before="120" w:beforeLines="50" w:line="360" w:lineRule="auto"/>
        <w:outlineLvl w:val="1"/>
        <w:rPr>
          <w:rFonts w:ascii="黑体" w:hAnsi="宋体" w:eastAsia="黑体"/>
          <w:b w:val="0"/>
          <w:bCs/>
          <w:snapToGrid w:val="0"/>
          <w:sz w:val="30"/>
          <w:szCs w:val="30"/>
        </w:rPr>
      </w:pPr>
      <w:bookmarkStart w:id="534" w:name="_Toc2498"/>
      <w:r>
        <w:rPr>
          <w:rFonts w:hint="eastAsia" w:ascii="黑体" w:hAnsi="宋体" w:eastAsia="黑体"/>
          <w:b w:val="0"/>
          <w:bCs/>
          <w:snapToGrid w:val="0"/>
          <w:sz w:val="30"/>
          <w:szCs w:val="30"/>
        </w:rPr>
        <w:t>4.3选用的安全评价方法简介</w:t>
      </w:r>
      <w:bookmarkEnd w:id="532"/>
      <w:bookmarkEnd w:id="534"/>
    </w:p>
    <w:p w14:paraId="6E324029">
      <w:pPr>
        <w:spacing w:line="360" w:lineRule="auto"/>
        <w:outlineLvl w:val="2"/>
        <w:rPr>
          <w:rFonts w:ascii="黑体" w:hAnsi="黑体" w:eastAsia="黑体"/>
          <w:b w:val="0"/>
          <w:sz w:val="30"/>
          <w:szCs w:val="30"/>
        </w:rPr>
      </w:pPr>
      <w:r>
        <w:rPr>
          <w:rFonts w:hint="eastAsia" w:ascii="黑体" w:hAnsi="黑体" w:eastAsia="黑体"/>
          <w:b w:val="0"/>
          <w:sz w:val="30"/>
          <w:szCs w:val="30"/>
        </w:rPr>
        <w:t>4.3.1对照分析法</w:t>
      </w:r>
    </w:p>
    <w:p w14:paraId="44DD9858">
      <w:pPr>
        <w:spacing w:line="360" w:lineRule="auto"/>
        <w:ind w:firstLine="560" w:firstLineChars="200"/>
        <w:jc w:val="left"/>
        <w:rPr>
          <w:rFonts w:ascii="宋体" w:hAnsi="宋体"/>
          <w:b w:val="0"/>
          <w:sz w:val="28"/>
          <w:szCs w:val="28"/>
        </w:rPr>
      </w:pPr>
      <w:r>
        <w:rPr>
          <w:rFonts w:hint="eastAsia" w:ascii="宋体" w:hAnsi="宋体"/>
          <w:b w:val="0"/>
          <w:sz w:val="28"/>
          <w:szCs w:val="28"/>
        </w:rPr>
        <w:t>对照分析法是对照有关标准、法规，检查表，直接地对评价对象的危险因素进行分析的方法。</w:t>
      </w:r>
    </w:p>
    <w:p w14:paraId="65BE9764">
      <w:pPr>
        <w:spacing w:line="360" w:lineRule="auto"/>
        <w:outlineLvl w:val="2"/>
        <w:rPr>
          <w:rFonts w:ascii="黑体" w:hAnsi="黑体" w:eastAsia="黑体"/>
          <w:b w:val="0"/>
          <w:sz w:val="30"/>
          <w:szCs w:val="30"/>
        </w:rPr>
      </w:pPr>
      <w:r>
        <w:rPr>
          <w:rFonts w:hint="eastAsia" w:ascii="黑体" w:hAnsi="黑体" w:eastAsia="黑体"/>
          <w:b w:val="0"/>
          <w:sz w:val="30"/>
          <w:szCs w:val="30"/>
        </w:rPr>
        <w:t>4.3.2安全检查表法</w:t>
      </w:r>
    </w:p>
    <w:p w14:paraId="52244C03">
      <w:pPr>
        <w:spacing w:line="360" w:lineRule="auto"/>
        <w:ind w:firstLine="560" w:firstLineChars="200"/>
        <w:rPr>
          <w:rFonts w:ascii="宋体" w:hAnsi="宋体"/>
          <w:b w:val="0"/>
          <w:sz w:val="28"/>
          <w:szCs w:val="28"/>
        </w:rPr>
      </w:pPr>
      <w:r>
        <w:rPr>
          <w:rFonts w:hint="eastAsia" w:ascii="宋体" w:hAnsi="宋体"/>
          <w:b w:val="0"/>
          <w:sz w:val="28"/>
          <w:szCs w:val="28"/>
        </w:rPr>
        <w:t>安全检查表评价法是一种基础性的安全评价方法。该方法的核心是预先由安全专家和工艺技术人员基于系统分析，识别不安全因素并编制成清单式表格。进行安全评价时，将现场情况与检查表中的项目逐一对照，依据相关标准、规范，核查已知危险类别、设计缺陷以及工艺设备、操作管理等方面的潜在危险与有害因素，从而判断系统的符合性。其评价结果以定性方式呈现，且实行“否决项”原则，即检查表中任何一项不合格，则该评价单元的整体评价结果为不合格。</w:t>
      </w:r>
    </w:p>
    <w:p w14:paraId="3F0CF016">
      <w:pPr>
        <w:spacing w:line="360" w:lineRule="auto"/>
        <w:outlineLvl w:val="2"/>
        <w:rPr>
          <w:rFonts w:ascii="黑体" w:hAnsi="黑体" w:eastAsia="黑体"/>
          <w:b w:val="0"/>
          <w:sz w:val="30"/>
          <w:szCs w:val="30"/>
        </w:rPr>
      </w:pPr>
      <w:r>
        <w:rPr>
          <w:rFonts w:hint="eastAsia" w:ascii="黑体" w:hAnsi="黑体" w:eastAsia="黑体"/>
          <w:b w:val="0"/>
          <w:sz w:val="30"/>
          <w:szCs w:val="30"/>
        </w:rPr>
        <w:t>4.3.3预先危险性分析法</w:t>
      </w:r>
    </w:p>
    <w:p w14:paraId="441C244F">
      <w:pPr>
        <w:spacing w:line="360" w:lineRule="auto"/>
        <w:ind w:firstLine="536" w:firstLineChars="200"/>
        <w:jc w:val="left"/>
        <w:rPr>
          <w:rFonts w:ascii="宋体" w:hAnsi="宋体"/>
          <w:b w:val="0"/>
          <w:sz w:val="28"/>
          <w:szCs w:val="28"/>
        </w:rPr>
      </w:pPr>
      <w:r>
        <w:rPr>
          <w:rFonts w:hint="eastAsia" w:ascii="宋体" w:hAnsi="宋体"/>
          <w:b w:val="0"/>
          <w:spacing w:val="-6"/>
          <w:sz w:val="28"/>
          <w:szCs w:val="28"/>
        </w:rPr>
        <w:t>预先危险性分析评价法通过对选定系统的分析、判断，大体识别系统存在的主要潜在危险，找出产生危险的原因，分析估计危险失控和发生事故可能导致的后果，判定已识别的危险性等级，提出消除或控制危险性的措施。</w:t>
      </w:r>
    </w:p>
    <w:p w14:paraId="1E520103">
      <w:pPr>
        <w:spacing w:line="360" w:lineRule="auto"/>
        <w:ind w:firstLine="560" w:firstLineChars="200"/>
        <w:jc w:val="left"/>
        <w:rPr>
          <w:rFonts w:ascii="宋体" w:hAnsi="宋体"/>
          <w:b w:val="0"/>
          <w:sz w:val="28"/>
          <w:szCs w:val="28"/>
        </w:rPr>
      </w:pPr>
      <w:r>
        <w:rPr>
          <w:rFonts w:hint="eastAsia" w:ascii="宋体" w:hAnsi="宋体"/>
          <w:b w:val="0"/>
          <w:sz w:val="28"/>
          <w:szCs w:val="28"/>
        </w:rPr>
        <w:t>在分析系统危险性时，为了衡量危险性的大小及其对系统破坏程度，将各类危险性划分为4个等级，见表4</w:t>
      </w:r>
      <w:r>
        <w:rPr>
          <w:rFonts w:ascii="宋体" w:hAnsi="宋体"/>
          <w:b w:val="0"/>
          <w:sz w:val="28"/>
          <w:szCs w:val="28"/>
        </w:rPr>
        <w:t>.3</w:t>
      </w:r>
      <w:r>
        <w:rPr>
          <w:rFonts w:hint="eastAsia" w:ascii="宋体" w:hAnsi="宋体"/>
          <w:b w:val="0"/>
          <w:sz w:val="28"/>
          <w:szCs w:val="28"/>
        </w:rPr>
        <w:t>-</w:t>
      </w:r>
      <w:r>
        <w:rPr>
          <w:rFonts w:ascii="宋体" w:hAnsi="宋体"/>
          <w:b w:val="0"/>
          <w:sz w:val="28"/>
          <w:szCs w:val="28"/>
        </w:rPr>
        <w:t>1</w:t>
      </w:r>
      <w:r>
        <w:rPr>
          <w:rFonts w:hint="eastAsia" w:ascii="宋体" w:hAnsi="宋体"/>
          <w:b w:val="0"/>
          <w:sz w:val="28"/>
          <w:szCs w:val="28"/>
        </w:rPr>
        <w:t>。</w:t>
      </w:r>
    </w:p>
    <w:p w14:paraId="4D8EC5D6">
      <w:pPr>
        <w:jc w:val="center"/>
        <w:rPr>
          <w:rFonts w:ascii="黑体" w:hAnsi="黑体" w:eastAsia="黑体"/>
          <w:b w:val="0"/>
          <w:bCs/>
          <w:sz w:val="24"/>
          <w:szCs w:val="28"/>
        </w:rPr>
      </w:pPr>
      <w:r>
        <w:rPr>
          <w:rFonts w:hint="eastAsia" w:ascii="黑体" w:hAnsi="黑体" w:eastAsia="黑体"/>
          <w:b w:val="0"/>
          <w:bCs/>
          <w:sz w:val="24"/>
          <w:szCs w:val="28"/>
        </w:rPr>
        <w:t>表4</w:t>
      </w:r>
      <w:r>
        <w:rPr>
          <w:rFonts w:ascii="黑体" w:hAnsi="黑体" w:eastAsia="黑体"/>
          <w:b w:val="0"/>
          <w:bCs/>
          <w:sz w:val="24"/>
          <w:szCs w:val="28"/>
        </w:rPr>
        <w:t>.3</w:t>
      </w:r>
      <w:r>
        <w:rPr>
          <w:rFonts w:hint="eastAsia" w:ascii="黑体" w:hAnsi="黑体" w:eastAsia="黑体"/>
          <w:b w:val="0"/>
          <w:bCs/>
          <w:sz w:val="24"/>
          <w:szCs w:val="28"/>
        </w:rPr>
        <w:t>-</w:t>
      </w:r>
      <w:r>
        <w:rPr>
          <w:rFonts w:ascii="黑体" w:hAnsi="黑体" w:eastAsia="黑体"/>
          <w:b w:val="0"/>
          <w:bCs/>
          <w:sz w:val="24"/>
          <w:szCs w:val="28"/>
        </w:rPr>
        <w:t>1</w:t>
      </w:r>
      <w:r>
        <w:rPr>
          <w:rFonts w:hint="eastAsia" w:ascii="黑体" w:hAnsi="黑体" w:eastAsia="黑体"/>
          <w:b w:val="0"/>
          <w:bCs/>
          <w:sz w:val="24"/>
          <w:szCs w:val="28"/>
        </w:rPr>
        <w:t xml:space="preserve">   危险性等级划分表</w:t>
      </w:r>
    </w:p>
    <w:tbl>
      <w:tblPr>
        <w:tblStyle w:val="88"/>
        <w:tblW w:w="931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00"/>
        <w:gridCol w:w="1435"/>
        <w:gridCol w:w="6984"/>
      </w:tblGrid>
      <w:tr w14:paraId="65C021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54" w:hRule="atLeast"/>
          <w:tblHeader/>
        </w:trPr>
        <w:tc>
          <w:tcPr>
            <w:tcW w:w="900" w:type="dxa"/>
            <w:vAlign w:val="center"/>
          </w:tcPr>
          <w:p w14:paraId="195F1ED4">
            <w:pPr>
              <w:spacing w:line="400" w:lineRule="exact"/>
              <w:jc w:val="center"/>
              <w:rPr>
                <w:rFonts w:ascii="宋体" w:hAnsi="宋体"/>
                <w:bCs/>
                <w:szCs w:val="21"/>
              </w:rPr>
            </w:pPr>
            <w:r>
              <w:rPr>
                <w:rFonts w:hint="eastAsia" w:ascii="宋体" w:hAnsi="宋体"/>
                <w:bCs/>
                <w:szCs w:val="21"/>
              </w:rPr>
              <w:t>级别</w:t>
            </w:r>
          </w:p>
        </w:tc>
        <w:tc>
          <w:tcPr>
            <w:tcW w:w="1435" w:type="dxa"/>
            <w:vAlign w:val="center"/>
          </w:tcPr>
          <w:p w14:paraId="54B669C8">
            <w:pPr>
              <w:spacing w:line="400" w:lineRule="exact"/>
              <w:jc w:val="center"/>
              <w:rPr>
                <w:rFonts w:ascii="宋体" w:hAnsi="宋体"/>
                <w:bCs/>
                <w:szCs w:val="21"/>
              </w:rPr>
            </w:pPr>
            <w:r>
              <w:rPr>
                <w:rFonts w:hint="eastAsia" w:ascii="宋体" w:hAnsi="宋体"/>
                <w:bCs/>
                <w:szCs w:val="21"/>
              </w:rPr>
              <w:t>危险程度</w:t>
            </w:r>
          </w:p>
        </w:tc>
        <w:tc>
          <w:tcPr>
            <w:tcW w:w="6984" w:type="dxa"/>
            <w:vAlign w:val="center"/>
          </w:tcPr>
          <w:p w14:paraId="712ABDD8">
            <w:pPr>
              <w:spacing w:line="400" w:lineRule="exact"/>
              <w:jc w:val="center"/>
              <w:rPr>
                <w:rFonts w:ascii="宋体" w:hAnsi="宋体"/>
                <w:bCs/>
                <w:szCs w:val="21"/>
              </w:rPr>
            </w:pPr>
            <w:r>
              <w:rPr>
                <w:rFonts w:hint="eastAsia" w:ascii="宋体" w:hAnsi="宋体"/>
                <w:bCs/>
                <w:szCs w:val="21"/>
              </w:rPr>
              <w:t>可能导致的后果</w:t>
            </w:r>
          </w:p>
        </w:tc>
      </w:tr>
      <w:tr w14:paraId="572A9C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7" w:hRule="atLeast"/>
          <w:tblHeader/>
        </w:trPr>
        <w:tc>
          <w:tcPr>
            <w:tcW w:w="900" w:type="dxa"/>
            <w:vAlign w:val="center"/>
          </w:tcPr>
          <w:p w14:paraId="26734670">
            <w:pPr>
              <w:spacing w:line="400" w:lineRule="exact"/>
              <w:jc w:val="center"/>
              <w:rPr>
                <w:rFonts w:ascii="宋体" w:hAnsi="宋体"/>
                <w:b w:val="0"/>
                <w:szCs w:val="21"/>
              </w:rPr>
            </w:pPr>
            <w:r>
              <w:rPr>
                <w:rFonts w:hint="eastAsia" w:ascii="宋体" w:hAnsi="宋体"/>
                <w:b w:val="0"/>
                <w:szCs w:val="21"/>
              </w:rPr>
              <w:t>I</w:t>
            </w:r>
          </w:p>
        </w:tc>
        <w:tc>
          <w:tcPr>
            <w:tcW w:w="1435" w:type="dxa"/>
            <w:vAlign w:val="center"/>
          </w:tcPr>
          <w:p w14:paraId="7A383C7B">
            <w:pPr>
              <w:spacing w:line="400" w:lineRule="exact"/>
              <w:jc w:val="center"/>
              <w:rPr>
                <w:rFonts w:ascii="宋体" w:hAnsi="宋体"/>
                <w:b w:val="0"/>
                <w:szCs w:val="21"/>
              </w:rPr>
            </w:pPr>
            <w:r>
              <w:rPr>
                <w:rFonts w:hint="eastAsia" w:ascii="宋体" w:hAnsi="宋体"/>
                <w:b w:val="0"/>
                <w:szCs w:val="21"/>
              </w:rPr>
              <w:t>安全的</w:t>
            </w:r>
          </w:p>
        </w:tc>
        <w:tc>
          <w:tcPr>
            <w:tcW w:w="6984" w:type="dxa"/>
            <w:vAlign w:val="center"/>
          </w:tcPr>
          <w:p w14:paraId="273B18DE">
            <w:pPr>
              <w:spacing w:line="400" w:lineRule="exact"/>
              <w:rPr>
                <w:rFonts w:ascii="宋体" w:hAnsi="宋体"/>
                <w:b w:val="0"/>
                <w:szCs w:val="21"/>
              </w:rPr>
            </w:pPr>
            <w:r>
              <w:rPr>
                <w:rFonts w:hint="eastAsia" w:ascii="宋体" w:hAnsi="宋体"/>
                <w:b w:val="0"/>
                <w:szCs w:val="21"/>
              </w:rPr>
              <w:t>不会造成人员伤亡及系统损坏。</w:t>
            </w:r>
          </w:p>
        </w:tc>
      </w:tr>
      <w:tr w14:paraId="23F354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33" w:hRule="atLeast"/>
          <w:tblHeader/>
        </w:trPr>
        <w:tc>
          <w:tcPr>
            <w:tcW w:w="900" w:type="dxa"/>
            <w:vAlign w:val="center"/>
          </w:tcPr>
          <w:p w14:paraId="3D6D7F4D">
            <w:pPr>
              <w:spacing w:line="400" w:lineRule="exact"/>
              <w:jc w:val="center"/>
              <w:rPr>
                <w:rFonts w:ascii="宋体" w:hAnsi="宋体"/>
                <w:b w:val="0"/>
                <w:szCs w:val="21"/>
              </w:rPr>
            </w:pPr>
            <w:r>
              <w:rPr>
                <w:rFonts w:hint="eastAsia" w:ascii="宋体" w:hAnsi="宋体"/>
                <w:b w:val="0"/>
                <w:szCs w:val="21"/>
              </w:rPr>
              <w:t>II</w:t>
            </w:r>
          </w:p>
        </w:tc>
        <w:tc>
          <w:tcPr>
            <w:tcW w:w="1435" w:type="dxa"/>
            <w:vAlign w:val="center"/>
          </w:tcPr>
          <w:p w14:paraId="05D80C3E">
            <w:pPr>
              <w:spacing w:line="400" w:lineRule="exact"/>
              <w:jc w:val="center"/>
              <w:rPr>
                <w:rFonts w:ascii="宋体" w:hAnsi="宋体"/>
                <w:b w:val="0"/>
                <w:szCs w:val="21"/>
              </w:rPr>
            </w:pPr>
            <w:r>
              <w:rPr>
                <w:rFonts w:hint="eastAsia" w:ascii="宋体" w:hAnsi="宋体"/>
                <w:b w:val="0"/>
                <w:szCs w:val="21"/>
              </w:rPr>
              <w:t>临界的</w:t>
            </w:r>
          </w:p>
        </w:tc>
        <w:tc>
          <w:tcPr>
            <w:tcW w:w="6984" w:type="dxa"/>
            <w:vAlign w:val="center"/>
          </w:tcPr>
          <w:p w14:paraId="0CBFEC6F">
            <w:pPr>
              <w:spacing w:line="400" w:lineRule="exact"/>
              <w:rPr>
                <w:rFonts w:ascii="宋体" w:hAnsi="宋体"/>
                <w:b w:val="0"/>
                <w:szCs w:val="21"/>
              </w:rPr>
            </w:pPr>
            <w:r>
              <w:rPr>
                <w:rFonts w:hint="eastAsia" w:ascii="宋体" w:hAnsi="宋体"/>
                <w:b w:val="0"/>
                <w:szCs w:val="21"/>
              </w:rPr>
              <w:t>处于事故的边缘状态，暂时还不至于造成人员伤亡、系统损坏或降低系统性能，但应予以排除或采取控制措施。</w:t>
            </w:r>
          </w:p>
        </w:tc>
      </w:tr>
      <w:tr w14:paraId="7B6335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7" w:hRule="atLeast"/>
          <w:tblHeader/>
        </w:trPr>
        <w:tc>
          <w:tcPr>
            <w:tcW w:w="900" w:type="dxa"/>
            <w:vAlign w:val="center"/>
          </w:tcPr>
          <w:p w14:paraId="173F6A1C">
            <w:pPr>
              <w:spacing w:line="400" w:lineRule="exact"/>
              <w:jc w:val="center"/>
              <w:rPr>
                <w:rFonts w:ascii="宋体" w:hAnsi="宋体"/>
                <w:b w:val="0"/>
                <w:szCs w:val="21"/>
              </w:rPr>
            </w:pPr>
            <w:r>
              <w:rPr>
                <w:rFonts w:hint="eastAsia" w:ascii="宋体" w:hAnsi="宋体"/>
                <w:b w:val="0"/>
                <w:szCs w:val="21"/>
              </w:rPr>
              <w:t>Ⅲ</w:t>
            </w:r>
          </w:p>
        </w:tc>
        <w:tc>
          <w:tcPr>
            <w:tcW w:w="1435" w:type="dxa"/>
            <w:vAlign w:val="center"/>
          </w:tcPr>
          <w:p w14:paraId="4ED789FB">
            <w:pPr>
              <w:spacing w:line="400" w:lineRule="exact"/>
              <w:jc w:val="center"/>
              <w:rPr>
                <w:rFonts w:ascii="宋体" w:hAnsi="宋体"/>
                <w:b w:val="0"/>
                <w:szCs w:val="21"/>
              </w:rPr>
            </w:pPr>
            <w:r>
              <w:rPr>
                <w:rFonts w:hint="eastAsia" w:ascii="宋体" w:hAnsi="宋体"/>
                <w:b w:val="0"/>
                <w:szCs w:val="21"/>
              </w:rPr>
              <w:t>危险的</w:t>
            </w:r>
          </w:p>
        </w:tc>
        <w:tc>
          <w:tcPr>
            <w:tcW w:w="6984" w:type="dxa"/>
            <w:vAlign w:val="center"/>
          </w:tcPr>
          <w:p w14:paraId="7DA41300">
            <w:pPr>
              <w:spacing w:line="400" w:lineRule="exact"/>
              <w:rPr>
                <w:rFonts w:ascii="宋体" w:hAnsi="宋体"/>
                <w:b w:val="0"/>
                <w:szCs w:val="21"/>
              </w:rPr>
            </w:pPr>
            <w:r>
              <w:rPr>
                <w:rFonts w:hint="eastAsia" w:ascii="宋体" w:hAnsi="宋体"/>
                <w:b w:val="0"/>
                <w:szCs w:val="21"/>
              </w:rPr>
              <w:t>会造成人员伤亡和系统损坏，要立即采取防范对策措施。</w:t>
            </w:r>
          </w:p>
        </w:tc>
      </w:tr>
      <w:tr w14:paraId="3A1C1F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68" w:hRule="atLeast"/>
          <w:tblHeader/>
        </w:trPr>
        <w:tc>
          <w:tcPr>
            <w:tcW w:w="900" w:type="dxa"/>
            <w:vAlign w:val="center"/>
          </w:tcPr>
          <w:p w14:paraId="7DF3BC99">
            <w:pPr>
              <w:spacing w:line="400" w:lineRule="exact"/>
              <w:jc w:val="center"/>
              <w:rPr>
                <w:rFonts w:ascii="宋体" w:hAnsi="宋体"/>
                <w:b w:val="0"/>
                <w:szCs w:val="21"/>
              </w:rPr>
            </w:pPr>
            <w:r>
              <w:rPr>
                <w:rFonts w:hint="eastAsia" w:ascii="宋体" w:hAnsi="宋体"/>
                <w:b w:val="0"/>
                <w:szCs w:val="21"/>
              </w:rPr>
              <w:t>IV</w:t>
            </w:r>
          </w:p>
        </w:tc>
        <w:tc>
          <w:tcPr>
            <w:tcW w:w="1435" w:type="dxa"/>
            <w:vAlign w:val="center"/>
          </w:tcPr>
          <w:p w14:paraId="113D501A">
            <w:pPr>
              <w:spacing w:line="400" w:lineRule="exact"/>
              <w:jc w:val="center"/>
              <w:rPr>
                <w:rFonts w:ascii="宋体" w:hAnsi="宋体"/>
                <w:b w:val="0"/>
                <w:szCs w:val="21"/>
              </w:rPr>
            </w:pPr>
            <w:r>
              <w:rPr>
                <w:rFonts w:hint="eastAsia" w:ascii="宋体" w:hAnsi="宋体"/>
                <w:b w:val="0"/>
                <w:szCs w:val="21"/>
              </w:rPr>
              <w:t>灾难性的</w:t>
            </w:r>
          </w:p>
        </w:tc>
        <w:tc>
          <w:tcPr>
            <w:tcW w:w="6984" w:type="dxa"/>
            <w:vAlign w:val="center"/>
          </w:tcPr>
          <w:p w14:paraId="57C4DB4A">
            <w:pPr>
              <w:spacing w:line="400" w:lineRule="exact"/>
              <w:rPr>
                <w:rFonts w:ascii="宋体" w:hAnsi="宋体"/>
                <w:b w:val="0"/>
                <w:szCs w:val="21"/>
              </w:rPr>
            </w:pPr>
            <w:r>
              <w:rPr>
                <w:rFonts w:hint="eastAsia" w:ascii="宋体" w:hAnsi="宋体"/>
                <w:b w:val="0"/>
                <w:szCs w:val="21"/>
              </w:rPr>
              <w:t>造成人员重大伤亡及系统严重破坏的灾难性事故，必须予以果断排除并进行重点防范。</w:t>
            </w:r>
          </w:p>
        </w:tc>
      </w:tr>
    </w:tbl>
    <w:p w14:paraId="6541AD44">
      <w:pPr>
        <w:spacing w:before="120" w:beforeLines="50" w:line="360" w:lineRule="auto"/>
        <w:ind w:firstLine="560" w:firstLineChars="200"/>
        <w:jc w:val="left"/>
        <w:rPr>
          <w:rFonts w:ascii="宋体" w:hAnsi="宋体"/>
          <w:b w:val="0"/>
          <w:sz w:val="28"/>
          <w:szCs w:val="28"/>
        </w:rPr>
      </w:pPr>
      <w:r>
        <w:rPr>
          <w:rFonts w:hint="eastAsia" w:ascii="宋体" w:hAnsi="宋体"/>
          <w:b w:val="0"/>
          <w:sz w:val="28"/>
          <w:szCs w:val="28"/>
        </w:rPr>
        <w:t>用预先危险性分析评价法进行评价时，根据确定的危险性等级，结合现场实际采取的预防措施情况，确定系统存在的风险是否可控。</w:t>
      </w:r>
    </w:p>
    <w:p w14:paraId="1088276E">
      <w:pPr>
        <w:spacing w:line="360" w:lineRule="auto"/>
        <w:outlineLvl w:val="2"/>
        <w:rPr>
          <w:rFonts w:ascii="黑体" w:hAnsi="黑体" w:eastAsia="黑体"/>
          <w:b w:val="0"/>
          <w:sz w:val="30"/>
          <w:szCs w:val="30"/>
        </w:rPr>
      </w:pPr>
      <w:r>
        <w:rPr>
          <w:rFonts w:hint="eastAsia" w:ascii="黑体" w:hAnsi="黑体" w:eastAsia="黑体"/>
          <w:b w:val="0"/>
          <w:sz w:val="30"/>
          <w:szCs w:val="30"/>
        </w:rPr>
        <w:t>4.3.4伤害（或破坏）范围评价法</w:t>
      </w:r>
    </w:p>
    <w:p w14:paraId="65C63830">
      <w:pPr>
        <w:pStyle w:val="87"/>
        <w:ind w:firstLine="560"/>
        <w:sectPr>
          <w:pgSz w:w="11906" w:h="16838"/>
          <w:pgMar w:top="1417" w:right="1417" w:bottom="1417" w:left="1417" w:header="851" w:footer="863" w:gutter="0"/>
          <w:pgBorders>
            <w:top w:val="none" w:sz="0" w:space="0"/>
            <w:left w:val="none" w:sz="0" w:space="0"/>
            <w:bottom w:val="none" w:sz="0" w:space="0"/>
            <w:right w:val="none" w:sz="0" w:space="0"/>
          </w:pgBorders>
          <w:cols w:space="720" w:num="1"/>
          <w:docGrid w:linePitch="312" w:charSpace="0"/>
        </w:sectPr>
      </w:pPr>
      <w:r>
        <w:rPr>
          <w:rFonts w:hint="eastAsia" w:ascii="宋体" w:hAnsi="宋体" w:eastAsia="宋体"/>
          <w:b w:val="0"/>
          <w:kern w:val="2"/>
          <w:szCs w:val="28"/>
        </w:rPr>
        <w:t>伤害（或破坏）范围评价法是根据事故的数学模型，应用数学方法，求取事故对人员的伤害范围或对物体的破坏范围的安全评价方法。评价结果是事故对人员的伤害范围或（和）对物体的破坏范围，因此评价结果直观、可靠，评价结果可用于危险性分区，同时还可以进一步计算伤害区域内的人员及其人员的伤害程度，以及破坏范围物体损坏程度和直接经济损失。</w:t>
      </w:r>
    </w:p>
    <w:bookmarkEnd w:id="176"/>
    <w:bookmarkEnd w:id="533"/>
    <w:p w14:paraId="7F1E6197">
      <w:pPr>
        <w:keepNext/>
        <w:pageBreakBefore/>
        <w:widowControl/>
        <w:spacing w:before="120" w:beforeLines="50" w:line="360" w:lineRule="auto"/>
        <w:jc w:val="center"/>
        <w:outlineLvl w:val="0"/>
        <w:rPr>
          <w:rFonts w:ascii="黑体" w:hAnsi="宋体" w:eastAsia="黑体"/>
          <w:b w:val="0"/>
          <w:sz w:val="32"/>
          <w:szCs w:val="32"/>
        </w:rPr>
      </w:pPr>
      <w:bookmarkStart w:id="535" w:name="_Toc157496785"/>
      <w:bookmarkStart w:id="536" w:name="_Toc270850122"/>
      <w:bookmarkStart w:id="537" w:name="_Toc16243"/>
      <w:bookmarkStart w:id="538" w:name="_Toc274316590"/>
      <w:bookmarkStart w:id="539" w:name="_Toc233449794"/>
      <w:bookmarkStart w:id="540" w:name="_Toc104354001"/>
      <w:bookmarkStart w:id="541" w:name="_Toc104424059"/>
      <w:bookmarkStart w:id="542" w:name="_Toc124131613"/>
      <w:bookmarkStart w:id="543" w:name="_Toc110569910"/>
      <w:r>
        <w:rPr>
          <w:rFonts w:hint="eastAsia" w:ascii="黑体" w:hAnsi="宋体" w:eastAsia="黑体"/>
          <w:b w:val="0"/>
          <w:sz w:val="32"/>
          <w:szCs w:val="32"/>
        </w:rPr>
        <w:t>第五章 定性定量评价</w:t>
      </w:r>
      <w:bookmarkEnd w:id="535"/>
      <w:bookmarkEnd w:id="536"/>
      <w:bookmarkEnd w:id="537"/>
      <w:bookmarkEnd w:id="538"/>
    </w:p>
    <w:p w14:paraId="370BC3C0">
      <w:pPr>
        <w:keepNext/>
        <w:keepLines/>
        <w:spacing w:before="120" w:beforeLines="50" w:line="360" w:lineRule="auto"/>
        <w:outlineLvl w:val="1"/>
        <w:rPr>
          <w:rFonts w:ascii="黑体" w:hAnsi="宋体" w:eastAsia="黑体"/>
          <w:b w:val="0"/>
          <w:bCs/>
          <w:snapToGrid w:val="0"/>
          <w:sz w:val="30"/>
          <w:szCs w:val="30"/>
        </w:rPr>
      </w:pPr>
      <w:bookmarkStart w:id="544" w:name="_Toc17493"/>
      <w:bookmarkStart w:id="545" w:name="_Toc235352279"/>
      <w:bookmarkStart w:id="546" w:name="_Toc211769700"/>
      <w:bookmarkStart w:id="547" w:name="_Toc235352375"/>
      <w:bookmarkStart w:id="548" w:name="_Toc221454629"/>
      <w:bookmarkStart w:id="549" w:name="_Toc171001579"/>
      <w:bookmarkStart w:id="550" w:name="_Toc174793934"/>
      <w:bookmarkStart w:id="551" w:name="_Toc235865727"/>
      <w:bookmarkStart w:id="552" w:name="_Toc176170398"/>
      <w:bookmarkStart w:id="553" w:name="_Toc364346099"/>
      <w:bookmarkStart w:id="554" w:name="_Toc235862396"/>
      <w:bookmarkStart w:id="555" w:name="_Toc235865638"/>
      <w:r>
        <w:rPr>
          <w:rFonts w:hint="eastAsia" w:ascii="黑体" w:hAnsi="宋体" w:eastAsia="黑体"/>
          <w:b w:val="0"/>
          <w:bCs/>
          <w:snapToGrid w:val="0"/>
          <w:sz w:val="30"/>
          <w:szCs w:val="30"/>
        </w:rPr>
        <w:t>5.1建设项目安全条件单元</w:t>
      </w:r>
      <w:bookmarkEnd w:id="544"/>
    </w:p>
    <w:p w14:paraId="4FEA6617">
      <w:pPr>
        <w:spacing w:line="360" w:lineRule="auto"/>
        <w:ind w:firstLine="560" w:firstLineChars="200"/>
        <w:rPr>
          <w:rFonts w:ascii="宋体" w:hAnsi="宋体" w:cs="宋体"/>
          <w:b w:val="0"/>
          <w:sz w:val="28"/>
          <w:szCs w:val="28"/>
        </w:rPr>
      </w:pPr>
      <w:r>
        <w:rPr>
          <w:rFonts w:hint="eastAsia"/>
          <w:b w:val="0"/>
          <w:bCs/>
          <w:sz w:val="28"/>
          <w:szCs w:val="28"/>
        </w:rPr>
        <w:t>采用对照分析法对本单元进行评价</w:t>
      </w:r>
      <w:r>
        <w:rPr>
          <w:rFonts w:hint="eastAsia" w:ascii="宋体" w:hAnsi="宋体" w:cs="宋体"/>
          <w:b w:val="0"/>
          <w:sz w:val="28"/>
          <w:szCs w:val="28"/>
        </w:rPr>
        <w:t>。</w:t>
      </w:r>
    </w:p>
    <w:p w14:paraId="7A29CAC5">
      <w:pPr>
        <w:pStyle w:val="5"/>
        <w:jc w:val="both"/>
        <w:rPr>
          <w:rFonts w:ascii="黑体" w:hAnsi="黑体" w:eastAsia="黑体" w:cs="宋体"/>
          <w:b w:val="0"/>
          <w:szCs w:val="28"/>
        </w:rPr>
      </w:pPr>
      <w:r>
        <w:rPr>
          <w:rFonts w:hint="eastAsia" w:ascii="黑体" w:hAnsi="黑体" w:eastAsia="黑体" w:cs="宋体"/>
          <w:b w:val="0"/>
          <w:szCs w:val="28"/>
        </w:rPr>
        <w:t>5.</w:t>
      </w:r>
      <w:r>
        <w:rPr>
          <w:rFonts w:ascii="黑体" w:hAnsi="黑体" w:eastAsia="黑体" w:cs="宋体"/>
          <w:b w:val="0"/>
          <w:szCs w:val="28"/>
        </w:rPr>
        <w:t>1</w:t>
      </w:r>
      <w:r>
        <w:rPr>
          <w:rFonts w:hint="eastAsia" w:ascii="黑体" w:hAnsi="黑体" w:eastAsia="黑体" w:cs="宋体"/>
          <w:b w:val="0"/>
          <w:szCs w:val="28"/>
        </w:rPr>
        <w:t>.1建设项目内在危险有害因素对周边单位生产、经营活动或者居民生产的影响</w:t>
      </w:r>
    </w:p>
    <w:p w14:paraId="03666B41">
      <w:pPr>
        <w:spacing w:line="360" w:lineRule="auto"/>
        <w:ind w:firstLine="560" w:firstLineChars="200"/>
        <w:rPr>
          <w:rFonts w:ascii="宋体" w:hAnsi="宋体" w:cs="宋体"/>
          <w:b w:val="0"/>
          <w:sz w:val="28"/>
          <w:szCs w:val="28"/>
        </w:rPr>
      </w:pPr>
      <w:r>
        <w:rPr>
          <w:rFonts w:hint="eastAsia" w:ascii="宋体" w:hAnsi="宋体" w:cs="宋体"/>
          <w:b w:val="0"/>
          <w:sz w:val="28"/>
          <w:szCs w:val="28"/>
        </w:rPr>
        <w:t>该企业为烟花生产企业，正常情况下无废气、废渣及噪声排放，生产的有药废水经沉淀池沉淀后采用水泥明沟依据地势，由高向低呈散形排放。因此企业不会对周边的生态环境和人文环境构成威胁。</w:t>
      </w:r>
    </w:p>
    <w:p w14:paraId="6BC1B85E">
      <w:pPr>
        <w:spacing w:line="360" w:lineRule="auto"/>
        <w:ind w:firstLine="560" w:firstLineChars="200"/>
        <w:rPr>
          <w:rFonts w:ascii="宋体" w:hAnsi="宋体" w:cs="宋体"/>
          <w:b w:val="0"/>
          <w:sz w:val="28"/>
          <w:szCs w:val="28"/>
        </w:rPr>
      </w:pPr>
      <w:r>
        <w:rPr>
          <w:rFonts w:hint="eastAsia" w:ascii="宋体" w:hAnsi="宋体" w:cs="Arial"/>
          <w:b w:val="0"/>
          <w:sz w:val="28"/>
        </w:rPr>
        <w:t>为提升企业安全生产条件、解决生产工库房不匹配的矛盾，该企业申请拟在原厂区内对生产线和生产车间进行改建升级，具体内容：①将原组合烟花生产线改建为喷花生产线（含喷花组合）；②对装药生产线、亮珠生产线、药物中转库及1.3级生产车间等进行改建升级；④全面完善厂区各项安全设施，系统提升安全生产配套条件，确保整体达标运行。拟改建后厂区共有工库房93栋，其中</w:t>
      </w:r>
      <w:r>
        <w:rPr>
          <w:rFonts w:hint="eastAsia" w:ascii="宋体" w:hAnsi="宋体" w:cs="Arial"/>
          <w:b w:val="0"/>
          <w:color w:val="000000" w:themeColor="text1"/>
          <w:sz w:val="28"/>
          <w14:textFill>
            <w14:solidFill>
              <w14:schemeClr w14:val="tx1"/>
            </w14:solidFill>
          </w14:textFill>
        </w:rPr>
        <w:t>新建9栋、改建71栋，利旧11栋，</w:t>
      </w:r>
      <w:r>
        <w:rPr>
          <w:rFonts w:hint="eastAsia" w:ascii="宋体" w:hAnsi="宋体" w:cs="Arial"/>
          <w:b w:val="0"/>
          <w:sz w:val="28"/>
        </w:rPr>
        <w:t>申请生产范围变更为：喷花类（C</w:t>
      </w:r>
      <w:r>
        <w:rPr>
          <w:rFonts w:hint="eastAsia" w:ascii="宋体" w:hAnsi="宋体" w:cs="Arial"/>
          <w:b w:val="0"/>
          <w:sz w:val="28"/>
          <w:vertAlign w:val="subscript"/>
        </w:rPr>
        <w:t>1</w:t>
      </w:r>
      <w:r>
        <w:rPr>
          <w:rFonts w:hint="eastAsia" w:ascii="宋体" w:hAnsi="宋体" w:cs="Arial"/>
          <w:b w:val="0"/>
          <w:sz w:val="28"/>
        </w:rPr>
        <w:t>级、C</w:t>
      </w:r>
      <w:r>
        <w:rPr>
          <w:rFonts w:hint="eastAsia" w:ascii="宋体" w:hAnsi="宋体" w:cs="Arial"/>
          <w:b w:val="0"/>
          <w:sz w:val="28"/>
          <w:vertAlign w:val="subscript"/>
        </w:rPr>
        <w:t>2</w:t>
      </w:r>
      <w:r>
        <w:rPr>
          <w:rFonts w:hint="eastAsia" w:ascii="宋体" w:hAnsi="宋体" w:cs="Arial"/>
          <w:b w:val="0"/>
          <w:sz w:val="28"/>
        </w:rPr>
        <w:t>级、D级）、组合烟花（喷花组合，C</w:t>
      </w:r>
      <w:r>
        <w:rPr>
          <w:rFonts w:hint="eastAsia" w:ascii="宋体" w:hAnsi="宋体" w:cs="Arial"/>
          <w:b w:val="0"/>
          <w:sz w:val="28"/>
          <w:vertAlign w:val="subscript"/>
        </w:rPr>
        <w:t>1</w:t>
      </w:r>
      <w:r>
        <w:rPr>
          <w:rFonts w:hint="eastAsia" w:ascii="宋体" w:hAnsi="宋体" w:cs="Arial"/>
          <w:b w:val="0"/>
          <w:sz w:val="28"/>
        </w:rPr>
        <w:t>级、C</w:t>
      </w:r>
      <w:r>
        <w:rPr>
          <w:rFonts w:hint="eastAsia" w:ascii="宋体" w:hAnsi="宋体" w:cs="Arial"/>
          <w:b w:val="0"/>
          <w:sz w:val="28"/>
          <w:vertAlign w:val="subscript"/>
        </w:rPr>
        <w:t>2</w:t>
      </w:r>
      <w:r>
        <w:rPr>
          <w:rFonts w:hint="eastAsia" w:ascii="宋体" w:hAnsi="宋体" w:cs="Arial"/>
          <w:b w:val="0"/>
          <w:sz w:val="28"/>
        </w:rPr>
        <w:t>级、D级））</w:t>
      </w:r>
      <w:r>
        <w:rPr>
          <w:rFonts w:hint="eastAsia" w:ascii="宋体" w:hAnsi="宋体"/>
          <w:b w:val="0"/>
          <w:sz w:val="28"/>
          <w:szCs w:val="28"/>
        </w:rPr>
        <w:t>。</w:t>
      </w:r>
    </w:p>
    <w:p w14:paraId="46989675">
      <w:pPr>
        <w:spacing w:line="360" w:lineRule="auto"/>
        <w:ind w:firstLine="560" w:firstLineChars="200"/>
        <w:rPr>
          <w:rFonts w:ascii="宋体" w:hAnsi="宋体"/>
          <w:b w:val="0"/>
          <w:sz w:val="28"/>
          <w:szCs w:val="28"/>
        </w:rPr>
      </w:pPr>
      <w:r>
        <w:rPr>
          <w:rFonts w:hint="eastAsia" w:ascii="宋体" w:hAnsi="宋体"/>
          <w:b w:val="0"/>
          <w:sz w:val="28"/>
          <w:szCs w:val="28"/>
          <w:lang w:val="en-GB"/>
        </w:rPr>
        <w:t>厂房升级改造项目位于浏阳市集里街道办事处合盛村，建设项目</w:t>
      </w:r>
      <w:r>
        <w:rPr>
          <w:rFonts w:hint="eastAsia" w:ascii="宋体" w:hAnsi="宋体"/>
          <w:b w:val="0"/>
          <w:sz w:val="28"/>
          <w:szCs w:val="28"/>
        </w:rPr>
        <w:t>的</w:t>
      </w:r>
      <w:r>
        <w:rPr>
          <w:rFonts w:hint="eastAsia" w:ascii="宋体" w:hAnsi="宋体"/>
          <w:b w:val="0"/>
          <w:sz w:val="28"/>
          <w:szCs w:val="28"/>
          <w:lang w:val="en-GB"/>
        </w:rPr>
        <w:t>周边环境相对简单，周边安全距离内无城镇规划区、工业区、旅游区等建（构）筑物。该项目周边分布有</w:t>
      </w:r>
      <w:r>
        <w:rPr>
          <w:rFonts w:hint="eastAsia" w:ascii="宋体" w:hAnsi="宋体"/>
          <w:b w:val="0"/>
          <w:sz w:val="28"/>
          <w:szCs w:val="28"/>
        </w:rPr>
        <w:t>民房及其他烟花企业（浏阳市文龙鞭炮烟花烟制造有限公司），该项目工库房的外部距离均符合《烟花爆竹工程设计安全标准》（GB50161-2022）要求</w:t>
      </w:r>
      <w:r>
        <w:rPr>
          <w:rFonts w:hint="eastAsia" w:ascii="宋体" w:hAnsi="宋体"/>
          <w:b w:val="0"/>
          <w:sz w:val="28"/>
          <w:szCs w:val="28"/>
          <w:lang w:val="en-GB"/>
        </w:rPr>
        <w:t>。</w:t>
      </w:r>
      <w:r>
        <w:rPr>
          <w:rFonts w:hint="eastAsia" w:ascii="宋体" w:hAnsi="宋体"/>
          <w:b w:val="0"/>
          <w:sz w:val="28"/>
          <w:szCs w:val="28"/>
        </w:rPr>
        <w:t>该项目与周边环境均保持有足够的安全距离，与当地城市的近期建设等不发生冲突，不会影响城市建设。</w:t>
      </w:r>
    </w:p>
    <w:p w14:paraId="4BB654A9">
      <w:pPr>
        <w:spacing w:line="360" w:lineRule="auto"/>
        <w:ind w:firstLine="560" w:firstLineChars="200"/>
        <w:rPr>
          <w:rFonts w:ascii="宋体" w:hAnsi="宋体" w:cs="宋体"/>
          <w:bCs/>
          <w:sz w:val="28"/>
          <w:szCs w:val="28"/>
        </w:rPr>
      </w:pPr>
      <w:r>
        <w:rPr>
          <w:rFonts w:hint="eastAsia" w:ascii="宋体" w:hAnsi="宋体" w:cs="宋体"/>
          <w:b w:val="0"/>
          <w:sz w:val="28"/>
          <w:szCs w:val="28"/>
        </w:rPr>
        <w:t>本地区常年风向为：冬季西北风、夏季东南风，厂区周边安全距离内无居民区，因此该项目不存在因发生火灾、爆炸事故而对下游居民构成太大的危害</w:t>
      </w:r>
      <w:r>
        <w:rPr>
          <w:rFonts w:hint="eastAsia" w:ascii="宋体" w:hAnsi="宋体" w:cs="宋体"/>
          <w:bCs/>
          <w:sz w:val="28"/>
          <w:szCs w:val="28"/>
        </w:rPr>
        <w:t>。</w:t>
      </w:r>
    </w:p>
    <w:p w14:paraId="7B56E687">
      <w:pPr>
        <w:pStyle w:val="5"/>
        <w:spacing w:line="600" w:lineRule="exact"/>
        <w:rPr>
          <w:rFonts w:ascii="黑体" w:hAnsi="黑体" w:eastAsia="黑体" w:cs="宋体"/>
          <w:b w:val="0"/>
          <w:szCs w:val="28"/>
        </w:rPr>
      </w:pPr>
      <w:r>
        <w:rPr>
          <w:rFonts w:hint="eastAsia" w:ascii="黑体" w:hAnsi="黑体" w:eastAsia="黑体" w:cs="宋体"/>
          <w:b w:val="0"/>
          <w:szCs w:val="28"/>
        </w:rPr>
        <w:t>5.</w:t>
      </w:r>
      <w:r>
        <w:rPr>
          <w:rFonts w:ascii="黑体" w:hAnsi="黑体" w:eastAsia="黑体" w:cs="宋体"/>
          <w:b w:val="0"/>
          <w:szCs w:val="28"/>
        </w:rPr>
        <w:t>1</w:t>
      </w:r>
      <w:r>
        <w:rPr>
          <w:rFonts w:hint="eastAsia" w:ascii="黑体" w:hAnsi="黑体" w:eastAsia="黑体" w:cs="宋体"/>
          <w:b w:val="0"/>
          <w:szCs w:val="28"/>
        </w:rPr>
        <w:t>.</w:t>
      </w:r>
      <w:r>
        <w:rPr>
          <w:rFonts w:ascii="黑体" w:hAnsi="黑体" w:eastAsia="黑体" w:cs="宋体"/>
          <w:b w:val="0"/>
          <w:szCs w:val="28"/>
        </w:rPr>
        <w:t>2</w:t>
      </w:r>
      <w:r>
        <w:rPr>
          <w:rFonts w:hint="eastAsia" w:ascii="黑体" w:hAnsi="黑体" w:eastAsia="黑体" w:cs="宋体"/>
          <w:b w:val="0"/>
          <w:szCs w:val="28"/>
        </w:rPr>
        <w:t>建设项目周边生产单位、经营活动或居民生产对厂区的影响</w:t>
      </w:r>
    </w:p>
    <w:p w14:paraId="4A307823">
      <w:pPr>
        <w:spacing w:line="600" w:lineRule="exact"/>
        <w:ind w:firstLine="560" w:firstLineChars="200"/>
        <w:rPr>
          <w:rFonts w:ascii="宋体" w:hAnsi="宋体" w:cs="宋体"/>
          <w:b w:val="0"/>
          <w:sz w:val="28"/>
          <w:szCs w:val="28"/>
        </w:rPr>
      </w:pPr>
      <w:r>
        <w:rPr>
          <w:rFonts w:hint="eastAsia" w:ascii="宋体" w:hAnsi="宋体"/>
          <w:b w:val="0"/>
          <w:sz w:val="28"/>
          <w:szCs w:val="28"/>
          <w:lang w:val="en-GB"/>
        </w:rPr>
        <w:t>浏阳市太平复兴花炮厂（个人独资）位于浏阳市集里街道办事处合盛村，</w:t>
      </w:r>
      <w:r>
        <w:rPr>
          <w:rFonts w:hint="eastAsia" w:ascii="宋体" w:hAnsi="宋体" w:cs="宋体"/>
          <w:b w:val="0"/>
          <w:sz w:val="28"/>
          <w:szCs w:val="28"/>
        </w:rPr>
        <w:t>坐落于山岭地带，厂区周围无学校、工业区、旅游区、重点建筑物、铁路运输线等。周边外部安全距离范围内无大型居民区，厂区拟设置全厂围墙（部分陡峭地带采用刺丝网围墙），门口拟设置门禁系统，隔绝了无关人员进入，所以不会对该项目的生产、经营造成影响。</w:t>
      </w:r>
    </w:p>
    <w:p w14:paraId="1E32EF48">
      <w:pPr>
        <w:spacing w:line="600" w:lineRule="exact"/>
        <w:ind w:firstLine="560" w:firstLineChars="200"/>
        <w:rPr>
          <w:rFonts w:ascii="宋体" w:hAnsi="宋体" w:cs="宋体"/>
          <w:bCs/>
          <w:sz w:val="28"/>
          <w:szCs w:val="28"/>
        </w:rPr>
      </w:pPr>
      <w:r>
        <w:rPr>
          <w:rFonts w:hint="eastAsia" w:ascii="宋体" w:hAnsi="宋体" w:cs="宋体"/>
          <w:b w:val="0"/>
          <w:sz w:val="28"/>
          <w:szCs w:val="28"/>
        </w:rPr>
        <w:t>因此，周边生产经营活动不存在固有的危险有害因素，不会对厂区本身造成影响和相互制约干扰因素</w:t>
      </w:r>
      <w:r>
        <w:rPr>
          <w:rFonts w:hint="eastAsia" w:ascii="宋体" w:hAnsi="宋体" w:cs="宋体"/>
          <w:bCs/>
          <w:sz w:val="28"/>
          <w:szCs w:val="28"/>
        </w:rPr>
        <w:t>。</w:t>
      </w:r>
    </w:p>
    <w:p w14:paraId="72B9260C">
      <w:pPr>
        <w:pStyle w:val="5"/>
        <w:spacing w:line="600" w:lineRule="exact"/>
        <w:rPr>
          <w:rFonts w:ascii="黑体" w:hAnsi="黑体" w:eastAsia="黑体" w:cs="宋体"/>
          <w:b w:val="0"/>
          <w:szCs w:val="28"/>
        </w:rPr>
      </w:pPr>
      <w:r>
        <w:rPr>
          <w:rFonts w:hint="eastAsia" w:ascii="黑体" w:hAnsi="黑体" w:eastAsia="黑体" w:cs="宋体"/>
          <w:b w:val="0"/>
          <w:szCs w:val="28"/>
        </w:rPr>
        <w:t>5</w:t>
      </w:r>
      <w:r>
        <w:rPr>
          <w:rFonts w:ascii="黑体" w:hAnsi="黑体" w:eastAsia="黑体" w:cs="宋体"/>
          <w:b w:val="0"/>
          <w:szCs w:val="28"/>
        </w:rPr>
        <w:t>.1.3</w:t>
      </w:r>
      <w:r>
        <w:rPr>
          <w:rFonts w:hint="eastAsia" w:ascii="黑体" w:hAnsi="黑体" w:eastAsia="黑体" w:cs="宋体"/>
          <w:b w:val="0"/>
          <w:szCs w:val="28"/>
        </w:rPr>
        <w:t>自然条件对建设项目可能产生的影响</w:t>
      </w:r>
    </w:p>
    <w:p w14:paraId="72A0BB4D">
      <w:pPr>
        <w:spacing w:line="600" w:lineRule="exact"/>
        <w:ind w:firstLine="560" w:firstLineChars="200"/>
        <w:rPr>
          <w:rFonts w:ascii="宋体" w:hAnsi="宋体"/>
          <w:b w:val="0"/>
          <w:bCs/>
          <w:sz w:val="28"/>
          <w:szCs w:val="28"/>
        </w:rPr>
      </w:pPr>
      <w:r>
        <w:rPr>
          <w:rFonts w:hint="eastAsia" w:ascii="宋体" w:hAnsi="宋体"/>
          <w:b w:val="0"/>
          <w:bCs/>
          <w:sz w:val="28"/>
          <w:szCs w:val="28"/>
        </w:rPr>
        <w:t>在夏天存在雷雨天气，冬天存在冷冻天气。当地自然条件对该企业有一定的影响，在冬季路面结冰时，应注意厂区道路和场地的防滑措施。在暴雨季节，应注意工房屋面的防漏措施。</w:t>
      </w:r>
    </w:p>
    <w:p w14:paraId="7B1CC8A0">
      <w:pPr>
        <w:spacing w:line="600" w:lineRule="exact"/>
        <w:ind w:firstLine="560" w:firstLineChars="200"/>
        <w:rPr>
          <w:rFonts w:ascii="宋体" w:hAnsi="宋体"/>
          <w:b w:val="0"/>
          <w:bCs/>
          <w:sz w:val="28"/>
          <w:szCs w:val="28"/>
        </w:rPr>
      </w:pPr>
      <w:r>
        <w:rPr>
          <w:rFonts w:hint="eastAsia" w:ascii="宋体" w:hAnsi="宋体"/>
          <w:b w:val="0"/>
          <w:bCs/>
          <w:sz w:val="28"/>
          <w:szCs w:val="28"/>
        </w:rPr>
        <w:t>雷雨天气对工库房有一定的影响，当建筑物防雷设施被破坏或设计不满足建筑物防雷类别要求时，遭到雷击的影响。</w:t>
      </w:r>
    </w:p>
    <w:p w14:paraId="7E90BF2C">
      <w:pPr>
        <w:pStyle w:val="5"/>
        <w:spacing w:line="600" w:lineRule="exact"/>
        <w:rPr>
          <w:rFonts w:ascii="黑体" w:hAnsi="黑体" w:eastAsia="黑体" w:cs="宋体"/>
          <w:b w:val="0"/>
          <w:szCs w:val="28"/>
        </w:rPr>
      </w:pPr>
      <w:r>
        <w:rPr>
          <w:rFonts w:hint="eastAsia" w:ascii="黑体" w:hAnsi="黑体" w:eastAsia="黑体" w:cs="宋体"/>
          <w:b w:val="0"/>
          <w:szCs w:val="28"/>
        </w:rPr>
        <w:t>5.</w:t>
      </w:r>
      <w:r>
        <w:rPr>
          <w:rFonts w:ascii="黑体" w:hAnsi="黑体" w:eastAsia="黑体" w:cs="宋体"/>
          <w:b w:val="0"/>
          <w:szCs w:val="28"/>
        </w:rPr>
        <w:t>1</w:t>
      </w:r>
      <w:r>
        <w:rPr>
          <w:rFonts w:hint="eastAsia" w:ascii="黑体" w:hAnsi="黑体" w:eastAsia="黑体" w:cs="宋体"/>
          <w:b w:val="0"/>
          <w:szCs w:val="28"/>
        </w:rPr>
        <w:t>.</w:t>
      </w:r>
      <w:r>
        <w:rPr>
          <w:rFonts w:ascii="黑体" w:hAnsi="黑体" w:eastAsia="黑体" w:cs="宋体"/>
          <w:b w:val="0"/>
          <w:szCs w:val="28"/>
        </w:rPr>
        <w:t>4</w:t>
      </w:r>
      <w:r>
        <w:rPr>
          <w:rFonts w:hint="eastAsia" w:ascii="黑体" w:hAnsi="黑体" w:eastAsia="黑体" w:cs="宋体"/>
          <w:b w:val="0"/>
          <w:szCs w:val="28"/>
        </w:rPr>
        <w:t>周边环境与建设项目相互影响的评价小结</w:t>
      </w:r>
    </w:p>
    <w:p w14:paraId="3F37F75F">
      <w:pPr>
        <w:pStyle w:val="87"/>
        <w:spacing w:line="600" w:lineRule="exact"/>
        <w:ind w:firstLine="560"/>
        <w:rPr>
          <w:rFonts w:asciiTheme="minorEastAsia" w:hAnsiTheme="minorEastAsia" w:eastAsiaTheme="minorEastAsia"/>
          <w:b w:val="0"/>
          <w:bCs/>
        </w:rPr>
      </w:pPr>
      <w:r>
        <w:rPr>
          <w:rFonts w:hint="eastAsia" w:asciiTheme="minorEastAsia" w:hAnsiTheme="minorEastAsia" w:eastAsiaTheme="minorEastAsia"/>
          <w:b w:val="0"/>
          <w:bCs/>
        </w:rPr>
        <w:t>根据对该企业厂房升级改造项目内在危险有害因素对周边单位生产、经营活动及居民生活的影响，厂房升级改造项目周边生产单位、经营活动及居民生活对厂区的影响以及自然条件对厂房升级改造项目可能产生的影响的分析，在采取相关措施后，周边环境与厂房升级改造项目的相互影响较小，在可接受范围内。当地自然条件主要是在夏天存在雷雨天气，冬天存在霜冻天气，企业采取防护措施后，均在可接受范围内</w:t>
      </w:r>
      <w:r>
        <w:rPr>
          <w:rFonts w:hint="eastAsia" w:cs="宋体" w:asciiTheme="minorEastAsia" w:hAnsiTheme="minorEastAsia" w:eastAsiaTheme="minorEastAsia"/>
          <w:b w:val="0"/>
          <w:bCs/>
          <w:szCs w:val="28"/>
        </w:rPr>
        <w:t>。</w:t>
      </w:r>
    </w:p>
    <w:p w14:paraId="4F0B54CE">
      <w:pPr>
        <w:keepNext/>
        <w:keepLines/>
        <w:spacing w:before="120" w:beforeLines="50" w:line="600" w:lineRule="exact"/>
        <w:outlineLvl w:val="1"/>
        <w:rPr>
          <w:rFonts w:ascii="黑体" w:hAnsi="宋体" w:eastAsia="黑体"/>
          <w:b w:val="0"/>
          <w:bCs/>
          <w:snapToGrid w:val="0"/>
          <w:sz w:val="30"/>
          <w:szCs w:val="30"/>
        </w:rPr>
      </w:pPr>
      <w:bookmarkStart w:id="556" w:name="_Toc1730"/>
      <w:r>
        <w:rPr>
          <w:rFonts w:hint="eastAsia" w:ascii="黑体" w:hAnsi="宋体" w:eastAsia="黑体"/>
          <w:b w:val="0"/>
          <w:bCs/>
          <w:snapToGrid w:val="0"/>
          <w:sz w:val="30"/>
          <w:szCs w:val="30"/>
        </w:rPr>
        <w:t>5.2建设项目</w:t>
      </w:r>
      <w:bookmarkEnd w:id="545"/>
      <w:bookmarkEnd w:id="546"/>
      <w:bookmarkEnd w:id="547"/>
      <w:bookmarkEnd w:id="548"/>
      <w:bookmarkEnd w:id="549"/>
      <w:bookmarkEnd w:id="550"/>
      <w:bookmarkEnd w:id="551"/>
      <w:bookmarkEnd w:id="552"/>
      <w:bookmarkEnd w:id="553"/>
      <w:bookmarkEnd w:id="554"/>
      <w:bookmarkEnd w:id="555"/>
      <w:r>
        <w:rPr>
          <w:rFonts w:hint="eastAsia" w:ascii="黑体" w:hAnsi="宋体" w:eastAsia="黑体"/>
          <w:b w:val="0"/>
          <w:bCs/>
          <w:snapToGrid w:val="0"/>
          <w:sz w:val="30"/>
          <w:szCs w:val="30"/>
        </w:rPr>
        <w:t>总体布局单元</w:t>
      </w:r>
      <w:bookmarkEnd w:id="556"/>
    </w:p>
    <w:p w14:paraId="56541E8A">
      <w:pPr>
        <w:spacing w:line="600" w:lineRule="exact"/>
        <w:ind w:firstLine="560" w:firstLineChars="200"/>
        <w:rPr>
          <w:rFonts w:ascii="宋体" w:hAnsi="宋体"/>
          <w:b w:val="0"/>
          <w:bCs/>
          <w:sz w:val="28"/>
          <w:szCs w:val="28"/>
        </w:rPr>
      </w:pPr>
      <w:r>
        <w:rPr>
          <w:rFonts w:hint="eastAsia" w:ascii="宋体" w:hAnsi="宋体" w:cs="宋体"/>
          <w:b w:val="0"/>
          <w:bCs/>
          <w:sz w:val="28"/>
          <w:szCs w:val="28"/>
        </w:rPr>
        <w:t>采用安全检查表法对本单元进行评价。</w:t>
      </w:r>
    </w:p>
    <w:p w14:paraId="77D5632E">
      <w:pPr>
        <w:adjustRightInd w:val="0"/>
        <w:snapToGrid w:val="0"/>
        <w:spacing w:line="600" w:lineRule="exact"/>
        <w:ind w:firstLine="560" w:firstLineChars="200"/>
        <w:rPr>
          <w:rFonts w:ascii="Arial" w:hAnsi="宋体" w:cs="Arial"/>
          <w:b w:val="0"/>
          <w:bCs/>
          <w:sz w:val="28"/>
          <w:szCs w:val="28"/>
        </w:rPr>
      </w:pPr>
      <w:r>
        <w:rPr>
          <w:rFonts w:hint="eastAsia" w:ascii="宋体" w:hAnsi="宋体"/>
          <w:b w:val="0"/>
          <w:bCs/>
          <w:sz w:val="28"/>
          <w:szCs w:val="28"/>
        </w:rPr>
        <w:t>根据《安全预评价导则》、《烟花爆竹工程设计安全标准》（GB50161-2022）和</w:t>
      </w:r>
      <w:r>
        <w:rPr>
          <w:rFonts w:ascii="宋体" w:hAnsi="宋体" w:cs="Arial"/>
          <w:b w:val="0"/>
          <w:bCs/>
          <w:sz w:val="28"/>
          <w:szCs w:val="28"/>
        </w:rPr>
        <w:t>《烟花爆竹安全管理</w:t>
      </w:r>
      <w:r>
        <w:rPr>
          <w:rFonts w:hint="eastAsia" w:ascii="宋体" w:hAnsi="宋体"/>
          <w:b w:val="0"/>
          <w:bCs/>
          <w:sz w:val="28"/>
          <w:szCs w:val="28"/>
        </w:rPr>
        <w:t>条例》等要求用安全检查表法对该企业所提供的《浏阳市太平复兴花炮厂（个人独资）厂房升级改造项目总平面布置图》（初步设计方案图）及其它相关资料进行检查和评价</w:t>
      </w:r>
      <w:r>
        <w:rPr>
          <w:rFonts w:ascii="Arial" w:hAnsi="宋体" w:cs="Arial"/>
          <w:b w:val="0"/>
          <w:bCs/>
          <w:sz w:val="28"/>
          <w:szCs w:val="28"/>
        </w:rPr>
        <w:t>。</w:t>
      </w:r>
    </w:p>
    <w:p w14:paraId="4735562E">
      <w:pPr>
        <w:jc w:val="center"/>
        <w:rPr>
          <w:rFonts w:ascii="黑体" w:hAnsi="黑体" w:eastAsia="黑体" w:cs="Arial"/>
          <w:b w:val="0"/>
          <w:sz w:val="24"/>
        </w:rPr>
      </w:pPr>
      <w:r>
        <w:rPr>
          <w:rFonts w:ascii="黑体" w:hAnsi="黑体" w:eastAsia="黑体" w:cs="Arial"/>
          <w:b w:val="0"/>
          <w:sz w:val="24"/>
        </w:rPr>
        <w:t>表5.</w:t>
      </w:r>
      <w:r>
        <w:rPr>
          <w:rFonts w:hint="eastAsia" w:ascii="黑体" w:hAnsi="黑体" w:eastAsia="黑体" w:cs="Arial"/>
          <w:b w:val="0"/>
          <w:sz w:val="24"/>
        </w:rPr>
        <w:t>2-1</w:t>
      </w:r>
      <w:r>
        <w:rPr>
          <w:rFonts w:ascii="黑体" w:hAnsi="黑体" w:eastAsia="黑体" w:cs="Arial"/>
          <w:b w:val="0"/>
          <w:sz w:val="24"/>
        </w:rPr>
        <w:t xml:space="preserve">  </w:t>
      </w:r>
      <w:r>
        <w:rPr>
          <w:rFonts w:hint="eastAsia" w:ascii="黑体" w:hAnsi="黑体" w:eastAsia="黑体" w:cs="Arial"/>
          <w:b w:val="0"/>
          <w:sz w:val="24"/>
        </w:rPr>
        <w:t>总平面布置检查</w:t>
      </w:r>
      <w:r>
        <w:rPr>
          <w:rFonts w:ascii="黑体" w:hAnsi="黑体" w:eastAsia="黑体" w:cs="Arial"/>
          <w:b w:val="0"/>
          <w:sz w:val="24"/>
        </w:rPr>
        <w:t>表</w:t>
      </w:r>
    </w:p>
    <w:tbl>
      <w:tblPr>
        <w:tblStyle w:val="88"/>
        <w:tblW w:w="912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518"/>
        <w:gridCol w:w="518"/>
        <w:gridCol w:w="2635"/>
        <w:gridCol w:w="4883"/>
        <w:gridCol w:w="572"/>
      </w:tblGrid>
      <w:tr w14:paraId="6CF0F5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tblHeader/>
          <w:jc w:val="center"/>
        </w:trPr>
        <w:tc>
          <w:tcPr>
            <w:tcW w:w="518" w:type="dxa"/>
            <w:vAlign w:val="center"/>
          </w:tcPr>
          <w:p w14:paraId="30ECEC9D">
            <w:pPr>
              <w:adjustRightInd w:val="0"/>
              <w:snapToGrid w:val="0"/>
              <w:spacing w:before="24" w:beforeLines="10"/>
              <w:jc w:val="center"/>
              <w:rPr>
                <w:rFonts w:ascii="宋体" w:hAnsi="宋体"/>
                <w:szCs w:val="21"/>
              </w:rPr>
            </w:pPr>
            <w:r>
              <w:rPr>
                <w:rFonts w:hint="eastAsia" w:ascii="宋体" w:hAnsi="宋体"/>
                <w:szCs w:val="21"/>
              </w:rPr>
              <w:t>序号</w:t>
            </w:r>
          </w:p>
        </w:tc>
        <w:tc>
          <w:tcPr>
            <w:tcW w:w="518" w:type="dxa"/>
            <w:vAlign w:val="center"/>
          </w:tcPr>
          <w:p w14:paraId="5D7778F6">
            <w:pPr>
              <w:adjustRightInd w:val="0"/>
              <w:snapToGrid w:val="0"/>
              <w:spacing w:before="24" w:beforeLines="10"/>
              <w:jc w:val="center"/>
              <w:rPr>
                <w:rFonts w:ascii="宋体" w:hAnsi="宋体"/>
                <w:szCs w:val="21"/>
              </w:rPr>
            </w:pPr>
            <w:r>
              <w:rPr>
                <w:rFonts w:hint="eastAsia" w:ascii="宋体" w:hAnsi="宋体"/>
                <w:szCs w:val="21"/>
              </w:rPr>
              <w:t>项目</w:t>
            </w:r>
          </w:p>
        </w:tc>
        <w:tc>
          <w:tcPr>
            <w:tcW w:w="2635" w:type="dxa"/>
            <w:vAlign w:val="center"/>
          </w:tcPr>
          <w:p w14:paraId="36B8B691">
            <w:pPr>
              <w:adjustRightInd w:val="0"/>
              <w:snapToGrid w:val="0"/>
              <w:spacing w:before="72" w:beforeLines="30" w:after="48" w:afterLines="20"/>
              <w:jc w:val="center"/>
              <w:rPr>
                <w:rFonts w:ascii="宋体" w:hAnsi="宋体"/>
                <w:szCs w:val="21"/>
              </w:rPr>
            </w:pPr>
            <w:r>
              <w:rPr>
                <w:rFonts w:hint="eastAsia" w:ascii="宋体" w:hAnsi="宋体"/>
                <w:szCs w:val="21"/>
              </w:rPr>
              <w:t>检查项目</w:t>
            </w:r>
          </w:p>
        </w:tc>
        <w:tc>
          <w:tcPr>
            <w:tcW w:w="4883" w:type="dxa"/>
            <w:vAlign w:val="center"/>
          </w:tcPr>
          <w:p w14:paraId="53E889D0">
            <w:pPr>
              <w:adjustRightInd w:val="0"/>
              <w:snapToGrid w:val="0"/>
              <w:spacing w:before="72" w:beforeLines="30" w:after="48" w:afterLines="20"/>
              <w:jc w:val="center"/>
              <w:rPr>
                <w:rFonts w:ascii="宋体" w:hAnsi="宋体"/>
                <w:szCs w:val="21"/>
              </w:rPr>
            </w:pPr>
            <w:r>
              <w:rPr>
                <w:rFonts w:hint="eastAsia" w:ascii="宋体" w:hAnsi="宋体"/>
                <w:szCs w:val="21"/>
              </w:rPr>
              <w:t>实际情况</w:t>
            </w:r>
          </w:p>
        </w:tc>
        <w:tc>
          <w:tcPr>
            <w:tcW w:w="572" w:type="dxa"/>
            <w:vAlign w:val="center"/>
          </w:tcPr>
          <w:p w14:paraId="4E29D527">
            <w:pPr>
              <w:adjustRightInd w:val="0"/>
              <w:snapToGrid w:val="0"/>
              <w:spacing w:before="72" w:beforeLines="30" w:after="48" w:afterLines="20"/>
              <w:jc w:val="center"/>
              <w:rPr>
                <w:rFonts w:ascii="宋体" w:hAnsi="宋体"/>
                <w:szCs w:val="21"/>
              </w:rPr>
            </w:pPr>
            <w:r>
              <w:rPr>
                <w:rFonts w:hint="eastAsia" w:ascii="宋体" w:hAnsi="宋体"/>
                <w:szCs w:val="21"/>
              </w:rPr>
              <w:t>检查</w:t>
            </w:r>
          </w:p>
          <w:p w14:paraId="6A17BE63">
            <w:pPr>
              <w:adjustRightInd w:val="0"/>
              <w:snapToGrid w:val="0"/>
              <w:spacing w:before="72" w:beforeLines="30" w:after="48" w:afterLines="20"/>
              <w:jc w:val="center"/>
              <w:rPr>
                <w:rFonts w:ascii="宋体" w:hAnsi="宋体"/>
                <w:szCs w:val="21"/>
              </w:rPr>
            </w:pPr>
            <w:r>
              <w:rPr>
                <w:rFonts w:hint="eastAsia" w:ascii="宋体" w:hAnsi="宋体"/>
                <w:szCs w:val="21"/>
              </w:rPr>
              <w:t>结论</w:t>
            </w:r>
          </w:p>
        </w:tc>
      </w:tr>
      <w:tr w14:paraId="62A6B6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518" w:type="dxa"/>
            <w:vMerge w:val="restart"/>
            <w:vAlign w:val="center"/>
          </w:tcPr>
          <w:p w14:paraId="68F400C2">
            <w:pPr>
              <w:adjustRightInd w:val="0"/>
              <w:snapToGrid w:val="0"/>
              <w:spacing w:before="24" w:beforeLines="10"/>
              <w:jc w:val="center"/>
              <w:rPr>
                <w:rFonts w:ascii="宋体" w:hAnsi="宋体"/>
                <w:b w:val="0"/>
                <w:bCs/>
                <w:szCs w:val="21"/>
              </w:rPr>
            </w:pPr>
            <w:r>
              <w:rPr>
                <w:rFonts w:hint="eastAsia" w:ascii="宋体" w:hAnsi="宋体"/>
                <w:b w:val="0"/>
                <w:bCs/>
                <w:szCs w:val="21"/>
              </w:rPr>
              <w:t>1</w:t>
            </w:r>
          </w:p>
        </w:tc>
        <w:tc>
          <w:tcPr>
            <w:tcW w:w="518" w:type="dxa"/>
            <w:vMerge w:val="restart"/>
            <w:vAlign w:val="center"/>
          </w:tcPr>
          <w:p w14:paraId="1665B0D9">
            <w:pPr>
              <w:adjustRightInd w:val="0"/>
              <w:snapToGrid w:val="0"/>
              <w:spacing w:before="24" w:beforeLines="10"/>
              <w:ind w:left="105" w:leftChars="50" w:right="105" w:rightChars="50"/>
              <w:jc w:val="center"/>
              <w:rPr>
                <w:rFonts w:ascii="宋体" w:hAnsi="宋体"/>
                <w:b w:val="0"/>
                <w:bCs/>
                <w:szCs w:val="21"/>
              </w:rPr>
            </w:pPr>
            <w:r>
              <w:rPr>
                <w:rFonts w:hint="eastAsia" w:ascii="宋体" w:hAnsi="宋体"/>
                <w:b w:val="0"/>
                <w:bCs/>
                <w:szCs w:val="21"/>
              </w:rPr>
              <w:t>规划</w:t>
            </w:r>
          </w:p>
        </w:tc>
        <w:tc>
          <w:tcPr>
            <w:tcW w:w="2635" w:type="dxa"/>
            <w:vAlign w:val="center"/>
          </w:tcPr>
          <w:p w14:paraId="0658FA0C">
            <w:pPr>
              <w:adjustRightInd w:val="0"/>
              <w:snapToGrid w:val="0"/>
              <w:spacing w:before="72" w:beforeLines="30" w:after="48" w:afterLines="20"/>
              <w:jc w:val="center"/>
              <w:rPr>
                <w:rFonts w:ascii="宋体" w:hAnsi="宋体"/>
                <w:b w:val="0"/>
                <w:bCs/>
                <w:szCs w:val="21"/>
              </w:rPr>
            </w:pPr>
            <w:r>
              <w:rPr>
                <w:rFonts w:hint="eastAsia" w:ascii="宋体" w:hAnsi="宋体"/>
                <w:b w:val="0"/>
                <w:bCs/>
                <w:szCs w:val="21"/>
              </w:rPr>
              <w:t>选址</w:t>
            </w:r>
          </w:p>
        </w:tc>
        <w:tc>
          <w:tcPr>
            <w:tcW w:w="4883" w:type="dxa"/>
            <w:vAlign w:val="center"/>
          </w:tcPr>
          <w:p w14:paraId="2C3AFEF2">
            <w:pPr>
              <w:adjustRightInd w:val="0"/>
              <w:snapToGrid w:val="0"/>
              <w:spacing w:before="72" w:beforeLines="30" w:after="48" w:afterLines="20"/>
              <w:rPr>
                <w:rFonts w:ascii="宋体" w:hAnsi="宋体"/>
                <w:b w:val="0"/>
                <w:bCs/>
                <w:szCs w:val="21"/>
              </w:rPr>
            </w:pPr>
            <w:r>
              <w:rPr>
                <w:rFonts w:hint="eastAsia" w:ascii="宋体" w:hAnsi="宋体"/>
                <w:b w:val="0"/>
                <w:bCs/>
                <w:szCs w:val="21"/>
              </w:rPr>
              <w:t>建设项目位于浏阳市集里街道办事处合盛村，选址远离城镇规划的要求，并避开学校、居民点、旅游区、重点建筑物、铁路运输线等保护对象，符合当地城乡规划要求，选址与设计吻合。</w:t>
            </w:r>
          </w:p>
        </w:tc>
        <w:tc>
          <w:tcPr>
            <w:tcW w:w="572" w:type="dxa"/>
            <w:vAlign w:val="center"/>
          </w:tcPr>
          <w:p w14:paraId="6BF6D5F4">
            <w:pPr>
              <w:adjustRightInd w:val="0"/>
              <w:snapToGrid w:val="0"/>
              <w:spacing w:before="72" w:beforeLines="30" w:after="48" w:afterLines="20"/>
              <w:jc w:val="center"/>
              <w:rPr>
                <w:rFonts w:ascii="宋体" w:hAnsi="宋体"/>
                <w:b w:val="0"/>
                <w:bCs/>
                <w:szCs w:val="21"/>
              </w:rPr>
            </w:pPr>
            <w:r>
              <w:rPr>
                <w:rFonts w:hint="eastAsia" w:ascii="宋体" w:hAnsi="宋体"/>
                <w:b w:val="0"/>
                <w:bCs/>
                <w:szCs w:val="21"/>
              </w:rPr>
              <w:t>符合要求</w:t>
            </w:r>
          </w:p>
        </w:tc>
      </w:tr>
      <w:tr w14:paraId="5814DE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518" w:type="dxa"/>
            <w:vMerge w:val="continue"/>
            <w:vAlign w:val="center"/>
          </w:tcPr>
          <w:p w14:paraId="236E6379">
            <w:pPr>
              <w:adjustRightInd w:val="0"/>
              <w:snapToGrid w:val="0"/>
              <w:spacing w:before="24" w:beforeLines="10"/>
              <w:jc w:val="center"/>
              <w:rPr>
                <w:rFonts w:ascii="宋体" w:hAnsi="宋体"/>
                <w:b w:val="0"/>
                <w:bCs/>
                <w:szCs w:val="21"/>
              </w:rPr>
            </w:pPr>
          </w:p>
        </w:tc>
        <w:tc>
          <w:tcPr>
            <w:tcW w:w="518" w:type="dxa"/>
            <w:vMerge w:val="continue"/>
            <w:vAlign w:val="center"/>
          </w:tcPr>
          <w:p w14:paraId="220C6B2E">
            <w:pPr>
              <w:adjustRightInd w:val="0"/>
              <w:snapToGrid w:val="0"/>
              <w:spacing w:before="24" w:beforeLines="10"/>
              <w:jc w:val="center"/>
              <w:rPr>
                <w:rFonts w:ascii="宋体" w:hAnsi="宋体"/>
                <w:b w:val="0"/>
                <w:bCs/>
                <w:szCs w:val="21"/>
              </w:rPr>
            </w:pPr>
          </w:p>
        </w:tc>
        <w:tc>
          <w:tcPr>
            <w:tcW w:w="2635" w:type="dxa"/>
            <w:vAlign w:val="center"/>
          </w:tcPr>
          <w:p w14:paraId="34BA98CA">
            <w:pPr>
              <w:adjustRightInd w:val="0"/>
              <w:snapToGrid w:val="0"/>
              <w:spacing w:before="72" w:beforeLines="30" w:after="48" w:afterLines="20"/>
              <w:jc w:val="center"/>
              <w:rPr>
                <w:rFonts w:ascii="宋体" w:hAnsi="宋体"/>
                <w:b w:val="0"/>
                <w:bCs/>
                <w:szCs w:val="21"/>
              </w:rPr>
            </w:pPr>
            <w:r>
              <w:rPr>
                <w:rFonts w:hint="eastAsia" w:ascii="宋体" w:hAnsi="宋体"/>
                <w:b w:val="0"/>
                <w:bCs/>
                <w:szCs w:val="21"/>
              </w:rPr>
              <w:t>功能分区</w:t>
            </w:r>
          </w:p>
        </w:tc>
        <w:tc>
          <w:tcPr>
            <w:tcW w:w="4883" w:type="dxa"/>
            <w:vAlign w:val="center"/>
          </w:tcPr>
          <w:p w14:paraId="63430C40">
            <w:pPr>
              <w:adjustRightInd w:val="0"/>
              <w:snapToGrid w:val="0"/>
              <w:spacing w:before="72" w:beforeLines="30" w:after="48" w:afterLines="20"/>
              <w:rPr>
                <w:rFonts w:ascii="宋体" w:hAnsi="宋体"/>
                <w:b w:val="0"/>
                <w:bCs/>
                <w:szCs w:val="21"/>
              </w:rPr>
            </w:pPr>
            <w:r>
              <w:rPr>
                <w:rFonts w:hint="eastAsia" w:ascii="宋体" w:hAnsi="宋体"/>
                <w:b w:val="0"/>
                <w:bCs/>
                <w:szCs w:val="21"/>
              </w:rPr>
              <w:t>按照GB50161-2022和设计图纸，该企业分别设置了非危险品生产区、危险品生产区、危险品仓库、销毁场或燃放试验场及办公生活区；危险品生产区根据生产的品种，分别建立生产线，做到分小区布置。</w:t>
            </w:r>
          </w:p>
        </w:tc>
        <w:tc>
          <w:tcPr>
            <w:tcW w:w="572" w:type="dxa"/>
            <w:vAlign w:val="center"/>
          </w:tcPr>
          <w:p w14:paraId="728F824F">
            <w:pPr>
              <w:adjustRightInd w:val="0"/>
              <w:snapToGrid w:val="0"/>
              <w:spacing w:before="72" w:beforeLines="30" w:after="48" w:afterLines="20"/>
              <w:jc w:val="center"/>
              <w:rPr>
                <w:rFonts w:ascii="宋体" w:hAnsi="宋体"/>
                <w:b w:val="0"/>
                <w:bCs/>
                <w:szCs w:val="21"/>
              </w:rPr>
            </w:pPr>
            <w:r>
              <w:rPr>
                <w:rFonts w:hint="eastAsia" w:ascii="宋体" w:hAnsi="宋体"/>
                <w:b w:val="0"/>
                <w:bCs/>
                <w:szCs w:val="21"/>
              </w:rPr>
              <w:t>符合要求</w:t>
            </w:r>
          </w:p>
        </w:tc>
      </w:tr>
      <w:tr w14:paraId="679E05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518" w:type="dxa"/>
            <w:vMerge w:val="continue"/>
            <w:vAlign w:val="center"/>
          </w:tcPr>
          <w:p w14:paraId="1BB3A350">
            <w:pPr>
              <w:adjustRightInd w:val="0"/>
              <w:snapToGrid w:val="0"/>
              <w:spacing w:before="24" w:beforeLines="10"/>
              <w:jc w:val="center"/>
              <w:rPr>
                <w:rFonts w:ascii="宋体" w:hAnsi="宋体"/>
                <w:b w:val="0"/>
                <w:bCs/>
                <w:szCs w:val="21"/>
              </w:rPr>
            </w:pPr>
          </w:p>
        </w:tc>
        <w:tc>
          <w:tcPr>
            <w:tcW w:w="518" w:type="dxa"/>
            <w:vMerge w:val="continue"/>
            <w:vAlign w:val="center"/>
          </w:tcPr>
          <w:p w14:paraId="62FE5563">
            <w:pPr>
              <w:adjustRightInd w:val="0"/>
              <w:snapToGrid w:val="0"/>
              <w:spacing w:before="24" w:beforeLines="10"/>
              <w:jc w:val="center"/>
              <w:rPr>
                <w:rFonts w:ascii="宋体" w:hAnsi="宋体"/>
                <w:b w:val="0"/>
                <w:bCs/>
                <w:szCs w:val="21"/>
              </w:rPr>
            </w:pPr>
          </w:p>
        </w:tc>
        <w:tc>
          <w:tcPr>
            <w:tcW w:w="2635" w:type="dxa"/>
            <w:vAlign w:val="center"/>
          </w:tcPr>
          <w:p w14:paraId="6DDB0D22">
            <w:pPr>
              <w:adjustRightInd w:val="0"/>
              <w:snapToGrid w:val="0"/>
              <w:spacing w:before="72" w:beforeLines="30" w:after="48" w:afterLines="20"/>
              <w:jc w:val="center"/>
              <w:rPr>
                <w:rFonts w:ascii="宋体" w:hAnsi="宋体"/>
                <w:b w:val="0"/>
                <w:bCs/>
                <w:szCs w:val="21"/>
              </w:rPr>
            </w:pPr>
            <w:r>
              <w:rPr>
                <w:rFonts w:hint="eastAsia" w:ascii="宋体" w:hAnsi="宋体"/>
                <w:b w:val="0"/>
                <w:bCs/>
                <w:szCs w:val="21"/>
              </w:rPr>
              <w:t>建筑物危险等级划分和布置</w:t>
            </w:r>
          </w:p>
        </w:tc>
        <w:tc>
          <w:tcPr>
            <w:tcW w:w="4883" w:type="dxa"/>
            <w:vAlign w:val="center"/>
          </w:tcPr>
          <w:p w14:paraId="2FAD3A59">
            <w:pPr>
              <w:adjustRightInd w:val="0"/>
              <w:snapToGrid w:val="0"/>
              <w:spacing w:before="72" w:beforeLines="30" w:after="48" w:afterLines="20"/>
              <w:rPr>
                <w:rFonts w:ascii="宋体" w:hAnsi="宋体"/>
                <w:b w:val="0"/>
                <w:bCs/>
                <w:szCs w:val="21"/>
              </w:rPr>
            </w:pPr>
            <w:r>
              <w:rPr>
                <w:rFonts w:hint="eastAsia" w:ascii="宋体" w:hAnsi="宋体"/>
                <w:b w:val="0"/>
                <w:bCs/>
                <w:szCs w:val="21"/>
              </w:rPr>
              <w:t>建筑物危险等级划分为1.1、1.3级，分区布置。</w:t>
            </w:r>
          </w:p>
        </w:tc>
        <w:tc>
          <w:tcPr>
            <w:tcW w:w="572" w:type="dxa"/>
            <w:vAlign w:val="center"/>
          </w:tcPr>
          <w:p w14:paraId="4B681F6A">
            <w:pPr>
              <w:adjustRightInd w:val="0"/>
              <w:snapToGrid w:val="0"/>
              <w:spacing w:before="72" w:beforeLines="30" w:after="48" w:afterLines="20"/>
              <w:jc w:val="center"/>
              <w:rPr>
                <w:rFonts w:ascii="宋体" w:hAnsi="宋体"/>
                <w:b w:val="0"/>
                <w:bCs/>
                <w:szCs w:val="21"/>
              </w:rPr>
            </w:pPr>
            <w:r>
              <w:rPr>
                <w:rFonts w:hint="eastAsia" w:ascii="宋体" w:hAnsi="宋体"/>
                <w:b w:val="0"/>
                <w:bCs/>
                <w:szCs w:val="21"/>
              </w:rPr>
              <w:t>符合要求</w:t>
            </w:r>
          </w:p>
        </w:tc>
      </w:tr>
      <w:tr w14:paraId="0695DA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518" w:type="dxa"/>
            <w:vMerge w:val="continue"/>
            <w:vAlign w:val="center"/>
          </w:tcPr>
          <w:p w14:paraId="4DA2640A">
            <w:pPr>
              <w:adjustRightInd w:val="0"/>
              <w:snapToGrid w:val="0"/>
              <w:spacing w:before="24" w:beforeLines="10"/>
              <w:rPr>
                <w:rFonts w:ascii="宋体" w:hAnsi="宋体"/>
                <w:b w:val="0"/>
                <w:bCs/>
                <w:szCs w:val="21"/>
              </w:rPr>
            </w:pPr>
          </w:p>
        </w:tc>
        <w:tc>
          <w:tcPr>
            <w:tcW w:w="518" w:type="dxa"/>
            <w:vMerge w:val="continue"/>
            <w:vAlign w:val="center"/>
          </w:tcPr>
          <w:p w14:paraId="796CE8CE">
            <w:pPr>
              <w:adjustRightInd w:val="0"/>
              <w:snapToGrid w:val="0"/>
              <w:spacing w:before="24" w:beforeLines="10"/>
              <w:rPr>
                <w:rFonts w:ascii="宋体" w:hAnsi="宋体"/>
                <w:b w:val="0"/>
                <w:bCs/>
                <w:szCs w:val="21"/>
              </w:rPr>
            </w:pPr>
          </w:p>
        </w:tc>
        <w:tc>
          <w:tcPr>
            <w:tcW w:w="2635" w:type="dxa"/>
            <w:vAlign w:val="center"/>
          </w:tcPr>
          <w:p w14:paraId="7E8BEC0A">
            <w:pPr>
              <w:adjustRightInd w:val="0"/>
              <w:snapToGrid w:val="0"/>
              <w:spacing w:before="72" w:beforeLines="30" w:after="48" w:afterLines="20"/>
              <w:jc w:val="center"/>
              <w:rPr>
                <w:rFonts w:ascii="宋体" w:hAnsi="宋体"/>
                <w:b w:val="0"/>
                <w:bCs/>
                <w:szCs w:val="21"/>
              </w:rPr>
            </w:pPr>
            <w:r>
              <w:rPr>
                <w:rFonts w:hint="eastAsia" w:ascii="宋体" w:hAnsi="宋体"/>
                <w:b w:val="0"/>
                <w:bCs/>
                <w:szCs w:val="21"/>
              </w:rPr>
              <w:t>危险品运输通道</w:t>
            </w:r>
          </w:p>
        </w:tc>
        <w:tc>
          <w:tcPr>
            <w:tcW w:w="4883" w:type="dxa"/>
            <w:vAlign w:val="center"/>
          </w:tcPr>
          <w:p w14:paraId="1DDFBA36">
            <w:pPr>
              <w:adjustRightInd w:val="0"/>
              <w:snapToGrid w:val="0"/>
              <w:spacing w:before="72" w:beforeLines="30" w:after="48" w:afterLines="20"/>
              <w:rPr>
                <w:rFonts w:ascii="宋体" w:hAnsi="宋体"/>
                <w:b w:val="0"/>
                <w:bCs/>
                <w:szCs w:val="21"/>
              </w:rPr>
            </w:pPr>
            <w:r>
              <w:rPr>
                <w:rFonts w:hint="eastAsia" w:ascii="宋体" w:hAnsi="宋体"/>
                <w:b w:val="0"/>
                <w:bCs/>
                <w:szCs w:val="21"/>
              </w:rPr>
              <w:t>生产区内运输危险品的通道较平整，距离危险品建筑物的距离符合要求。</w:t>
            </w:r>
          </w:p>
        </w:tc>
        <w:tc>
          <w:tcPr>
            <w:tcW w:w="572" w:type="dxa"/>
            <w:vAlign w:val="center"/>
          </w:tcPr>
          <w:p w14:paraId="5D6380DA">
            <w:pPr>
              <w:adjustRightInd w:val="0"/>
              <w:snapToGrid w:val="0"/>
              <w:spacing w:before="72" w:beforeLines="30" w:after="48" w:afterLines="20"/>
              <w:jc w:val="center"/>
              <w:rPr>
                <w:rFonts w:ascii="宋体" w:hAnsi="宋体"/>
                <w:b w:val="0"/>
                <w:bCs/>
                <w:szCs w:val="21"/>
              </w:rPr>
            </w:pPr>
            <w:r>
              <w:rPr>
                <w:rFonts w:hint="eastAsia" w:ascii="宋体" w:hAnsi="宋体"/>
                <w:b w:val="0"/>
                <w:bCs/>
                <w:szCs w:val="21"/>
              </w:rPr>
              <w:t>符合要求</w:t>
            </w:r>
          </w:p>
        </w:tc>
      </w:tr>
      <w:tr w14:paraId="2F3D31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518" w:type="dxa"/>
            <w:vMerge w:val="continue"/>
            <w:vAlign w:val="center"/>
          </w:tcPr>
          <w:p w14:paraId="2C03992E">
            <w:pPr>
              <w:adjustRightInd w:val="0"/>
              <w:snapToGrid w:val="0"/>
              <w:spacing w:before="24" w:beforeLines="10"/>
              <w:rPr>
                <w:rFonts w:ascii="宋体" w:hAnsi="宋体"/>
                <w:b w:val="0"/>
                <w:bCs/>
                <w:szCs w:val="21"/>
              </w:rPr>
            </w:pPr>
          </w:p>
        </w:tc>
        <w:tc>
          <w:tcPr>
            <w:tcW w:w="518" w:type="dxa"/>
            <w:vMerge w:val="continue"/>
            <w:vAlign w:val="center"/>
          </w:tcPr>
          <w:p w14:paraId="76884D8B">
            <w:pPr>
              <w:adjustRightInd w:val="0"/>
              <w:snapToGrid w:val="0"/>
              <w:spacing w:before="24" w:beforeLines="10"/>
              <w:rPr>
                <w:rFonts w:ascii="宋体" w:hAnsi="宋体"/>
                <w:b w:val="0"/>
                <w:bCs/>
                <w:szCs w:val="21"/>
              </w:rPr>
            </w:pPr>
          </w:p>
        </w:tc>
        <w:tc>
          <w:tcPr>
            <w:tcW w:w="2635" w:type="dxa"/>
            <w:vAlign w:val="center"/>
          </w:tcPr>
          <w:p w14:paraId="2FEA600B">
            <w:pPr>
              <w:adjustRightInd w:val="0"/>
              <w:snapToGrid w:val="0"/>
              <w:spacing w:before="72" w:beforeLines="30" w:after="48" w:afterLines="20"/>
              <w:jc w:val="center"/>
              <w:rPr>
                <w:rFonts w:ascii="宋体" w:hAnsi="宋体"/>
                <w:b w:val="0"/>
                <w:bCs/>
                <w:szCs w:val="21"/>
              </w:rPr>
            </w:pPr>
            <w:r>
              <w:rPr>
                <w:rFonts w:hint="eastAsia" w:ascii="宋体" w:hAnsi="宋体"/>
                <w:b w:val="0"/>
                <w:bCs/>
                <w:szCs w:val="21"/>
              </w:rPr>
              <w:t>外部安全距离</w:t>
            </w:r>
          </w:p>
        </w:tc>
        <w:tc>
          <w:tcPr>
            <w:tcW w:w="4883" w:type="dxa"/>
            <w:vAlign w:val="center"/>
          </w:tcPr>
          <w:p w14:paraId="43A51F78">
            <w:pPr>
              <w:adjustRightInd w:val="0"/>
              <w:snapToGrid w:val="0"/>
              <w:spacing w:before="72" w:beforeLines="30" w:after="48" w:afterLines="20"/>
              <w:rPr>
                <w:rFonts w:ascii="宋体" w:hAnsi="宋体"/>
                <w:b w:val="0"/>
                <w:bCs/>
                <w:szCs w:val="21"/>
              </w:rPr>
            </w:pPr>
            <w:r>
              <w:rPr>
                <w:rFonts w:hint="eastAsia" w:ascii="宋体" w:hAnsi="宋体"/>
                <w:b w:val="0"/>
                <w:bCs/>
                <w:szCs w:val="21"/>
              </w:rPr>
              <w:t>根据该企业提供的《浏阳市太平复兴花炮厂（个人独资）厂房升级改造项目总平面布置图》（初步设计方案图）和现场勘查，该企业地处小丘陵地带，该项目周边分布有民房及其他烟花企业（浏阳市文龙鞭炮烟花烟制造有限公司），该项目工库房的外部距离均符合《烟花爆竹工程设计安全标准》（GB50161-2022）要求。</w:t>
            </w:r>
          </w:p>
        </w:tc>
        <w:tc>
          <w:tcPr>
            <w:tcW w:w="572" w:type="dxa"/>
            <w:vAlign w:val="center"/>
          </w:tcPr>
          <w:p w14:paraId="22A4ABE5">
            <w:pPr>
              <w:adjustRightInd w:val="0"/>
              <w:snapToGrid w:val="0"/>
              <w:spacing w:before="72" w:beforeLines="30" w:after="48" w:afterLines="20"/>
              <w:jc w:val="center"/>
              <w:rPr>
                <w:rFonts w:ascii="宋体" w:hAnsi="宋体"/>
                <w:b w:val="0"/>
                <w:bCs/>
                <w:szCs w:val="21"/>
              </w:rPr>
            </w:pPr>
            <w:r>
              <w:rPr>
                <w:rFonts w:hint="eastAsia" w:ascii="宋体" w:hAnsi="宋体"/>
                <w:b w:val="0"/>
                <w:bCs/>
                <w:szCs w:val="21"/>
              </w:rPr>
              <w:t>符合要求</w:t>
            </w:r>
          </w:p>
        </w:tc>
      </w:tr>
      <w:tr w14:paraId="7EC2EC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518" w:type="dxa"/>
            <w:vMerge w:val="restart"/>
            <w:vAlign w:val="center"/>
          </w:tcPr>
          <w:p w14:paraId="78289E7A">
            <w:pPr>
              <w:adjustRightInd w:val="0"/>
              <w:snapToGrid w:val="0"/>
              <w:spacing w:before="24" w:beforeLines="10"/>
              <w:jc w:val="center"/>
              <w:rPr>
                <w:rFonts w:ascii="宋体" w:hAnsi="宋体"/>
                <w:b w:val="0"/>
                <w:bCs/>
                <w:szCs w:val="21"/>
              </w:rPr>
            </w:pPr>
            <w:r>
              <w:rPr>
                <w:rFonts w:hint="eastAsia" w:ascii="宋体" w:hAnsi="宋体"/>
                <w:b w:val="0"/>
                <w:bCs/>
                <w:szCs w:val="21"/>
              </w:rPr>
              <w:t xml:space="preserve">2 </w:t>
            </w:r>
          </w:p>
        </w:tc>
        <w:tc>
          <w:tcPr>
            <w:tcW w:w="518" w:type="dxa"/>
            <w:vMerge w:val="restart"/>
            <w:vAlign w:val="center"/>
          </w:tcPr>
          <w:p w14:paraId="3B84BDAA">
            <w:pPr>
              <w:adjustRightInd w:val="0"/>
              <w:snapToGrid w:val="0"/>
              <w:spacing w:before="24" w:beforeLines="10"/>
              <w:ind w:left="105" w:leftChars="50" w:right="105" w:rightChars="50"/>
              <w:jc w:val="center"/>
              <w:rPr>
                <w:rFonts w:ascii="宋体" w:hAnsi="宋体"/>
                <w:b w:val="0"/>
                <w:bCs/>
                <w:szCs w:val="21"/>
              </w:rPr>
            </w:pPr>
            <w:r>
              <w:rPr>
                <w:rFonts w:hint="eastAsia" w:ascii="宋体" w:hAnsi="宋体"/>
                <w:b w:val="0"/>
                <w:bCs/>
                <w:szCs w:val="21"/>
              </w:rPr>
              <w:t>工艺布置</w:t>
            </w:r>
          </w:p>
        </w:tc>
        <w:tc>
          <w:tcPr>
            <w:tcW w:w="2635" w:type="dxa"/>
            <w:vAlign w:val="center"/>
          </w:tcPr>
          <w:p w14:paraId="7C045483">
            <w:pPr>
              <w:adjustRightInd w:val="0"/>
              <w:snapToGrid w:val="0"/>
              <w:spacing w:before="72" w:beforeLines="30" w:after="48" w:afterLines="20"/>
              <w:rPr>
                <w:rFonts w:ascii="宋体" w:hAnsi="宋体"/>
                <w:b w:val="0"/>
                <w:bCs/>
                <w:szCs w:val="21"/>
              </w:rPr>
            </w:pPr>
            <w:r>
              <w:rPr>
                <w:rFonts w:hint="eastAsia" w:ascii="宋体" w:hAnsi="宋体"/>
                <w:b w:val="0"/>
                <w:bCs/>
                <w:szCs w:val="21"/>
              </w:rPr>
              <w:t>根据产品种类、生产特性,分区布置生产线</w:t>
            </w:r>
          </w:p>
        </w:tc>
        <w:tc>
          <w:tcPr>
            <w:tcW w:w="4883" w:type="dxa"/>
            <w:vAlign w:val="center"/>
          </w:tcPr>
          <w:p w14:paraId="7C05C5B7">
            <w:pPr>
              <w:adjustRightInd w:val="0"/>
              <w:snapToGrid w:val="0"/>
              <w:spacing w:before="72" w:beforeLines="30" w:after="48" w:afterLines="20"/>
              <w:rPr>
                <w:rFonts w:ascii="宋体" w:hAnsi="宋体"/>
                <w:b w:val="0"/>
                <w:bCs/>
                <w:szCs w:val="21"/>
              </w:rPr>
            </w:pPr>
            <w:r>
              <w:rPr>
                <w:rFonts w:hint="eastAsia" w:ascii="宋体" w:hAnsi="宋体"/>
                <w:b w:val="0"/>
                <w:bCs/>
                <w:szCs w:val="21"/>
              </w:rPr>
              <w:t>危险品生产区根据生产的品种，生产特性,分小区布置，建立了危险品生产线，1.1、1.3级建筑物，布置合理。</w:t>
            </w:r>
          </w:p>
        </w:tc>
        <w:tc>
          <w:tcPr>
            <w:tcW w:w="572" w:type="dxa"/>
            <w:vAlign w:val="center"/>
          </w:tcPr>
          <w:p w14:paraId="17FCB9DC">
            <w:pPr>
              <w:adjustRightInd w:val="0"/>
              <w:snapToGrid w:val="0"/>
              <w:spacing w:before="72" w:beforeLines="30" w:after="48" w:afterLines="20"/>
              <w:jc w:val="center"/>
              <w:rPr>
                <w:rFonts w:ascii="宋体" w:hAnsi="宋体"/>
                <w:b w:val="0"/>
                <w:bCs/>
                <w:szCs w:val="21"/>
              </w:rPr>
            </w:pPr>
            <w:r>
              <w:rPr>
                <w:rFonts w:hint="eastAsia" w:ascii="宋体" w:hAnsi="宋体"/>
                <w:b w:val="0"/>
                <w:bCs/>
                <w:szCs w:val="21"/>
              </w:rPr>
              <w:t>符合要求</w:t>
            </w:r>
          </w:p>
        </w:tc>
      </w:tr>
      <w:tr w14:paraId="0AFAE2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518" w:type="dxa"/>
            <w:vMerge w:val="continue"/>
            <w:vAlign w:val="center"/>
          </w:tcPr>
          <w:p w14:paraId="1ECD5F9D">
            <w:pPr>
              <w:adjustRightInd w:val="0"/>
              <w:snapToGrid w:val="0"/>
              <w:spacing w:before="24" w:beforeLines="10"/>
              <w:jc w:val="center"/>
              <w:rPr>
                <w:rFonts w:ascii="宋体" w:hAnsi="宋体"/>
                <w:b w:val="0"/>
                <w:bCs/>
                <w:szCs w:val="21"/>
              </w:rPr>
            </w:pPr>
          </w:p>
        </w:tc>
        <w:tc>
          <w:tcPr>
            <w:tcW w:w="518" w:type="dxa"/>
            <w:vMerge w:val="continue"/>
            <w:vAlign w:val="center"/>
          </w:tcPr>
          <w:p w14:paraId="0C52D312">
            <w:pPr>
              <w:adjustRightInd w:val="0"/>
              <w:snapToGrid w:val="0"/>
              <w:spacing w:before="24" w:beforeLines="10"/>
              <w:ind w:left="105" w:leftChars="50" w:right="105" w:rightChars="50"/>
              <w:jc w:val="center"/>
              <w:rPr>
                <w:rFonts w:ascii="宋体" w:hAnsi="宋体"/>
                <w:b w:val="0"/>
                <w:bCs/>
                <w:szCs w:val="21"/>
              </w:rPr>
            </w:pPr>
          </w:p>
        </w:tc>
        <w:tc>
          <w:tcPr>
            <w:tcW w:w="2635" w:type="dxa"/>
            <w:vAlign w:val="center"/>
          </w:tcPr>
          <w:p w14:paraId="03A19A30">
            <w:pPr>
              <w:adjustRightInd w:val="0"/>
              <w:snapToGrid w:val="0"/>
              <w:spacing w:before="72" w:beforeLines="30" w:after="48" w:afterLines="20"/>
              <w:rPr>
                <w:rFonts w:ascii="宋体" w:hAnsi="宋体"/>
                <w:b w:val="0"/>
                <w:bCs/>
                <w:szCs w:val="21"/>
              </w:rPr>
            </w:pPr>
            <w:r>
              <w:rPr>
                <w:rFonts w:hint="eastAsia" w:ascii="宋体" w:hAnsi="宋体"/>
                <w:b w:val="0"/>
                <w:bCs/>
                <w:szCs w:val="21"/>
              </w:rPr>
              <w:t>工（库）房的生产、储存能力相互适应、配套，并</w:t>
            </w:r>
            <w:r>
              <w:rPr>
                <w:rFonts w:hint="eastAsia"/>
                <w:b w:val="0"/>
                <w:bCs/>
              </w:rPr>
              <w:t>与其生产品种及规模相适应</w:t>
            </w:r>
          </w:p>
        </w:tc>
        <w:tc>
          <w:tcPr>
            <w:tcW w:w="4883" w:type="dxa"/>
            <w:vAlign w:val="center"/>
          </w:tcPr>
          <w:p w14:paraId="18569A97">
            <w:pPr>
              <w:adjustRightInd w:val="0"/>
              <w:snapToGrid w:val="0"/>
              <w:spacing w:before="72" w:beforeLines="30" w:after="48" w:afterLines="20"/>
              <w:rPr>
                <w:rFonts w:ascii="宋体" w:hAnsi="宋体"/>
                <w:b w:val="0"/>
                <w:bCs/>
                <w:szCs w:val="21"/>
              </w:rPr>
            </w:pPr>
            <w:r>
              <w:rPr>
                <w:rFonts w:hint="eastAsia" w:ascii="宋体" w:hAnsi="宋体"/>
                <w:b w:val="0"/>
                <w:bCs/>
                <w:szCs w:val="21"/>
              </w:rPr>
              <w:t>该企业工库房的生产、储存能力相互适应、配套，并</w:t>
            </w:r>
            <w:r>
              <w:rPr>
                <w:rFonts w:hint="eastAsia" w:ascii="宋体" w:hAnsi="宋体"/>
                <w:b w:val="0"/>
                <w:bCs/>
              </w:rPr>
              <w:t>与其生产品种及规模相适应</w:t>
            </w:r>
            <w:r>
              <w:rPr>
                <w:rFonts w:hint="eastAsia" w:ascii="宋体" w:hAnsi="宋体"/>
                <w:b w:val="0"/>
                <w:bCs/>
                <w:szCs w:val="21"/>
              </w:rPr>
              <w:t>。</w:t>
            </w:r>
          </w:p>
        </w:tc>
        <w:tc>
          <w:tcPr>
            <w:tcW w:w="572" w:type="dxa"/>
            <w:vAlign w:val="center"/>
          </w:tcPr>
          <w:p w14:paraId="76E023A5">
            <w:pPr>
              <w:adjustRightInd w:val="0"/>
              <w:snapToGrid w:val="0"/>
              <w:spacing w:before="72" w:beforeLines="30" w:after="48" w:afterLines="20"/>
              <w:jc w:val="center"/>
              <w:rPr>
                <w:rFonts w:ascii="宋体" w:hAnsi="宋体"/>
                <w:b w:val="0"/>
                <w:bCs/>
                <w:szCs w:val="21"/>
              </w:rPr>
            </w:pPr>
            <w:r>
              <w:rPr>
                <w:rFonts w:hint="eastAsia" w:ascii="宋体" w:hAnsi="宋体"/>
                <w:b w:val="0"/>
                <w:bCs/>
                <w:szCs w:val="21"/>
              </w:rPr>
              <w:t>符合要求</w:t>
            </w:r>
          </w:p>
        </w:tc>
      </w:tr>
      <w:tr w14:paraId="3FBA9F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518" w:type="dxa"/>
            <w:vMerge w:val="continue"/>
            <w:vAlign w:val="center"/>
          </w:tcPr>
          <w:p w14:paraId="6F77B6E0">
            <w:pPr>
              <w:adjustRightInd w:val="0"/>
              <w:snapToGrid w:val="0"/>
              <w:spacing w:before="24" w:beforeLines="10"/>
              <w:rPr>
                <w:rFonts w:ascii="宋体" w:hAnsi="宋体"/>
                <w:b w:val="0"/>
                <w:bCs/>
                <w:szCs w:val="21"/>
              </w:rPr>
            </w:pPr>
          </w:p>
        </w:tc>
        <w:tc>
          <w:tcPr>
            <w:tcW w:w="518" w:type="dxa"/>
            <w:vMerge w:val="continue"/>
            <w:vAlign w:val="center"/>
          </w:tcPr>
          <w:p w14:paraId="45FF2695">
            <w:pPr>
              <w:adjustRightInd w:val="0"/>
              <w:snapToGrid w:val="0"/>
              <w:spacing w:before="24" w:beforeLines="10"/>
              <w:rPr>
                <w:rFonts w:ascii="宋体" w:hAnsi="宋体"/>
                <w:b w:val="0"/>
                <w:bCs/>
                <w:szCs w:val="21"/>
              </w:rPr>
            </w:pPr>
          </w:p>
        </w:tc>
        <w:tc>
          <w:tcPr>
            <w:tcW w:w="2635" w:type="dxa"/>
            <w:vAlign w:val="center"/>
          </w:tcPr>
          <w:p w14:paraId="3E417A0E">
            <w:pPr>
              <w:adjustRightInd w:val="0"/>
              <w:snapToGrid w:val="0"/>
              <w:spacing w:before="72" w:beforeLines="30" w:after="48" w:afterLines="20"/>
              <w:rPr>
                <w:rFonts w:ascii="宋体" w:hAnsi="宋体"/>
                <w:b w:val="0"/>
                <w:bCs/>
                <w:szCs w:val="21"/>
              </w:rPr>
            </w:pPr>
            <w:r>
              <w:rPr>
                <w:rFonts w:hint="eastAsia" w:ascii="宋体" w:hAnsi="宋体"/>
                <w:b w:val="0"/>
                <w:bCs/>
                <w:szCs w:val="21"/>
              </w:rPr>
              <w:t>核算药量大或危险性大的工（库）房布置位置</w:t>
            </w:r>
          </w:p>
        </w:tc>
        <w:tc>
          <w:tcPr>
            <w:tcW w:w="4883" w:type="dxa"/>
            <w:vAlign w:val="center"/>
          </w:tcPr>
          <w:p w14:paraId="6447CF7F">
            <w:pPr>
              <w:adjustRightInd w:val="0"/>
              <w:snapToGrid w:val="0"/>
              <w:spacing w:before="72" w:beforeLines="30" w:after="48" w:afterLines="20"/>
              <w:rPr>
                <w:rFonts w:ascii="宋体" w:hAnsi="宋体"/>
                <w:b w:val="0"/>
                <w:bCs/>
                <w:szCs w:val="21"/>
              </w:rPr>
            </w:pPr>
            <w:r>
              <w:rPr>
                <w:rFonts w:hint="eastAsia" w:ascii="宋体" w:hAnsi="宋体"/>
                <w:b w:val="0"/>
                <w:bCs/>
                <w:szCs w:val="21"/>
              </w:rPr>
              <w:t>核算药量大或危险性大的厂房和仓库，布置在危险品生产区的边缘。</w:t>
            </w:r>
          </w:p>
        </w:tc>
        <w:tc>
          <w:tcPr>
            <w:tcW w:w="572" w:type="dxa"/>
            <w:vAlign w:val="center"/>
          </w:tcPr>
          <w:p w14:paraId="0170960B">
            <w:pPr>
              <w:adjustRightInd w:val="0"/>
              <w:snapToGrid w:val="0"/>
              <w:spacing w:before="72" w:beforeLines="30" w:after="48" w:afterLines="20"/>
              <w:jc w:val="center"/>
              <w:rPr>
                <w:rFonts w:ascii="宋体" w:hAnsi="宋体"/>
                <w:b w:val="0"/>
                <w:bCs/>
                <w:szCs w:val="21"/>
              </w:rPr>
            </w:pPr>
            <w:r>
              <w:rPr>
                <w:rFonts w:hint="eastAsia" w:ascii="宋体" w:hAnsi="宋体"/>
                <w:b w:val="0"/>
                <w:bCs/>
                <w:szCs w:val="21"/>
              </w:rPr>
              <w:t>符合要求</w:t>
            </w:r>
          </w:p>
        </w:tc>
      </w:tr>
      <w:tr w14:paraId="0E2766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518" w:type="dxa"/>
            <w:vMerge w:val="continue"/>
            <w:vAlign w:val="center"/>
          </w:tcPr>
          <w:p w14:paraId="1A1C5022">
            <w:pPr>
              <w:adjustRightInd w:val="0"/>
              <w:snapToGrid w:val="0"/>
              <w:spacing w:before="24" w:beforeLines="10"/>
              <w:rPr>
                <w:rFonts w:ascii="宋体" w:hAnsi="宋体"/>
                <w:b w:val="0"/>
                <w:bCs/>
                <w:szCs w:val="21"/>
              </w:rPr>
            </w:pPr>
          </w:p>
        </w:tc>
        <w:tc>
          <w:tcPr>
            <w:tcW w:w="518" w:type="dxa"/>
            <w:vMerge w:val="continue"/>
            <w:vAlign w:val="center"/>
          </w:tcPr>
          <w:p w14:paraId="41C996E7">
            <w:pPr>
              <w:adjustRightInd w:val="0"/>
              <w:snapToGrid w:val="0"/>
              <w:spacing w:before="24" w:beforeLines="10"/>
              <w:rPr>
                <w:rFonts w:ascii="宋体" w:hAnsi="宋体"/>
                <w:b w:val="0"/>
                <w:bCs/>
                <w:szCs w:val="21"/>
              </w:rPr>
            </w:pPr>
          </w:p>
        </w:tc>
        <w:tc>
          <w:tcPr>
            <w:tcW w:w="2635" w:type="dxa"/>
            <w:vAlign w:val="center"/>
          </w:tcPr>
          <w:p w14:paraId="0CEAAEC9">
            <w:pPr>
              <w:adjustRightInd w:val="0"/>
              <w:snapToGrid w:val="0"/>
              <w:spacing w:before="72" w:beforeLines="30" w:after="48" w:afterLines="20"/>
              <w:rPr>
                <w:rFonts w:ascii="宋体" w:hAnsi="宋体"/>
                <w:b w:val="0"/>
                <w:bCs/>
                <w:szCs w:val="21"/>
              </w:rPr>
            </w:pPr>
            <w:r>
              <w:rPr>
                <w:rFonts w:hint="eastAsia" w:ascii="宋体" w:hAnsi="宋体"/>
                <w:b w:val="0"/>
                <w:bCs/>
                <w:szCs w:val="21"/>
              </w:rPr>
              <w:t>粉尘和有害气体污染比较大的工房布置位置</w:t>
            </w:r>
          </w:p>
        </w:tc>
        <w:tc>
          <w:tcPr>
            <w:tcW w:w="4883" w:type="dxa"/>
            <w:vAlign w:val="center"/>
          </w:tcPr>
          <w:p w14:paraId="11297F07">
            <w:pPr>
              <w:adjustRightInd w:val="0"/>
              <w:snapToGrid w:val="0"/>
              <w:spacing w:before="72" w:beforeLines="30" w:after="48" w:afterLines="20"/>
              <w:rPr>
                <w:rFonts w:ascii="宋体" w:hAnsi="宋体"/>
                <w:b w:val="0"/>
                <w:bCs/>
                <w:szCs w:val="21"/>
              </w:rPr>
            </w:pPr>
            <w:r>
              <w:rPr>
                <w:rFonts w:hint="eastAsia" w:ascii="宋体" w:hAnsi="宋体"/>
                <w:b w:val="0"/>
                <w:bCs/>
                <w:szCs w:val="21"/>
              </w:rPr>
              <w:t>粉尘污染比较大的药物线布置在厂区的边缘地带</w:t>
            </w:r>
          </w:p>
        </w:tc>
        <w:tc>
          <w:tcPr>
            <w:tcW w:w="572" w:type="dxa"/>
            <w:vAlign w:val="center"/>
          </w:tcPr>
          <w:p w14:paraId="5E81365C">
            <w:pPr>
              <w:adjustRightInd w:val="0"/>
              <w:snapToGrid w:val="0"/>
              <w:spacing w:before="72" w:beforeLines="30" w:after="48" w:afterLines="20"/>
              <w:jc w:val="center"/>
              <w:rPr>
                <w:rFonts w:ascii="宋体" w:hAnsi="宋体"/>
                <w:b w:val="0"/>
                <w:bCs/>
                <w:szCs w:val="21"/>
              </w:rPr>
            </w:pPr>
            <w:r>
              <w:rPr>
                <w:rFonts w:hint="eastAsia" w:ascii="宋体" w:hAnsi="宋体"/>
                <w:b w:val="0"/>
                <w:bCs/>
                <w:szCs w:val="21"/>
              </w:rPr>
              <w:t>符合要求</w:t>
            </w:r>
          </w:p>
        </w:tc>
      </w:tr>
      <w:tr w14:paraId="4EF4FA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518" w:type="dxa"/>
            <w:vMerge w:val="continue"/>
            <w:vAlign w:val="center"/>
          </w:tcPr>
          <w:p w14:paraId="25C91EBA">
            <w:pPr>
              <w:adjustRightInd w:val="0"/>
              <w:snapToGrid w:val="0"/>
              <w:spacing w:before="24" w:beforeLines="10"/>
              <w:rPr>
                <w:rFonts w:ascii="宋体" w:hAnsi="宋体"/>
                <w:b w:val="0"/>
                <w:bCs/>
                <w:szCs w:val="21"/>
              </w:rPr>
            </w:pPr>
          </w:p>
        </w:tc>
        <w:tc>
          <w:tcPr>
            <w:tcW w:w="518" w:type="dxa"/>
            <w:vMerge w:val="continue"/>
            <w:vAlign w:val="center"/>
          </w:tcPr>
          <w:p w14:paraId="4FBE7ED4">
            <w:pPr>
              <w:adjustRightInd w:val="0"/>
              <w:snapToGrid w:val="0"/>
              <w:spacing w:before="24" w:beforeLines="10"/>
              <w:rPr>
                <w:rFonts w:ascii="宋体" w:hAnsi="宋体"/>
                <w:b w:val="0"/>
                <w:bCs/>
                <w:szCs w:val="21"/>
              </w:rPr>
            </w:pPr>
          </w:p>
        </w:tc>
        <w:tc>
          <w:tcPr>
            <w:tcW w:w="2635" w:type="dxa"/>
            <w:vAlign w:val="center"/>
          </w:tcPr>
          <w:p w14:paraId="2D4FC4A6">
            <w:pPr>
              <w:adjustRightInd w:val="0"/>
              <w:snapToGrid w:val="0"/>
              <w:spacing w:before="72" w:beforeLines="30" w:after="48" w:afterLines="20"/>
              <w:rPr>
                <w:rFonts w:ascii="宋体" w:hAnsi="宋体"/>
                <w:b w:val="0"/>
                <w:bCs/>
                <w:szCs w:val="21"/>
              </w:rPr>
            </w:pPr>
            <w:r>
              <w:rPr>
                <w:rFonts w:hint="eastAsia" w:ascii="宋体" w:hAnsi="宋体"/>
                <w:b w:val="0"/>
                <w:bCs/>
                <w:szCs w:val="21"/>
              </w:rPr>
              <w:t>危险品的运输路线</w:t>
            </w:r>
          </w:p>
        </w:tc>
        <w:tc>
          <w:tcPr>
            <w:tcW w:w="4883" w:type="dxa"/>
            <w:vAlign w:val="center"/>
          </w:tcPr>
          <w:p w14:paraId="6765CBCD">
            <w:pPr>
              <w:adjustRightInd w:val="0"/>
              <w:snapToGrid w:val="0"/>
              <w:spacing w:before="72" w:beforeLines="30" w:after="48" w:afterLines="20"/>
              <w:rPr>
                <w:rFonts w:ascii="宋体" w:hAnsi="宋体"/>
                <w:b w:val="0"/>
                <w:bCs/>
                <w:szCs w:val="21"/>
              </w:rPr>
            </w:pPr>
            <w:r>
              <w:rPr>
                <w:rFonts w:hint="eastAsia" w:ascii="宋体" w:hAnsi="宋体"/>
                <w:b w:val="0"/>
                <w:bCs/>
                <w:szCs w:val="21"/>
              </w:rPr>
              <w:t>该企业拟设置有专用运输道路，并制订有相关管理措施，运输道路满足生产要求。</w:t>
            </w:r>
          </w:p>
        </w:tc>
        <w:tc>
          <w:tcPr>
            <w:tcW w:w="572" w:type="dxa"/>
            <w:vAlign w:val="center"/>
          </w:tcPr>
          <w:p w14:paraId="3E717C70">
            <w:pPr>
              <w:adjustRightInd w:val="0"/>
              <w:snapToGrid w:val="0"/>
              <w:spacing w:before="72" w:beforeLines="30" w:after="48" w:afterLines="20"/>
              <w:jc w:val="center"/>
              <w:rPr>
                <w:rFonts w:ascii="宋体" w:hAnsi="宋体"/>
                <w:b w:val="0"/>
                <w:bCs/>
                <w:szCs w:val="21"/>
              </w:rPr>
            </w:pPr>
            <w:r>
              <w:rPr>
                <w:rFonts w:hint="eastAsia" w:ascii="宋体" w:hAnsi="宋体"/>
                <w:b w:val="0"/>
                <w:bCs/>
                <w:szCs w:val="21"/>
              </w:rPr>
              <w:t>符合要求</w:t>
            </w:r>
          </w:p>
        </w:tc>
      </w:tr>
    </w:tbl>
    <w:p w14:paraId="7481E29D">
      <w:pPr>
        <w:pStyle w:val="5"/>
        <w:spacing w:before="120" w:beforeLines="50"/>
        <w:rPr>
          <w:rFonts w:ascii="黑体" w:hAnsi="黑体" w:eastAsia="黑体" w:cs="宋体"/>
          <w:b w:val="0"/>
          <w:szCs w:val="28"/>
        </w:rPr>
      </w:pPr>
      <w:bookmarkStart w:id="557" w:name="_Toc165038815"/>
      <w:r>
        <w:rPr>
          <w:rFonts w:hint="eastAsia" w:ascii="黑体" w:hAnsi="黑体" w:eastAsia="黑体" w:cs="宋体"/>
          <w:b w:val="0"/>
          <w:szCs w:val="28"/>
        </w:rPr>
        <w:t>5.2.</w:t>
      </w:r>
      <w:r>
        <w:rPr>
          <w:rFonts w:ascii="黑体" w:hAnsi="黑体" w:eastAsia="黑体" w:cs="宋体"/>
          <w:b w:val="0"/>
          <w:szCs w:val="28"/>
        </w:rPr>
        <w:t>1</w:t>
      </w:r>
      <w:r>
        <w:rPr>
          <w:rFonts w:hint="eastAsia" w:ascii="黑体" w:hAnsi="黑体" w:eastAsia="黑体" w:cs="宋体"/>
          <w:b w:val="0"/>
          <w:szCs w:val="28"/>
        </w:rPr>
        <w:t>建设项目外部安全</w:t>
      </w:r>
      <w:bookmarkEnd w:id="557"/>
      <w:r>
        <w:rPr>
          <w:rFonts w:hint="eastAsia" w:ascii="黑体" w:hAnsi="黑体" w:eastAsia="黑体" w:cs="宋体"/>
          <w:b w:val="0"/>
          <w:szCs w:val="28"/>
        </w:rPr>
        <w:t>距离评价</w:t>
      </w:r>
    </w:p>
    <w:p w14:paraId="68904363">
      <w:pPr>
        <w:adjustRightInd w:val="0"/>
        <w:snapToGrid w:val="0"/>
        <w:spacing w:line="360" w:lineRule="auto"/>
        <w:ind w:firstLine="560" w:firstLineChars="200"/>
        <w:rPr>
          <w:rFonts w:ascii="宋体" w:hAnsi="宋体" w:cs="宋体"/>
          <w:b w:val="0"/>
          <w:sz w:val="28"/>
          <w:szCs w:val="28"/>
        </w:rPr>
      </w:pPr>
      <w:r>
        <w:rPr>
          <w:rFonts w:hint="eastAsia" w:ascii="宋体" w:hAnsi="宋体"/>
          <w:b w:val="0"/>
          <w:sz w:val="28"/>
          <w:szCs w:val="28"/>
          <w:lang w:val="en-GB"/>
        </w:rPr>
        <w:t>根据原有工房的现场布置及《浏阳市太平复兴花炮厂（个人独资）厂房升级改造项目总平面布置图》（初步设计方案图），该项目原有工房及厂房升级改造项目工房的外部距离按不小于国家现行标准《烟花爆竹工程设计安全标准》（GB50161-2022）的外部最小允许距离进行建设（设计）</w:t>
      </w:r>
      <w:r>
        <w:rPr>
          <w:rFonts w:hint="eastAsia" w:ascii="宋体" w:hAnsi="宋体"/>
          <w:b w:val="0"/>
          <w:sz w:val="28"/>
          <w:szCs w:val="28"/>
        </w:rPr>
        <w:t>；</w:t>
      </w:r>
      <w:r>
        <w:rPr>
          <w:rFonts w:hint="eastAsia" w:ascii="宋体" w:hAnsi="宋体"/>
          <w:b w:val="0"/>
          <w:bCs/>
          <w:sz w:val="28"/>
          <w:szCs w:val="28"/>
        </w:rPr>
        <w:t>改建项目危险建筑物与周围建(构)筑物的外部距离情况见表5.7-2</w:t>
      </w:r>
      <w:r>
        <w:rPr>
          <w:rFonts w:hint="eastAsia" w:ascii="宋体" w:hAnsi="宋体" w:cs="宋体"/>
          <w:b w:val="0"/>
          <w:sz w:val="28"/>
          <w:szCs w:val="28"/>
        </w:rPr>
        <w:t>。</w:t>
      </w:r>
    </w:p>
    <w:p w14:paraId="1A4DF43F">
      <w:pPr>
        <w:adjustRightInd w:val="0"/>
        <w:snapToGrid w:val="0"/>
        <w:spacing w:line="360" w:lineRule="auto"/>
        <w:ind w:firstLine="560" w:firstLineChars="200"/>
        <w:rPr>
          <w:rFonts w:ascii="宋体" w:hAnsi="宋体"/>
          <w:b w:val="0"/>
          <w:sz w:val="28"/>
          <w:szCs w:val="28"/>
          <w:lang w:val="en-GB"/>
        </w:rPr>
      </w:pPr>
      <w:r>
        <w:rPr>
          <w:rFonts w:hint="eastAsia" w:ascii="宋体" w:hAnsi="宋体"/>
          <w:b w:val="0"/>
          <w:sz w:val="28"/>
          <w:szCs w:val="28"/>
        </w:rPr>
        <w:t>1）</w:t>
      </w:r>
      <w:r>
        <w:rPr>
          <w:rFonts w:hint="eastAsia" w:ascii="宋体" w:hAnsi="宋体"/>
          <w:b w:val="0"/>
          <w:sz w:val="28"/>
          <w:szCs w:val="28"/>
          <w:lang w:val="en-GB"/>
        </w:rPr>
        <w:t>改建项目厂区边缘建筑物与周围建(构)筑物及（设施）的距离情况见表</w:t>
      </w:r>
      <w:r>
        <w:rPr>
          <w:rFonts w:hint="eastAsia" w:ascii="宋体" w:hAnsi="宋体"/>
          <w:b w:val="0"/>
          <w:sz w:val="28"/>
          <w:szCs w:val="28"/>
        </w:rPr>
        <w:t>5</w:t>
      </w:r>
      <w:r>
        <w:rPr>
          <w:rFonts w:hint="eastAsia" w:ascii="宋体" w:hAnsi="宋体"/>
          <w:b w:val="0"/>
          <w:sz w:val="28"/>
          <w:szCs w:val="28"/>
          <w:lang w:val="en-GB"/>
        </w:rPr>
        <w:t>.7-</w:t>
      </w:r>
      <w:r>
        <w:rPr>
          <w:rFonts w:hint="eastAsia" w:ascii="宋体" w:hAnsi="宋体"/>
          <w:b w:val="0"/>
          <w:sz w:val="28"/>
          <w:szCs w:val="28"/>
        </w:rPr>
        <w:t>2-1</w:t>
      </w:r>
      <w:r>
        <w:rPr>
          <w:rFonts w:hint="eastAsia" w:ascii="宋体" w:hAnsi="宋体"/>
          <w:b w:val="0"/>
          <w:sz w:val="28"/>
          <w:szCs w:val="28"/>
          <w:lang w:val="en-GB"/>
        </w:rPr>
        <w:t>。</w:t>
      </w:r>
    </w:p>
    <w:p w14:paraId="01DC257B">
      <w:pPr>
        <w:jc w:val="center"/>
        <w:rPr>
          <w:rFonts w:ascii="黑体" w:hAnsi="黑体" w:eastAsia="黑体"/>
          <w:b w:val="0"/>
          <w:sz w:val="24"/>
        </w:rPr>
      </w:pPr>
      <w:r>
        <w:rPr>
          <w:rFonts w:hint="eastAsia" w:ascii="黑体" w:hAnsi="黑体" w:eastAsia="黑体"/>
          <w:b w:val="0"/>
          <w:sz w:val="24"/>
        </w:rPr>
        <w:t>表5</w:t>
      </w:r>
      <w:r>
        <w:rPr>
          <w:rFonts w:ascii="黑体" w:hAnsi="黑体" w:eastAsia="黑体"/>
          <w:b w:val="0"/>
          <w:sz w:val="24"/>
        </w:rPr>
        <w:t>.</w:t>
      </w:r>
      <w:r>
        <w:rPr>
          <w:rFonts w:hint="eastAsia" w:ascii="黑体" w:hAnsi="黑体" w:eastAsia="黑体"/>
          <w:b w:val="0"/>
          <w:sz w:val="24"/>
        </w:rPr>
        <w:t>7-2-1  改扩建项目危险建筑物与周围建(构)筑物外部距离情况表</w:t>
      </w:r>
    </w:p>
    <w:tbl>
      <w:tblPr>
        <w:tblStyle w:val="88"/>
        <w:tblW w:w="883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9"/>
        <w:gridCol w:w="2113"/>
        <w:gridCol w:w="698"/>
        <w:gridCol w:w="980"/>
        <w:gridCol w:w="2162"/>
        <w:gridCol w:w="1080"/>
        <w:gridCol w:w="1105"/>
      </w:tblGrid>
      <w:tr w14:paraId="5A558F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9" w:hRule="atLeast"/>
          <w:tblHeader/>
          <w:jc w:val="center"/>
        </w:trPr>
        <w:tc>
          <w:tcPr>
            <w:tcW w:w="699" w:type="dxa"/>
            <w:vAlign w:val="center"/>
          </w:tcPr>
          <w:p w14:paraId="4E8A6BA0">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szCs w:val="21"/>
              </w:rPr>
            </w:pPr>
            <w:r>
              <w:rPr>
                <w:rFonts w:hint="eastAsia" w:asciiTheme="minorEastAsia" w:hAnsiTheme="minorEastAsia" w:eastAsiaTheme="minorEastAsia"/>
                <w:szCs w:val="21"/>
              </w:rPr>
              <w:t>方</w:t>
            </w:r>
            <w:r>
              <w:rPr>
                <w:rFonts w:asciiTheme="minorEastAsia" w:hAnsiTheme="minorEastAsia" w:eastAsiaTheme="minorEastAsia"/>
                <w:szCs w:val="21"/>
              </w:rPr>
              <w:t>位</w:t>
            </w:r>
          </w:p>
        </w:tc>
        <w:tc>
          <w:tcPr>
            <w:tcW w:w="2113" w:type="dxa"/>
            <w:vAlign w:val="center"/>
          </w:tcPr>
          <w:p w14:paraId="73BB427E">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kern w:val="0"/>
                <w:szCs w:val="21"/>
              </w:rPr>
            </w:pPr>
            <w:r>
              <w:rPr>
                <w:rFonts w:hint="eastAsia" w:asciiTheme="minorEastAsia" w:hAnsiTheme="minorEastAsia" w:eastAsiaTheme="minorEastAsia"/>
                <w:szCs w:val="21"/>
              </w:rPr>
              <w:t>建（构）筑物名称</w:t>
            </w:r>
          </w:p>
        </w:tc>
        <w:tc>
          <w:tcPr>
            <w:tcW w:w="698" w:type="dxa"/>
            <w:vAlign w:val="center"/>
          </w:tcPr>
          <w:p w14:paraId="0533920C">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szCs w:val="21"/>
              </w:rPr>
            </w:pPr>
            <w:r>
              <w:rPr>
                <w:rFonts w:hint="eastAsia" w:asciiTheme="minorEastAsia" w:hAnsiTheme="minorEastAsia" w:eastAsiaTheme="minorEastAsia"/>
                <w:szCs w:val="21"/>
              </w:rPr>
              <w:t>危险</w:t>
            </w:r>
          </w:p>
          <w:p w14:paraId="438383BC">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szCs w:val="21"/>
              </w:rPr>
            </w:pPr>
            <w:r>
              <w:rPr>
                <w:rFonts w:hint="eastAsia" w:asciiTheme="minorEastAsia" w:hAnsiTheme="minorEastAsia" w:eastAsiaTheme="minorEastAsia"/>
                <w:szCs w:val="21"/>
              </w:rPr>
              <w:t>等级</w:t>
            </w:r>
          </w:p>
        </w:tc>
        <w:tc>
          <w:tcPr>
            <w:tcW w:w="980" w:type="dxa"/>
            <w:vAlign w:val="center"/>
          </w:tcPr>
          <w:p w14:paraId="32D29E85">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szCs w:val="21"/>
              </w:rPr>
            </w:pPr>
            <w:r>
              <w:rPr>
                <w:rFonts w:hint="eastAsia" w:asciiTheme="minorEastAsia" w:hAnsiTheme="minorEastAsia" w:eastAsiaTheme="minorEastAsia"/>
                <w:szCs w:val="21"/>
              </w:rPr>
              <w:t>计算药量（kg）</w:t>
            </w:r>
          </w:p>
        </w:tc>
        <w:tc>
          <w:tcPr>
            <w:tcW w:w="2162" w:type="dxa"/>
            <w:vAlign w:val="center"/>
          </w:tcPr>
          <w:p w14:paraId="5C8D2B49">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szCs w:val="21"/>
              </w:rPr>
            </w:pPr>
            <w:r>
              <w:rPr>
                <w:rFonts w:hint="eastAsia" w:asciiTheme="minorEastAsia" w:hAnsiTheme="minorEastAsia" w:eastAsiaTheme="minorEastAsia"/>
                <w:szCs w:val="21"/>
              </w:rPr>
              <w:t>外部项目</w:t>
            </w:r>
          </w:p>
        </w:tc>
        <w:tc>
          <w:tcPr>
            <w:tcW w:w="1080" w:type="dxa"/>
            <w:vAlign w:val="center"/>
          </w:tcPr>
          <w:p w14:paraId="4DDE7277">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szCs w:val="21"/>
              </w:rPr>
            </w:pPr>
            <w:r>
              <w:rPr>
                <w:rFonts w:hint="eastAsia" w:asciiTheme="minorEastAsia" w:hAnsiTheme="minorEastAsia" w:eastAsiaTheme="minorEastAsia"/>
                <w:szCs w:val="21"/>
              </w:rPr>
              <w:t>标准</w:t>
            </w:r>
            <w:r>
              <w:rPr>
                <w:rFonts w:asciiTheme="minorEastAsia" w:hAnsiTheme="minorEastAsia" w:eastAsiaTheme="minorEastAsia"/>
                <w:szCs w:val="21"/>
              </w:rPr>
              <w:t>距离</w:t>
            </w:r>
            <w:r>
              <w:rPr>
                <w:rFonts w:hint="eastAsia" w:asciiTheme="minorEastAsia" w:hAnsiTheme="minorEastAsia" w:eastAsiaTheme="minorEastAsia"/>
                <w:szCs w:val="21"/>
              </w:rPr>
              <w:t>（m)</w:t>
            </w:r>
          </w:p>
        </w:tc>
        <w:tc>
          <w:tcPr>
            <w:tcW w:w="1105" w:type="dxa"/>
            <w:vAlign w:val="center"/>
          </w:tcPr>
          <w:p w14:paraId="4EF2D801">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szCs w:val="21"/>
              </w:rPr>
            </w:pPr>
            <w:r>
              <w:rPr>
                <w:rFonts w:hint="eastAsia" w:asciiTheme="minorEastAsia" w:hAnsiTheme="minorEastAsia" w:eastAsiaTheme="minorEastAsia"/>
                <w:szCs w:val="21"/>
              </w:rPr>
              <w:t>设计</w:t>
            </w:r>
            <w:r>
              <w:rPr>
                <w:rFonts w:asciiTheme="minorEastAsia" w:hAnsiTheme="minorEastAsia" w:eastAsiaTheme="minorEastAsia"/>
                <w:szCs w:val="21"/>
              </w:rPr>
              <w:t>距离</w:t>
            </w:r>
            <w:r>
              <w:rPr>
                <w:rFonts w:hint="eastAsia" w:asciiTheme="minorEastAsia" w:hAnsiTheme="minorEastAsia" w:eastAsiaTheme="minorEastAsia"/>
                <w:szCs w:val="21"/>
              </w:rPr>
              <w:t>（m)</w:t>
            </w:r>
          </w:p>
        </w:tc>
      </w:tr>
      <w:tr w14:paraId="47D013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99" w:type="dxa"/>
            <w:vMerge w:val="restart"/>
            <w:vAlign w:val="center"/>
          </w:tcPr>
          <w:p w14:paraId="4AA8A1D0">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b w:val="0"/>
                <w:bCs/>
                <w:szCs w:val="21"/>
              </w:rPr>
            </w:pPr>
            <w:r>
              <w:rPr>
                <w:rFonts w:hint="eastAsia" w:asciiTheme="minorEastAsia" w:hAnsiTheme="minorEastAsia" w:eastAsiaTheme="minorEastAsia"/>
                <w:b w:val="0"/>
                <w:bCs/>
                <w:szCs w:val="21"/>
              </w:rPr>
              <w:t>东</w:t>
            </w:r>
          </w:p>
        </w:tc>
        <w:tc>
          <w:tcPr>
            <w:tcW w:w="2113" w:type="dxa"/>
            <w:shd w:val="clear" w:color="auto" w:fill="auto"/>
            <w:vAlign w:val="center"/>
          </w:tcPr>
          <w:p w14:paraId="22FD0DC8">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9</w:t>
            </w:r>
            <w:r>
              <w:rPr>
                <w:rFonts w:ascii="宋体" w:hAnsi="宋体"/>
                <w:b w:val="0"/>
                <w:bCs/>
                <w:kern w:val="0"/>
                <w:szCs w:val="21"/>
              </w:rPr>
              <w:t>#</w:t>
            </w:r>
            <w:r>
              <w:rPr>
                <w:rFonts w:hint="eastAsia" w:ascii="宋体" w:hAnsi="宋体"/>
                <w:b w:val="0"/>
                <w:bCs/>
                <w:kern w:val="0"/>
                <w:szCs w:val="21"/>
              </w:rPr>
              <w:t>引中转</w:t>
            </w:r>
          </w:p>
        </w:tc>
        <w:tc>
          <w:tcPr>
            <w:tcW w:w="698" w:type="dxa"/>
            <w:shd w:val="clear" w:color="auto" w:fill="auto"/>
            <w:vAlign w:val="center"/>
          </w:tcPr>
          <w:p w14:paraId="2917BA1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.1</w:t>
            </w:r>
            <w:r>
              <w:rPr>
                <w:rFonts w:ascii="宋体" w:hAnsi="宋体"/>
                <w:b w:val="0"/>
                <w:bCs/>
                <w:kern w:val="0"/>
                <w:szCs w:val="21"/>
                <w:vertAlign w:val="superscript"/>
              </w:rPr>
              <w:t>-</w:t>
            </w:r>
            <w:r>
              <w:rPr>
                <w:rFonts w:hint="eastAsia" w:ascii="宋体" w:hAnsi="宋体"/>
                <w:b w:val="0"/>
                <w:bCs/>
                <w:kern w:val="0"/>
                <w:szCs w:val="21"/>
                <w:vertAlign w:val="superscript"/>
              </w:rPr>
              <w:t>2</w:t>
            </w:r>
          </w:p>
        </w:tc>
        <w:tc>
          <w:tcPr>
            <w:tcW w:w="980" w:type="dxa"/>
            <w:shd w:val="clear" w:color="auto" w:fill="auto"/>
            <w:vAlign w:val="center"/>
          </w:tcPr>
          <w:p w14:paraId="52C5422C">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00</w:t>
            </w:r>
          </w:p>
        </w:tc>
        <w:tc>
          <w:tcPr>
            <w:tcW w:w="2162" w:type="dxa"/>
            <w:shd w:val="clear" w:color="auto" w:fill="auto"/>
            <w:vAlign w:val="center"/>
          </w:tcPr>
          <w:p w14:paraId="35A0269B">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垃圾分拣中心（50人以下）</w:t>
            </w:r>
          </w:p>
        </w:tc>
        <w:tc>
          <w:tcPr>
            <w:tcW w:w="1080" w:type="dxa"/>
            <w:shd w:val="clear" w:color="auto" w:fill="auto"/>
            <w:vAlign w:val="center"/>
          </w:tcPr>
          <w:p w14:paraId="7D1BB8BF">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80</w:t>
            </w:r>
          </w:p>
        </w:tc>
        <w:tc>
          <w:tcPr>
            <w:tcW w:w="1105" w:type="dxa"/>
            <w:shd w:val="clear" w:color="auto" w:fill="auto"/>
            <w:vAlign w:val="center"/>
          </w:tcPr>
          <w:p w14:paraId="6675A631">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160</w:t>
            </w:r>
          </w:p>
        </w:tc>
      </w:tr>
      <w:tr w14:paraId="4CD238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99" w:type="dxa"/>
            <w:vMerge w:val="continue"/>
            <w:vAlign w:val="center"/>
          </w:tcPr>
          <w:p w14:paraId="0101192E">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b w:val="0"/>
                <w:bCs/>
                <w:szCs w:val="21"/>
              </w:rPr>
            </w:pPr>
          </w:p>
        </w:tc>
        <w:tc>
          <w:tcPr>
            <w:tcW w:w="2113" w:type="dxa"/>
            <w:shd w:val="clear" w:color="auto" w:fill="auto"/>
            <w:vAlign w:val="center"/>
          </w:tcPr>
          <w:p w14:paraId="2ACD22FF">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78</w:t>
            </w:r>
            <w:r>
              <w:rPr>
                <w:rFonts w:ascii="宋体" w:hAnsi="宋体"/>
                <w:b w:val="0"/>
                <w:bCs/>
                <w:kern w:val="0"/>
                <w:szCs w:val="21"/>
              </w:rPr>
              <w:t>#</w:t>
            </w:r>
            <w:r>
              <w:rPr>
                <w:rFonts w:hint="eastAsia" w:ascii="宋体" w:hAnsi="宋体"/>
                <w:b w:val="0"/>
                <w:bCs/>
                <w:kern w:val="0"/>
                <w:szCs w:val="21"/>
              </w:rPr>
              <w:t>黑火药中转</w:t>
            </w:r>
          </w:p>
        </w:tc>
        <w:tc>
          <w:tcPr>
            <w:tcW w:w="698" w:type="dxa"/>
            <w:shd w:val="clear" w:color="auto" w:fill="auto"/>
            <w:vAlign w:val="center"/>
          </w:tcPr>
          <w:p w14:paraId="033842E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.1</w:t>
            </w:r>
            <w:r>
              <w:rPr>
                <w:rFonts w:ascii="宋体" w:hAnsi="宋体"/>
                <w:b w:val="0"/>
                <w:bCs/>
                <w:kern w:val="0"/>
                <w:szCs w:val="21"/>
                <w:vertAlign w:val="superscript"/>
              </w:rPr>
              <w:t>-</w:t>
            </w:r>
            <w:r>
              <w:rPr>
                <w:rFonts w:hint="eastAsia" w:ascii="宋体" w:hAnsi="宋体"/>
                <w:b w:val="0"/>
                <w:bCs/>
                <w:kern w:val="0"/>
                <w:szCs w:val="21"/>
                <w:vertAlign w:val="superscript"/>
              </w:rPr>
              <w:t>2</w:t>
            </w:r>
          </w:p>
        </w:tc>
        <w:tc>
          <w:tcPr>
            <w:tcW w:w="980" w:type="dxa"/>
            <w:shd w:val="clear" w:color="auto" w:fill="auto"/>
            <w:vAlign w:val="center"/>
          </w:tcPr>
          <w:p w14:paraId="69B28484">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00</w:t>
            </w:r>
          </w:p>
        </w:tc>
        <w:tc>
          <w:tcPr>
            <w:tcW w:w="2162" w:type="dxa"/>
            <w:shd w:val="clear" w:color="auto" w:fill="auto"/>
            <w:vAlign w:val="center"/>
          </w:tcPr>
          <w:p w14:paraId="1547BA2F">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民房（1</w:t>
            </w:r>
            <w:r>
              <w:rPr>
                <w:rFonts w:ascii="宋体" w:hAnsi="宋体"/>
                <w:b w:val="0"/>
                <w:bCs/>
                <w:kern w:val="0"/>
                <w:szCs w:val="21"/>
              </w:rPr>
              <w:t>0</w:t>
            </w:r>
            <w:r>
              <w:rPr>
                <w:rFonts w:hint="eastAsia" w:ascii="宋体" w:hAnsi="宋体"/>
                <w:b w:val="0"/>
                <w:bCs/>
                <w:kern w:val="0"/>
                <w:szCs w:val="21"/>
              </w:rPr>
              <w:t>户以上）</w:t>
            </w:r>
          </w:p>
        </w:tc>
        <w:tc>
          <w:tcPr>
            <w:tcW w:w="1080" w:type="dxa"/>
            <w:shd w:val="clear" w:color="auto" w:fill="auto"/>
            <w:vAlign w:val="center"/>
          </w:tcPr>
          <w:p w14:paraId="2938DCCE">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100</w:t>
            </w:r>
          </w:p>
        </w:tc>
        <w:tc>
          <w:tcPr>
            <w:tcW w:w="1105" w:type="dxa"/>
            <w:shd w:val="clear" w:color="auto" w:fill="auto"/>
            <w:vAlign w:val="center"/>
          </w:tcPr>
          <w:p w14:paraId="1B2A13FC">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114</w:t>
            </w:r>
          </w:p>
        </w:tc>
      </w:tr>
      <w:tr w14:paraId="02D400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99" w:type="dxa"/>
            <w:vMerge w:val="continue"/>
            <w:vAlign w:val="center"/>
          </w:tcPr>
          <w:p w14:paraId="76BC60D4">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b w:val="0"/>
                <w:bCs/>
                <w:szCs w:val="21"/>
              </w:rPr>
            </w:pPr>
          </w:p>
        </w:tc>
        <w:tc>
          <w:tcPr>
            <w:tcW w:w="2113" w:type="dxa"/>
            <w:shd w:val="clear" w:color="auto" w:fill="auto"/>
            <w:vAlign w:val="center"/>
          </w:tcPr>
          <w:p w14:paraId="73C3E419">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89#成品库</w:t>
            </w:r>
          </w:p>
        </w:tc>
        <w:tc>
          <w:tcPr>
            <w:tcW w:w="698" w:type="dxa"/>
            <w:shd w:val="clear" w:color="auto" w:fill="auto"/>
            <w:vAlign w:val="center"/>
          </w:tcPr>
          <w:p w14:paraId="6737BD3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1.3</w:t>
            </w:r>
          </w:p>
        </w:tc>
        <w:tc>
          <w:tcPr>
            <w:tcW w:w="980" w:type="dxa"/>
            <w:shd w:val="clear" w:color="auto" w:fill="auto"/>
            <w:vAlign w:val="center"/>
          </w:tcPr>
          <w:p w14:paraId="21D4DE84">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15000</w:t>
            </w:r>
          </w:p>
        </w:tc>
        <w:tc>
          <w:tcPr>
            <w:tcW w:w="2162" w:type="dxa"/>
            <w:shd w:val="clear" w:color="auto" w:fill="auto"/>
            <w:vAlign w:val="center"/>
          </w:tcPr>
          <w:p w14:paraId="29C8B0BA">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民房（1</w:t>
            </w:r>
            <w:r>
              <w:rPr>
                <w:rFonts w:ascii="宋体" w:hAnsi="宋体"/>
                <w:b w:val="0"/>
                <w:bCs/>
                <w:kern w:val="0"/>
                <w:szCs w:val="21"/>
              </w:rPr>
              <w:t>0</w:t>
            </w:r>
            <w:r>
              <w:rPr>
                <w:rFonts w:hint="eastAsia" w:ascii="宋体" w:hAnsi="宋体"/>
                <w:b w:val="0"/>
                <w:bCs/>
                <w:kern w:val="0"/>
                <w:szCs w:val="21"/>
              </w:rPr>
              <w:t>户以上）</w:t>
            </w:r>
          </w:p>
        </w:tc>
        <w:tc>
          <w:tcPr>
            <w:tcW w:w="1080" w:type="dxa"/>
            <w:shd w:val="clear" w:color="auto" w:fill="auto"/>
            <w:vAlign w:val="center"/>
          </w:tcPr>
          <w:p w14:paraId="6084DDFD">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125</w:t>
            </w:r>
          </w:p>
        </w:tc>
        <w:tc>
          <w:tcPr>
            <w:tcW w:w="1105" w:type="dxa"/>
            <w:shd w:val="clear" w:color="auto" w:fill="auto"/>
            <w:vAlign w:val="center"/>
          </w:tcPr>
          <w:p w14:paraId="5D7ACA8D">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145</w:t>
            </w:r>
          </w:p>
        </w:tc>
      </w:tr>
      <w:tr w14:paraId="5F5A7C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99" w:type="dxa"/>
            <w:vMerge w:val="restart"/>
            <w:vAlign w:val="center"/>
          </w:tcPr>
          <w:p w14:paraId="02C59985">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b w:val="0"/>
                <w:bCs/>
                <w:szCs w:val="21"/>
              </w:rPr>
            </w:pPr>
            <w:r>
              <w:rPr>
                <w:rFonts w:hint="eastAsia" w:asciiTheme="minorEastAsia" w:hAnsiTheme="minorEastAsia" w:eastAsiaTheme="minorEastAsia"/>
                <w:b w:val="0"/>
                <w:bCs/>
                <w:szCs w:val="21"/>
              </w:rPr>
              <w:t>南</w:t>
            </w:r>
          </w:p>
        </w:tc>
        <w:tc>
          <w:tcPr>
            <w:tcW w:w="2113" w:type="dxa"/>
            <w:vMerge w:val="restart"/>
            <w:shd w:val="clear" w:color="auto" w:fill="auto"/>
            <w:vAlign w:val="center"/>
          </w:tcPr>
          <w:p w14:paraId="3FF61E6E">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53#单基火药中转</w:t>
            </w:r>
          </w:p>
        </w:tc>
        <w:tc>
          <w:tcPr>
            <w:tcW w:w="698" w:type="dxa"/>
            <w:vMerge w:val="restart"/>
            <w:shd w:val="clear" w:color="auto" w:fill="auto"/>
            <w:vAlign w:val="center"/>
          </w:tcPr>
          <w:p w14:paraId="4128CD4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.1</w:t>
            </w:r>
            <w:r>
              <w:rPr>
                <w:rFonts w:ascii="宋体" w:hAnsi="宋体"/>
                <w:b w:val="0"/>
                <w:bCs/>
                <w:kern w:val="0"/>
                <w:szCs w:val="21"/>
                <w:vertAlign w:val="superscript"/>
              </w:rPr>
              <w:t>-</w:t>
            </w:r>
            <w:r>
              <w:rPr>
                <w:rFonts w:hint="eastAsia" w:ascii="宋体" w:hAnsi="宋体"/>
                <w:b w:val="0"/>
                <w:bCs/>
                <w:kern w:val="0"/>
                <w:szCs w:val="21"/>
                <w:vertAlign w:val="superscript"/>
              </w:rPr>
              <w:t>2</w:t>
            </w:r>
          </w:p>
        </w:tc>
        <w:tc>
          <w:tcPr>
            <w:tcW w:w="980" w:type="dxa"/>
            <w:vMerge w:val="restart"/>
            <w:shd w:val="clear" w:color="auto" w:fill="auto"/>
            <w:vAlign w:val="center"/>
          </w:tcPr>
          <w:p w14:paraId="6D8D61FD">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00</w:t>
            </w:r>
          </w:p>
        </w:tc>
        <w:tc>
          <w:tcPr>
            <w:tcW w:w="2162" w:type="dxa"/>
            <w:shd w:val="clear" w:color="auto" w:fill="auto"/>
            <w:vAlign w:val="center"/>
          </w:tcPr>
          <w:p w14:paraId="26BB6CFB">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民房（1</w:t>
            </w:r>
            <w:r>
              <w:rPr>
                <w:rFonts w:ascii="宋体" w:hAnsi="宋体"/>
                <w:b w:val="0"/>
                <w:bCs/>
                <w:color w:val="000000" w:themeColor="text1"/>
                <w:kern w:val="0"/>
                <w:szCs w:val="21"/>
                <w14:textFill>
                  <w14:solidFill>
                    <w14:schemeClr w14:val="tx1"/>
                  </w14:solidFill>
                </w14:textFill>
              </w:rPr>
              <w:t>0</w:t>
            </w:r>
            <w:r>
              <w:rPr>
                <w:rFonts w:hint="eastAsia" w:ascii="宋体" w:hAnsi="宋体"/>
                <w:b w:val="0"/>
                <w:bCs/>
                <w:color w:val="000000" w:themeColor="text1"/>
                <w:kern w:val="0"/>
                <w:szCs w:val="21"/>
                <w14:textFill>
                  <w14:solidFill>
                    <w14:schemeClr w14:val="tx1"/>
                  </w14:solidFill>
                </w14:textFill>
              </w:rPr>
              <w:t>户以内）</w:t>
            </w:r>
          </w:p>
        </w:tc>
        <w:tc>
          <w:tcPr>
            <w:tcW w:w="1080" w:type="dxa"/>
            <w:shd w:val="clear" w:color="auto" w:fill="auto"/>
            <w:vAlign w:val="center"/>
          </w:tcPr>
          <w:p w14:paraId="2D68952F">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80</w:t>
            </w:r>
          </w:p>
        </w:tc>
        <w:tc>
          <w:tcPr>
            <w:tcW w:w="1105" w:type="dxa"/>
            <w:shd w:val="clear" w:color="auto" w:fill="auto"/>
            <w:vAlign w:val="center"/>
          </w:tcPr>
          <w:p w14:paraId="7DD3BAEB">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89</w:t>
            </w:r>
          </w:p>
        </w:tc>
      </w:tr>
      <w:tr w14:paraId="272BC1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99" w:type="dxa"/>
            <w:vMerge w:val="continue"/>
            <w:vAlign w:val="center"/>
          </w:tcPr>
          <w:p w14:paraId="7DC2812B">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b w:val="0"/>
                <w:bCs/>
                <w:szCs w:val="21"/>
              </w:rPr>
            </w:pPr>
          </w:p>
        </w:tc>
        <w:tc>
          <w:tcPr>
            <w:tcW w:w="2113" w:type="dxa"/>
            <w:vMerge w:val="continue"/>
            <w:shd w:val="clear" w:color="auto" w:fill="auto"/>
            <w:vAlign w:val="center"/>
          </w:tcPr>
          <w:p w14:paraId="421E30EE">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p>
        </w:tc>
        <w:tc>
          <w:tcPr>
            <w:tcW w:w="698" w:type="dxa"/>
            <w:vMerge w:val="continue"/>
            <w:shd w:val="clear" w:color="auto" w:fill="auto"/>
            <w:vAlign w:val="center"/>
          </w:tcPr>
          <w:p w14:paraId="01D2E41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p>
        </w:tc>
        <w:tc>
          <w:tcPr>
            <w:tcW w:w="980" w:type="dxa"/>
            <w:vMerge w:val="continue"/>
            <w:shd w:val="clear" w:color="auto" w:fill="auto"/>
            <w:vAlign w:val="center"/>
          </w:tcPr>
          <w:p w14:paraId="21EADC55">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p>
        </w:tc>
        <w:tc>
          <w:tcPr>
            <w:tcW w:w="2162" w:type="dxa"/>
            <w:shd w:val="clear" w:color="auto" w:fill="auto"/>
            <w:vAlign w:val="center"/>
          </w:tcPr>
          <w:p w14:paraId="74F2803F">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养殖场（50人以下）</w:t>
            </w:r>
          </w:p>
        </w:tc>
        <w:tc>
          <w:tcPr>
            <w:tcW w:w="1080" w:type="dxa"/>
            <w:shd w:val="clear" w:color="auto" w:fill="auto"/>
            <w:vAlign w:val="center"/>
          </w:tcPr>
          <w:p w14:paraId="2D4D4E9B">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80</w:t>
            </w:r>
          </w:p>
        </w:tc>
        <w:tc>
          <w:tcPr>
            <w:tcW w:w="1105" w:type="dxa"/>
            <w:shd w:val="clear" w:color="auto" w:fill="auto"/>
            <w:vAlign w:val="center"/>
          </w:tcPr>
          <w:p w14:paraId="51847737">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82</w:t>
            </w:r>
          </w:p>
        </w:tc>
      </w:tr>
      <w:tr w14:paraId="363630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699" w:type="dxa"/>
            <w:vMerge w:val="continue"/>
            <w:vAlign w:val="center"/>
          </w:tcPr>
          <w:p w14:paraId="293AB727">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b w:val="0"/>
                <w:bCs/>
                <w:szCs w:val="21"/>
              </w:rPr>
            </w:pPr>
          </w:p>
        </w:tc>
        <w:tc>
          <w:tcPr>
            <w:tcW w:w="2113" w:type="dxa"/>
            <w:shd w:val="clear" w:color="auto" w:fill="auto"/>
            <w:vAlign w:val="center"/>
          </w:tcPr>
          <w:p w14:paraId="5D417918">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52#黑火药中转</w:t>
            </w:r>
          </w:p>
        </w:tc>
        <w:tc>
          <w:tcPr>
            <w:tcW w:w="698" w:type="dxa"/>
            <w:shd w:val="clear" w:color="auto" w:fill="auto"/>
            <w:vAlign w:val="center"/>
          </w:tcPr>
          <w:p w14:paraId="22371BD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.1</w:t>
            </w:r>
            <w:r>
              <w:rPr>
                <w:rFonts w:ascii="宋体" w:hAnsi="宋体"/>
                <w:b w:val="0"/>
                <w:bCs/>
                <w:kern w:val="0"/>
                <w:szCs w:val="21"/>
                <w:vertAlign w:val="superscript"/>
              </w:rPr>
              <w:t>-</w:t>
            </w:r>
            <w:r>
              <w:rPr>
                <w:rFonts w:hint="eastAsia" w:ascii="宋体" w:hAnsi="宋体"/>
                <w:b w:val="0"/>
                <w:bCs/>
                <w:kern w:val="0"/>
                <w:szCs w:val="21"/>
                <w:vertAlign w:val="superscript"/>
              </w:rPr>
              <w:t>2</w:t>
            </w:r>
          </w:p>
        </w:tc>
        <w:tc>
          <w:tcPr>
            <w:tcW w:w="980" w:type="dxa"/>
            <w:shd w:val="clear" w:color="auto" w:fill="auto"/>
            <w:vAlign w:val="center"/>
          </w:tcPr>
          <w:p w14:paraId="362B5154">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00</w:t>
            </w:r>
          </w:p>
        </w:tc>
        <w:tc>
          <w:tcPr>
            <w:tcW w:w="2162" w:type="dxa"/>
            <w:shd w:val="clear" w:color="auto" w:fill="auto"/>
            <w:vAlign w:val="center"/>
          </w:tcPr>
          <w:p w14:paraId="01C1F7DF">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养殖场（50人以下）</w:t>
            </w:r>
          </w:p>
        </w:tc>
        <w:tc>
          <w:tcPr>
            <w:tcW w:w="1080" w:type="dxa"/>
            <w:shd w:val="clear" w:color="auto" w:fill="auto"/>
            <w:vAlign w:val="center"/>
          </w:tcPr>
          <w:p w14:paraId="2E352C96">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80</w:t>
            </w:r>
          </w:p>
        </w:tc>
        <w:tc>
          <w:tcPr>
            <w:tcW w:w="1105" w:type="dxa"/>
            <w:shd w:val="clear" w:color="auto" w:fill="auto"/>
            <w:vAlign w:val="center"/>
          </w:tcPr>
          <w:p w14:paraId="701FD492">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81</w:t>
            </w:r>
          </w:p>
        </w:tc>
      </w:tr>
      <w:tr w14:paraId="7439ED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699" w:type="dxa"/>
            <w:vMerge w:val="continue"/>
            <w:vAlign w:val="center"/>
          </w:tcPr>
          <w:p w14:paraId="279E872C">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b w:val="0"/>
                <w:bCs/>
                <w:szCs w:val="21"/>
              </w:rPr>
            </w:pPr>
          </w:p>
        </w:tc>
        <w:tc>
          <w:tcPr>
            <w:tcW w:w="2113" w:type="dxa"/>
            <w:shd w:val="clear" w:color="auto" w:fill="auto"/>
            <w:vAlign w:val="center"/>
          </w:tcPr>
          <w:p w14:paraId="53E564FC">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51#亮珠中转</w:t>
            </w:r>
          </w:p>
        </w:tc>
        <w:tc>
          <w:tcPr>
            <w:tcW w:w="698" w:type="dxa"/>
            <w:shd w:val="clear" w:color="auto" w:fill="auto"/>
            <w:vAlign w:val="center"/>
          </w:tcPr>
          <w:p w14:paraId="47E361A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.1</w:t>
            </w:r>
            <w:r>
              <w:rPr>
                <w:rFonts w:ascii="宋体" w:hAnsi="宋体"/>
                <w:b w:val="0"/>
                <w:bCs/>
                <w:kern w:val="0"/>
                <w:szCs w:val="21"/>
                <w:vertAlign w:val="superscript"/>
              </w:rPr>
              <w:t>-</w:t>
            </w:r>
            <w:r>
              <w:rPr>
                <w:rFonts w:hint="eastAsia" w:ascii="宋体" w:hAnsi="宋体"/>
                <w:b w:val="0"/>
                <w:bCs/>
                <w:kern w:val="0"/>
                <w:szCs w:val="21"/>
                <w:vertAlign w:val="superscript"/>
              </w:rPr>
              <w:t>1</w:t>
            </w:r>
          </w:p>
        </w:tc>
        <w:tc>
          <w:tcPr>
            <w:tcW w:w="980" w:type="dxa"/>
            <w:shd w:val="clear" w:color="auto" w:fill="auto"/>
            <w:vAlign w:val="center"/>
          </w:tcPr>
          <w:p w14:paraId="085C9296">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00</w:t>
            </w:r>
          </w:p>
        </w:tc>
        <w:tc>
          <w:tcPr>
            <w:tcW w:w="2162" w:type="dxa"/>
            <w:shd w:val="clear" w:color="auto" w:fill="auto"/>
            <w:vAlign w:val="center"/>
          </w:tcPr>
          <w:p w14:paraId="10136AD2">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养殖场（50人以下）</w:t>
            </w:r>
          </w:p>
        </w:tc>
        <w:tc>
          <w:tcPr>
            <w:tcW w:w="1080" w:type="dxa"/>
            <w:shd w:val="clear" w:color="auto" w:fill="auto"/>
            <w:vAlign w:val="center"/>
          </w:tcPr>
          <w:p w14:paraId="6FFCB797">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80</w:t>
            </w:r>
          </w:p>
        </w:tc>
        <w:tc>
          <w:tcPr>
            <w:tcW w:w="1105" w:type="dxa"/>
            <w:shd w:val="clear" w:color="auto" w:fill="auto"/>
            <w:vAlign w:val="center"/>
          </w:tcPr>
          <w:p w14:paraId="5643067F">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92</w:t>
            </w:r>
          </w:p>
        </w:tc>
      </w:tr>
      <w:tr w14:paraId="0B2451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9" w:type="dxa"/>
            <w:vMerge w:val="continue"/>
            <w:vAlign w:val="center"/>
          </w:tcPr>
          <w:p w14:paraId="1E301EFD">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b w:val="0"/>
                <w:bCs/>
                <w:szCs w:val="21"/>
              </w:rPr>
            </w:pPr>
          </w:p>
        </w:tc>
        <w:tc>
          <w:tcPr>
            <w:tcW w:w="2113" w:type="dxa"/>
            <w:shd w:val="clear" w:color="auto" w:fill="auto"/>
            <w:vAlign w:val="center"/>
          </w:tcPr>
          <w:p w14:paraId="638B6BB4">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44#筑药</w:t>
            </w:r>
          </w:p>
        </w:tc>
        <w:tc>
          <w:tcPr>
            <w:tcW w:w="698" w:type="dxa"/>
            <w:shd w:val="clear" w:color="auto" w:fill="auto"/>
            <w:vAlign w:val="center"/>
          </w:tcPr>
          <w:p w14:paraId="25A4BDA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.1</w:t>
            </w:r>
            <w:r>
              <w:rPr>
                <w:rFonts w:ascii="宋体" w:hAnsi="宋体"/>
                <w:b w:val="0"/>
                <w:bCs/>
                <w:kern w:val="0"/>
                <w:szCs w:val="21"/>
                <w:vertAlign w:val="superscript"/>
              </w:rPr>
              <w:t>-</w:t>
            </w:r>
            <w:r>
              <w:rPr>
                <w:rFonts w:hint="eastAsia" w:ascii="宋体" w:hAnsi="宋体"/>
                <w:b w:val="0"/>
                <w:bCs/>
                <w:kern w:val="0"/>
                <w:szCs w:val="21"/>
                <w:vertAlign w:val="superscript"/>
              </w:rPr>
              <w:t>1</w:t>
            </w:r>
          </w:p>
        </w:tc>
        <w:tc>
          <w:tcPr>
            <w:tcW w:w="980" w:type="dxa"/>
            <w:shd w:val="clear" w:color="auto" w:fill="auto"/>
            <w:vAlign w:val="center"/>
          </w:tcPr>
          <w:p w14:paraId="665E6484">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FF0000"/>
                <w:kern w:val="0"/>
                <w:szCs w:val="21"/>
              </w:rPr>
            </w:pPr>
            <w:r>
              <w:rPr>
                <w:rFonts w:hint="eastAsia" w:ascii="宋体" w:hAnsi="宋体"/>
                <w:b w:val="0"/>
                <w:bCs/>
                <w:color w:val="000000" w:themeColor="text1"/>
                <w:kern w:val="0"/>
                <w:szCs w:val="21"/>
                <w14:textFill>
                  <w14:solidFill>
                    <w14:schemeClr w14:val="tx1"/>
                  </w14:solidFill>
                </w14:textFill>
              </w:rPr>
              <w:t>5</w:t>
            </w:r>
          </w:p>
        </w:tc>
        <w:tc>
          <w:tcPr>
            <w:tcW w:w="2162" w:type="dxa"/>
            <w:shd w:val="clear" w:color="auto" w:fill="auto"/>
            <w:vAlign w:val="center"/>
          </w:tcPr>
          <w:p w14:paraId="31500138">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养殖场（50人以下）</w:t>
            </w:r>
          </w:p>
        </w:tc>
        <w:tc>
          <w:tcPr>
            <w:tcW w:w="1080" w:type="dxa"/>
            <w:shd w:val="clear" w:color="auto" w:fill="auto"/>
            <w:vAlign w:val="center"/>
          </w:tcPr>
          <w:p w14:paraId="1C52DFEF">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50</w:t>
            </w:r>
          </w:p>
        </w:tc>
        <w:tc>
          <w:tcPr>
            <w:tcW w:w="1105" w:type="dxa"/>
            <w:shd w:val="clear" w:color="auto" w:fill="auto"/>
            <w:vAlign w:val="center"/>
          </w:tcPr>
          <w:p w14:paraId="7843E597">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61</w:t>
            </w:r>
          </w:p>
        </w:tc>
      </w:tr>
      <w:tr w14:paraId="3B3D3A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9" w:type="dxa"/>
            <w:vMerge w:val="continue"/>
            <w:vAlign w:val="center"/>
          </w:tcPr>
          <w:p w14:paraId="692D2279">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b w:val="0"/>
                <w:bCs/>
                <w:szCs w:val="21"/>
              </w:rPr>
            </w:pPr>
          </w:p>
        </w:tc>
        <w:tc>
          <w:tcPr>
            <w:tcW w:w="2113" w:type="dxa"/>
            <w:shd w:val="clear" w:color="auto" w:fill="auto"/>
            <w:vAlign w:val="center"/>
          </w:tcPr>
          <w:p w14:paraId="57877B2C">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40#药物中转</w:t>
            </w:r>
          </w:p>
        </w:tc>
        <w:tc>
          <w:tcPr>
            <w:tcW w:w="698" w:type="dxa"/>
            <w:shd w:val="clear" w:color="auto" w:fill="auto"/>
            <w:vAlign w:val="center"/>
          </w:tcPr>
          <w:p w14:paraId="23F576A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.1</w:t>
            </w:r>
            <w:r>
              <w:rPr>
                <w:rFonts w:ascii="宋体" w:hAnsi="宋体"/>
                <w:b w:val="0"/>
                <w:bCs/>
                <w:kern w:val="0"/>
                <w:szCs w:val="21"/>
                <w:vertAlign w:val="superscript"/>
              </w:rPr>
              <w:t>-</w:t>
            </w:r>
            <w:r>
              <w:rPr>
                <w:rFonts w:hint="eastAsia" w:ascii="宋体" w:hAnsi="宋体"/>
                <w:b w:val="0"/>
                <w:bCs/>
                <w:kern w:val="0"/>
                <w:szCs w:val="21"/>
                <w:vertAlign w:val="superscript"/>
              </w:rPr>
              <w:t>1</w:t>
            </w:r>
          </w:p>
        </w:tc>
        <w:tc>
          <w:tcPr>
            <w:tcW w:w="980" w:type="dxa"/>
            <w:shd w:val="clear" w:color="auto" w:fill="auto"/>
            <w:vAlign w:val="center"/>
          </w:tcPr>
          <w:p w14:paraId="21D4D551">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FF0000"/>
                <w:kern w:val="0"/>
                <w:szCs w:val="21"/>
              </w:rPr>
            </w:pPr>
            <w:r>
              <w:rPr>
                <w:rFonts w:hint="eastAsia" w:ascii="宋体" w:hAnsi="宋体"/>
                <w:b w:val="0"/>
                <w:bCs/>
                <w:color w:val="000000" w:themeColor="text1"/>
                <w:kern w:val="0"/>
                <w:szCs w:val="21"/>
                <w14:textFill>
                  <w14:solidFill>
                    <w14:schemeClr w14:val="tx1"/>
                  </w14:solidFill>
                </w14:textFill>
              </w:rPr>
              <w:t>50</w:t>
            </w:r>
          </w:p>
        </w:tc>
        <w:tc>
          <w:tcPr>
            <w:tcW w:w="2162" w:type="dxa"/>
            <w:shd w:val="clear" w:color="auto" w:fill="auto"/>
            <w:vAlign w:val="center"/>
          </w:tcPr>
          <w:p w14:paraId="36B4E248">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民房（1</w:t>
            </w:r>
            <w:r>
              <w:rPr>
                <w:rFonts w:ascii="宋体" w:hAnsi="宋体"/>
                <w:b w:val="0"/>
                <w:bCs/>
                <w:color w:val="000000" w:themeColor="text1"/>
                <w:kern w:val="0"/>
                <w:szCs w:val="21"/>
                <w14:textFill>
                  <w14:solidFill>
                    <w14:schemeClr w14:val="tx1"/>
                  </w14:solidFill>
                </w14:textFill>
              </w:rPr>
              <w:t>0</w:t>
            </w:r>
            <w:r>
              <w:rPr>
                <w:rFonts w:hint="eastAsia" w:ascii="宋体" w:hAnsi="宋体"/>
                <w:b w:val="0"/>
                <w:bCs/>
                <w:color w:val="000000" w:themeColor="text1"/>
                <w:kern w:val="0"/>
                <w:szCs w:val="21"/>
                <w14:textFill>
                  <w14:solidFill>
                    <w14:schemeClr w14:val="tx1"/>
                  </w14:solidFill>
                </w14:textFill>
              </w:rPr>
              <w:t>户以内）</w:t>
            </w:r>
          </w:p>
        </w:tc>
        <w:tc>
          <w:tcPr>
            <w:tcW w:w="1080" w:type="dxa"/>
            <w:shd w:val="clear" w:color="auto" w:fill="auto"/>
            <w:vAlign w:val="center"/>
          </w:tcPr>
          <w:p w14:paraId="5AE457E1">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70</w:t>
            </w:r>
          </w:p>
        </w:tc>
        <w:tc>
          <w:tcPr>
            <w:tcW w:w="1105" w:type="dxa"/>
            <w:shd w:val="clear" w:color="auto" w:fill="auto"/>
            <w:vAlign w:val="center"/>
          </w:tcPr>
          <w:p w14:paraId="634A83F9">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77</w:t>
            </w:r>
          </w:p>
        </w:tc>
      </w:tr>
      <w:tr w14:paraId="66438B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699" w:type="dxa"/>
            <w:vMerge w:val="continue"/>
            <w:vAlign w:val="center"/>
          </w:tcPr>
          <w:p w14:paraId="11E615F4">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b w:val="0"/>
                <w:bCs/>
                <w:szCs w:val="21"/>
              </w:rPr>
            </w:pPr>
          </w:p>
        </w:tc>
        <w:tc>
          <w:tcPr>
            <w:tcW w:w="2113" w:type="dxa"/>
            <w:shd w:val="clear" w:color="auto" w:fill="auto"/>
            <w:vAlign w:val="center"/>
          </w:tcPr>
          <w:p w14:paraId="547426DF">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27#药物中转</w:t>
            </w:r>
          </w:p>
        </w:tc>
        <w:tc>
          <w:tcPr>
            <w:tcW w:w="698" w:type="dxa"/>
            <w:shd w:val="clear" w:color="auto" w:fill="auto"/>
            <w:vAlign w:val="center"/>
          </w:tcPr>
          <w:p w14:paraId="10E9AE1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.1</w:t>
            </w:r>
            <w:r>
              <w:rPr>
                <w:rFonts w:ascii="宋体" w:hAnsi="宋体"/>
                <w:b w:val="0"/>
                <w:bCs/>
                <w:kern w:val="0"/>
                <w:szCs w:val="21"/>
                <w:vertAlign w:val="superscript"/>
              </w:rPr>
              <w:t>-</w:t>
            </w:r>
            <w:r>
              <w:rPr>
                <w:rFonts w:hint="eastAsia" w:ascii="宋体" w:hAnsi="宋体"/>
                <w:b w:val="0"/>
                <w:bCs/>
                <w:kern w:val="0"/>
                <w:szCs w:val="21"/>
                <w:vertAlign w:val="superscript"/>
              </w:rPr>
              <w:t>2</w:t>
            </w:r>
          </w:p>
        </w:tc>
        <w:tc>
          <w:tcPr>
            <w:tcW w:w="980" w:type="dxa"/>
            <w:shd w:val="clear" w:color="auto" w:fill="auto"/>
            <w:vAlign w:val="center"/>
          </w:tcPr>
          <w:p w14:paraId="7D31463C">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w:t>
            </w:r>
            <w:r>
              <w:rPr>
                <w:rFonts w:ascii="宋体" w:hAnsi="宋体"/>
                <w:b w:val="0"/>
                <w:bCs/>
                <w:kern w:val="0"/>
                <w:szCs w:val="21"/>
              </w:rPr>
              <w:t>00</w:t>
            </w:r>
          </w:p>
        </w:tc>
        <w:tc>
          <w:tcPr>
            <w:tcW w:w="2162" w:type="dxa"/>
            <w:shd w:val="clear" w:color="auto" w:fill="auto"/>
            <w:vAlign w:val="center"/>
          </w:tcPr>
          <w:p w14:paraId="7E6E9032">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民房（1</w:t>
            </w:r>
            <w:r>
              <w:rPr>
                <w:rFonts w:ascii="宋体" w:hAnsi="宋体"/>
                <w:b w:val="0"/>
                <w:bCs/>
                <w:color w:val="000000" w:themeColor="text1"/>
                <w:kern w:val="0"/>
                <w:szCs w:val="21"/>
                <w14:textFill>
                  <w14:solidFill>
                    <w14:schemeClr w14:val="tx1"/>
                  </w14:solidFill>
                </w14:textFill>
              </w:rPr>
              <w:t>0</w:t>
            </w:r>
            <w:r>
              <w:rPr>
                <w:rFonts w:hint="eastAsia" w:ascii="宋体" w:hAnsi="宋体"/>
                <w:b w:val="0"/>
                <w:bCs/>
                <w:color w:val="000000" w:themeColor="text1"/>
                <w:kern w:val="0"/>
                <w:szCs w:val="21"/>
                <w14:textFill>
                  <w14:solidFill>
                    <w14:schemeClr w14:val="tx1"/>
                  </w14:solidFill>
                </w14:textFill>
              </w:rPr>
              <w:t>户以内）</w:t>
            </w:r>
          </w:p>
        </w:tc>
        <w:tc>
          <w:tcPr>
            <w:tcW w:w="1080" w:type="dxa"/>
            <w:shd w:val="clear" w:color="auto" w:fill="auto"/>
            <w:vAlign w:val="center"/>
          </w:tcPr>
          <w:p w14:paraId="5D892368">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80</w:t>
            </w:r>
          </w:p>
        </w:tc>
        <w:tc>
          <w:tcPr>
            <w:tcW w:w="1105" w:type="dxa"/>
            <w:shd w:val="clear" w:color="auto" w:fill="auto"/>
            <w:vAlign w:val="center"/>
          </w:tcPr>
          <w:p w14:paraId="4B192E26">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89</w:t>
            </w:r>
          </w:p>
        </w:tc>
      </w:tr>
      <w:tr w14:paraId="1A43BB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9" w:type="dxa"/>
            <w:vMerge w:val="continue"/>
            <w:vAlign w:val="center"/>
          </w:tcPr>
          <w:p w14:paraId="614C02B5">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b w:val="0"/>
                <w:bCs/>
                <w:szCs w:val="21"/>
              </w:rPr>
            </w:pPr>
          </w:p>
        </w:tc>
        <w:tc>
          <w:tcPr>
            <w:tcW w:w="2113" w:type="dxa"/>
            <w:shd w:val="clear" w:color="auto" w:fill="auto"/>
            <w:vAlign w:val="center"/>
          </w:tcPr>
          <w:p w14:paraId="7370C884">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23#半成品中转</w:t>
            </w:r>
          </w:p>
        </w:tc>
        <w:tc>
          <w:tcPr>
            <w:tcW w:w="698" w:type="dxa"/>
            <w:shd w:val="clear" w:color="auto" w:fill="auto"/>
            <w:vAlign w:val="center"/>
          </w:tcPr>
          <w:p w14:paraId="15F4E9D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1.3</w:t>
            </w:r>
          </w:p>
        </w:tc>
        <w:tc>
          <w:tcPr>
            <w:tcW w:w="980" w:type="dxa"/>
            <w:shd w:val="clear" w:color="auto" w:fill="auto"/>
            <w:vAlign w:val="center"/>
          </w:tcPr>
          <w:p w14:paraId="522E5A40">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100</w:t>
            </w:r>
          </w:p>
        </w:tc>
        <w:tc>
          <w:tcPr>
            <w:tcW w:w="2162" w:type="dxa"/>
            <w:shd w:val="clear" w:color="auto" w:fill="auto"/>
            <w:vAlign w:val="center"/>
          </w:tcPr>
          <w:p w14:paraId="65606732">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民房（1</w:t>
            </w:r>
            <w:r>
              <w:rPr>
                <w:rFonts w:ascii="宋体" w:hAnsi="宋体"/>
                <w:b w:val="0"/>
                <w:bCs/>
                <w:color w:val="000000" w:themeColor="text1"/>
                <w:kern w:val="0"/>
                <w:szCs w:val="21"/>
                <w14:textFill>
                  <w14:solidFill>
                    <w14:schemeClr w14:val="tx1"/>
                  </w14:solidFill>
                </w14:textFill>
              </w:rPr>
              <w:t>0</w:t>
            </w:r>
            <w:r>
              <w:rPr>
                <w:rFonts w:hint="eastAsia" w:ascii="宋体" w:hAnsi="宋体"/>
                <w:b w:val="0"/>
                <w:bCs/>
                <w:color w:val="000000" w:themeColor="text1"/>
                <w:kern w:val="0"/>
                <w:szCs w:val="21"/>
                <w14:textFill>
                  <w14:solidFill>
                    <w14:schemeClr w14:val="tx1"/>
                  </w14:solidFill>
                </w14:textFill>
              </w:rPr>
              <w:t>户以内）</w:t>
            </w:r>
          </w:p>
        </w:tc>
        <w:tc>
          <w:tcPr>
            <w:tcW w:w="1080" w:type="dxa"/>
            <w:shd w:val="clear" w:color="auto" w:fill="auto"/>
            <w:vAlign w:val="center"/>
          </w:tcPr>
          <w:p w14:paraId="47A813EC">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35</w:t>
            </w:r>
          </w:p>
        </w:tc>
        <w:tc>
          <w:tcPr>
            <w:tcW w:w="1105" w:type="dxa"/>
            <w:shd w:val="clear" w:color="auto" w:fill="auto"/>
            <w:vAlign w:val="center"/>
          </w:tcPr>
          <w:p w14:paraId="1592B562">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55</w:t>
            </w:r>
          </w:p>
        </w:tc>
      </w:tr>
      <w:tr w14:paraId="0A7A5A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699" w:type="dxa"/>
            <w:vMerge w:val="continue"/>
            <w:vAlign w:val="center"/>
          </w:tcPr>
          <w:p w14:paraId="2477D555">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b w:val="0"/>
                <w:bCs/>
                <w:szCs w:val="21"/>
              </w:rPr>
            </w:pPr>
          </w:p>
        </w:tc>
        <w:tc>
          <w:tcPr>
            <w:tcW w:w="2113" w:type="dxa"/>
            <w:shd w:val="clear" w:color="auto" w:fill="auto"/>
            <w:vAlign w:val="center"/>
          </w:tcPr>
          <w:p w14:paraId="7450FA79">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19#半成品中转</w:t>
            </w:r>
          </w:p>
        </w:tc>
        <w:tc>
          <w:tcPr>
            <w:tcW w:w="698" w:type="dxa"/>
            <w:shd w:val="clear" w:color="auto" w:fill="auto"/>
            <w:vAlign w:val="center"/>
          </w:tcPr>
          <w:p w14:paraId="5ADBDA4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1.3</w:t>
            </w:r>
          </w:p>
        </w:tc>
        <w:tc>
          <w:tcPr>
            <w:tcW w:w="980" w:type="dxa"/>
            <w:shd w:val="clear" w:color="auto" w:fill="auto"/>
            <w:vAlign w:val="center"/>
          </w:tcPr>
          <w:p w14:paraId="50B18A62">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1000</w:t>
            </w:r>
          </w:p>
        </w:tc>
        <w:tc>
          <w:tcPr>
            <w:tcW w:w="2162" w:type="dxa"/>
            <w:shd w:val="clear" w:color="auto" w:fill="auto"/>
            <w:vAlign w:val="center"/>
          </w:tcPr>
          <w:p w14:paraId="1DAAB1E1">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民房（1</w:t>
            </w:r>
            <w:r>
              <w:rPr>
                <w:rFonts w:ascii="宋体" w:hAnsi="宋体"/>
                <w:b w:val="0"/>
                <w:bCs/>
                <w:color w:val="000000" w:themeColor="text1"/>
                <w:kern w:val="0"/>
                <w:szCs w:val="21"/>
                <w14:textFill>
                  <w14:solidFill>
                    <w14:schemeClr w14:val="tx1"/>
                  </w14:solidFill>
                </w14:textFill>
              </w:rPr>
              <w:t>0</w:t>
            </w:r>
            <w:r>
              <w:rPr>
                <w:rFonts w:hint="eastAsia" w:ascii="宋体" w:hAnsi="宋体"/>
                <w:b w:val="0"/>
                <w:bCs/>
                <w:color w:val="000000" w:themeColor="text1"/>
                <w:kern w:val="0"/>
                <w:szCs w:val="21"/>
                <w14:textFill>
                  <w14:solidFill>
                    <w14:schemeClr w14:val="tx1"/>
                  </w14:solidFill>
                </w14:textFill>
              </w:rPr>
              <w:t>户以内）</w:t>
            </w:r>
          </w:p>
        </w:tc>
        <w:tc>
          <w:tcPr>
            <w:tcW w:w="1080" w:type="dxa"/>
            <w:shd w:val="clear" w:color="auto" w:fill="auto"/>
            <w:vAlign w:val="center"/>
          </w:tcPr>
          <w:p w14:paraId="56C89774">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35</w:t>
            </w:r>
          </w:p>
        </w:tc>
        <w:tc>
          <w:tcPr>
            <w:tcW w:w="1105" w:type="dxa"/>
            <w:shd w:val="clear" w:color="auto" w:fill="auto"/>
            <w:vAlign w:val="center"/>
          </w:tcPr>
          <w:p w14:paraId="64D1C9C3">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77</w:t>
            </w:r>
          </w:p>
        </w:tc>
      </w:tr>
      <w:tr w14:paraId="604A70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99" w:type="dxa"/>
            <w:vMerge w:val="restart"/>
            <w:vAlign w:val="center"/>
          </w:tcPr>
          <w:p w14:paraId="6BC58094">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b w:val="0"/>
                <w:bCs/>
                <w:szCs w:val="21"/>
              </w:rPr>
            </w:pPr>
            <w:r>
              <w:rPr>
                <w:rFonts w:hint="eastAsia" w:asciiTheme="minorEastAsia" w:hAnsiTheme="minorEastAsia" w:eastAsiaTheme="minorEastAsia"/>
                <w:b w:val="0"/>
                <w:bCs/>
                <w:szCs w:val="21"/>
              </w:rPr>
              <w:t>西</w:t>
            </w:r>
          </w:p>
        </w:tc>
        <w:tc>
          <w:tcPr>
            <w:tcW w:w="2113" w:type="dxa"/>
            <w:shd w:val="clear" w:color="auto" w:fill="auto"/>
            <w:vAlign w:val="center"/>
          </w:tcPr>
          <w:p w14:paraId="72026562">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65#包装中转</w:t>
            </w:r>
          </w:p>
        </w:tc>
        <w:tc>
          <w:tcPr>
            <w:tcW w:w="698" w:type="dxa"/>
            <w:shd w:val="clear" w:color="auto" w:fill="auto"/>
            <w:vAlign w:val="center"/>
          </w:tcPr>
          <w:p w14:paraId="0EBEF51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vertAlign w:val="superscript"/>
                <w14:textFill>
                  <w14:solidFill>
                    <w14:schemeClr w14:val="tx1"/>
                  </w14:solidFill>
                </w14:textFill>
              </w:rPr>
              <w:t>-1</w:t>
            </w:r>
          </w:p>
        </w:tc>
        <w:tc>
          <w:tcPr>
            <w:tcW w:w="980" w:type="dxa"/>
            <w:shd w:val="clear" w:color="auto" w:fill="auto"/>
            <w:vAlign w:val="center"/>
          </w:tcPr>
          <w:p w14:paraId="316FF573">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200</w:t>
            </w:r>
          </w:p>
        </w:tc>
        <w:tc>
          <w:tcPr>
            <w:tcW w:w="2162" w:type="dxa"/>
            <w:shd w:val="clear" w:color="auto" w:fill="auto"/>
            <w:vAlign w:val="center"/>
          </w:tcPr>
          <w:p w14:paraId="05A29A37">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FF0000"/>
                <w:kern w:val="0"/>
                <w:szCs w:val="21"/>
              </w:rPr>
            </w:pPr>
            <w:r>
              <w:rPr>
                <w:rFonts w:hint="eastAsia" w:ascii="宋体" w:hAnsi="宋体"/>
                <w:b w:val="0"/>
                <w:bCs/>
                <w:color w:val="000000" w:themeColor="text1"/>
                <w:kern w:val="0"/>
                <w:szCs w:val="21"/>
                <w14:textFill>
                  <w14:solidFill>
                    <w14:schemeClr w14:val="tx1"/>
                  </w14:solidFill>
                </w14:textFill>
              </w:rPr>
              <w:t>民房（1</w:t>
            </w:r>
            <w:r>
              <w:rPr>
                <w:rFonts w:ascii="宋体" w:hAnsi="宋体"/>
                <w:b w:val="0"/>
                <w:bCs/>
                <w:color w:val="000000" w:themeColor="text1"/>
                <w:kern w:val="0"/>
                <w:szCs w:val="21"/>
                <w14:textFill>
                  <w14:solidFill>
                    <w14:schemeClr w14:val="tx1"/>
                  </w14:solidFill>
                </w14:textFill>
              </w:rPr>
              <w:t>0</w:t>
            </w:r>
            <w:r>
              <w:rPr>
                <w:rFonts w:hint="eastAsia" w:ascii="宋体" w:hAnsi="宋体"/>
                <w:b w:val="0"/>
                <w:bCs/>
                <w:color w:val="000000" w:themeColor="text1"/>
                <w:kern w:val="0"/>
                <w:szCs w:val="21"/>
                <w14:textFill>
                  <w14:solidFill>
                    <w14:schemeClr w14:val="tx1"/>
                  </w14:solidFill>
                </w14:textFill>
              </w:rPr>
              <w:t>户以上）</w:t>
            </w:r>
          </w:p>
        </w:tc>
        <w:tc>
          <w:tcPr>
            <w:tcW w:w="1080" w:type="dxa"/>
            <w:shd w:val="clear" w:color="auto" w:fill="auto"/>
            <w:vAlign w:val="center"/>
          </w:tcPr>
          <w:p w14:paraId="318970FF">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135</w:t>
            </w:r>
          </w:p>
        </w:tc>
        <w:tc>
          <w:tcPr>
            <w:tcW w:w="1105" w:type="dxa"/>
            <w:shd w:val="clear" w:color="auto" w:fill="auto"/>
            <w:vAlign w:val="center"/>
          </w:tcPr>
          <w:p w14:paraId="14C7748F">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150</w:t>
            </w:r>
          </w:p>
        </w:tc>
      </w:tr>
      <w:tr w14:paraId="2482B1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99" w:type="dxa"/>
            <w:vMerge w:val="continue"/>
            <w:vAlign w:val="center"/>
          </w:tcPr>
          <w:p w14:paraId="35EEFFEE">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b w:val="0"/>
                <w:bCs/>
                <w:szCs w:val="21"/>
              </w:rPr>
            </w:pPr>
          </w:p>
        </w:tc>
        <w:tc>
          <w:tcPr>
            <w:tcW w:w="2113" w:type="dxa"/>
            <w:shd w:val="clear" w:color="auto" w:fill="auto"/>
            <w:vAlign w:val="center"/>
          </w:tcPr>
          <w:p w14:paraId="6C636DBE">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62#单基火药库（湿）</w:t>
            </w:r>
          </w:p>
        </w:tc>
        <w:tc>
          <w:tcPr>
            <w:tcW w:w="698" w:type="dxa"/>
            <w:shd w:val="clear" w:color="auto" w:fill="auto"/>
            <w:vAlign w:val="center"/>
          </w:tcPr>
          <w:p w14:paraId="5E104BA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1.1</w:t>
            </w:r>
            <w:r>
              <w:rPr>
                <w:rFonts w:hint="eastAsia" w:ascii="宋体" w:hAnsi="宋体"/>
                <w:b w:val="0"/>
                <w:bCs/>
                <w:color w:val="000000" w:themeColor="text1"/>
                <w:kern w:val="0"/>
                <w:szCs w:val="21"/>
                <w:vertAlign w:val="superscript"/>
                <w14:textFill>
                  <w14:solidFill>
                    <w14:schemeClr w14:val="tx1"/>
                  </w14:solidFill>
                </w14:textFill>
              </w:rPr>
              <w:t>-2</w:t>
            </w:r>
          </w:p>
        </w:tc>
        <w:tc>
          <w:tcPr>
            <w:tcW w:w="980" w:type="dxa"/>
            <w:shd w:val="clear" w:color="auto" w:fill="auto"/>
            <w:vAlign w:val="center"/>
          </w:tcPr>
          <w:p w14:paraId="10CE7314">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500</w:t>
            </w:r>
          </w:p>
        </w:tc>
        <w:tc>
          <w:tcPr>
            <w:tcW w:w="2162" w:type="dxa"/>
            <w:shd w:val="clear" w:color="auto" w:fill="auto"/>
            <w:vAlign w:val="center"/>
          </w:tcPr>
          <w:p w14:paraId="282D2B2B">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居民杂屋</w:t>
            </w:r>
          </w:p>
        </w:tc>
        <w:tc>
          <w:tcPr>
            <w:tcW w:w="1080" w:type="dxa"/>
            <w:shd w:val="clear" w:color="auto" w:fill="auto"/>
            <w:vAlign w:val="center"/>
          </w:tcPr>
          <w:p w14:paraId="41B1E1EA">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115</w:t>
            </w:r>
          </w:p>
        </w:tc>
        <w:tc>
          <w:tcPr>
            <w:tcW w:w="1105" w:type="dxa"/>
            <w:shd w:val="clear" w:color="auto" w:fill="auto"/>
            <w:vAlign w:val="center"/>
          </w:tcPr>
          <w:p w14:paraId="45C24E7F">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120</w:t>
            </w:r>
          </w:p>
        </w:tc>
      </w:tr>
      <w:tr w14:paraId="3E52F7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99" w:type="dxa"/>
            <w:vMerge w:val="continue"/>
            <w:vAlign w:val="center"/>
          </w:tcPr>
          <w:p w14:paraId="1A528096">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b w:val="0"/>
                <w:bCs/>
                <w:szCs w:val="21"/>
              </w:rPr>
            </w:pPr>
          </w:p>
        </w:tc>
        <w:tc>
          <w:tcPr>
            <w:tcW w:w="2113" w:type="dxa"/>
            <w:shd w:val="clear" w:color="auto" w:fill="auto"/>
            <w:vAlign w:val="center"/>
          </w:tcPr>
          <w:p w14:paraId="0EF00F77">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61#单基火药库（湿）</w:t>
            </w:r>
          </w:p>
        </w:tc>
        <w:tc>
          <w:tcPr>
            <w:tcW w:w="698" w:type="dxa"/>
            <w:shd w:val="clear" w:color="auto" w:fill="auto"/>
            <w:vAlign w:val="center"/>
          </w:tcPr>
          <w:p w14:paraId="3A4DC76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1.1</w:t>
            </w:r>
            <w:r>
              <w:rPr>
                <w:rFonts w:hint="eastAsia" w:ascii="宋体" w:hAnsi="宋体"/>
                <w:b w:val="0"/>
                <w:bCs/>
                <w:color w:val="000000" w:themeColor="text1"/>
                <w:kern w:val="0"/>
                <w:szCs w:val="21"/>
                <w:vertAlign w:val="superscript"/>
                <w14:textFill>
                  <w14:solidFill>
                    <w14:schemeClr w14:val="tx1"/>
                  </w14:solidFill>
                </w14:textFill>
              </w:rPr>
              <w:t>-2</w:t>
            </w:r>
          </w:p>
        </w:tc>
        <w:tc>
          <w:tcPr>
            <w:tcW w:w="980" w:type="dxa"/>
            <w:shd w:val="clear" w:color="auto" w:fill="auto"/>
            <w:vAlign w:val="center"/>
          </w:tcPr>
          <w:p w14:paraId="1C972E97">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500</w:t>
            </w:r>
          </w:p>
        </w:tc>
        <w:tc>
          <w:tcPr>
            <w:tcW w:w="2162" w:type="dxa"/>
            <w:shd w:val="clear" w:color="auto" w:fill="auto"/>
            <w:vAlign w:val="center"/>
          </w:tcPr>
          <w:p w14:paraId="394ED00F">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破损建筑物</w:t>
            </w:r>
          </w:p>
        </w:tc>
        <w:tc>
          <w:tcPr>
            <w:tcW w:w="1080" w:type="dxa"/>
            <w:shd w:val="clear" w:color="auto" w:fill="auto"/>
            <w:vAlign w:val="center"/>
          </w:tcPr>
          <w:p w14:paraId="4AA7E268">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115</w:t>
            </w:r>
          </w:p>
        </w:tc>
        <w:tc>
          <w:tcPr>
            <w:tcW w:w="1105" w:type="dxa"/>
            <w:shd w:val="clear" w:color="auto" w:fill="auto"/>
            <w:vAlign w:val="center"/>
          </w:tcPr>
          <w:p w14:paraId="78D3639B">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151</w:t>
            </w:r>
          </w:p>
        </w:tc>
      </w:tr>
      <w:tr w14:paraId="441F74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99" w:type="dxa"/>
            <w:vMerge w:val="continue"/>
            <w:vAlign w:val="center"/>
          </w:tcPr>
          <w:p w14:paraId="67D3BC9D">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b w:val="0"/>
                <w:bCs/>
                <w:szCs w:val="21"/>
              </w:rPr>
            </w:pPr>
          </w:p>
        </w:tc>
        <w:tc>
          <w:tcPr>
            <w:tcW w:w="2113" w:type="dxa"/>
            <w:vMerge w:val="restart"/>
            <w:shd w:val="clear" w:color="auto" w:fill="auto"/>
            <w:vAlign w:val="center"/>
          </w:tcPr>
          <w:p w14:paraId="223E2D60">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60#黑火药库</w:t>
            </w:r>
          </w:p>
        </w:tc>
        <w:tc>
          <w:tcPr>
            <w:tcW w:w="698" w:type="dxa"/>
            <w:vMerge w:val="restart"/>
            <w:shd w:val="clear" w:color="auto" w:fill="auto"/>
            <w:vAlign w:val="center"/>
          </w:tcPr>
          <w:p w14:paraId="4436D91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1.1</w:t>
            </w:r>
            <w:r>
              <w:rPr>
                <w:rFonts w:hint="eastAsia" w:ascii="宋体" w:hAnsi="宋体"/>
                <w:b w:val="0"/>
                <w:bCs/>
                <w:color w:val="000000" w:themeColor="text1"/>
                <w:kern w:val="0"/>
                <w:szCs w:val="21"/>
                <w:vertAlign w:val="superscript"/>
                <w14:textFill>
                  <w14:solidFill>
                    <w14:schemeClr w14:val="tx1"/>
                  </w14:solidFill>
                </w14:textFill>
              </w:rPr>
              <w:t>-2</w:t>
            </w:r>
          </w:p>
        </w:tc>
        <w:tc>
          <w:tcPr>
            <w:tcW w:w="980" w:type="dxa"/>
            <w:vMerge w:val="restart"/>
            <w:shd w:val="clear" w:color="auto" w:fill="auto"/>
            <w:vAlign w:val="center"/>
          </w:tcPr>
          <w:p w14:paraId="2588FF6D">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1000</w:t>
            </w:r>
          </w:p>
        </w:tc>
        <w:tc>
          <w:tcPr>
            <w:tcW w:w="2162" w:type="dxa"/>
            <w:shd w:val="clear" w:color="auto" w:fill="auto"/>
            <w:vAlign w:val="center"/>
          </w:tcPr>
          <w:p w14:paraId="79B2DEA1">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居民杂屋</w:t>
            </w:r>
          </w:p>
        </w:tc>
        <w:tc>
          <w:tcPr>
            <w:tcW w:w="1080" w:type="dxa"/>
            <w:shd w:val="clear" w:color="auto" w:fill="auto"/>
            <w:vAlign w:val="center"/>
          </w:tcPr>
          <w:p w14:paraId="753A0EFB">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145</w:t>
            </w:r>
          </w:p>
        </w:tc>
        <w:tc>
          <w:tcPr>
            <w:tcW w:w="1105" w:type="dxa"/>
            <w:shd w:val="clear" w:color="auto" w:fill="auto"/>
            <w:vAlign w:val="center"/>
          </w:tcPr>
          <w:p w14:paraId="6DA93F81">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156</w:t>
            </w:r>
          </w:p>
        </w:tc>
      </w:tr>
      <w:tr w14:paraId="1FE274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699" w:type="dxa"/>
            <w:vMerge w:val="continue"/>
            <w:vAlign w:val="center"/>
          </w:tcPr>
          <w:p w14:paraId="68621F3F">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b w:val="0"/>
                <w:bCs/>
                <w:szCs w:val="21"/>
              </w:rPr>
            </w:pPr>
          </w:p>
        </w:tc>
        <w:tc>
          <w:tcPr>
            <w:tcW w:w="2113" w:type="dxa"/>
            <w:vMerge w:val="continue"/>
            <w:shd w:val="clear" w:color="auto" w:fill="auto"/>
            <w:vAlign w:val="center"/>
          </w:tcPr>
          <w:p w14:paraId="591ACDD5">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p>
        </w:tc>
        <w:tc>
          <w:tcPr>
            <w:tcW w:w="698" w:type="dxa"/>
            <w:vMerge w:val="continue"/>
            <w:shd w:val="clear" w:color="auto" w:fill="auto"/>
            <w:vAlign w:val="center"/>
          </w:tcPr>
          <w:p w14:paraId="36ADD27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p>
        </w:tc>
        <w:tc>
          <w:tcPr>
            <w:tcW w:w="980" w:type="dxa"/>
            <w:vMerge w:val="continue"/>
            <w:shd w:val="clear" w:color="auto" w:fill="auto"/>
            <w:vAlign w:val="center"/>
          </w:tcPr>
          <w:p w14:paraId="49EDDD92">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p>
        </w:tc>
        <w:tc>
          <w:tcPr>
            <w:tcW w:w="2162" w:type="dxa"/>
            <w:shd w:val="clear" w:color="auto" w:fill="auto"/>
            <w:vAlign w:val="center"/>
          </w:tcPr>
          <w:p w14:paraId="11D096D0">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破损建筑物</w:t>
            </w:r>
          </w:p>
        </w:tc>
        <w:tc>
          <w:tcPr>
            <w:tcW w:w="1080" w:type="dxa"/>
            <w:shd w:val="clear" w:color="auto" w:fill="auto"/>
            <w:vAlign w:val="center"/>
          </w:tcPr>
          <w:p w14:paraId="18777978">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145</w:t>
            </w:r>
          </w:p>
        </w:tc>
        <w:tc>
          <w:tcPr>
            <w:tcW w:w="1105" w:type="dxa"/>
            <w:shd w:val="clear" w:color="auto" w:fill="auto"/>
            <w:vAlign w:val="center"/>
          </w:tcPr>
          <w:p w14:paraId="32466515">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163</w:t>
            </w:r>
          </w:p>
        </w:tc>
      </w:tr>
      <w:tr w14:paraId="347D52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99" w:type="dxa"/>
            <w:vMerge w:val="continue"/>
            <w:vAlign w:val="center"/>
          </w:tcPr>
          <w:p w14:paraId="1DB26038">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b w:val="0"/>
                <w:bCs/>
                <w:szCs w:val="21"/>
              </w:rPr>
            </w:pPr>
          </w:p>
        </w:tc>
        <w:tc>
          <w:tcPr>
            <w:tcW w:w="2113" w:type="dxa"/>
            <w:shd w:val="clear" w:color="auto" w:fill="auto"/>
            <w:vAlign w:val="center"/>
          </w:tcPr>
          <w:p w14:paraId="79D42BE6">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59#黑火药库</w:t>
            </w:r>
          </w:p>
        </w:tc>
        <w:tc>
          <w:tcPr>
            <w:tcW w:w="698" w:type="dxa"/>
            <w:shd w:val="clear" w:color="auto" w:fill="auto"/>
            <w:vAlign w:val="center"/>
          </w:tcPr>
          <w:p w14:paraId="180ACA1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1.1</w:t>
            </w:r>
            <w:r>
              <w:rPr>
                <w:rFonts w:hint="eastAsia" w:ascii="宋体" w:hAnsi="宋体"/>
                <w:b w:val="0"/>
                <w:bCs/>
                <w:color w:val="000000" w:themeColor="text1"/>
                <w:kern w:val="0"/>
                <w:szCs w:val="21"/>
                <w:vertAlign w:val="superscript"/>
                <w14:textFill>
                  <w14:solidFill>
                    <w14:schemeClr w14:val="tx1"/>
                  </w14:solidFill>
                </w14:textFill>
              </w:rPr>
              <w:t>-2</w:t>
            </w:r>
          </w:p>
        </w:tc>
        <w:tc>
          <w:tcPr>
            <w:tcW w:w="980" w:type="dxa"/>
            <w:shd w:val="clear" w:color="auto" w:fill="auto"/>
            <w:vAlign w:val="center"/>
          </w:tcPr>
          <w:p w14:paraId="4BF4DA86">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1000</w:t>
            </w:r>
          </w:p>
        </w:tc>
        <w:tc>
          <w:tcPr>
            <w:tcW w:w="2162" w:type="dxa"/>
            <w:shd w:val="clear" w:color="auto" w:fill="auto"/>
            <w:vAlign w:val="center"/>
          </w:tcPr>
          <w:p w14:paraId="3CB622DB">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破损建筑物</w:t>
            </w:r>
          </w:p>
        </w:tc>
        <w:tc>
          <w:tcPr>
            <w:tcW w:w="1080" w:type="dxa"/>
            <w:shd w:val="clear" w:color="auto" w:fill="auto"/>
            <w:vAlign w:val="center"/>
          </w:tcPr>
          <w:p w14:paraId="494E194B">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145</w:t>
            </w:r>
          </w:p>
        </w:tc>
        <w:tc>
          <w:tcPr>
            <w:tcW w:w="1105" w:type="dxa"/>
            <w:shd w:val="clear" w:color="auto" w:fill="auto"/>
            <w:vAlign w:val="center"/>
          </w:tcPr>
          <w:p w14:paraId="344FDC5C">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kern w:val="0"/>
                <w:szCs w:val="21"/>
              </w:rPr>
            </w:pPr>
            <w:r>
              <w:rPr>
                <w:rFonts w:hint="eastAsia" w:ascii="宋体" w:hAnsi="宋体"/>
                <w:b w:val="0"/>
                <w:bCs/>
                <w:kern w:val="0"/>
                <w:szCs w:val="21"/>
              </w:rPr>
              <w:t>154</w:t>
            </w:r>
          </w:p>
        </w:tc>
      </w:tr>
      <w:tr w14:paraId="5A30C3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699" w:type="dxa"/>
            <w:vMerge w:val="continue"/>
            <w:vAlign w:val="center"/>
          </w:tcPr>
          <w:p w14:paraId="4A461AEC">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b w:val="0"/>
                <w:bCs/>
                <w:szCs w:val="21"/>
              </w:rPr>
            </w:pPr>
          </w:p>
        </w:tc>
        <w:tc>
          <w:tcPr>
            <w:tcW w:w="2113" w:type="dxa"/>
            <w:shd w:val="clear" w:color="auto" w:fill="auto"/>
            <w:vAlign w:val="center"/>
          </w:tcPr>
          <w:p w14:paraId="4CED7981">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58#黑火药库</w:t>
            </w:r>
          </w:p>
        </w:tc>
        <w:tc>
          <w:tcPr>
            <w:tcW w:w="698" w:type="dxa"/>
            <w:shd w:val="clear" w:color="auto" w:fill="auto"/>
            <w:vAlign w:val="center"/>
          </w:tcPr>
          <w:p w14:paraId="3712BE2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1.1</w:t>
            </w:r>
            <w:r>
              <w:rPr>
                <w:rFonts w:hint="eastAsia" w:ascii="宋体" w:hAnsi="宋体"/>
                <w:b w:val="0"/>
                <w:bCs/>
                <w:color w:val="000000" w:themeColor="text1"/>
                <w:kern w:val="0"/>
                <w:szCs w:val="21"/>
                <w:vertAlign w:val="superscript"/>
                <w14:textFill>
                  <w14:solidFill>
                    <w14:schemeClr w14:val="tx1"/>
                  </w14:solidFill>
                </w14:textFill>
              </w:rPr>
              <w:t>-2</w:t>
            </w:r>
          </w:p>
        </w:tc>
        <w:tc>
          <w:tcPr>
            <w:tcW w:w="980" w:type="dxa"/>
            <w:shd w:val="clear" w:color="auto" w:fill="auto"/>
            <w:vAlign w:val="center"/>
          </w:tcPr>
          <w:p w14:paraId="1026C724">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1000</w:t>
            </w:r>
          </w:p>
        </w:tc>
        <w:tc>
          <w:tcPr>
            <w:tcW w:w="2162" w:type="dxa"/>
            <w:shd w:val="clear" w:color="auto" w:fill="auto"/>
            <w:vAlign w:val="center"/>
          </w:tcPr>
          <w:p w14:paraId="7A43BF9A">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破损建筑物</w:t>
            </w:r>
          </w:p>
        </w:tc>
        <w:tc>
          <w:tcPr>
            <w:tcW w:w="1080" w:type="dxa"/>
            <w:shd w:val="clear" w:color="auto" w:fill="auto"/>
            <w:vAlign w:val="center"/>
          </w:tcPr>
          <w:p w14:paraId="1AA65FAC">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145</w:t>
            </w:r>
            <w:r>
              <w:rPr>
                <w:rFonts w:ascii="Arial" w:hAnsi="Arial" w:cs="Arial"/>
                <w:b w:val="0"/>
                <w:bCs/>
                <w:kern w:val="0"/>
                <w:szCs w:val="21"/>
              </w:rPr>
              <w:t>×</w:t>
            </w:r>
            <w:r>
              <w:rPr>
                <w:rFonts w:hint="eastAsia" w:ascii="宋体" w:hAnsi="宋体"/>
                <w:b w:val="0"/>
                <w:bCs/>
                <w:kern w:val="0"/>
                <w:szCs w:val="21"/>
              </w:rPr>
              <w:t>75%</w:t>
            </w:r>
            <w:r>
              <w:rPr>
                <w:rFonts w:hint="eastAsia" w:ascii="微软雅黑" w:hAnsi="微软雅黑" w:eastAsia="微软雅黑" w:cs="微软雅黑"/>
                <w:b w:val="0"/>
                <w:bCs/>
                <w:kern w:val="0"/>
                <w:szCs w:val="21"/>
              </w:rPr>
              <w:t>=</w:t>
            </w:r>
            <w:r>
              <w:rPr>
                <w:rFonts w:hint="eastAsia" w:ascii="宋体" w:hAnsi="宋体"/>
                <w:b w:val="0"/>
                <w:bCs/>
                <w:spacing w:val="-11"/>
                <w:kern w:val="0"/>
                <w:szCs w:val="21"/>
              </w:rPr>
              <w:t>108.75</w:t>
            </w:r>
          </w:p>
        </w:tc>
        <w:tc>
          <w:tcPr>
            <w:tcW w:w="1105" w:type="dxa"/>
            <w:shd w:val="clear" w:color="auto" w:fill="auto"/>
            <w:vAlign w:val="center"/>
          </w:tcPr>
          <w:p w14:paraId="15DB3367">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129</w:t>
            </w:r>
          </w:p>
        </w:tc>
      </w:tr>
      <w:tr w14:paraId="01B816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699" w:type="dxa"/>
            <w:vMerge w:val="continue"/>
            <w:vAlign w:val="center"/>
          </w:tcPr>
          <w:p w14:paraId="233C064C">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b w:val="0"/>
                <w:bCs/>
                <w:szCs w:val="21"/>
              </w:rPr>
            </w:pPr>
          </w:p>
        </w:tc>
        <w:tc>
          <w:tcPr>
            <w:tcW w:w="2113" w:type="dxa"/>
            <w:vMerge w:val="restart"/>
            <w:shd w:val="clear" w:color="auto" w:fill="auto"/>
            <w:vAlign w:val="center"/>
          </w:tcPr>
          <w:p w14:paraId="204393F2">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57#亮珠库</w:t>
            </w:r>
          </w:p>
        </w:tc>
        <w:tc>
          <w:tcPr>
            <w:tcW w:w="698" w:type="dxa"/>
            <w:vMerge w:val="restart"/>
            <w:shd w:val="clear" w:color="auto" w:fill="auto"/>
            <w:vAlign w:val="center"/>
          </w:tcPr>
          <w:p w14:paraId="13A59EA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vertAlign w:val="superscript"/>
                <w14:textFill>
                  <w14:solidFill>
                    <w14:schemeClr w14:val="tx1"/>
                  </w14:solidFill>
                </w14:textFill>
              </w:rPr>
              <w:t>-</w:t>
            </w:r>
            <w:r>
              <w:rPr>
                <w:rFonts w:hint="eastAsia" w:ascii="宋体" w:hAnsi="宋体"/>
                <w:b w:val="0"/>
                <w:bCs/>
                <w:color w:val="000000" w:themeColor="text1"/>
                <w:kern w:val="0"/>
                <w:szCs w:val="21"/>
                <w:vertAlign w:val="superscript"/>
                <w14:textFill>
                  <w14:solidFill>
                    <w14:schemeClr w14:val="tx1"/>
                  </w14:solidFill>
                </w14:textFill>
              </w:rPr>
              <w:t>1</w:t>
            </w:r>
          </w:p>
        </w:tc>
        <w:tc>
          <w:tcPr>
            <w:tcW w:w="980" w:type="dxa"/>
            <w:vMerge w:val="restart"/>
            <w:shd w:val="clear" w:color="auto" w:fill="auto"/>
            <w:vAlign w:val="center"/>
          </w:tcPr>
          <w:p w14:paraId="7C6BB267">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1000</w:t>
            </w:r>
          </w:p>
        </w:tc>
        <w:tc>
          <w:tcPr>
            <w:tcW w:w="2162" w:type="dxa"/>
            <w:shd w:val="clear" w:color="auto" w:fill="auto"/>
            <w:vAlign w:val="center"/>
          </w:tcPr>
          <w:p w14:paraId="61B4DBBA">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破损建筑物</w:t>
            </w:r>
          </w:p>
        </w:tc>
        <w:tc>
          <w:tcPr>
            <w:tcW w:w="1080" w:type="dxa"/>
            <w:shd w:val="clear" w:color="auto" w:fill="auto"/>
            <w:vAlign w:val="center"/>
          </w:tcPr>
          <w:p w14:paraId="7F1B6138">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145</w:t>
            </w:r>
            <w:r>
              <w:rPr>
                <w:rFonts w:ascii="Arial" w:hAnsi="Arial" w:cs="Arial"/>
                <w:b w:val="0"/>
                <w:bCs/>
                <w:kern w:val="0"/>
                <w:szCs w:val="21"/>
              </w:rPr>
              <w:t>×</w:t>
            </w:r>
            <w:r>
              <w:rPr>
                <w:rFonts w:hint="eastAsia" w:ascii="宋体" w:hAnsi="宋体"/>
                <w:b w:val="0"/>
                <w:bCs/>
                <w:kern w:val="0"/>
                <w:szCs w:val="21"/>
              </w:rPr>
              <w:t>75%</w:t>
            </w:r>
            <w:r>
              <w:rPr>
                <w:rFonts w:hint="eastAsia" w:ascii="微软雅黑" w:hAnsi="微软雅黑" w:eastAsia="微软雅黑" w:cs="微软雅黑"/>
                <w:b w:val="0"/>
                <w:bCs/>
                <w:kern w:val="0"/>
                <w:szCs w:val="21"/>
              </w:rPr>
              <w:t>=</w:t>
            </w:r>
            <w:r>
              <w:rPr>
                <w:rFonts w:hint="eastAsia" w:ascii="宋体" w:hAnsi="宋体"/>
                <w:b w:val="0"/>
                <w:bCs/>
                <w:spacing w:val="-11"/>
                <w:kern w:val="0"/>
                <w:szCs w:val="21"/>
              </w:rPr>
              <w:t>108.75</w:t>
            </w:r>
          </w:p>
        </w:tc>
        <w:tc>
          <w:tcPr>
            <w:tcW w:w="1105" w:type="dxa"/>
            <w:shd w:val="clear" w:color="auto" w:fill="auto"/>
            <w:vAlign w:val="center"/>
          </w:tcPr>
          <w:p w14:paraId="53363E39">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131</w:t>
            </w:r>
          </w:p>
        </w:tc>
      </w:tr>
      <w:tr w14:paraId="4DAF31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699" w:type="dxa"/>
            <w:vMerge w:val="continue"/>
            <w:vAlign w:val="center"/>
          </w:tcPr>
          <w:p w14:paraId="17F57569">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b w:val="0"/>
                <w:bCs/>
                <w:szCs w:val="21"/>
              </w:rPr>
            </w:pPr>
          </w:p>
        </w:tc>
        <w:tc>
          <w:tcPr>
            <w:tcW w:w="2113" w:type="dxa"/>
            <w:vMerge w:val="continue"/>
            <w:shd w:val="clear" w:color="auto" w:fill="auto"/>
            <w:vAlign w:val="center"/>
          </w:tcPr>
          <w:p w14:paraId="7E6ADF2A">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p>
        </w:tc>
        <w:tc>
          <w:tcPr>
            <w:tcW w:w="698" w:type="dxa"/>
            <w:vMerge w:val="continue"/>
            <w:shd w:val="clear" w:color="auto" w:fill="auto"/>
            <w:vAlign w:val="center"/>
          </w:tcPr>
          <w:p w14:paraId="6C7DDBD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p>
        </w:tc>
        <w:tc>
          <w:tcPr>
            <w:tcW w:w="980" w:type="dxa"/>
            <w:vMerge w:val="continue"/>
            <w:shd w:val="clear" w:color="auto" w:fill="auto"/>
            <w:vAlign w:val="center"/>
          </w:tcPr>
          <w:p w14:paraId="11E0F644">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p>
        </w:tc>
        <w:tc>
          <w:tcPr>
            <w:tcW w:w="2162" w:type="dxa"/>
            <w:shd w:val="clear" w:color="auto" w:fill="auto"/>
            <w:vAlign w:val="center"/>
          </w:tcPr>
          <w:p w14:paraId="63636218">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spacing w:val="-11"/>
                <w:kern w:val="0"/>
                <w:szCs w:val="21"/>
              </w:rPr>
              <w:t>浏阳市文龙鞭炮烟花烟制造有限公司装药线围墙（人数大于5</w:t>
            </w:r>
            <w:r>
              <w:rPr>
                <w:rFonts w:ascii="宋体" w:hAnsi="宋体"/>
                <w:b w:val="0"/>
                <w:bCs/>
                <w:spacing w:val="-11"/>
                <w:kern w:val="0"/>
                <w:szCs w:val="21"/>
              </w:rPr>
              <w:t>0</w:t>
            </w:r>
            <w:r>
              <w:rPr>
                <w:rFonts w:hint="eastAsia" w:ascii="宋体" w:hAnsi="宋体"/>
                <w:b w:val="0"/>
                <w:bCs/>
                <w:spacing w:val="-11"/>
                <w:kern w:val="0"/>
                <w:szCs w:val="21"/>
              </w:rPr>
              <w:t>人）</w:t>
            </w:r>
          </w:p>
        </w:tc>
        <w:tc>
          <w:tcPr>
            <w:tcW w:w="1080" w:type="dxa"/>
            <w:shd w:val="clear" w:color="auto" w:fill="auto"/>
            <w:vAlign w:val="center"/>
          </w:tcPr>
          <w:p w14:paraId="7BE0D69A">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200</w:t>
            </w:r>
          </w:p>
        </w:tc>
        <w:tc>
          <w:tcPr>
            <w:tcW w:w="1105" w:type="dxa"/>
            <w:shd w:val="clear" w:color="auto" w:fill="auto"/>
            <w:vAlign w:val="center"/>
          </w:tcPr>
          <w:p w14:paraId="2FA9C5E6">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208</w:t>
            </w:r>
          </w:p>
        </w:tc>
      </w:tr>
      <w:tr w14:paraId="74CBC8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99" w:type="dxa"/>
            <w:vMerge w:val="continue"/>
            <w:vAlign w:val="center"/>
          </w:tcPr>
          <w:p w14:paraId="59A75874">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b w:val="0"/>
                <w:bCs/>
                <w:szCs w:val="21"/>
              </w:rPr>
            </w:pPr>
          </w:p>
        </w:tc>
        <w:tc>
          <w:tcPr>
            <w:tcW w:w="2113" w:type="dxa"/>
            <w:vMerge w:val="restart"/>
            <w:shd w:val="clear" w:color="auto" w:fill="auto"/>
            <w:vAlign w:val="center"/>
          </w:tcPr>
          <w:p w14:paraId="3CED928A">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56#亮珠库</w:t>
            </w:r>
          </w:p>
        </w:tc>
        <w:tc>
          <w:tcPr>
            <w:tcW w:w="698" w:type="dxa"/>
            <w:vMerge w:val="restart"/>
            <w:shd w:val="clear" w:color="auto" w:fill="auto"/>
            <w:vAlign w:val="center"/>
          </w:tcPr>
          <w:p w14:paraId="4FC9C60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vertAlign w:val="superscript"/>
                <w14:textFill>
                  <w14:solidFill>
                    <w14:schemeClr w14:val="tx1"/>
                  </w14:solidFill>
                </w14:textFill>
              </w:rPr>
              <w:t>-</w:t>
            </w:r>
            <w:r>
              <w:rPr>
                <w:rFonts w:hint="eastAsia" w:ascii="宋体" w:hAnsi="宋体"/>
                <w:b w:val="0"/>
                <w:bCs/>
                <w:color w:val="000000" w:themeColor="text1"/>
                <w:kern w:val="0"/>
                <w:szCs w:val="21"/>
                <w:vertAlign w:val="superscript"/>
                <w14:textFill>
                  <w14:solidFill>
                    <w14:schemeClr w14:val="tx1"/>
                  </w14:solidFill>
                </w14:textFill>
              </w:rPr>
              <w:t>1</w:t>
            </w:r>
          </w:p>
        </w:tc>
        <w:tc>
          <w:tcPr>
            <w:tcW w:w="980" w:type="dxa"/>
            <w:vMerge w:val="restart"/>
            <w:shd w:val="clear" w:color="auto" w:fill="auto"/>
            <w:vAlign w:val="center"/>
          </w:tcPr>
          <w:p w14:paraId="37AB40DB">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500</w:t>
            </w:r>
          </w:p>
        </w:tc>
        <w:tc>
          <w:tcPr>
            <w:tcW w:w="2162" w:type="dxa"/>
            <w:shd w:val="clear" w:color="auto" w:fill="auto"/>
            <w:vAlign w:val="center"/>
          </w:tcPr>
          <w:p w14:paraId="5EB80A18">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破损建筑物</w:t>
            </w:r>
          </w:p>
        </w:tc>
        <w:tc>
          <w:tcPr>
            <w:tcW w:w="1080" w:type="dxa"/>
            <w:shd w:val="clear" w:color="auto" w:fill="auto"/>
            <w:vAlign w:val="center"/>
          </w:tcPr>
          <w:p w14:paraId="095AFAAB">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115</w:t>
            </w:r>
          </w:p>
        </w:tc>
        <w:tc>
          <w:tcPr>
            <w:tcW w:w="1105" w:type="dxa"/>
            <w:shd w:val="clear" w:color="auto" w:fill="auto"/>
            <w:vAlign w:val="center"/>
          </w:tcPr>
          <w:p w14:paraId="0A28A71E">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127</w:t>
            </w:r>
          </w:p>
        </w:tc>
      </w:tr>
      <w:tr w14:paraId="68624A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81" w:hRule="atLeast"/>
          <w:jc w:val="center"/>
        </w:trPr>
        <w:tc>
          <w:tcPr>
            <w:tcW w:w="699" w:type="dxa"/>
            <w:vMerge w:val="continue"/>
            <w:vAlign w:val="center"/>
          </w:tcPr>
          <w:p w14:paraId="268376DE">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b w:val="0"/>
                <w:bCs/>
                <w:szCs w:val="21"/>
              </w:rPr>
            </w:pPr>
          </w:p>
        </w:tc>
        <w:tc>
          <w:tcPr>
            <w:tcW w:w="2113" w:type="dxa"/>
            <w:vMerge w:val="continue"/>
            <w:shd w:val="clear" w:color="auto" w:fill="auto"/>
            <w:vAlign w:val="center"/>
          </w:tcPr>
          <w:p w14:paraId="75F0D847">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p>
        </w:tc>
        <w:tc>
          <w:tcPr>
            <w:tcW w:w="698" w:type="dxa"/>
            <w:vMerge w:val="continue"/>
            <w:shd w:val="clear" w:color="auto" w:fill="auto"/>
            <w:vAlign w:val="center"/>
          </w:tcPr>
          <w:p w14:paraId="489FBD1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p>
        </w:tc>
        <w:tc>
          <w:tcPr>
            <w:tcW w:w="980" w:type="dxa"/>
            <w:vMerge w:val="continue"/>
            <w:shd w:val="clear" w:color="auto" w:fill="auto"/>
            <w:vAlign w:val="center"/>
          </w:tcPr>
          <w:p w14:paraId="1787FEC4">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p>
        </w:tc>
        <w:tc>
          <w:tcPr>
            <w:tcW w:w="2162" w:type="dxa"/>
            <w:shd w:val="clear" w:color="auto" w:fill="auto"/>
            <w:vAlign w:val="center"/>
          </w:tcPr>
          <w:p w14:paraId="0DEFAC66">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spacing w:val="-11"/>
                <w:kern w:val="0"/>
                <w:szCs w:val="21"/>
              </w:rPr>
            </w:pPr>
            <w:r>
              <w:rPr>
                <w:rFonts w:hint="eastAsia" w:ascii="宋体" w:hAnsi="宋体"/>
                <w:b w:val="0"/>
                <w:bCs/>
                <w:spacing w:val="-11"/>
                <w:kern w:val="0"/>
                <w:szCs w:val="21"/>
              </w:rPr>
              <w:t>浏阳市文龙鞭炮烟花烟制造有限公司装药线围墙（人数大于50人）</w:t>
            </w:r>
          </w:p>
        </w:tc>
        <w:tc>
          <w:tcPr>
            <w:tcW w:w="1080" w:type="dxa"/>
            <w:shd w:val="clear" w:color="auto" w:fill="auto"/>
            <w:vAlign w:val="center"/>
          </w:tcPr>
          <w:p w14:paraId="40C75EAA">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200</w:t>
            </w:r>
            <w:r>
              <w:rPr>
                <w:rFonts w:ascii="Arial" w:hAnsi="Arial" w:cs="Arial"/>
                <w:b w:val="0"/>
                <w:bCs/>
                <w:kern w:val="0"/>
                <w:szCs w:val="21"/>
              </w:rPr>
              <w:t>×</w:t>
            </w:r>
            <w:r>
              <w:rPr>
                <w:rFonts w:hint="eastAsia" w:ascii="宋体" w:hAnsi="宋体"/>
                <w:b w:val="0"/>
                <w:bCs/>
                <w:kern w:val="0"/>
                <w:szCs w:val="21"/>
              </w:rPr>
              <w:t>75%</w:t>
            </w:r>
            <w:r>
              <w:rPr>
                <w:rFonts w:hint="eastAsia" w:ascii="微软雅黑" w:hAnsi="微软雅黑" w:eastAsia="微软雅黑" w:cs="微软雅黑"/>
                <w:b w:val="0"/>
                <w:bCs/>
                <w:kern w:val="0"/>
                <w:szCs w:val="21"/>
              </w:rPr>
              <w:t>=</w:t>
            </w:r>
            <w:r>
              <w:rPr>
                <w:rFonts w:hint="eastAsia" w:ascii="宋体" w:hAnsi="宋体"/>
                <w:b w:val="0"/>
                <w:bCs/>
                <w:kern w:val="0"/>
                <w:szCs w:val="21"/>
              </w:rPr>
              <w:t>150</w:t>
            </w:r>
          </w:p>
        </w:tc>
        <w:tc>
          <w:tcPr>
            <w:tcW w:w="1105" w:type="dxa"/>
            <w:shd w:val="clear" w:color="auto" w:fill="auto"/>
            <w:vAlign w:val="center"/>
          </w:tcPr>
          <w:p w14:paraId="5AEBECC2">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192</w:t>
            </w:r>
          </w:p>
        </w:tc>
      </w:tr>
      <w:tr w14:paraId="573DE8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699" w:type="dxa"/>
            <w:vMerge w:val="continue"/>
            <w:vAlign w:val="center"/>
          </w:tcPr>
          <w:p w14:paraId="1A24ECFE">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b w:val="0"/>
                <w:bCs/>
                <w:szCs w:val="21"/>
              </w:rPr>
            </w:pPr>
          </w:p>
        </w:tc>
        <w:tc>
          <w:tcPr>
            <w:tcW w:w="2113" w:type="dxa"/>
            <w:shd w:val="clear" w:color="auto" w:fill="auto"/>
            <w:vAlign w:val="center"/>
          </w:tcPr>
          <w:p w14:paraId="03977FF5">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55#亮珠库</w:t>
            </w:r>
          </w:p>
        </w:tc>
        <w:tc>
          <w:tcPr>
            <w:tcW w:w="698" w:type="dxa"/>
            <w:shd w:val="clear" w:color="auto" w:fill="auto"/>
            <w:vAlign w:val="center"/>
          </w:tcPr>
          <w:p w14:paraId="18B4242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vertAlign w:val="superscript"/>
                <w14:textFill>
                  <w14:solidFill>
                    <w14:schemeClr w14:val="tx1"/>
                  </w14:solidFill>
                </w14:textFill>
              </w:rPr>
              <w:t>-</w:t>
            </w:r>
            <w:r>
              <w:rPr>
                <w:rFonts w:hint="eastAsia" w:ascii="宋体" w:hAnsi="宋体"/>
                <w:b w:val="0"/>
                <w:bCs/>
                <w:color w:val="000000" w:themeColor="text1"/>
                <w:kern w:val="0"/>
                <w:szCs w:val="21"/>
                <w:vertAlign w:val="superscript"/>
                <w14:textFill>
                  <w14:solidFill>
                    <w14:schemeClr w14:val="tx1"/>
                  </w14:solidFill>
                </w14:textFill>
              </w:rPr>
              <w:t>1</w:t>
            </w:r>
          </w:p>
        </w:tc>
        <w:tc>
          <w:tcPr>
            <w:tcW w:w="980" w:type="dxa"/>
            <w:shd w:val="clear" w:color="auto" w:fill="auto"/>
            <w:vAlign w:val="center"/>
          </w:tcPr>
          <w:p w14:paraId="1715BEC1">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1000</w:t>
            </w:r>
          </w:p>
        </w:tc>
        <w:tc>
          <w:tcPr>
            <w:tcW w:w="2162" w:type="dxa"/>
            <w:shd w:val="clear" w:color="auto" w:fill="auto"/>
            <w:vAlign w:val="center"/>
          </w:tcPr>
          <w:p w14:paraId="0553718D">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spacing w:val="-11"/>
                <w:kern w:val="0"/>
                <w:szCs w:val="21"/>
              </w:rPr>
            </w:pPr>
            <w:r>
              <w:rPr>
                <w:rFonts w:hint="eastAsia" w:ascii="宋体" w:hAnsi="宋体"/>
                <w:b w:val="0"/>
                <w:bCs/>
                <w:spacing w:val="-11"/>
                <w:kern w:val="0"/>
                <w:szCs w:val="21"/>
              </w:rPr>
              <w:t>浏阳市文龙鞭炮烟花烟制造有限公司装药线围墙（人数大于50人）</w:t>
            </w:r>
          </w:p>
        </w:tc>
        <w:tc>
          <w:tcPr>
            <w:tcW w:w="1080" w:type="dxa"/>
            <w:shd w:val="clear" w:color="auto" w:fill="auto"/>
            <w:vAlign w:val="center"/>
          </w:tcPr>
          <w:p w14:paraId="5B0E73B1">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200</w:t>
            </w:r>
            <w:r>
              <w:rPr>
                <w:rFonts w:ascii="Arial" w:hAnsi="Arial" w:cs="Arial"/>
                <w:b w:val="0"/>
                <w:bCs/>
                <w:kern w:val="0"/>
                <w:szCs w:val="21"/>
              </w:rPr>
              <w:t>×</w:t>
            </w:r>
            <w:r>
              <w:rPr>
                <w:rFonts w:hint="eastAsia" w:ascii="宋体" w:hAnsi="宋体"/>
                <w:b w:val="0"/>
                <w:bCs/>
                <w:kern w:val="0"/>
                <w:szCs w:val="21"/>
              </w:rPr>
              <w:t>75%</w:t>
            </w:r>
            <w:r>
              <w:rPr>
                <w:rFonts w:hint="eastAsia" w:ascii="微软雅黑" w:hAnsi="微软雅黑" w:eastAsia="微软雅黑" w:cs="微软雅黑"/>
                <w:b w:val="0"/>
                <w:bCs/>
                <w:kern w:val="0"/>
                <w:szCs w:val="21"/>
              </w:rPr>
              <w:t>=</w:t>
            </w:r>
            <w:r>
              <w:rPr>
                <w:rFonts w:hint="eastAsia" w:ascii="宋体" w:hAnsi="宋体"/>
                <w:b w:val="0"/>
                <w:bCs/>
                <w:kern w:val="0"/>
                <w:szCs w:val="21"/>
              </w:rPr>
              <w:t>150</w:t>
            </w:r>
          </w:p>
        </w:tc>
        <w:tc>
          <w:tcPr>
            <w:tcW w:w="1105" w:type="dxa"/>
            <w:shd w:val="clear" w:color="auto" w:fill="auto"/>
            <w:vAlign w:val="center"/>
          </w:tcPr>
          <w:p w14:paraId="33236198">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177</w:t>
            </w:r>
          </w:p>
        </w:tc>
      </w:tr>
      <w:tr w14:paraId="252CFF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699" w:type="dxa"/>
            <w:vMerge w:val="continue"/>
            <w:vAlign w:val="center"/>
          </w:tcPr>
          <w:p w14:paraId="6EF43942">
            <w:pPr>
              <w:keepNext w:val="0"/>
              <w:keepLines w:val="0"/>
              <w:pageBreakBefore w:val="0"/>
              <w:kinsoku/>
              <w:wordWrap/>
              <w:overflowPunct/>
              <w:topLinePunct w:val="0"/>
              <w:autoSpaceDE/>
              <w:autoSpaceDN/>
              <w:bidi w:val="0"/>
              <w:adjustRightInd/>
              <w:snapToGrid/>
              <w:spacing w:line="320" w:lineRule="exact"/>
              <w:jc w:val="center"/>
              <w:textAlignment w:val="auto"/>
              <w:rPr>
                <w:rFonts w:asciiTheme="minorEastAsia" w:hAnsiTheme="minorEastAsia" w:eastAsiaTheme="minorEastAsia"/>
                <w:b w:val="0"/>
                <w:bCs/>
                <w:szCs w:val="21"/>
              </w:rPr>
            </w:pPr>
          </w:p>
        </w:tc>
        <w:tc>
          <w:tcPr>
            <w:tcW w:w="2113" w:type="dxa"/>
            <w:shd w:val="clear" w:color="auto" w:fill="auto"/>
            <w:vAlign w:val="center"/>
          </w:tcPr>
          <w:p w14:paraId="2667EE4F">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54#亮珠库</w:t>
            </w:r>
          </w:p>
        </w:tc>
        <w:tc>
          <w:tcPr>
            <w:tcW w:w="698" w:type="dxa"/>
            <w:shd w:val="clear" w:color="auto" w:fill="auto"/>
            <w:vAlign w:val="center"/>
          </w:tcPr>
          <w:p w14:paraId="09C966F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vertAlign w:val="superscript"/>
                <w14:textFill>
                  <w14:solidFill>
                    <w14:schemeClr w14:val="tx1"/>
                  </w14:solidFill>
                </w14:textFill>
              </w:rPr>
              <w:t>-</w:t>
            </w:r>
            <w:r>
              <w:rPr>
                <w:rFonts w:hint="eastAsia" w:ascii="宋体" w:hAnsi="宋体"/>
                <w:b w:val="0"/>
                <w:bCs/>
                <w:color w:val="000000" w:themeColor="text1"/>
                <w:kern w:val="0"/>
                <w:szCs w:val="21"/>
                <w:vertAlign w:val="superscript"/>
                <w14:textFill>
                  <w14:solidFill>
                    <w14:schemeClr w14:val="tx1"/>
                  </w14:solidFill>
                </w14:textFill>
              </w:rPr>
              <w:t>1</w:t>
            </w:r>
          </w:p>
        </w:tc>
        <w:tc>
          <w:tcPr>
            <w:tcW w:w="980" w:type="dxa"/>
            <w:shd w:val="clear" w:color="auto" w:fill="auto"/>
            <w:vAlign w:val="center"/>
          </w:tcPr>
          <w:p w14:paraId="195F7BD8">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1000</w:t>
            </w:r>
          </w:p>
        </w:tc>
        <w:tc>
          <w:tcPr>
            <w:tcW w:w="2162" w:type="dxa"/>
            <w:shd w:val="clear" w:color="auto" w:fill="auto"/>
            <w:vAlign w:val="center"/>
          </w:tcPr>
          <w:p w14:paraId="5223E700">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spacing w:val="-11"/>
                <w:kern w:val="0"/>
                <w:szCs w:val="21"/>
              </w:rPr>
            </w:pPr>
            <w:r>
              <w:rPr>
                <w:rFonts w:hint="eastAsia" w:ascii="宋体" w:hAnsi="宋体"/>
                <w:b w:val="0"/>
                <w:bCs/>
                <w:spacing w:val="-11"/>
                <w:kern w:val="0"/>
                <w:szCs w:val="21"/>
              </w:rPr>
              <w:t>浏阳市文龙鞭炮烟花烟制造有限公司装药线围墙（人数大于50人）</w:t>
            </w:r>
          </w:p>
        </w:tc>
        <w:tc>
          <w:tcPr>
            <w:tcW w:w="1080" w:type="dxa"/>
            <w:shd w:val="clear" w:color="auto" w:fill="auto"/>
            <w:vAlign w:val="center"/>
          </w:tcPr>
          <w:p w14:paraId="50238E7D">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150</w:t>
            </w:r>
          </w:p>
        </w:tc>
        <w:tc>
          <w:tcPr>
            <w:tcW w:w="1105" w:type="dxa"/>
            <w:shd w:val="clear" w:color="auto" w:fill="auto"/>
            <w:vAlign w:val="center"/>
          </w:tcPr>
          <w:p w14:paraId="77F26599">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177</w:t>
            </w:r>
          </w:p>
        </w:tc>
      </w:tr>
      <w:tr w14:paraId="418AD6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99" w:type="dxa"/>
            <w:vMerge w:val="restart"/>
            <w:vAlign w:val="center"/>
          </w:tcPr>
          <w:p w14:paraId="6D55100F">
            <w:pPr>
              <w:keepNext w:val="0"/>
              <w:keepLines w:val="0"/>
              <w:pageBreakBefore w:val="0"/>
              <w:kinsoku/>
              <w:wordWrap/>
              <w:overflowPunct/>
              <w:topLinePunct w:val="0"/>
              <w:autoSpaceDE/>
              <w:autoSpaceDN/>
              <w:bidi w:val="0"/>
              <w:adjustRightInd/>
              <w:snapToGrid/>
              <w:spacing w:line="320" w:lineRule="exact"/>
              <w:jc w:val="center"/>
              <w:textAlignment w:val="auto"/>
              <w:rPr>
                <w:rFonts w:cs="宋体" w:asciiTheme="minorEastAsia" w:hAnsiTheme="minorEastAsia" w:eastAsiaTheme="minorEastAsia"/>
                <w:b w:val="0"/>
                <w:bCs/>
                <w:szCs w:val="21"/>
              </w:rPr>
            </w:pPr>
            <w:r>
              <w:rPr>
                <w:rFonts w:hint="eastAsia" w:cs="宋体" w:asciiTheme="minorEastAsia" w:hAnsiTheme="minorEastAsia" w:eastAsiaTheme="minorEastAsia"/>
                <w:b w:val="0"/>
                <w:bCs/>
                <w:szCs w:val="21"/>
              </w:rPr>
              <w:t>北</w:t>
            </w:r>
          </w:p>
        </w:tc>
        <w:tc>
          <w:tcPr>
            <w:tcW w:w="2113" w:type="dxa"/>
            <w:shd w:val="clear" w:color="auto" w:fill="auto"/>
            <w:vAlign w:val="center"/>
          </w:tcPr>
          <w:p w14:paraId="5FCA8EC5">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67#电烘房/散热</w:t>
            </w:r>
          </w:p>
        </w:tc>
        <w:tc>
          <w:tcPr>
            <w:tcW w:w="698" w:type="dxa"/>
            <w:shd w:val="clear" w:color="auto" w:fill="auto"/>
            <w:vAlign w:val="center"/>
          </w:tcPr>
          <w:p w14:paraId="4CB715E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vertAlign w:val="superscript"/>
                <w14:textFill>
                  <w14:solidFill>
                    <w14:schemeClr w14:val="tx1"/>
                  </w14:solidFill>
                </w14:textFill>
              </w:rPr>
              <w:t>-</w:t>
            </w:r>
            <w:r>
              <w:rPr>
                <w:rFonts w:hint="eastAsia" w:ascii="宋体" w:hAnsi="宋体"/>
                <w:b w:val="0"/>
                <w:bCs/>
                <w:color w:val="000000" w:themeColor="text1"/>
                <w:kern w:val="0"/>
                <w:szCs w:val="21"/>
                <w:vertAlign w:val="superscript"/>
                <w14:textFill>
                  <w14:solidFill>
                    <w14:schemeClr w14:val="tx1"/>
                  </w14:solidFill>
                </w14:textFill>
              </w:rPr>
              <w:t>1</w:t>
            </w:r>
          </w:p>
        </w:tc>
        <w:tc>
          <w:tcPr>
            <w:tcW w:w="980" w:type="dxa"/>
            <w:shd w:val="clear" w:color="auto" w:fill="auto"/>
            <w:vAlign w:val="center"/>
          </w:tcPr>
          <w:p w14:paraId="02D342F6">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500</w:t>
            </w:r>
          </w:p>
        </w:tc>
        <w:tc>
          <w:tcPr>
            <w:tcW w:w="2162" w:type="dxa"/>
            <w:shd w:val="clear" w:color="auto" w:fill="auto"/>
            <w:vAlign w:val="center"/>
          </w:tcPr>
          <w:p w14:paraId="72D90E80">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田心小学围墙</w:t>
            </w:r>
          </w:p>
        </w:tc>
        <w:tc>
          <w:tcPr>
            <w:tcW w:w="1080" w:type="dxa"/>
            <w:shd w:val="clear" w:color="auto" w:fill="auto"/>
            <w:vAlign w:val="center"/>
          </w:tcPr>
          <w:p w14:paraId="72D8FFF9">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350</w:t>
            </w:r>
          </w:p>
        </w:tc>
        <w:tc>
          <w:tcPr>
            <w:tcW w:w="1105" w:type="dxa"/>
            <w:shd w:val="clear" w:color="auto" w:fill="auto"/>
            <w:vAlign w:val="center"/>
          </w:tcPr>
          <w:p w14:paraId="1F3A0C74">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420</w:t>
            </w:r>
          </w:p>
        </w:tc>
      </w:tr>
      <w:tr w14:paraId="169412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99" w:type="dxa"/>
            <w:vMerge w:val="continue"/>
            <w:vAlign w:val="center"/>
          </w:tcPr>
          <w:p w14:paraId="4FA17109">
            <w:pPr>
              <w:keepNext w:val="0"/>
              <w:keepLines w:val="0"/>
              <w:pageBreakBefore w:val="0"/>
              <w:kinsoku/>
              <w:wordWrap/>
              <w:overflowPunct/>
              <w:topLinePunct w:val="0"/>
              <w:autoSpaceDE/>
              <w:autoSpaceDN/>
              <w:bidi w:val="0"/>
              <w:adjustRightInd/>
              <w:snapToGrid/>
              <w:spacing w:line="320" w:lineRule="exact"/>
              <w:jc w:val="center"/>
              <w:textAlignment w:val="auto"/>
              <w:rPr>
                <w:rFonts w:cs="宋体" w:asciiTheme="minorEastAsia" w:hAnsiTheme="minorEastAsia" w:eastAsiaTheme="minorEastAsia"/>
                <w:b w:val="0"/>
                <w:bCs/>
                <w:szCs w:val="21"/>
              </w:rPr>
            </w:pPr>
          </w:p>
        </w:tc>
        <w:tc>
          <w:tcPr>
            <w:tcW w:w="2113" w:type="dxa"/>
            <w:vMerge w:val="restart"/>
            <w:shd w:val="clear" w:color="auto" w:fill="auto"/>
            <w:vAlign w:val="center"/>
          </w:tcPr>
          <w:p w14:paraId="709E7B31">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82</w:t>
            </w:r>
            <w:r>
              <w:rPr>
                <w:rFonts w:ascii="宋体" w:hAnsi="宋体"/>
                <w:b w:val="0"/>
                <w:bCs/>
                <w:color w:val="000000" w:themeColor="text1"/>
                <w:kern w:val="0"/>
                <w:szCs w:val="21"/>
                <w14:textFill>
                  <w14:solidFill>
                    <w14:schemeClr w14:val="tx1"/>
                  </w14:solidFill>
                </w14:textFill>
              </w:rPr>
              <w:t>#</w:t>
            </w:r>
            <w:r>
              <w:rPr>
                <w:rFonts w:hint="eastAsia" w:ascii="宋体" w:hAnsi="宋体"/>
                <w:b w:val="0"/>
                <w:bCs/>
                <w:color w:val="000000" w:themeColor="text1"/>
                <w:kern w:val="0"/>
                <w:szCs w:val="21"/>
                <w14:textFill>
                  <w14:solidFill>
                    <w14:schemeClr w14:val="tx1"/>
                  </w14:solidFill>
                </w14:textFill>
              </w:rPr>
              <w:t>危废暂存间</w:t>
            </w:r>
          </w:p>
        </w:tc>
        <w:tc>
          <w:tcPr>
            <w:tcW w:w="698" w:type="dxa"/>
            <w:vMerge w:val="restart"/>
            <w:shd w:val="clear" w:color="auto" w:fill="auto"/>
            <w:vAlign w:val="center"/>
          </w:tcPr>
          <w:p w14:paraId="591191D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14:textFill>
                  <w14:solidFill>
                    <w14:schemeClr w14:val="tx1"/>
                  </w14:solidFill>
                </w14:textFill>
              </w:rPr>
              <w:t>.1</w:t>
            </w:r>
            <w:r>
              <w:rPr>
                <w:rFonts w:ascii="宋体" w:hAnsi="宋体"/>
                <w:b w:val="0"/>
                <w:bCs/>
                <w:color w:val="000000" w:themeColor="text1"/>
                <w:kern w:val="0"/>
                <w:szCs w:val="21"/>
                <w:vertAlign w:val="superscript"/>
                <w14:textFill>
                  <w14:solidFill>
                    <w14:schemeClr w14:val="tx1"/>
                  </w14:solidFill>
                </w14:textFill>
              </w:rPr>
              <w:t>-</w:t>
            </w:r>
            <w:r>
              <w:rPr>
                <w:rFonts w:hint="eastAsia" w:ascii="宋体" w:hAnsi="宋体"/>
                <w:b w:val="0"/>
                <w:bCs/>
                <w:color w:val="000000" w:themeColor="text1"/>
                <w:kern w:val="0"/>
                <w:szCs w:val="21"/>
                <w:vertAlign w:val="superscript"/>
                <w14:textFill>
                  <w14:solidFill>
                    <w14:schemeClr w14:val="tx1"/>
                  </w14:solidFill>
                </w14:textFill>
              </w:rPr>
              <w:t>1</w:t>
            </w:r>
          </w:p>
        </w:tc>
        <w:tc>
          <w:tcPr>
            <w:tcW w:w="980" w:type="dxa"/>
            <w:vMerge w:val="restart"/>
            <w:shd w:val="clear" w:color="auto" w:fill="auto"/>
            <w:vAlign w:val="center"/>
          </w:tcPr>
          <w:p w14:paraId="50DAEAA9">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2</w:t>
            </w:r>
            <w:r>
              <w:rPr>
                <w:rFonts w:ascii="宋体" w:hAnsi="宋体"/>
                <w:b w:val="0"/>
                <w:bCs/>
                <w:color w:val="000000" w:themeColor="text1"/>
                <w:kern w:val="0"/>
                <w:szCs w:val="21"/>
                <w14:textFill>
                  <w14:solidFill>
                    <w14:schemeClr w14:val="tx1"/>
                  </w14:solidFill>
                </w14:textFill>
              </w:rPr>
              <w:t>0</w:t>
            </w:r>
          </w:p>
        </w:tc>
        <w:tc>
          <w:tcPr>
            <w:tcW w:w="2162" w:type="dxa"/>
            <w:shd w:val="clear" w:color="auto" w:fill="auto"/>
            <w:vAlign w:val="center"/>
          </w:tcPr>
          <w:p w14:paraId="254B47F9">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民房（1</w:t>
            </w:r>
            <w:r>
              <w:rPr>
                <w:rFonts w:ascii="宋体" w:hAnsi="宋体"/>
                <w:b w:val="0"/>
                <w:bCs/>
                <w:color w:val="000000" w:themeColor="text1"/>
                <w:kern w:val="0"/>
                <w:szCs w:val="21"/>
                <w14:textFill>
                  <w14:solidFill>
                    <w14:schemeClr w14:val="tx1"/>
                  </w14:solidFill>
                </w14:textFill>
              </w:rPr>
              <w:t>0</w:t>
            </w:r>
            <w:r>
              <w:rPr>
                <w:rFonts w:hint="eastAsia" w:ascii="宋体" w:hAnsi="宋体"/>
                <w:b w:val="0"/>
                <w:bCs/>
                <w:color w:val="000000" w:themeColor="text1"/>
                <w:kern w:val="0"/>
                <w:szCs w:val="21"/>
                <w14:textFill>
                  <w14:solidFill>
                    <w14:schemeClr w14:val="tx1"/>
                  </w14:solidFill>
                </w14:textFill>
              </w:rPr>
              <w:t>户以上）</w:t>
            </w:r>
          </w:p>
        </w:tc>
        <w:tc>
          <w:tcPr>
            <w:tcW w:w="1080" w:type="dxa"/>
            <w:shd w:val="clear" w:color="auto" w:fill="auto"/>
            <w:vAlign w:val="center"/>
          </w:tcPr>
          <w:p w14:paraId="2FAF9591">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63</w:t>
            </w:r>
          </w:p>
        </w:tc>
        <w:tc>
          <w:tcPr>
            <w:tcW w:w="1105" w:type="dxa"/>
            <w:shd w:val="clear" w:color="auto" w:fill="auto"/>
            <w:vAlign w:val="center"/>
          </w:tcPr>
          <w:p w14:paraId="2BD9C870">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134</w:t>
            </w:r>
          </w:p>
        </w:tc>
      </w:tr>
      <w:tr w14:paraId="318303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99" w:type="dxa"/>
            <w:vMerge w:val="continue"/>
            <w:vAlign w:val="center"/>
          </w:tcPr>
          <w:p w14:paraId="77B0EEE8">
            <w:pPr>
              <w:keepNext w:val="0"/>
              <w:keepLines w:val="0"/>
              <w:pageBreakBefore w:val="0"/>
              <w:kinsoku/>
              <w:wordWrap/>
              <w:overflowPunct/>
              <w:topLinePunct w:val="0"/>
              <w:autoSpaceDE/>
              <w:autoSpaceDN/>
              <w:bidi w:val="0"/>
              <w:adjustRightInd/>
              <w:snapToGrid/>
              <w:spacing w:line="320" w:lineRule="exact"/>
              <w:jc w:val="center"/>
              <w:textAlignment w:val="auto"/>
              <w:rPr>
                <w:rFonts w:cs="宋体" w:asciiTheme="minorEastAsia" w:hAnsiTheme="minorEastAsia" w:eastAsiaTheme="minorEastAsia"/>
                <w:b w:val="0"/>
                <w:bCs/>
                <w:szCs w:val="21"/>
              </w:rPr>
            </w:pPr>
          </w:p>
        </w:tc>
        <w:tc>
          <w:tcPr>
            <w:tcW w:w="2113" w:type="dxa"/>
            <w:vMerge w:val="continue"/>
            <w:shd w:val="clear" w:color="auto" w:fill="auto"/>
            <w:vAlign w:val="center"/>
          </w:tcPr>
          <w:p w14:paraId="3871BCD7">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FF0000"/>
                <w:kern w:val="0"/>
                <w:szCs w:val="21"/>
              </w:rPr>
            </w:pPr>
          </w:p>
        </w:tc>
        <w:tc>
          <w:tcPr>
            <w:tcW w:w="698" w:type="dxa"/>
            <w:vMerge w:val="continue"/>
            <w:shd w:val="clear" w:color="auto" w:fill="auto"/>
            <w:vAlign w:val="center"/>
          </w:tcPr>
          <w:p w14:paraId="255C770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b w:val="0"/>
                <w:bCs/>
                <w:color w:val="FF0000"/>
                <w:kern w:val="0"/>
                <w:szCs w:val="21"/>
              </w:rPr>
            </w:pPr>
          </w:p>
        </w:tc>
        <w:tc>
          <w:tcPr>
            <w:tcW w:w="980" w:type="dxa"/>
            <w:vMerge w:val="continue"/>
            <w:shd w:val="clear" w:color="auto" w:fill="auto"/>
            <w:vAlign w:val="center"/>
          </w:tcPr>
          <w:p w14:paraId="41C9E8F5">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FF0000"/>
                <w:kern w:val="0"/>
                <w:szCs w:val="21"/>
              </w:rPr>
            </w:pPr>
          </w:p>
        </w:tc>
        <w:tc>
          <w:tcPr>
            <w:tcW w:w="2162" w:type="dxa"/>
            <w:shd w:val="clear" w:color="auto" w:fill="auto"/>
            <w:vAlign w:val="center"/>
          </w:tcPr>
          <w:p w14:paraId="76D834EA">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田心小学围墙</w:t>
            </w:r>
          </w:p>
        </w:tc>
        <w:tc>
          <w:tcPr>
            <w:tcW w:w="1080" w:type="dxa"/>
            <w:shd w:val="clear" w:color="auto" w:fill="auto"/>
            <w:vAlign w:val="center"/>
          </w:tcPr>
          <w:p w14:paraId="66C0EE99">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290</w:t>
            </w:r>
          </w:p>
        </w:tc>
        <w:tc>
          <w:tcPr>
            <w:tcW w:w="1105" w:type="dxa"/>
            <w:shd w:val="clear" w:color="auto" w:fill="auto"/>
            <w:vAlign w:val="center"/>
          </w:tcPr>
          <w:p w14:paraId="734AF85E">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353</w:t>
            </w:r>
          </w:p>
        </w:tc>
      </w:tr>
      <w:tr w14:paraId="76B3E0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99" w:type="dxa"/>
            <w:vMerge w:val="continue"/>
            <w:vAlign w:val="center"/>
          </w:tcPr>
          <w:p w14:paraId="43049167">
            <w:pPr>
              <w:keepNext w:val="0"/>
              <w:keepLines w:val="0"/>
              <w:pageBreakBefore w:val="0"/>
              <w:kinsoku/>
              <w:wordWrap/>
              <w:overflowPunct/>
              <w:topLinePunct w:val="0"/>
              <w:autoSpaceDE/>
              <w:autoSpaceDN/>
              <w:bidi w:val="0"/>
              <w:adjustRightInd/>
              <w:snapToGrid/>
              <w:spacing w:line="320" w:lineRule="exact"/>
              <w:jc w:val="center"/>
              <w:textAlignment w:val="auto"/>
              <w:rPr>
                <w:rFonts w:cs="宋体" w:asciiTheme="minorEastAsia" w:hAnsiTheme="minorEastAsia" w:eastAsiaTheme="minorEastAsia"/>
                <w:b w:val="0"/>
                <w:bCs/>
                <w:szCs w:val="21"/>
              </w:rPr>
            </w:pPr>
          </w:p>
        </w:tc>
        <w:tc>
          <w:tcPr>
            <w:tcW w:w="2113" w:type="dxa"/>
            <w:vMerge w:val="restart"/>
            <w:shd w:val="clear" w:color="auto" w:fill="auto"/>
            <w:vAlign w:val="center"/>
          </w:tcPr>
          <w:p w14:paraId="46AD195E">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84#单基火药中转（湿）</w:t>
            </w:r>
          </w:p>
        </w:tc>
        <w:tc>
          <w:tcPr>
            <w:tcW w:w="698" w:type="dxa"/>
            <w:vMerge w:val="restart"/>
            <w:shd w:val="clear" w:color="auto" w:fill="auto"/>
            <w:vAlign w:val="center"/>
          </w:tcPr>
          <w:p w14:paraId="6BD8C78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1.1</w:t>
            </w:r>
            <w:r>
              <w:rPr>
                <w:rFonts w:hint="eastAsia" w:ascii="宋体" w:hAnsi="宋体"/>
                <w:b w:val="0"/>
                <w:bCs/>
                <w:kern w:val="0"/>
                <w:szCs w:val="21"/>
                <w:vertAlign w:val="superscript"/>
              </w:rPr>
              <w:t>-2</w:t>
            </w:r>
          </w:p>
        </w:tc>
        <w:tc>
          <w:tcPr>
            <w:tcW w:w="980" w:type="dxa"/>
            <w:vMerge w:val="restart"/>
            <w:shd w:val="clear" w:color="auto" w:fill="auto"/>
            <w:vAlign w:val="center"/>
          </w:tcPr>
          <w:p w14:paraId="7610515F">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200</w:t>
            </w:r>
          </w:p>
        </w:tc>
        <w:tc>
          <w:tcPr>
            <w:tcW w:w="2162" w:type="dxa"/>
            <w:shd w:val="clear" w:color="auto" w:fill="auto"/>
            <w:vAlign w:val="center"/>
          </w:tcPr>
          <w:p w14:paraId="352E1CE0">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民房（1</w:t>
            </w:r>
            <w:r>
              <w:rPr>
                <w:rFonts w:ascii="宋体" w:hAnsi="宋体"/>
                <w:b w:val="0"/>
                <w:bCs/>
                <w:color w:val="000000" w:themeColor="text1"/>
                <w:kern w:val="0"/>
                <w:szCs w:val="21"/>
                <w14:textFill>
                  <w14:solidFill>
                    <w14:schemeClr w14:val="tx1"/>
                  </w14:solidFill>
                </w14:textFill>
              </w:rPr>
              <w:t>0</w:t>
            </w:r>
            <w:r>
              <w:rPr>
                <w:rFonts w:hint="eastAsia" w:ascii="宋体" w:hAnsi="宋体"/>
                <w:b w:val="0"/>
                <w:bCs/>
                <w:color w:val="000000" w:themeColor="text1"/>
                <w:kern w:val="0"/>
                <w:szCs w:val="21"/>
                <w14:textFill>
                  <w14:solidFill>
                    <w14:schemeClr w14:val="tx1"/>
                  </w14:solidFill>
                </w14:textFill>
              </w:rPr>
              <w:t>户以下）</w:t>
            </w:r>
          </w:p>
        </w:tc>
        <w:tc>
          <w:tcPr>
            <w:tcW w:w="1080" w:type="dxa"/>
            <w:shd w:val="clear" w:color="auto" w:fill="auto"/>
            <w:vAlign w:val="center"/>
          </w:tcPr>
          <w:p w14:paraId="4932A17D">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110</w:t>
            </w:r>
          </w:p>
        </w:tc>
        <w:tc>
          <w:tcPr>
            <w:tcW w:w="1105" w:type="dxa"/>
            <w:shd w:val="clear" w:color="auto" w:fill="auto"/>
            <w:vAlign w:val="center"/>
          </w:tcPr>
          <w:p w14:paraId="31A62707">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157</w:t>
            </w:r>
          </w:p>
        </w:tc>
      </w:tr>
      <w:tr w14:paraId="3541FF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99" w:type="dxa"/>
            <w:vMerge w:val="continue"/>
            <w:vAlign w:val="center"/>
          </w:tcPr>
          <w:p w14:paraId="12568D3E">
            <w:pPr>
              <w:keepNext w:val="0"/>
              <w:keepLines w:val="0"/>
              <w:pageBreakBefore w:val="0"/>
              <w:kinsoku/>
              <w:wordWrap/>
              <w:overflowPunct/>
              <w:topLinePunct w:val="0"/>
              <w:autoSpaceDE/>
              <w:autoSpaceDN/>
              <w:bidi w:val="0"/>
              <w:adjustRightInd/>
              <w:snapToGrid/>
              <w:spacing w:line="320" w:lineRule="exact"/>
              <w:jc w:val="center"/>
              <w:textAlignment w:val="auto"/>
              <w:rPr>
                <w:rFonts w:cs="宋体" w:asciiTheme="minorEastAsia" w:hAnsiTheme="minorEastAsia" w:eastAsiaTheme="minorEastAsia"/>
                <w:b w:val="0"/>
                <w:bCs/>
                <w:szCs w:val="21"/>
              </w:rPr>
            </w:pPr>
          </w:p>
        </w:tc>
        <w:tc>
          <w:tcPr>
            <w:tcW w:w="2113" w:type="dxa"/>
            <w:vMerge w:val="continue"/>
            <w:shd w:val="clear" w:color="auto" w:fill="auto"/>
            <w:vAlign w:val="center"/>
          </w:tcPr>
          <w:p w14:paraId="29B5CE81">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p>
        </w:tc>
        <w:tc>
          <w:tcPr>
            <w:tcW w:w="698" w:type="dxa"/>
            <w:vMerge w:val="continue"/>
            <w:shd w:val="clear" w:color="auto" w:fill="auto"/>
            <w:vAlign w:val="center"/>
          </w:tcPr>
          <w:p w14:paraId="7DDBC5B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p>
        </w:tc>
        <w:tc>
          <w:tcPr>
            <w:tcW w:w="980" w:type="dxa"/>
            <w:vMerge w:val="continue"/>
            <w:shd w:val="clear" w:color="auto" w:fill="auto"/>
            <w:vAlign w:val="center"/>
          </w:tcPr>
          <w:p w14:paraId="0162C38B">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p>
        </w:tc>
        <w:tc>
          <w:tcPr>
            <w:tcW w:w="2162" w:type="dxa"/>
            <w:shd w:val="clear" w:color="auto" w:fill="auto"/>
            <w:vAlign w:val="center"/>
          </w:tcPr>
          <w:p w14:paraId="00834FB2">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田心小学围墙</w:t>
            </w:r>
          </w:p>
        </w:tc>
        <w:tc>
          <w:tcPr>
            <w:tcW w:w="1080" w:type="dxa"/>
            <w:shd w:val="clear" w:color="auto" w:fill="auto"/>
            <w:vAlign w:val="center"/>
          </w:tcPr>
          <w:p w14:paraId="45A59821">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290</w:t>
            </w:r>
          </w:p>
        </w:tc>
        <w:tc>
          <w:tcPr>
            <w:tcW w:w="1105" w:type="dxa"/>
            <w:shd w:val="clear" w:color="auto" w:fill="auto"/>
            <w:vAlign w:val="center"/>
          </w:tcPr>
          <w:p w14:paraId="1F1D2CA6">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361</w:t>
            </w:r>
          </w:p>
        </w:tc>
      </w:tr>
      <w:tr w14:paraId="4B349F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699" w:type="dxa"/>
            <w:vMerge w:val="continue"/>
            <w:vAlign w:val="center"/>
          </w:tcPr>
          <w:p w14:paraId="37B1E325">
            <w:pPr>
              <w:keepNext w:val="0"/>
              <w:keepLines w:val="0"/>
              <w:pageBreakBefore w:val="0"/>
              <w:kinsoku/>
              <w:wordWrap/>
              <w:overflowPunct/>
              <w:topLinePunct w:val="0"/>
              <w:autoSpaceDE/>
              <w:autoSpaceDN/>
              <w:bidi w:val="0"/>
              <w:adjustRightInd/>
              <w:snapToGrid/>
              <w:spacing w:line="320" w:lineRule="exact"/>
              <w:jc w:val="center"/>
              <w:textAlignment w:val="auto"/>
              <w:rPr>
                <w:rFonts w:cs="宋体" w:asciiTheme="minorEastAsia" w:hAnsiTheme="minorEastAsia" w:eastAsiaTheme="minorEastAsia"/>
                <w:b w:val="0"/>
                <w:bCs/>
                <w:szCs w:val="21"/>
              </w:rPr>
            </w:pPr>
          </w:p>
        </w:tc>
        <w:tc>
          <w:tcPr>
            <w:tcW w:w="2113" w:type="dxa"/>
            <w:vMerge w:val="restart"/>
            <w:shd w:val="clear" w:color="auto" w:fill="auto"/>
            <w:vAlign w:val="center"/>
          </w:tcPr>
          <w:p w14:paraId="18E2CACE">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85#晒坪/晾棚</w:t>
            </w:r>
          </w:p>
        </w:tc>
        <w:tc>
          <w:tcPr>
            <w:tcW w:w="698" w:type="dxa"/>
            <w:vMerge w:val="restart"/>
            <w:shd w:val="clear" w:color="auto" w:fill="auto"/>
            <w:vAlign w:val="center"/>
          </w:tcPr>
          <w:p w14:paraId="5E5520F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1.1</w:t>
            </w:r>
            <w:r>
              <w:rPr>
                <w:rFonts w:hint="eastAsia" w:ascii="宋体" w:hAnsi="宋体"/>
                <w:b w:val="0"/>
                <w:bCs/>
                <w:kern w:val="0"/>
                <w:szCs w:val="21"/>
                <w:vertAlign w:val="superscript"/>
              </w:rPr>
              <w:t>-2</w:t>
            </w:r>
          </w:p>
        </w:tc>
        <w:tc>
          <w:tcPr>
            <w:tcW w:w="980" w:type="dxa"/>
            <w:vMerge w:val="restart"/>
            <w:shd w:val="clear" w:color="auto" w:fill="auto"/>
            <w:vAlign w:val="center"/>
          </w:tcPr>
          <w:p w14:paraId="3A347DDE">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200</w:t>
            </w:r>
          </w:p>
        </w:tc>
        <w:tc>
          <w:tcPr>
            <w:tcW w:w="2162" w:type="dxa"/>
            <w:shd w:val="clear" w:color="auto" w:fill="auto"/>
            <w:vAlign w:val="center"/>
          </w:tcPr>
          <w:p w14:paraId="1F46920E">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民房（1</w:t>
            </w:r>
            <w:r>
              <w:rPr>
                <w:rFonts w:ascii="宋体" w:hAnsi="宋体"/>
                <w:b w:val="0"/>
                <w:bCs/>
                <w:color w:val="000000" w:themeColor="text1"/>
                <w:kern w:val="0"/>
                <w:szCs w:val="21"/>
                <w14:textFill>
                  <w14:solidFill>
                    <w14:schemeClr w14:val="tx1"/>
                  </w14:solidFill>
                </w14:textFill>
              </w:rPr>
              <w:t>0</w:t>
            </w:r>
            <w:r>
              <w:rPr>
                <w:rFonts w:hint="eastAsia" w:ascii="宋体" w:hAnsi="宋体"/>
                <w:b w:val="0"/>
                <w:bCs/>
                <w:color w:val="000000" w:themeColor="text1"/>
                <w:kern w:val="0"/>
                <w:szCs w:val="21"/>
                <w14:textFill>
                  <w14:solidFill>
                    <w14:schemeClr w14:val="tx1"/>
                  </w14:solidFill>
                </w14:textFill>
              </w:rPr>
              <w:t>户以下）</w:t>
            </w:r>
          </w:p>
        </w:tc>
        <w:tc>
          <w:tcPr>
            <w:tcW w:w="1080" w:type="dxa"/>
            <w:shd w:val="clear" w:color="auto" w:fill="auto"/>
            <w:vAlign w:val="center"/>
          </w:tcPr>
          <w:p w14:paraId="003E1B41">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110</w:t>
            </w:r>
          </w:p>
        </w:tc>
        <w:tc>
          <w:tcPr>
            <w:tcW w:w="1105" w:type="dxa"/>
            <w:shd w:val="clear" w:color="auto" w:fill="auto"/>
            <w:vAlign w:val="center"/>
          </w:tcPr>
          <w:p w14:paraId="0559C506">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149</w:t>
            </w:r>
          </w:p>
        </w:tc>
      </w:tr>
      <w:tr w14:paraId="200B1B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699" w:type="dxa"/>
            <w:vMerge w:val="continue"/>
            <w:vAlign w:val="center"/>
          </w:tcPr>
          <w:p w14:paraId="083AEEF9">
            <w:pPr>
              <w:keepNext w:val="0"/>
              <w:keepLines w:val="0"/>
              <w:pageBreakBefore w:val="0"/>
              <w:kinsoku/>
              <w:wordWrap/>
              <w:overflowPunct/>
              <w:topLinePunct w:val="0"/>
              <w:autoSpaceDE/>
              <w:autoSpaceDN/>
              <w:bidi w:val="0"/>
              <w:adjustRightInd/>
              <w:snapToGrid/>
              <w:spacing w:line="320" w:lineRule="exact"/>
              <w:jc w:val="center"/>
              <w:textAlignment w:val="auto"/>
              <w:rPr>
                <w:rFonts w:cs="宋体" w:asciiTheme="minorEastAsia" w:hAnsiTheme="minorEastAsia" w:eastAsiaTheme="minorEastAsia"/>
                <w:b w:val="0"/>
                <w:bCs/>
                <w:szCs w:val="21"/>
              </w:rPr>
            </w:pPr>
          </w:p>
        </w:tc>
        <w:tc>
          <w:tcPr>
            <w:tcW w:w="2113" w:type="dxa"/>
            <w:vMerge w:val="continue"/>
            <w:shd w:val="clear" w:color="auto" w:fill="auto"/>
            <w:vAlign w:val="center"/>
          </w:tcPr>
          <w:p w14:paraId="1C6EB3EA">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p>
        </w:tc>
        <w:tc>
          <w:tcPr>
            <w:tcW w:w="698" w:type="dxa"/>
            <w:vMerge w:val="continue"/>
            <w:shd w:val="clear" w:color="auto" w:fill="auto"/>
            <w:vAlign w:val="center"/>
          </w:tcPr>
          <w:p w14:paraId="1BC8F3E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p>
        </w:tc>
        <w:tc>
          <w:tcPr>
            <w:tcW w:w="980" w:type="dxa"/>
            <w:vMerge w:val="continue"/>
            <w:shd w:val="clear" w:color="auto" w:fill="auto"/>
            <w:vAlign w:val="center"/>
          </w:tcPr>
          <w:p w14:paraId="75B088F6">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p>
        </w:tc>
        <w:tc>
          <w:tcPr>
            <w:tcW w:w="2162" w:type="dxa"/>
            <w:shd w:val="clear" w:color="auto" w:fill="auto"/>
            <w:vAlign w:val="center"/>
          </w:tcPr>
          <w:p w14:paraId="7BBAAE39">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color w:val="000000" w:themeColor="text1"/>
                <w:kern w:val="0"/>
                <w:szCs w:val="21"/>
                <w14:textFill>
                  <w14:solidFill>
                    <w14:schemeClr w14:val="tx1"/>
                  </w14:solidFill>
                </w14:textFill>
              </w:rPr>
              <w:t>田心小学围墙</w:t>
            </w:r>
          </w:p>
        </w:tc>
        <w:tc>
          <w:tcPr>
            <w:tcW w:w="1080" w:type="dxa"/>
            <w:shd w:val="clear" w:color="auto" w:fill="auto"/>
            <w:vAlign w:val="center"/>
          </w:tcPr>
          <w:p w14:paraId="4D6CF649">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290</w:t>
            </w:r>
          </w:p>
        </w:tc>
        <w:tc>
          <w:tcPr>
            <w:tcW w:w="1105" w:type="dxa"/>
            <w:shd w:val="clear" w:color="auto" w:fill="auto"/>
            <w:vAlign w:val="center"/>
          </w:tcPr>
          <w:p w14:paraId="4C15E8B8">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368</w:t>
            </w:r>
          </w:p>
        </w:tc>
      </w:tr>
      <w:tr w14:paraId="5300DF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699" w:type="dxa"/>
            <w:vMerge w:val="continue"/>
            <w:vAlign w:val="center"/>
          </w:tcPr>
          <w:p w14:paraId="02FEB058">
            <w:pPr>
              <w:keepNext w:val="0"/>
              <w:keepLines w:val="0"/>
              <w:pageBreakBefore w:val="0"/>
              <w:kinsoku/>
              <w:wordWrap/>
              <w:overflowPunct/>
              <w:topLinePunct w:val="0"/>
              <w:autoSpaceDE/>
              <w:autoSpaceDN/>
              <w:bidi w:val="0"/>
              <w:adjustRightInd/>
              <w:snapToGrid/>
              <w:spacing w:line="320" w:lineRule="exact"/>
              <w:jc w:val="center"/>
              <w:textAlignment w:val="auto"/>
              <w:rPr>
                <w:rFonts w:cs="宋体" w:asciiTheme="minorEastAsia" w:hAnsiTheme="minorEastAsia" w:eastAsiaTheme="minorEastAsia"/>
                <w:b w:val="0"/>
                <w:bCs/>
                <w:szCs w:val="21"/>
              </w:rPr>
            </w:pPr>
          </w:p>
        </w:tc>
        <w:tc>
          <w:tcPr>
            <w:tcW w:w="2113" w:type="dxa"/>
            <w:shd w:val="clear" w:color="auto" w:fill="auto"/>
            <w:vAlign w:val="center"/>
          </w:tcPr>
          <w:p w14:paraId="2802BB7A">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86#包装</w:t>
            </w:r>
          </w:p>
        </w:tc>
        <w:tc>
          <w:tcPr>
            <w:tcW w:w="698" w:type="dxa"/>
            <w:shd w:val="clear" w:color="auto" w:fill="auto"/>
            <w:vAlign w:val="center"/>
          </w:tcPr>
          <w:p w14:paraId="16C2CA6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1.1</w:t>
            </w:r>
            <w:r>
              <w:rPr>
                <w:rFonts w:hint="eastAsia" w:ascii="宋体" w:hAnsi="宋体"/>
                <w:b w:val="0"/>
                <w:bCs/>
                <w:kern w:val="0"/>
                <w:szCs w:val="21"/>
                <w:vertAlign w:val="superscript"/>
              </w:rPr>
              <w:t>-2</w:t>
            </w:r>
          </w:p>
        </w:tc>
        <w:tc>
          <w:tcPr>
            <w:tcW w:w="980" w:type="dxa"/>
            <w:shd w:val="clear" w:color="auto" w:fill="auto"/>
            <w:vAlign w:val="center"/>
          </w:tcPr>
          <w:p w14:paraId="62247060">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30</w:t>
            </w:r>
          </w:p>
        </w:tc>
        <w:tc>
          <w:tcPr>
            <w:tcW w:w="2162" w:type="dxa"/>
            <w:shd w:val="clear" w:color="auto" w:fill="auto"/>
            <w:vAlign w:val="center"/>
          </w:tcPr>
          <w:p w14:paraId="5FFBD5FE">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color w:val="000000" w:themeColor="text1"/>
                <w:kern w:val="0"/>
                <w:szCs w:val="21"/>
                <w14:textFill>
                  <w14:solidFill>
                    <w14:schemeClr w14:val="tx1"/>
                  </w14:solidFill>
                </w14:textFill>
              </w:rPr>
            </w:pPr>
            <w:r>
              <w:rPr>
                <w:rFonts w:hint="eastAsia" w:ascii="宋体" w:hAnsi="宋体"/>
                <w:b w:val="0"/>
                <w:bCs/>
                <w:kern w:val="0"/>
                <w:szCs w:val="21"/>
              </w:rPr>
              <w:t>民房（1</w:t>
            </w:r>
            <w:r>
              <w:rPr>
                <w:rFonts w:ascii="宋体" w:hAnsi="宋体"/>
                <w:b w:val="0"/>
                <w:bCs/>
                <w:kern w:val="0"/>
                <w:szCs w:val="21"/>
              </w:rPr>
              <w:t>0</w:t>
            </w:r>
            <w:r>
              <w:rPr>
                <w:rFonts w:hint="eastAsia" w:ascii="宋体" w:hAnsi="宋体"/>
                <w:b w:val="0"/>
                <w:bCs/>
                <w:kern w:val="0"/>
                <w:szCs w:val="21"/>
              </w:rPr>
              <w:t>户以下）</w:t>
            </w:r>
          </w:p>
        </w:tc>
        <w:tc>
          <w:tcPr>
            <w:tcW w:w="1080" w:type="dxa"/>
            <w:shd w:val="clear" w:color="auto" w:fill="auto"/>
            <w:vAlign w:val="center"/>
          </w:tcPr>
          <w:p w14:paraId="211268C4">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110</w:t>
            </w:r>
          </w:p>
        </w:tc>
        <w:tc>
          <w:tcPr>
            <w:tcW w:w="1105" w:type="dxa"/>
            <w:shd w:val="clear" w:color="auto" w:fill="auto"/>
            <w:vAlign w:val="center"/>
          </w:tcPr>
          <w:p w14:paraId="2D36D2B1">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val="0"/>
                <w:bCs/>
                <w:kern w:val="0"/>
                <w:szCs w:val="21"/>
              </w:rPr>
            </w:pPr>
            <w:r>
              <w:rPr>
                <w:rFonts w:hint="eastAsia" w:ascii="宋体" w:hAnsi="宋体"/>
                <w:b w:val="0"/>
                <w:bCs/>
                <w:kern w:val="0"/>
                <w:szCs w:val="21"/>
              </w:rPr>
              <w:t>141</w:t>
            </w:r>
          </w:p>
        </w:tc>
      </w:tr>
      <w:tr w14:paraId="0DF154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97" w:hRule="atLeast"/>
          <w:jc w:val="center"/>
        </w:trPr>
        <w:tc>
          <w:tcPr>
            <w:tcW w:w="8837" w:type="dxa"/>
            <w:gridSpan w:val="7"/>
            <w:vAlign w:val="center"/>
          </w:tcPr>
          <w:p w14:paraId="00348777">
            <w:pPr>
              <w:keepNext w:val="0"/>
              <w:keepLines w:val="0"/>
              <w:pageBreakBefore w:val="0"/>
              <w:kinsoku/>
              <w:wordWrap/>
              <w:overflowPunct/>
              <w:topLinePunct w:val="0"/>
              <w:autoSpaceDE/>
              <w:autoSpaceDN/>
              <w:bidi w:val="0"/>
              <w:adjustRightInd/>
              <w:snapToGrid/>
              <w:spacing w:line="320" w:lineRule="exact"/>
              <w:jc w:val="left"/>
              <w:textAlignment w:val="auto"/>
              <w:rPr>
                <w:rFonts w:ascii="宋体" w:hAnsi="宋体"/>
                <w:b w:val="0"/>
                <w:bCs/>
                <w:kern w:val="0"/>
                <w:szCs w:val="21"/>
              </w:rPr>
            </w:pPr>
            <w:r>
              <w:rPr>
                <w:rFonts w:hint="eastAsia" w:ascii="宋体" w:hAnsi="宋体"/>
                <w:b w:val="0"/>
                <w:bCs/>
                <w:kern w:val="0"/>
                <w:szCs w:val="21"/>
              </w:rPr>
              <w:t>备注：1、78#黑火药中转、65#包装中转、82#危废暂存间与民房的外部距离按10户以上计算；</w:t>
            </w:r>
          </w:p>
          <w:p w14:paraId="565E9094">
            <w:pPr>
              <w:keepNext w:val="0"/>
              <w:keepLines w:val="0"/>
              <w:pageBreakBefore w:val="0"/>
              <w:kinsoku/>
              <w:wordWrap/>
              <w:overflowPunct/>
              <w:topLinePunct w:val="0"/>
              <w:autoSpaceDE/>
              <w:autoSpaceDN/>
              <w:bidi w:val="0"/>
              <w:adjustRightInd/>
              <w:snapToGrid/>
              <w:spacing w:line="320" w:lineRule="exact"/>
              <w:ind w:firstLine="630" w:firstLineChars="300"/>
              <w:jc w:val="left"/>
              <w:textAlignment w:val="auto"/>
              <w:rPr>
                <w:rFonts w:ascii="宋体" w:hAnsi="宋体"/>
                <w:b w:val="0"/>
                <w:bCs/>
                <w:kern w:val="0"/>
                <w:szCs w:val="21"/>
              </w:rPr>
            </w:pPr>
            <w:r>
              <w:rPr>
                <w:rFonts w:hint="eastAsia" w:ascii="宋体" w:hAnsi="宋体"/>
                <w:b w:val="0"/>
                <w:bCs/>
                <w:kern w:val="0"/>
                <w:szCs w:val="21"/>
              </w:rPr>
              <w:t>2、54#亮珠库、55#亮珠库与</w:t>
            </w:r>
            <w:r>
              <w:rPr>
                <w:rFonts w:hint="eastAsia" w:ascii="宋体" w:hAnsi="宋体"/>
                <w:b w:val="0"/>
                <w:bCs/>
                <w:spacing w:val="-11"/>
                <w:kern w:val="0"/>
                <w:szCs w:val="21"/>
              </w:rPr>
              <w:t>浏阳市文龙鞭炮烟花烟制造有限公司装药线围墙（人数大于50人）及57#、58#黑火药库与破损建筑物的外部距离依据</w:t>
            </w:r>
            <w:r>
              <w:rPr>
                <w:rFonts w:hint="eastAsia" w:ascii="宋体" w:hAnsi="宋体" w:cs="宋体"/>
                <w:b w:val="0"/>
                <w:bCs/>
                <w:szCs w:val="21"/>
              </w:rPr>
              <w:t>G</w:t>
            </w:r>
            <w:r>
              <w:rPr>
                <w:rFonts w:ascii="宋体" w:hAnsi="宋体" w:cs="宋体"/>
                <w:b w:val="0"/>
                <w:bCs/>
                <w:szCs w:val="21"/>
              </w:rPr>
              <w:t>B50161-2022</w:t>
            </w:r>
            <w:r>
              <w:rPr>
                <w:rFonts w:hint="eastAsia" w:ascii="宋体" w:hAnsi="宋体" w:cs="宋体"/>
                <w:b w:val="0"/>
                <w:bCs/>
                <w:szCs w:val="21"/>
              </w:rPr>
              <w:t>中4</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.2</w:t>
            </w:r>
            <w:r>
              <w:rPr>
                <w:rFonts w:hint="eastAsia" w:ascii="宋体" w:hAnsi="宋体" w:cs="宋体"/>
                <w:b w:val="0"/>
                <w:bCs/>
                <w:szCs w:val="21"/>
              </w:rPr>
              <w:t>“注3”确定标准距离取值</w:t>
            </w:r>
            <w:r>
              <w:rPr>
                <w:rFonts w:hint="eastAsia" w:ascii="宋体" w:hAnsi="宋体"/>
                <w:b w:val="0"/>
                <w:bCs/>
                <w:kern w:val="0"/>
                <w:szCs w:val="21"/>
              </w:rPr>
              <w:t>。</w:t>
            </w:r>
          </w:p>
          <w:p w14:paraId="35B0309F">
            <w:pPr>
              <w:keepNext w:val="0"/>
              <w:keepLines w:val="0"/>
              <w:pageBreakBefore w:val="0"/>
              <w:kinsoku/>
              <w:wordWrap/>
              <w:overflowPunct/>
              <w:topLinePunct w:val="0"/>
              <w:autoSpaceDE/>
              <w:autoSpaceDN/>
              <w:bidi w:val="0"/>
              <w:adjustRightInd/>
              <w:snapToGrid/>
              <w:spacing w:line="320" w:lineRule="exact"/>
              <w:ind w:firstLine="630" w:firstLineChars="300"/>
              <w:jc w:val="left"/>
              <w:textAlignment w:val="auto"/>
              <w:rPr>
                <w:rFonts w:ascii="宋体" w:hAnsi="宋体"/>
                <w:b w:val="0"/>
                <w:bCs/>
                <w:kern w:val="0"/>
                <w:szCs w:val="21"/>
              </w:rPr>
            </w:pPr>
            <w:r>
              <w:rPr>
                <w:rFonts w:hint="eastAsia" w:ascii="宋体" w:hAnsi="宋体"/>
                <w:b w:val="0"/>
                <w:bCs/>
                <w:kern w:val="0"/>
                <w:szCs w:val="21"/>
              </w:rPr>
              <w:t>3、</w:t>
            </w:r>
            <w:r>
              <w:rPr>
                <w:rFonts w:hint="eastAsia" w:ascii="宋体" w:hAnsi="宋体"/>
                <w:b w:val="0"/>
                <w:bCs/>
                <w:szCs w:val="21"/>
              </w:rPr>
              <w:t>89成品库与民房（10户以上）外部距离标准值</w:t>
            </w:r>
            <w:r>
              <w:rPr>
                <w:rFonts w:hint="eastAsia" w:ascii="宋体" w:hAnsi="宋体"/>
                <w:b w:val="0"/>
                <w:bCs/>
                <w:spacing w:val="-11"/>
                <w:kern w:val="0"/>
                <w:szCs w:val="21"/>
              </w:rPr>
              <w:t>依据</w:t>
            </w:r>
            <w:r>
              <w:rPr>
                <w:rFonts w:hint="eastAsia" w:ascii="宋体" w:hAnsi="宋体" w:cs="宋体"/>
                <w:b w:val="0"/>
                <w:bCs/>
                <w:szCs w:val="21"/>
              </w:rPr>
              <w:t>G</w:t>
            </w:r>
            <w:r>
              <w:rPr>
                <w:rFonts w:ascii="宋体" w:hAnsi="宋体" w:cs="宋体"/>
                <w:b w:val="0"/>
                <w:bCs/>
                <w:szCs w:val="21"/>
              </w:rPr>
              <w:t>B50161-2022</w:t>
            </w:r>
            <w:r>
              <w:rPr>
                <w:rFonts w:hint="eastAsia" w:ascii="宋体" w:hAnsi="宋体" w:cs="宋体"/>
                <w:b w:val="0"/>
                <w:bCs/>
                <w:szCs w:val="21"/>
              </w:rPr>
              <w:t>中4</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3“注”采用线性插入法确定。</w:t>
            </w:r>
          </w:p>
        </w:tc>
      </w:tr>
    </w:tbl>
    <w:p w14:paraId="7B8F58FE">
      <w:pPr>
        <w:rPr>
          <w:rFonts w:hint="eastAsia" w:ascii="宋体" w:hAnsi="宋体"/>
          <w:b w:val="0"/>
          <w:snapToGrid w:val="0"/>
          <w:sz w:val="28"/>
          <w:szCs w:val="28"/>
        </w:rPr>
      </w:pPr>
      <w:r>
        <w:rPr>
          <w:rFonts w:hint="eastAsia" w:ascii="宋体" w:hAnsi="宋体"/>
          <w:b w:val="0"/>
          <w:snapToGrid w:val="0"/>
          <w:sz w:val="28"/>
          <w:szCs w:val="28"/>
        </w:rPr>
        <w:br w:type="page"/>
      </w:r>
    </w:p>
    <w:p w14:paraId="32F5C011">
      <w:pPr>
        <w:spacing w:before="120" w:beforeLines="50" w:line="360" w:lineRule="auto"/>
        <w:ind w:firstLine="560" w:firstLineChars="200"/>
        <w:jc w:val="left"/>
        <w:rPr>
          <w:rFonts w:ascii="宋体" w:hAnsi="宋体"/>
          <w:b w:val="0"/>
          <w:snapToGrid w:val="0"/>
          <w:sz w:val="28"/>
          <w:szCs w:val="28"/>
        </w:rPr>
      </w:pPr>
      <w:r>
        <w:rPr>
          <w:rFonts w:hint="eastAsia" w:ascii="宋体" w:hAnsi="宋体"/>
          <w:b w:val="0"/>
          <w:snapToGrid w:val="0"/>
          <w:sz w:val="28"/>
          <w:szCs w:val="28"/>
        </w:rPr>
        <w:t>2）改建项目危险品库区与危险品生产区的距离</w:t>
      </w:r>
      <w:r>
        <w:rPr>
          <w:rFonts w:hint="eastAsia" w:ascii="宋体" w:hAnsi="宋体"/>
          <w:b w:val="0"/>
          <w:snapToGrid w:val="0"/>
          <w:sz w:val="28"/>
          <w:szCs w:val="28"/>
          <w:lang w:val="en-GB"/>
        </w:rPr>
        <w:t>抽取较近工房作为参照，</w:t>
      </w:r>
      <w:r>
        <w:rPr>
          <w:rFonts w:hint="eastAsia" w:ascii="宋体" w:hAnsi="宋体"/>
          <w:b w:val="0"/>
          <w:snapToGrid w:val="0"/>
          <w:sz w:val="28"/>
          <w:szCs w:val="28"/>
        </w:rPr>
        <w:t>情况见表5.</w:t>
      </w:r>
      <w:r>
        <w:rPr>
          <w:rFonts w:ascii="宋体" w:hAnsi="宋体"/>
          <w:b w:val="0"/>
          <w:snapToGrid w:val="0"/>
          <w:sz w:val="28"/>
          <w:szCs w:val="28"/>
        </w:rPr>
        <w:t>7</w:t>
      </w:r>
      <w:r>
        <w:rPr>
          <w:rFonts w:hint="eastAsia" w:ascii="宋体" w:hAnsi="宋体"/>
          <w:b w:val="0"/>
          <w:snapToGrid w:val="0"/>
          <w:sz w:val="28"/>
          <w:szCs w:val="28"/>
        </w:rPr>
        <w:t>-2-2。</w:t>
      </w:r>
    </w:p>
    <w:p w14:paraId="5ED716FB">
      <w:pPr>
        <w:jc w:val="center"/>
        <w:rPr>
          <w:rFonts w:ascii="黑体" w:hAnsi="黑体" w:eastAsia="黑体"/>
          <w:b w:val="0"/>
          <w:bCs/>
          <w:sz w:val="24"/>
        </w:rPr>
      </w:pPr>
      <w:r>
        <w:rPr>
          <w:rFonts w:hint="eastAsia" w:ascii="黑体" w:hAnsi="黑体" w:eastAsia="黑体"/>
          <w:b w:val="0"/>
          <w:bCs/>
          <w:sz w:val="24"/>
        </w:rPr>
        <w:t>表5.7-2-2 改建项目危险品库区与危险品生产区外部距离情况表</w:t>
      </w:r>
    </w:p>
    <w:tbl>
      <w:tblPr>
        <w:tblStyle w:val="88"/>
        <w:tblW w:w="885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1"/>
        <w:gridCol w:w="734"/>
        <w:gridCol w:w="1005"/>
        <w:gridCol w:w="1544"/>
        <w:gridCol w:w="706"/>
        <w:gridCol w:w="847"/>
        <w:gridCol w:w="1128"/>
        <w:gridCol w:w="991"/>
      </w:tblGrid>
      <w:tr w14:paraId="39BB4C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blHeader/>
          <w:jc w:val="center"/>
        </w:trPr>
        <w:tc>
          <w:tcPr>
            <w:tcW w:w="1901" w:type="dxa"/>
            <w:tcMar>
              <w:left w:w="28" w:type="dxa"/>
              <w:right w:w="28" w:type="dxa"/>
            </w:tcMar>
            <w:vAlign w:val="center"/>
          </w:tcPr>
          <w:p w14:paraId="74EA3C55">
            <w:pPr>
              <w:spacing w:line="240" w:lineRule="exact"/>
              <w:jc w:val="center"/>
              <w:rPr>
                <w:rFonts w:ascii="宋体" w:hAnsi="宋体"/>
                <w:b w:val="0"/>
                <w:bCs/>
                <w:szCs w:val="21"/>
              </w:rPr>
            </w:pPr>
            <w:r>
              <w:rPr>
                <w:rFonts w:hint="eastAsia" w:ascii="宋体" w:hAnsi="宋体"/>
                <w:b w:val="0"/>
                <w:bCs/>
                <w:szCs w:val="21"/>
              </w:rPr>
              <w:t>工房名称</w:t>
            </w:r>
          </w:p>
        </w:tc>
        <w:tc>
          <w:tcPr>
            <w:tcW w:w="734" w:type="dxa"/>
            <w:tcMar>
              <w:left w:w="28" w:type="dxa"/>
              <w:right w:w="28" w:type="dxa"/>
            </w:tcMar>
            <w:vAlign w:val="center"/>
          </w:tcPr>
          <w:p w14:paraId="41FA1A73">
            <w:pPr>
              <w:spacing w:line="240" w:lineRule="exact"/>
              <w:jc w:val="center"/>
              <w:rPr>
                <w:rFonts w:ascii="宋体" w:hAnsi="宋体"/>
                <w:b w:val="0"/>
                <w:bCs/>
                <w:szCs w:val="21"/>
              </w:rPr>
            </w:pPr>
            <w:r>
              <w:rPr>
                <w:rFonts w:hint="eastAsia" w:ascii="宋体" w:hAnsi="宋体"/>
                <w:b w:val="0"/>
                <w:bCs/>
                <w:szCs w:val="21"/>
              </w:rPr>
              <w:t>危险</w:t>
            </w:r>
          </w:p>
          <w:p w14:paraId="51DB30F9">
            <w:pPr>
              <w:spacing w:line="240" w:lineRule="exact"/>
              <w:jc w:val="center"/>
              <w:rPr>
                <w:rFonts w:ascii="宋体" w:hAnsi="宋体"/>
                <w:b w:val="0"/>
                <w:bCs/>
                <w:szCs w:val="21"/>
              </w:rPr>
            </w:pPr>
            <w:r>
              <w:rPr>
                <w:rFonts w:hint="eastAsia" w:ascii="宋体" w:hAnsi="宋体"/>
                <w:b w:val="0"/>
                <w:bCs/>
                <w:szCs w:val="21"/>
              </w:rPr>
              <w:t>等级</w:t>
            </w:r>
          </w:p>
        </w:tc>
        <w:tc>
          <w:tcPr>
            <w:tcW w:w="1005" w:type="dxa"/>
            <w:tcMar>
              <w:left w:w="28" w:type="dxa"/>
              <w:right w:w="28" w:type="dxa"/>
            </w:tcMar>
            <w:vAlign w:val="center"/>
          </w:tcPr>
          <w:p w14:paraId="29D00858">
            <w:pPr>
              <w:spacing w:line="240" w:lineRule="exact"/>
              <w:jc w:val="center"/>
              <w:rPr>
                <w:rFonts w:ascii="宋体" w:hAnsi="宋体"/>
                <w:b w:val="0"/>
                <w:bCs/>
                <w:szCs w:val="21"/>
              </w:rPr>
            </w:pPr>
            <w:r>
              <w:rPr>
                <w:rFonts w:hint="eastAsia" w:ascii="宋体" w:hAnsi="宋体"/>
                <w:b w:val="0"/>
                <w:bCs/>
                <w:szCs w:val="21"/>
              </w:rPr>
              <w:t>限药量(kg)</w:t>
            </w:r>
          </w:p>
        </w:tc>
        <w:tc>
          <w:tcPr>
            <w:tcW w:w="1544" w:type="dxa"/>
            <w:tcMar>
              <w:left w:w="28" w:type="dxa"/>
              <w:right w:w="28" w:type="dxa"/>
            </w:tcMar>
            <w:vAlign w:val="center"/>
          </w:tcPr>
          <w:p w14:paraId="6CA1B20E">
            <w:pPr>
              <w:spacing w:line="240" w:lineRule="exact"/>
              <w:jc w:val="center"/>
              <w:rPr>
                <w:rFonts w:ascii="宋体" w:hAnsi="宋体"/>
                <w:b w:val="0"/>
                <w:bCs/>
                <w:szCs w:val="21"/>
              </w:rPr>
            </w:pPr>
            <w:r>
              <w:rPr>
                <w:rFonts w:hint="eastAsia" w:ascii="宋体" w:hAnsi="宋体"/>
                <w:b w:val="0"/>
                <w:bCs/>
                <w:szCs w:val="21"/>
              </w:rPr>
              <w:t>相邻工房</w:t>
            </w:r>
          </w:p>
          <w:p w14:paraId="23697B33">
            <w:pPr>
              <w:spacing w:line="240" w:lineRule="exact"/>
              <w:jc w:val="center"/>
              <w:rPr>
                <w:rFonts w:ascii="宋体" w:hAnsi="宋体"/>
                <w:b w:val="0"/>
                <w:bCs/>
                <w:szCs w:val="21"/>
              </w:rPr>
            </w:pPr>
            <w:r>
              <w:rPr>
                <w:rFonts w:hint="eastAsia" w:ascii="宋体" w:hAnsi="宋体"/>
                <w:b w:val="0"/>
                <w:bCs/>
                <w:szCs w:val="21"/>
              </w:rPr>
              <w:t>名    称</w:t>
            </w:r>
          </w:p>
        </w:tc>
        <w:tc>
          <w:tcPr>
            <w:tcW w:w="706" w:type="dxa"/>
            <w:tcMar>
              <w:left w:w="28" w:type="dxa"/>
              <w:right w:w="28" w:type="dxa"/>
            </w:tcMar>
            <w:vAlign w:val="center"/>
          </w:tcPr>
          <w:p w14:paraId="77D2CFC3">
            <w:pPr>
              <w:spacing w:line="240" w:lineRule="exact"/>
              <w:jc w:val="center"/>
              <w:rPr>
                <w:rFonts w:ascii="宋体" w:hAnsi="宋体"/>
                <w:b w:val="0"/>
                <w:bCs/>
                <w:szCs w:val="21"/>
              </w:rPr>
            </w:pPr>
            <w:r>
              <w:rPr>
                <w:rFonts w:hint="eastAsia" w:ascii="宋体" w:hAnsi="宋体"/>
                <w:b w:val="0"/>
                <w:bCs/>
                <w:szCs w:val="21"/>
              </w:rPr>
              <w:t>危险</w:t>
            </w:r>
          </w:p>
          <w:p w14:paraId="5ABA1C89">
            <w:pPr>
              <w:spacing w:line="240" w:lineRule="exact"/>
              <w:jc w:val="center"/>
              <w:rPr>
                <w:rFonts w:ascii="宋体" w:hAnsi="宋体"/>
                <w:b w:val="0"/>
                <w:bCs/>
                <w:szCs w:val="21"/>
              </w:rPr>
            </w:pPr>
            <w:r>
              <w:rPr>
                <w:rFonts w:hint="eastAsia" w:ascii="宋体" w:hAnsi="宋体"/>
                <w:b w:val="0"/>
                <w:bCs/>
                <w:szCs w:val="21"/>
              </w:rPr>
              <w:t>等级</w:t>
            </w:r>
          </w:p>
        </w:tc>
        <w:tc>
          <w:tcPr>
            <w:tcW w:w="847" w:type="dxa"/>
            <w:tcMar>
              <w:left w:w="28" w:type="dxa"/>
              <w:right w:w="28" w:type="dxa"/>
            </w:tcMar>
            <w:vAlign w:val="center"/>
          </w:tcPr>
          <w:p w14:paraId="65BE4F82">
            <w:pPr>
              <w:spacing w:line="240" w:lineRule="exact"/>
              <w:jc w:val="center"/>
              <w:rPr>
                <w:rFonts w:ascii="宋体" w:hAnsi="宋体"/>
                <w:b w:val="0"/>
                <w:bCs/>
                <w:szCs w:val="21"/>
              </w:rPr>
            </w:pPr>
            <w:r>
              <w:rPr>
                <w:rFonts w:hint="eastAsia" w:ascii="宋体" w:hAnsi="宋体"/>
                <w:b w:val="0"/>
                <w:bCs/>
                <w:szCs w:val="21"/>
              </w:rPr>
              <w:t>限药量（Kg）</w:t>
            </w:r>
          </w:p>
        </w:tc>
        <w:tc>
          <w:tcPr>
            <w:tcW w:w="1128" w:type="dxa"/>
            <w:vAlign w:val="center"/>
          </w:tcPr>
          <w:p w14:paraId="231B80BA">
            <w:pPr>
              <w:spacing w:line="240" w:lineRule="exact"/>
              <w:jc w:val="center"/>
              <w:rPr>
                <w:rFonts w:ascii="宋体" w:hAnsi="宋体"/>
                <w:b w:val="0"/>
                <w:bCs/>
                <w:szCs w:val="21"/>
              </w:rPr>
            </w:pPr>
            <w:r>
              <w:rPr>
                <w:rFonts w:hint="eastAsia" w:ascii="宋体" w:hAnsi="宋体"/>
                <w:b w:val="0"/>
                <w:bCs/>
                <w:szCs w:val="21"/>
              </w:rPr>
              <w:t>标准距离（m)</w:t>
            </w:r>
          </w:p>
        </w:tc>
        <w:tc>
          <w:tcPr>
            <w:tcW w:w="991" w:type="dxa"/>
            <w:tcMar>
              <w:left w:w="28" w:type="dxa"/>
              <w:right w:w="28" w:type="dxa"/>
            </w:tcMar>
            <w:vAlign w:val="center"/>
          </w:tcPr>
          <w:p w14:paraId="44CB939E">
            <w:pPr>
              <w:spacing w:line="240" w:lineRule="exact"/>
              <w:jc w:val="center"/>
              <w:rPr>
                <w:b w:val="0"/>
                <w:bCs/>
              </w:rPr>
            </w:pPr>
            <w:r>
              <w:rPr>
                <w:rFonts w:hint="eastAsia" w:ascii="宋体" w:hAnsi="宋体"/>
                <w:b w:val="0"/>
                <w:bCs/>
                <w:szCs w:val="21"/>
              </w:rPr>
              <w:t>设计距离（m)</w:t>
            </w:r>
          </w:p>
        </w:tc>
      </w:tr>
      <w:tr w14:paraId="0B39AF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901" w:type="dxa"/>
            <w:vAlign w:val="center"/>
          </w:tcPr>
          <w:p w14:paraId="3E0CF4D2">
            <w:pPr>
              <w:spacing w:line="260" w:lineRule="exact"/>
              <w:jc w:val="center"/>
              <w:rPr>
                <w:rFonts w:ascii="宋体" w:hAnsi="宋体"/>
                <w:b w:val="0"/>
                <w:bCs/>
                <w:szCs w:val="21"/>
              </w:rPr>
            </w:pPr>
            <w:r>
              <w:rPr>
                <w:rFonts w:hint="eastAsia" w:ascii="宋体" w:hAnsi="宋体"/>
                <w:b w:val="0"/>
                <w:bCs/>
                <w:szCs w:val="21"/>
              </w:rPr>
              <w:t>54#亮珠库</w:t>
            </w:r>
          </w:p>
        </w:tc>
        <w:tc>
          <w:tcPr>
            <w:tcW w:w="734" w:type="dxa"/>
            <w:vAlign w:val="center"/>
          </w:tcPr>
          <w:p w14:paraId="7B5D3153">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1005" w:type="dxa"/>
            <w:vAlign w:val="center"/>
          </w:tcPr>
          <w:p w14:paraId="2DD26AC6">
            <w:pPr>
              <w:spacing w:line="260" w:lineRule="exact"/>
              <w:jc w:val="center"/>
              <w:rPr>
                <w:rFonts w:ascii="宋体" w:hAnsi="宋体"/>
                <w:b w:val="0"/>
                <w:bCs/>
                <w:szCs w:val="21"/>
              </w:rPr>
            </w:pPr>
            <w:r>
              <w:rPr>
                <w:rFonts w:hint="eastAsia" w:ascii="宋体" w:hAnsi="宋体"/>
                <w:b w:val="0"/>
                <w:bCs/>
                <w:szCs w:val="21"/>
              </w:rPr>
              <w:t>1000</w:t>
            </w:r>
          </w:p>
        </w:tc>
        <w:tc>
          <w:tcPr>
            <w:tcW w:w="1544" w:type="dxa"/>
            <w:vAlign w:val="center"/>
          </w:tcPr>
          <w:p w14:paraId="4B421E54">
            <w:pPr>
              <w:spacing w:line="260" w:lineRule="exact"/>
              <w:jc w:val="center"/>
              <w:rPr>
                <w:rFonts w:ascii="宋体" w:hAnsi="宋体"/>
                <w:b w:val="0"/>
                <w:bCs/>
                <w:szCs w:val="21"/>
              </w:rPr>
            </w:pPr>
            <w:r>
              <w:rPr>
                <w:rFonts w:hint="eastAsia" w:ascii="宋体" w:hAnsi="宋体"/>
                <w:b w:val="0"/>
                <w:bCs/>
                <w:szCs w:val="21"/>
              </w:rPr>
              <w:t>53#单基火药中转</w:t>
            </w:r>
          </w:p>
        </w:tc>
        <w:tc>
          <w:tcPr>
            <w:tcW w:w="706" w:type="dxa"/>
            <w:shd w:val="clear" w:color="auto" w:fill="auto"/>
            <w:vAlign w:val="center"/>
          </w:tcPr>
          <w:p w14:paraId="6E562ED6">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-2</w:t>
            </w:r>
          </w:p>
        </w:tc>
        <w:tc>
          <w:tcPr>
            <w:tcW w:w="847" w:type="dxa"/>
            <w:shd w:val="clear" w:color="auto" w:fill="auto"/>
            <w:vAlign w:val="center"/>
          </w:tcPr>
          <w:p w14:paraId="6AD4379F">
            <w:pPr>
              <w:spacing w:line="260" w:lineRule="exact"/>
              <w:jc w:val="center"/>
              <w:rPr>
                <w:rFonts w:ascii="宋体" w:hAnsi="宋体"/>
                <w:b w:val="0"/>
                <w:bCs/>
                <w:szCs w:val="21"/>
              </w:rPr>
            </w:pPr>
            <w:r>
              <w:rPr>
                <w:rFonts w:hint="eastAsia" w:ascii="宋体" w:hAnsi="宋体"/>
                <w:b w:val="0"/>
                <w:bCs/>
                <w:szCs w:val="21"/>
              </w:rPr>
              <w:t>100</w:t>
            </w:r>
          </w:p>
        </w:tc>
        <w:tc>
          <w:tcPr>
            <w:tcW w:w="1128" w:type="dxa"/>
            <w:vAlign w:val="center"/>
          </w:tcPr>
          <w:p w14:paraId="3B744C27">
            <w:pPr>
              <w:spacing w:line="260" w:lineRule="exact"/>
              <w:jc w:val="center"/>
              <w:rPr>
                <w:rFonts w:ascii="宋体" w:hAnsi="宋体"/>
                <w:b w:val="0"/>
                <w:bCs/>
                <w:szCs w:val="21"/>
              </w:rPr>
            </w:pPr>
            <w:r>
              <w:rPr>
                <w:rFonts w:hint="eastAsia" w:ascii="宋体" w:hAnsi="宋体"/>
                <w:b w:val="0"/>
                <w:bCs/>
                <w:szCs w:val="21"/>
              </w:rPr>
              <w:t>145</w:t>
            </w:r>
          </w:p>
        </w:tc>
        <w:tc>
          <w:tcPr>
            <w:tcW w:w="991" w:type="dxa"/>
            <w:vAlign w:val="center"/>
          </w:tcPr>
          <w:p w14:paraId="6067F2D4">
            <w:pPr>
              <w:spacing w:line="260" w:lineRule="exact"/>
              <w:jc w:val="center"/>
              <w:rPr>
                <w:rFonts w:ascii="宋体" w:hAnsi="宋体"/>
                <w:b w:val="0"/>
                <w:bCs/>
                <w:szCs w:val="21"/>
              </w:rPr>
            </w:pPr>
            <w:r>
              <w:rPr>
                <w:rFonts w:hint="eastAsia" w:ascii="宋体" w:hAnsi="宋体"/>
                <w:b w:val="0"/>
                <w:bCs/>
                <w:szCs w:val="21"/>
              </w:rPr>
              <w:t>146</w:t>
            </w:r>
          </w:p>
        </w:tc>
      </w:tr>
      <w:tr w14:paraId="348647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901" w:type="dxa"/>
            <w:vAlign w:val="center"/>
          </w:tcPr>
          <w:p w14:paraId="3EDED936">
            <w:pPr>
              <w:spacing w:line="260" w:lineRule="exact"/>
              <w:jc w:val="center"/>
              <w:rPr>
                <w:rFonts w:ascii="宋体" w:hAnsi="宋体"/>
                <w:b w:val="0"/>
                <w:bCs/>
                <w:szCs w:val="21"/>
              </w:rPr>
            </w:pPr>
            <w:r>
              <w:rPr>
                <w:rFonts w:hint="eastAsia" w:ascii="宋体" w:hAnsi="宋体"/>
                <w:b w:val="0"/>
                <w:bCs/>
                <w:szCs w:val="21"/>
              </w:rPr>
              <w:t>55#亮珠库</w:t>
            </w:r>
          </w:p>
        </w:tc>
        <w:tc>
          <w:tcPr>
            <w:tcW w:w="734" w:type="dxa"/>
            <w:vAlign w:val="center"/>
          </w:tcPr>
          <w:p w14:paraId="350615E8">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1005" w:type="dxa"/>
            <w:vAlign w:val="center"/>
          </w:tcPr>
          <w:p w14:paraId="53CE7C78">
            <w:pPr>
              <w:spacing w:line="260" w:lineRule="exact"/>
              <w:jc w:val="center"/>
              <w:rPr>
                <w:rFonts w:ascii="宋体" w:hAnsi="宋体"/>
                <w:b w:val="0"/>
                <w:bCs/>
                <w:szCs w:val="21"/>
              </w:rPr>
            </w:pPr>
            <w:r>
              <w:rPr>
                <w:rFonts w:hint="eastAsia" w:ascii="宋体" w:hAnsi="宋体"/>
                <w:b w:val="0"/>
                <w:bCs/>
                <w:szCs w:val="21"/>
              </w:rPr>
              <w:t>1000</w:t>
            </w:r>
          </w:p>
        </w:tc>
        <w:tc>
          <w:tcPr>
            <w:tcW w:w="1544" w:type="dxa"/>
            <w:vAlign w:val="center"/>
          </w:tcPr>
          <w:p w14:paraId="51DDA5AF">
            <w:pPr>
              <w:spacing w:line="260" w:lineRule="exact"/>
              <w:jc w:val="center"/>
              <w:rPr>
                <w:rFonts w:ascii="宋体" w:hAnsi="宋体"/>
                <w:b w:val="0"/>
                <w:bCs/>
                <w:szCs w:val="21"/>
              </w:rPr>
            </w:pPr>
            <w:r>
              <w:rPr>
                <w:rFonts w:hint="eastAsia" w:ascii="宋体" w:hAnsi="宋体"/>
                <w:b w:val="0"/>
                <w:bCs/>
                <w:szCs w:val="21"/>
              </w:rPr>
              <w:t>51#亮珠中转</w:t>
            </w:r>
          </w:p>
        </w:tc>
        <w:tc>
          <w:tcPr>
            <w:tcW w:w="706" w:type="dxa"/>
            <w:shd w:val="clear" w:color="auto" w:fill="auto"/>
            <w:vAlign w:val="center"/>
          </w:tcPr>
          <w:p w14:paraId="5711CD9C">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847" w:type="dxa"/>
            <w:shd w:val="clear" w:color="auto" w:fill="auto"/>
            <w:vAlign w:val="center"/>
          </w:tcPr>
          <w:p w14:paraId="6A1DA9E1">
            <w:pPr>
              <w:spacing w:line="260" w:lineRule="exact"/>
              <w:jc w:val="center"/>
              <w:rPr>
                <w:rFonts w:ascii="宋体" w:hAnsi="宋体"/>
                <w:b w:val="0"/>
                <w:bCs/>
                <w:szCs w:val="21"/>
              </w:rPr>
            </w:pPr>
            <w:r>
              <w:rPr>
                <w:rFonts w:hint="eastAsia" w:ascii="宋体" w:hAnsi="宋体"/>
                <w:b w:val="0"/>
                <w:bCs/>
                <w:szCs w:val="21"/>
              </w:rPr>
              <w:t>100</w:t>
            </w:r>
          </w:p>
        </w:tc>
        <w:tc>
          <w:tcPr>
            <w:tcW w:w="1128" w:type="dxa"/>
            <w:vAlign w:val="center"/>
          </w:tcPr>
          <w:p w14:paraId="7035402B">
            <w:pPr>
              <w:spacing w:line="260" w:lineRule="exact"/>
              <w:jc w:val="center"/>
              <w:rPr>
                <w:rFonts w:ascii="宋体" w:hAnsi="宋体"/>
                <w:b w:val="0"/>
                <w:bCs/>
                <w:szCs w:val="21"/>
              </w:rPr>
            </w:pPr>
            <w:r>
              <w:rPr>
                <w:rFonts w:hint="eastAsia" w:ascii="宋体" w:hAnsi="宋体"/>
                <w:b w:val="0"/>
                <w:bCs/>
                <w:szCs w:val="21"/>
              </w:rPr>
              <w:t>145</w:t>
            </w:r>
          </w:p>
        </w:tc>
        <w:tc>
          <w:tcPr>
            <w:tcW w:w="991" w:type="dxa"/>
            <w:vAlign w:val="center"/>
          </w:tcPr>
          <w:p w14:paraId="0172720D">
            <w:pPr>
              <w:spacing w:line="260" w:lineRule="exact"/>
              <w:jc w:val="center"/>
              <w:rPr>
                <w:rFonts w:ascii="宋体" w:hAnsi="宋体"/>
                <w:b w:val="0"/>
                <w:bCs/>
                <w:szCs w:val="21"/>
              </w:rPr>
            </w:pPr>
            <w:r>
              <w:rPr>
                <w:rFonts w:hint="eastAsia" w:ascii="宋体" w:hAnsi="宋体"/>
                <w:b w:val="0"/>
                <w:bCs/>
                <w:szCs w:val="21"/>
              </w:rPr>
              <w:t>156</w:t>
            </w:r>
          </w:p>
        </w:tc>
      </w:tr>
      <w:tr w14:paraId="26DBF3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901" w:type="dxa"/>
            <w:vAlign w:val="center"/>
          </w:tcPr>
          <w:p w14:paraId="57E8A165">
            <w:pPr>
              <w:spacing w:line="260" w:lineRule="exact"/>
              <w:jc w:val="center"/>
              <w:rPr>
                <w:rFonts w:ascii="宋体" w:hAnsi="宋体"/>
                <w:b w:val="0"/>
                <w:bCs/>
                <w:szCs w:val="21"/>
              </w:rPr>
            </w:pPr>
            <w:r>
              <w:rPr>
                <w:rFonts w:hint="eastAsia" w:ascii="宋体" w:hAnsi="宋体"/>
                <w:b w:val="0"/>
                <w:bCs/>
                <w:szCs w:val="21"/>
              </w:rPr>
              <w:t>56#亮珠库</w:t>
            </w:r>
          </w:p>
        </w:tc>
        <w:tc>
          <w:tcPr>
            <w:tcW w:w="734" w:type="dxa"/>
            <w:vAlign w:val="center"/>
          </w:tcPr>
          <w:p w14:paraId="0398FC71">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1005" w:type="dxa"/>
            <w:vAlign w:val="center"/>
          </w:tcPr>
          <w:p w14:paraId="43DFEB58">
            <w:pPr>
              <w:spacing w:line="260" w:lineRule="exact"/>
              <w:jc w:val="center"/>
              <w:rPr>
                <w:rFonts w:ascii="宋体" w:hAnsi="宋体"/>
                <w:b w:val="0"/>
                <w:bCs/>
                <w:szCs w:val="21"/>
              </w:rPr>
            </w:pPr>
            <w:r>
              <w:rPr>
                <w:rFonts w:hint="eastAsia" w:ascii="宋体" w:hAnsi="宋体"/>
                <w:b w:val="0"/>
                <w:bCs/>
                <w:szCs w:val="21"/>
              </w:rPr>
              <w:t>500</w:t>
            </w:r>
          </w:p>
        </w:tc>
        <w:tc>
          <w:tcPr>
            <w:tcW w:w="1544" w:type="dxa"/>
            <w:vAlign w:val="center"/>
          </w:tcPr>
          <w:p w14:paraId="3345E363">
            <w:pPr>
              <w:spacing w:line="260" w:lineRule="exact"/>
              <w:jc w:val="center"/>
              <w:rPr>
                <w:rFonts w:ascii="宋体" w:hAnsi="宋体"/>
                <w:b w:val="0"/>
                <w:bCs/>
                <w:szCs w:val="21"/>
              </w:rPr>
            </w:pPr>
            <w:r>
              <w:rPr>
                <w:rFonts w:hint="eastAsia" w:ascii="宋体" w:hAnsi="宋体"/>
                <w:b w:val="0"/>
                <w:bCs/>
                <w:szCs w:val="21"/>
              </w:rPr>
              <w:t>51#亮珠中转</w:t>
            </w:r>
          </w:p>
        </w:tc>
        <w:tc>
          <w:tcPr>
            <w:tcW w:w="706" w:type="dxa"/>
            <w:vAlign w:val="center"/>
          </w:tcPr>
          <w:p w14:paraId="0553E425">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847" w:type="dxa"/>
            <w:vAlign w:val="center"/>
          </w:tcPr>
          <w:p w14:paraId="28862AA0">
            <w:pPr>
              <w:spacing w:line="260" w:lineRule="exact"/>
              <w:jc w:val="center"/>
              <w:rPr>
                <w:rFonts w:ascii="宋体" w:hAnsi="宋体"/>
                <w:b w:val="0"/>
                <w:bCs/>
                <w:szCs w:val="21"/>
              </w:rPr>
            </w:pPr>
            <w:r>
              <w:rPr>
                <w:rFonts w:hint="eastAsia" w:ascii="宋体" w:hAnsi="宋体"/>
                <w:b w:val="0"/>
                <w:bCs/>
                <w:szCs w:val="21"/>
              </w:rPr>
              <w:t>100</w:t>
            </w:r>
          </w:p>
        </w:tc>
        <w:tc>
          <w:tcPr>
            <w:tcW w:w="1128" w:type="dxa"/>
            <w:vAlign w:val="center"/>
          </w:tcPr>
          <w:p w14:paraId="4300D7F0">
            <w:pPr>
              <w:spacing w:line="260" w:lineRule="exact"/>
              <w:jc w:val="center"/>
              <w:rPr>
                <w:rFonts w:ascii="宋体" w:hAnsi="宋体"/>
                <w:b w:val="0"/>
                <w:bCs/>
                <w:szCs w:val="21"/>
              </w:rPr>
            </w:pPr>
            <w:r>
              <w:rPr>
                <w:rFonts w:hint="eastAsia" w:ascii="宋体" w:hAnsi="宋体"/>
                <w:b w:val="0"/>
                <w:bCs/>
                <w:szCs w:val="21"/>
              </w:rPr>
              <w:t>115</w:t>
            </w:r>
          </w:p>
        </w:tc>
        <w:tc>
          <w:tcPr>
            <w:tcW w:w="991" w:type="dxa"/>
            <w:vAlign w:val="center"/>
          </w:tcPr>
          <w:p w14:paraId="43C01E0A">
            <w:pPr>
              <w:spacing w:line="260" w:lineRule="exact"/>
              <w:jc w:val="center"/>
              <w:rPr>
                <w:rFonts w:ascii="宋体" w:hAnsi="宋体"/>
                <w:b w:val="0"/>
                <w:bCs/>
                <w:szCs w:val="21"/>
              </w:rPr>
            </w:pPr>
            <w:r>
              <w:rPr>
                <w:rFonts w:hint="eastAsia" w:ascii="宋体" w:hAnsi="宋体"/>
                <w:b w:val="0"/>
                <w:bCs/>
                <w:szCs w:val="21"/>
              </w:rPr>
              <w:t>149</w:t>
            </w:r>
          </w:p>
        </w:tc>
      </w:tr>
      <w:tr w14:paraId="464A2F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901" w:type="dxa"/>
            <w:vAlign w:val="center"/>
          </w:tcPr>
          <w:p w14:paraId="155D9E99">
            <w:pPr>
              <w:spacing w:line="260" w:lineRule="exact"/>
              <w:jc w:val="center"/>
              <w:rPr>
                <w:rFonts w:ascii="宋体" w:hAnsi="宋体"/>
                <w:b w:val="0"/>
                <w:bCs/>
                <w:szCs w:val="21"/>
              </w:rPr>
            </w:pPr>
            <w:r>
              <w:rPr>
                <w:rFonts w:hint="eastAsia" w:ascii="宋体" w:hAnsi="宋体"/>
                <w:b w:val="0"/>
                <w:bCs/>
                <w:szCs w:val="21"/>
              </w:rPr>
              <w:t>57#亮珠库</w:t>
            </w:r>
          </w:p>
        </w:tc>
        <w:tc>
          <w:tcPr>
            <w:tcW w:w="734" w:type="dxa"/>
            <w:vAlign w:val="center"/>
          </w:tcPr>
          <w:p w14:paraId="23B51133">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1005" w:type="dxa"/>
            <w:vAlign w:val="center"/>
          </w:tcPr>
          <w:p w14:paraId="7BE4BB1B">
            <w:pPr>
              <w:spacing w:line="260" w:lineRule="exact"/>
              <w:jc w:val="center"/>
              <w:rPr>
                <w:rFonts w:ascii="宋体" w:hAnsi="宋体"/>
                <w:b w:val="0"/>
                <w:bCs/>
                <w:szCs w:val="21"/>
              </w:rPr>
            </w:pPr>
            <w:r>
              <w:rPr>
                <w:rFonts w:hint="eastAsia" w:ascii="宋体" w:hAnsi="宋体"/>
                <w:b w:val="0"/>
                <w:bCs/>
                <w:szCs w:val="21"/>
              </w:rPr>
              <w:t>1000</w:t>
            </w:r>
          </w:p>
        </w:tc>
        <w:tc>
          <w:tcPr>
            <w:tcW w:w="1544" w:type="dxa"/>
            <w:vAlign w:val="center"/>
          </w:tcPr>
          <w:p w14:paraId="25652698">
            <w:pPr>
              <w:spacing w:line="260" w:lineRule="exact"/>
              <w:jc w:val="center"/>
              <w:rPr>
                <w:rFonts w:ascii="宋体" w:hAnsi="宋体"/>
                <w:b w:val="0"/>
                <w:bCs/>
                <w:szCs w:val="21"/>
              </w:rPr>
            </w:pPr>
            <w:r>
              <w:rPr>
                <w:rFonts w:hint="eastAsia" w:ascii="宋体" w:hAnsi="宋体"/>
                <w:b w:val="0"/>
                <w:bCs/>
                <w:szCs w:val="21"/>
              </w:rPr>
              <w:t>51#亮珠中转</w:t>
            </w:r>
          </w:p>
        </w:tc>
        <w:tc>
          <w:tcPr>
            <w:tcW w:w="706" w:type="dxa"/>
            <w:vAlign w:val="center"/>
          </w:tcPr>
          <w:p w14:paraId="6DC41427">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847" w:type="dxa"/>
            <w:vAlign w:val="center"/>
          </w:tcPr>
          <w:p w14:paraId="720BBA33">
            <w:pPr>
              <w:spacing w:line="260" w:lineRule="exact"/>
              <w:jc w:val="center"/>
              <w:rPr>
                <w:rFonts w:ascii="宋体" w:hAnsi="宋体"/>
                <w:b w:val="0"/>
                <w:bCs/>
                <w:szCs w:val="21"/>
              </w:rPr>
            </w:pPr>
            <w:r>
              <w:rPr>
                <w:rFonts w:hint="eastAsia" w:ascii="宋体" w:hAnsi="宋体"/>
                <w:b w:val="0"/>
                <w:bCs/>
                <w:szCs w:val="21"/>
              </w:rPr>
              <w:t>100</w:t>
            </w:r>
          </w:p>
        </w:tc>
        <w:tc>
          <w:tcPr>
            <w:tcW w:w="1128" w:type="dxa"/>
            <w:vAlign w:val="center"/>
          </w:tcPr>
          <w:p w14:paraId="7E95E84F">
            <w:pPr>
              <w:spacing w:line="260" w:lineRule="exact"/>
              <w:jc w:val="center"/>
              <w:rPr>
                <w:rFonts w:ascii="宋体" w:hAnsi="宋体"/>
                <w:b w:val="0"/>
                <w:bCs/>
                <w:szCs w:val="21"/>
              </w:rPr>
            </w:pPr>
            <w:r>
              <w:rPr>
                <w:rFonts w:hint="eastAsia" w:ascii="宋体" w:hAnsi="宋体"/>
                <w:b w:val="0"/>
                <w:bCs/>
                <w:szCs w:val="21"/>
              </w:rPr>
              <w:t>145</w:t>
            </w:r>
          </w:p>
        </w:tc>
        <w:tc>
          <w:tcPr>
            <w:tcW w:w="991" w:type="dxa"/>
            <w:vAlign w:val="center"/>
          </w:tcPr>
          <w:p w14:paraId="18ECF28B">
            <w:pPr>
              <w:spacing w:line="260" w:lineRule="exact"/>
              <w:jc w:val="center"/>
              <w:rPr>
                <w:rFonts w:ascii="宋体" w:hAnsi="宋体"/>
                <w:b w:val="0"/>
                <w:bCs/>
                <w:szCs w:val="21"/>
              </w:rPr>
            </w:pPr>
            <w:r>
              <w:rPr>
                <w:rFonts w:hint="eastAsia" w:ascii="宋体" w:hAnsi="宋体"/>
                <w:b w:val="0"/>
                <w:bCs/>
                <w:szCs w:val="21"/>
              </w:rPr>
              <w:t>146</w:t>
            </w:r>
          </w:p>
        </w:tc>
      </w:tr>
      <w:tr w14:paraId="7E0297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901" w:type="dxa"/>
            <w:vAlign w:val="center"/>
          </w:tcPr>
          <w:p w14:paraId="13FC96E9">
            <w:pPr>
              <w:spacing w:line="260" w:lineRule="exact"/>
              <w:jc w:val="center"/>
              <w:rPr>
                <w:rFonts w:ascii="宋体" w:hAnsi="宋体"/>
                <w:b w:val="0"/>
                <w:bCs/>
                <w:szCs w:val="21"/>
              </w:rPr>
            </w:pPr>
            <w:r>
              <w:rPr>
                <w:rFonts w:hint="eastAsia" w:ascii="宋体" w:hAnsi="宋体"/>
                <w:b w:val="0"/>
                <w:bCs/>
                <w:szCs w:val="21"/>
              </w:rPr>
              <w:t>58#黑火药库</w:t>
            </w:r>
          </w:p>
        </w:tc>
        <w:tc>
          <w:tcPr>
            <w:tcW w:w="734" w:type="dxa"/>
            <w:shd w:val="clear" w:color="auto" w:fill="auto"/>
            <w:vAlign w:val="center"/>
          </w:tcPr>
          <w:p w14:paraId="28A668B6">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1005" w:type="dxa"/>
            <w:shd w:val="clear" w:color="auto" w:fill="auto"/>
            <w:vAlign w:val="center"/>
          </w:tcPr>
          <w:p w14:paraId="25E18429">
            <w:pPr>
              <w:spacing w:line="260" w:lineRule="exact"/>
              <w:jc w:val="center"/>
              <w:rPr>
                <w:rFonts w:ascii="宋体" w:hAnsi="宋体"/>
                <w:b w:val="0"/>
                <w:bCs/>
                <w:szCs w:val="21"/>
              </w:rPr>
            </w:pPr>
            <w:r>
              <w:rPr>
                <w:rFonts w:hint="eastAsia" w:ascii="宋体" w:hAnsi="宋体"/>
                <w:b w:val="0"/>
                <w:bCs/>
                <w:szCs w:val="21"/>
              </w:rPr>
              <w:t>1000</w:t>
            </w:r>
          </w:p>
        </w:tc>
        <w:tc>
          <w:tcPr>
            <w:tcW w:w="1544" w:type="dxa"/>
            <w:shd w:val="clear" w:color="auto" w:fill="auto"/>
            <w:vAlign w:val="center"/>
          </w:tcPr>
          <w:p w14:paraId="1E7173E5">
            <w:pPr>
              <w:spacing w:line="260" w:lineRule="exact"/>
              <w:jc w:val="center"/>
              <w:rPr>
                <w:rFonts w:ascii="宋体" w:hAnsi="宋体"/>
                <w:b w:val="0"/>
                <w:bCs/>
                <w:szCs w:val="21"/>
              </w:rPr>
            </w:pPr>
            <w:r>
              <w:rPr>
                <w:rFonts w:hint="eastAsia" w:ascii="宋体" w:hAnsi="宋体"/>
                <w:b w:val="0"/>
                <w:bCs/>
                <w:szCs w:val="21"/>
              </w:rPr>
              <w:t>51#亮珠中转</w:t>
            </w:r>
          </w:p>
        </w:tc>
        <w:tc>
          <w:tcPr>
            <w:tcW w:w="706" w:type="dxa"/>
            <w:shd w:val="clear" w:color="auto" w:fill="auto"/>
            <w:vAlign w:val="center"/>
          </w:tcPr>
          <w:p w14:paraId="5FD8E650">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847" w:type="dxa"/>
            <w:shd w:val="clear" w:color="auto" w:fill="auto"/>
            <w:vAlign w:val="center"/>
          </w:tcPr>
          <w:p w14:paraId="32CBFDAB">
            <w:pPr>
              <w:spacing w:line="260" w:lineRule="exact"/>
              <w:jc w:val="center"/>
              <w:rPr>
                <w:rFonts w:ascii="宋体" w:hAnsi="宋体"/>
                <w:b w:val="0"/>
                <w:bCs/>
                <w:szCs w:val="21"/>
              </w:rPr>
            </w:pPr>
            <w:r>
              <w:rPr>
                <w:rFonts w:hint="eastAsia" w:ascii="宋体" w:hAnsi="宋体"/>
                <w:b w:val="0"/>
                <w:bCs/>
                <w:szCs w:val="21"/>
              </w:rPr>
              <w:t>100</w:t>
            </w:r>
          </w:p>
        </w:tc>
        <w:tc>
          <w:tcPr>
            <w:tcW w:w="1128" w:type="dxa"/>
            <w:shd w:val="clear" w:color="auto" w:fill="auto"/>
            <w:vAlign w:val="center"/>
          </w:tcPr>
          <w:p w14:paraId="683152BE">
            <w:pPr>
              <w:spacing w:line="260" w:lineRule="exact"/>
              <w:jc w:val="center"/>
              <w:rPr>
                <w:rFonts w:ascii="宋体" w:hAnsi="宋体"/>
                <w:b w:val="0"/>
                <w:bCs/>
                <w:szCs w:val="21"/>
              </w:rPr>
            </w:pPr>
            <w:r>
              <w:rPr>
                <w:rFonts w:hint="eastAsia" w:ascii="宋体" w:hAnsi="宋体"/>
                <w:b w:val="0"/>
                <w:bCs/>
                <w:szCs w:val="21"/>
              </w:rPr>
              <w:t>145</w:t>
            </w:r>
          </w:p>
        </w:tc>
        <w:tc>
          <w:tcPr>
            <w:tcW w:w="991" w:type="dxa"/>
            <w:vAlign w:val="center"/>
          </w:tcPr>
          <w:p w14:paraId="178E97D9">
            <w:pPr>
              <w:spacing w:line="260" w:lineRule="exact"/>
              <w:jc w:val="center"/>
              <w:rPr>
                <w:rFonts w:ascii="宋体" w:hAnsi="宋体"/>
                <w:b w:val="0"/>
                <w:bCs/>
                <w:szCs w:val="21"/>
              </w:rPr>
            </w:pPr>
            <w:r>
              <w:rPr>
                <w:rFonts w:hint="eastAsia" w:ascii="宋体" w:hAnsi="宋体"/>
                <w:b w:val="0"/>
                <w:bCs/>
                <w:szCs w:val="21"/>
              </w:rPr>
              <w:t>156</w:t>
            </w:r>
          </w:p>
        </w:tc>
      </w:tr>
      <w:tr w14:paraId="06DE7F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901" w:type="dxa"/>
            <w:vAlign w:val="center"/>
          </w:tcPr>
          <w:p w14:paraId="07442CAB">
            <w:pPr>
              <w:spacing w:line="260" w:lineRule="exact"/>
              <w:jc w:val="center"/>
              <w:rPr>
                <w:rFonts w:ascii="宋体" w:hAnsi="宋体"/>
                <w:b w:val="0"/>
                <w:bCs/>
                <w:szCs w:val="21"/>
              </w:rPr>
            </w:pPr>
            <w:r>
              <w:rPr>
                <w:rFonts w:hint="eastAsia" w:ascii="宋体" w:hAnsi="宋体"/>
                <w:b w:val="0"/>
                <w:bCs/>
                <w:szCs w:val="21"/>
              </w:rPr>
              <w:t>59#黑火药库</w:t>
            </w:r>
          </w:p>
        </w:tc>
        <w:tc>
          <w:tcPr>
            <w:tcW w:w="734" w:type="dxa"/>
            <w:vAlign w:val="center"/>
          </w:tcPr>
          <w:p w14:paraId="4B8D4D0F">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-2</w:t>
            </w:r>
          </w:p>
        </w:tc>
        <w:tc>
          <w:tcPr>
            <w:tcW w:w="1005" w:type="dxa"/>
            <w:vAlign w:val="center"/>
          </w:tcPr>
          <w:p w14:paraId="565B3802">
            <w:pPr>
              <w:spacing w:line="260" w:lineRule="exact"/>
              <w:jc w:val="center"/>
              <w:rPr>
                <w:rFonts w:ascii="宋体" w:hAnsi="宋体"/>
                <w:b w:val="0"/>
                <w:bCs/>
                <w:szCs w:val="21"/>
              </w:rPr>
            </w:pPr>
            <w:r>
              <w:rPr>
                <w:rFonts w:hint="eastAsia" w:ascii="宋体" w:hAnsi="宋体"/>
                <w:b w:val="0"/>
                <w:bCs/>
                <w:szCs w:val="21"/>
              </w:rPr>
              <w:t>1000</w:t>
            </w:r>
          </w:p>
        </w:tc>
        <w:tc>
          <w:tcPr>
            <w:tcW w:w="1544" w:type="dxa"/>
            <w:shd w:val="clear" w:color="auto" w:fill="auto"/>
            <w:vAlign w:val="center"/>
          </w:tcPr>
          <w:p w14:paraId="18E57E61">
            <w:pPr>
              <w:spacing w:line="260" w:lineRule="exact"/>
              <w:jc w:val="center"/>
              <w:rPr>
                <w:rFonts w:ascii="宋体" w:hAnsi="宋体"/>
                <w:b w:val="0"/>
                <w:bCs/>
                <w:szCs w:val="21"/>
              </w:rPr>
            </w:pPr>
            <w:r>
              <w:rPr>
                <w:rFonts w:hint="eastAsia" w:ascii="宋体" w:hAnsi="宋体"/>
                <w:b w:val="0"/>
                <w:bCs/>
                <w:szCs w:val="21"/>
              </w:rPr>
              <w:t>51#亮珠中转</w:t>
            </w:r>
          </w:p>
        </w:tc>
        <w:tc>
          <w:tcPr>
            <w:tcW w:w="706" w:type="dxa"/>
            <w:shd w:val="clear" w:color="auto" w:fill="auto"/>
            <w:vAlign w:val="center"/>
          </w:tcPr>
          <w:p w14:paraId="108BA395">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847" w:type="dxa"/>
            <w:shd w:val="clear" w:color="auto" w:fill="auto"/>
            <w:vAlign w:val="center"/>
          </w:tcPr>
          <w:p w14:paraId="1AB0E1EA">
            <w:pPr>
              <w:spacing w:line="260" w:lineRule="exact"/>
              <w:jc w:val="center"/>
              <w:rPr>
                <w:rFonts w:ascii="宋体" w:hAnsi="宋体"/>
                <w:b w:val="0"/>
                <w:bCs/>
                <w:szCs w:val="21"/>
              </w:rPr>
            </w:pPr>
            <w:r>
              <w:rPr>
                <w:rFonts w:hint="eastAsia" w:ascii="宋体" w:hAnsi="宋体"/>
                <w:b w:val="0"/>
                <w:bCs/>
                <w:szCs w:val="21"/>
              </w:rPr>
              <w:t>100</w:t>
            </w:r>
          </w:p>
        </w:tc>
        <w:tc>
          <w:tcPr>
            <w:tcW w:w="1128" w:type="dxa"/>
            <w:shd w:val="clear" w:color="auto" w:fill="auto"/>
            <w:vAlign w:val="center"/>
          </w:tcPr>
          <w:p w14:paraId="073375C1">
            <w:pPr>
              <w:spacing w:line="260" w:lineRule="exact"/>
              <w:jc w:val="center"/>
              <w:rPr>
                <w:rFonts w:ascii="宋体" w:hAnsi="宋体"/>
                <w:b w:val="0"/>
                <w:bCs/>
                <w:szCs w:val="21"/>
              </w:rPr>
            </w:pPr>
            <w:r>
              <w:rPr>
                <w:rFonts w:hint="eastAsia" w:ascii="宋体" w:hAnsi="宋体"/>
                <w:b w:val="0"/>
                <w:bCs/>
                <w:szCs w:val="21"/>
              </w:rPr>
              <w:t>145</w:t>
            </w:r>
          </w:p>
        </w:tc>
        <w:tc>
          <w:tcPr>
            <w:tcW w:w="991" w:type="dxa"/>
            <w:vAlign w:val="center"/>
          </w:tcPr>
          <w:p w14:paraId="490F3A4A">
            <w:pPr>
              <w:spacing w:line="260" w:lineRule="exact"/>
              <w:jc w:val="center"/>
              <w:rPr>
                <w:rFonts w:ascii="宋体" w:hAnsi="宋体"/>
                <w:b w:val="0"/>
                <w:bCs/>
                <w:szCs w:val="21"/>
              </w:rPr>
            </w:pPr>
            <w:r>
              <w:rPr>
                <w:rFonts w:hint="eastAsia" w:ascii="宋体" w:hAnsi="宋体"/>
                <w:b w:val="0"/>
                <w:bCs/>
                <w:szCs w:val="21"/>
              </w:rPr>
              <w:t>145</w:t>
            </w:r>
          </w:p>
        </w:tc>
      </w:tr>
      <w:tr w14:paraId="52B9BD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5" w:hRule="atLeast"/>
          <w:jc w:val="center"/>
        </w:trPr>
        <w:tc>
          <w:tcPr>
            <w:tcW w:w="1901" w:type="dxa"/>
            <w:vAlign w:val="center"/>
          </w:tcPr>
          <w:p w14:paraId="519464A5">
            <w:pPr>
              <w:spacing w:line="260" w:lineRule="exact"/>
              <w:jc w:val="center"/>
              <w:rPr>
                <w:rFonts w:ascii="宋体" w:hAnsi="宋体"/>
                <w:b w:val="0"/>
                <w:bCs/>
                <w:szCs w:val="21"/>
              </w:rPr>
            </w:pPr>
            <w:r>
              <w:rPr>
                <w:rFonts w:hint="eastAsia" w:ascii="宋体" w:hAnsi="宋体"/>
                <w:b w:val="0"/>
                <w:bCs/>
                <w:szCs w:val="21"/>
              </w:rPr>
              <w:t>60#黑火药库</w:t>
            </w:r>
          </w:p>
        </w:tc>
        <w:tc>
          <w:tcPr>
            <w:tcW w:w="734" w:type="dxa"/>
            <w:vAlign w:val="center"/>
          </w:tcPr>
          <w:p w14:paraId="53FB1421">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-2</w:t>
            </w:r>
          </w:p>
        </w:tc>
        <w:tc>
          <w:tcPr>
            <w:tcW w:w="1005" w:type="dxa"/>
            <w:vAlign w:val="center"/>
          </w:tcPr>
          <w:p w14:paraId="50857CC1">
            <w:pPr>
              <w:spacing w:line="260" w:lineRule="exact"/>
              <w:jc w:val="center"/>
              <w:rPr>
                <w:rFonts w:ascii="宋体" w:hAnsi="宋体"/>
                <w:b w:val="0"/>
                <w:bCs/>
                <w:szCs w:val="21"/>
              </w:rPr>
            </w:pPr>
            <w:r>
              <w:rPr>
                <w:rFonts w:hint="eastAsia" w:ascii="宋体" w:hAnsi="宋体"/>
                <w:b w:val="0"/>
                <w:bCs/>
                <w:szCs w:val="21"/>
              </w:rPr>
              <w:t>1000</w:t>
            </w:r>
          </w:p>
        </w:tc>
        <w:tc>
          <w:tcPr>
            <w:tcW w:w="1544" w:type="dxa"/>
            <w:vAlign w:val="center"/>
          </w:tcPr>
          <w:p w14:paraId="06E20E2E">
            <w:pPr>
              <w:spacing w:line="260" w:lineRule="exact"/>
              <w:jc w:val="center"/>
              <w:rPr>
                <w:rFonts w:ascii="宋体" w:hAnsi="宋体"/>
                <w:b w:val="0"/>
                <w:bCs/>
                <w:szCs w:val="21"/>
              </w:rPr>
            </w:pPr>
            <w:r>
              <w:rPr>
                <w:rFonts w:hint="eastAsia" w:ascii="宋体" w:hAnsi="宋体"/>
                <w:b w:val="0"/>
                <w:bCs/>
                <w:szCs w:val="21"/>
              </w:rPr>
              <w:t>50#化工原材料库</w:t>
            </w:r>
          </w:p>
        </w:tc>
        <w:tc>
          <w:tcPr>
            <w:tcW w:w="706" w:type="dxa"/>
            <w:vAlign w:val="center"/>
          </w:tcPr>
          <w:p w14:paraId="5DA8DCBA">
            <w:pPr>
              <w:jc w:val="center"/>
              <w:rPr>
                <w:rFonts w:ascii="宋体" w:hAnsi="宋体"/>
                <w:b w:val="0"/>
                <w:bCs/>
                <w:szCs w:val="21"/>
              </w:rPr>
            </w:pPr>
            <w:r>
              <w:rPr>
                <w:rFonts w:hint="eastAsia" w:ascii="宋体" w:hAnsi="宋体"/>
                <w:b w:val="0"/>
                <w:bCs/>
                <w:szCs w:val="21"/>
              </w:rPr>
              <w:t>甲类</w:t>
            </w:r>
          </w:p>
        </w:tc>
        <w:tc>
          <w:tcPr>
            <w:tcW w:w="847" w:type="dxa"/>
            <w:vAlign w:val="center"/>
          </w:tcPr>
          <w:p w14:paraId="5699322B">
            <w:pPr>
              <w:jc w:val="center"/>
              <w:rPr>
                <w:rFonts w:ascii="宋体" w:hAnsi="宋体"/>
                <w:b w:val="0"/>
                <w:bCs/>
                <w:szCs w:val="21"/>
              </w:rPr>
            </w:pPr>
            <w:r>
              <w:rPr>
                <w:rFonts w:hint="eastAsia" w:ascii="宋体" w:hAnsi="宋体"/>
                <w:b w:val="0"/>
                <w:bCs/>
                <w:szCs w:val="21"/>
              </w:rPr>
              <w:t>2000</w:t>
            </w:r>
          </w:p>
        </w:tc>
        <w:tc>
          <w:tcPr>
            <w:tcW w:w="1128" w:type="dxa"/>
            <w:vAlign w:val="center"/>
          </w:tcPr>
          <w:p w14:paraId="04F29FB9">
            <w:pPr>
              <w:spacing w:line="260" w:lineRule="exact"/>
              <w:jc w:val="center"/>
              <w:rPr>
                <w:rFonts w:ascii="宋体" w:hAnsi="宋体"/>
                <w:b w:val="0"/>
                <w:bCs/>
                <w:szCs w:val="21"/>
              </w:rPr>
            </w:pPr>
            <w:r>
              <w:rPr>
                <w:rFonts w:hint="eastAsia" w:ascii="宋体" w:hAnsi="宋体"/>
                <w:b w:val="0"/>
                <w:bCs/>
                <w:szCs w:val="21"/>
              </w:rPr>
              <w:t>145</w:t>
            </w:r>
          </w:p>
        </w:tc>
        <w:tc>
          <w:tcPr>
            <w:tcW w:w="991" w:type="dxa"/>
            <w:vAlign w:val="center"/>
          </w:tcPr>
          <w:p w14:paraId="648DD226">
            <w:pPr>
              <w:spacing w:line="260" w:lineRule="exact"/>
              <w:jc w:val="center"/>
              <w:rPr>
                <w:rFonts w:ascii="宋体" w:hAnsi="宋体"/>
                <w:b w:val="0"/>
                <w:bCs/>
                <w:szCs w:val="21"/>
              </w:rPr>
            </w:pPr>
            <w:r>
              <w:rPr>
                <w:rFonts w:hint="eastAsia" w:ascii="宋体" w:hAnsi="宋体"/>
                <w:b w:val="0"/>
                <w:bCs/>
                <w:szCs w:val="21"/>
              </w:rPr>
              <w:t>148</w:t>
            </w:r>
          </w:p>
        </w:tc>
      </w:tr>
      <w:tr w14:paraId="7A68E4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901" w:type="dxa"/>
            <w:vAlign w:val="center"/>
          </w:tcPr>
          <w:p w14:paraId="4FE88626">
            <w:pPr>
              <w:spacing w:line="260" w:lineRule="exact"/>
              <w:jc w:val="center"/>
              <w:rPr>
                <w:rFonts w:ascii="宋体" w:hAnsi="宋体"/>
                <w:b w:val="0"/>
                <w:bCs/>
                <w:szCs w:val="21"/>
              </w:rPr>
            </w:pPr>
            <w:r>
              <w:rPr>
                <w:rFonts w:hint="eastAsia" w:ascii="宋体" w:hAnsi="宋体"/>
                <w:b w:val="0"/>
                <w:bCs/>
                <w:szCs w:val="21"/>
              </w:rPr>
              <w:t>63#引线库</w:t>
            </w:r>
          </w:p>
        </w:tc>
        <w:tc>
          <w:tcPr>
            <w:tcW w:w="734" w:type="dxa"/>
            <w:vAlign w:val="center"/>
          </w:tcPr>
          <w:p w14:paraId="515926AE">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-2</w:t>
            </w:r>
          </w:p>
        </w:tc>
        <w:tc>
          <w:tcPr>
            <w:tcW w:w="1005" w:type="dxa"/>
            <w:vAlign w:val="center"/>
          </w:tcPr>
          <w:p w14:paraId="1CDC6741">
            <w:pPr>
              <w:spacing w:line="260" w:lineRule="exact"/>
              <w:jc w:val="center"/>
              <w:rPr>
                <w:rFonts w:ascii="宋体" w:hAnsi="宋体"/>
                <w:b w:val="0"/>
                <w:bCs/>
                <w:szCs w:val="21"/>
              </w:rPr>
            </w:pPr>
            <w:r>
              <w:rPr>
                <w:rFonts w:hint="eastAsia" w:ascii="宋体" w:hAnsi="宋体"/>
                <w:b w:val="0"/>
                <w:bCs/>
                <w:szCs w:val="21"/>
              </w:rPr>
              <w:t>500</w:t>
            </w:r>
          </w:p>
        </w:tc>
        <w:tc>
          <w:tcPr>
            <w:tcW w:w="1544" w:type="dxa"/>
            <w:shd w:val="clear" w:color="auto" w:fill="auto"/>
            <w:vAlign w:val="center"/>
          </w:tcPr>
          <w:p w14:paraId="1726B731">
            <w:pPr>
              <w:spacing w:line="260" w:lineRule="exact"/>
              <w:jc w:val="center"/>
              <w:rPr>
                <w:rFonts w:ascii="宋体" w:hAnsi="宋体"/>
                <w:b w:val="0"/>
                <w:bCs/>
                <w:szCs w:val="21"/>
              </w:rPr>
            </w:pPr>
            <w:r>
              <w:rPr>
                <w:rFonts w:hint="eastAsia" w:ascii="宋体" w:hAnsi="宋体"/>
                <w:b w:val="0"/>
                <w:bCs/>
                <w:szCs w:val="21"/>
              </w:rPr>
              <w:t>50#化工原材料库</w:t>
            </w:r>
          </w:p>
        </w:tc>
        <w:tc>
          <w:tcPr>
            <w:tcW w:w="706" w:type="dxa"/>
            <w:shd w:val="clear" w:color="auto" w:fill="auto"/>
            <w:vAlign w:val="center"/>
          </w:tcPr>
          <w:p w14:paraId="2224F3B0">
            <w:pPr>
              <w:jc w:val="center"/>
              <w:rPr>
                <w:rFonts w:ascii="宋体" w:hAnsi="宋体"/>
                <w:b w:val="0"/>
                <w:bCs/>
                <w:szCs w:val="21"/>
              </w:rPr>
            </w:pPr>
            <w:r>
              <w:rPr>
                <w:rFonts w:hint="eastAsia" w:ascii="宋体" w:hAnsi="宋体"/>
                <w:b w:val="0"/>
                <w:bCs/>
                <w:szCs w:val="21"/>
              </w:rPr>
              <w:t>甲类</w:t>
            </w:r>
          </w:p>
        </w:tc>
        <w:tc>
          <w:tcPr>
            <w:tcW w:w="847" w:type="dxa"/>
            <w:shd w:val="clear" w:color="auto" w:fill="auto"/>
            <w:vAlign w:val="center"/>
          </w:tcPr>
          <w:p w14:paraId="5E58C35F">
            <w:pPr>
              <w:jc w:val="center"/>
              <w:rPr>
                <w:rFonts w:ascii="宋体" w:hAnsi="宋体"/>
                <w:b w:val="0"/>
                <w:bCs/>
                <w:szCs w:val="21"/>
              </w:rPr>
            </w:pPr>
            <w:r>
              <w:rPr>
                <w:rFonts w:hint="eastAsia" w:ascii="宋体" w:hAnsi="宋体"/>
                <w:b w:val="0"/>
                <w:bCs/>
                <w:szCs w:val="21"/>
              </w:rPr>
              <w:t>2000</w:t>
            </w:r>
          </w:p>
        </w:tc>
        <w:tc>
          <w:tcPr>
            <w:tcW w:w="1128" w:type="dxa"/>
            <w:shd w:val="clear" w:color="auto" w:fill="auto"/>
            <w:vAlign w:val="center"/>
          </w:tcPr>
          <w:p w14:paraId="552EC5FF">
            <w:pPr>
              <w:spacing w:line="260" w:lineRule="exact"/>
              <w:jc w:val="center"/>
              <w:rPr>
                <w:rFonts w:ascii="宋体" w:hAnsi="宋体"/>
                <w:b w:val="0"/>
                <w:bCs/>
                <w:szCs w:val="21"/>
              </w:rPr>
            </w:pPr>
            <w:r>
              <w:rPr>
                <w:rFonts w:hint="eastAsia" w:ascii="宋体" w:hAnsi="宋体"/>
                <w:b w:val="0"/>
                <w:bCs/>
                <w:szCs w:val="21"/>
              </w:rPr>
              <w:t>115</w:t>
            </w:r>
          </w:p>
        </w:tc>
        <w:tc>
          <w:tcPr>
            <w:tcW w:w="991" w:type="dxa"/>
            <w:vAlign w:val="center"/>
          </w:tcPr>
          <w:p w14:paraId="1E9DC56A">
            <w:pPr>
              <w:spacing w:line="260" w:lineRule="exact"/>
              <w:jc w:val="center"/>
              <w:rPr>
                <w:rFonts w:ascii="宋体" w:hAnsi="宋体"/>
                <w:b w:val="0"/>
                <w:bCs/>
                <w:szCs w:val="21"/>
              </w:rPr>
            </w:pPr>
            <w:r>
              <w:rPr>
                <w:rFonts w:hint="eastAsia" w:ascii="宋体" w:hAnsi="宋体"/>
                <w:b w:val="0"/>
                <w:bCs/>
                <w:szCs w:val="21"/>
              </w:rPr>
              <w:t>147</w:t>
            </w:r>
          </w:p>
        </w:tc>
      </w:tr>
      <w:tr w14:paraId="6C8B5B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901" w:type="dxa"/>
            <w:vMerge w:val="restart"/>
            <w:vAlign w:val="center"/>
          </w:tcPr>
          <w:p w14:paraId="54EB1049">
            <w:pPr>
              <w:spacing w:line="260" w:lineRule="exact"/>
              <w:jc w:val="center"/>
              <w:rPr>
                <w:rFonts w:ascii="宋体" w:hAnsi="宋体"/>
                <w:b w:val="0"/>
                <w:bCs/>
                <w:szCs w:val="21"/>
              </w:rPr>
            </w:pPr>
            <w:r>
              <w:rPr>
                <w:rFonts w:hint="eastAsia" w:ascii="宋体" w:hAnsi="宋体"/>
                <w:b w:val="0"/>
                <w:bCs/>
                <w:szCs w:val="21"/>
              </w:rPr>
              <w:t>89#成品库</w:t>
            </w:r>
          </w:p>
        </w:tc>
        <w:tc>
          <w:tcPr>
            <w:tcW w:w="734" w:type="dxa"/>
            <w:vMerge w:val="restart"/>
            <w:vAlign w:val="center"/>
          </w:tcPr>
          <w:p w14:paraId="11178540">
            <w:pPr>
              <w:spacing w:line="260" w:lineRule="exact"/>
              <w:jc w:val="center"/>
              <w:rPr>
                <w:rFonts w:ascii="宋体" w:hAnsi="宋体"/>
                <w:b w:val="0"/>
                <w:bCs/>
                <w:szCs w:val="21"/>
              </w:rPr>
            </w:pPr>
            <w:r>
              <w:rPr>
                <w:rFonts w:hint="eastAsia" w:ascii="宋体" w:hAnsi="宋体"/>
                <w:b w:val="0"/>
                <w:bCs/>
                <w:szCs w:val="21"/>
              </w:rPr>
              <w:t>1.3</w:t>
            </w:r>
          </w:p>
        </w:tc>
        <w:tc>
          <w:tcPr>
            <w:tcW w:w="1005" w:type="dxa"/>
            <w:vMerge w:val="restart"/>
            <w:vAlign w:val="center"/>
          </w:tcPr>
          <w:p w14:paraId="49AA7593">
            <w:pPr>
              <w:spacing w:line="260" w:lineRule="exact"/>
              <w:jc w:val="center"/>
              <w:rPr>
                <w:rFonts w:ascii="宋体" w:hAnsi="宋体"/>
                <w:b w:val="0"/>
                <w:bCs/>
                <w:szCs w:val="21"/>
              </w:rPr>
            </w:pPr>
            <w:r>
              <w:rPr>
                <w:rFonts w:hint="eastAsia" w:ascii="宋体" w:hAnsi="宋体"/>
                <w:b w:val="0"/>
                <w:bCs/>
                <w:szCs w:val="21"/>
              </w:rPr>
              <w:t>15000</w:t>
            </w:r>
          </w:p>
        </w:tc>
        <w:tc>
          <w:tcPr>
            <w:tcW w:w="1544" w:type="dxa"/>
            <w:shd w:val="clear" w:color="auto" w:fill="auto"/>
            <w:vAlign w:val="center"/>
          </w:tcPr>
          <w:p w14:paraId="22448625">
            <w:pPr>
              <w:spacing w:line="260" w:lineRule="exact"/>
              <w:jc w:val="center"/>
              <w:rPr>
                <w:rFonts w:ascii="宋体" w:hAnsi="宋体"/>
                <w:b w:val="0"/>
                <w:bCs/>
                <w:szCs w:val="21"/>
              </w:rPr>
            </w:pPr>
            <w:r>
              <w:rPr>
                <w:rFonts w:hint="eastAsia" w:ascii="宋体" w:hAnsi="宋体"/>
                <w:b w:val="0"/>
                <w:bCs/>
                <w:szCs w:val="21"/>
              </w:rPr>
              <w:t>16#引中转</w:t>
            </w:r>
          </w:p>
        </w:tc>
        <w:tc>
          <w:tcPr>
            <w:tcW w:w="706" w:type="dxa"/>
            <w:shd w:val="clear" w:color="auto" w:fill="auto"/>
            <w:vAlign w:val="center"/>
          </w:tcPr>
          <w:p w14:paraId="10C72E80">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-2</w:t>
            </w:r>
          </w:p>
        </w:tc>
        <w:tc>
          <w:tcPr>
            <w:tcW w:w="847" w:type="dxa"/>
            <w:shd w:val="clear" w:color="auto" w:fill="auto"/>
            <w:vAlign w:val="center"/>
          </w:tcPr>
          <w:p w14:paraId="5072A0AB">
            <w:pPr>
              <w:spacing w:line="260" w:lineRule="exact"/>
              <w:jc w:val="center"/>
              <w:rPr>
                <w:rFonts w:ascii="宋体" w:hAnsi="宋体"/>
                <w:b w:val="0"/>
                <w:bCs/>
                <w:szCs w:val="21"/>
              </w:rPr>
            </w:pPr>
            <w:r>
              <w:rPr>
                <w:rFonts w:hint="eastAsia" w:ascii="宋体" w:hAnsi="宋体"/>
                <w:b w:val="0"/>
                <w:bCs/>
                <w:szCs w:val="21"/>
              </w:rPr>
              <w:t>100</w:t>
            </w:r>
          </w:p>
        </w:tc>
        <w:tc>
          <w:tcPr>
            <w:tcW w:w="1128" w:type="dxa"/>
            <w:vAlign w:val="center"/>
          </w:tcPr>
          <w:p w14:paraId="4ADCB8E0">
            <w:pPr>
              <w:spacing w:line="260" w:lineRule="exact"/>
              <w:jc w:val="center"/>
              <w:rPr>
                <w:rFonts w:ascii="宋体" w:hAnsi="宋体"/>
                <w:b w:val="0"/>
                <w:bCs/>
                <w:szCs w:val="21"/>
              </w:rPr>
            </w:pPr>
            <w:r>
              <w:rPr>
                <w:rFonts w:hint="eastAsia" w:ascii="宋体" w:hAnsi="宋体"/>
                <w:b w:val="0"/>
                <w:bCs/>
                <w:szCs w:val="21"/>
              </w:rPr>
              <w:t>81.5</w:t>
            </w:r>
          </w:p>
        </w:tc>
        <w:tc>
          <w:tcPr>
            <w:tcW w:w="991" w:type="dxa"/>
            <w:vAlign w:val="center"/>
          </w:tcPr>
          <w:p w14:paraId="17D426A2">
            <w:pPr>
              <w:spacing w:line="260" w:lineRule="exact"/>
              <w:jc w:val="center"/>
              <w:rPr>
                <w:rFonts w:ascii="宋体" w:hAnsi="宋体"/>
                <w:b w:val="0"/>
                <w:bCs/>
                <w:szCs w:val="21"/>
              </w:rPr>
            </w:pPr>
            <w:r>
              <w:rPr>
                <w:rFonts w:hint="eastAsia" w:ascii="宋体" w:hAnsi="宋体"/>
                <w:b w:val="0"/>
                <w:bCs/>
                <w:szCs w:val="21"/>
              </w:rPr>
              <w:t>95</w:t>
            </w:r>
          </w:p>
        </w:tc>
      </w:tr>
      <w:tr w14:paraId="2DE2CA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901" w:type="dxa"/>
            <w:vMerge w:val="continue"/>
            <w:vAlign w:val="center"/>
          </w:tcPr>
          <w:p w14:paraId="6ED511FE">
            <w:pPr>
              <w:spacing w:line="260" w:lineRule="exact"/>
              <w:jc w:val="center"/>
              <w:rPr>
                <w:rFonts w:ascii="宋体" w:hAnsi="宋体"/>
                <w:b w:val="0"/>
                <w:bCs/>
                <w:szCs w:val="21"/>
              </w:rPr>
            </w:pPr>
          </w:p>
        </w:tc>
        <w:tc>
          <w:tcPr>
            <w:tcW w:w="734" w:type="dxa"/>
            <w:vMerge w:val="continue"/>
            <w:vAlign w:val="center"/>
          </w:tcPr>
          <w:p w14:paraId="0077B469">
            <w:pPr>
              <w:spacing w:line="260" w:lineRule="exact"/>
              <w:jc w:val="center"/>
              <w:rPr>
                <w:rFonts w:ascii="宋体" w:hAnsi="宋体"/>
                <w:b w:val="0"/>
                <w:bCs/>
                <w:szCs w:val="21"/>
              </w:rPr>
            </w:pPr>
          </w:p>
        </w:tc>
        <w:tc>
          <w:tcPr>
            <w:tcW w:w="1005" w:type="dxa"/>
            <w:vMerge w:val="continue"/>
            <w:vAlign w:val="center"/>
          </w:tcPr>
          <w:p w14:paraId="3A3C23D3">
            <w:pPr>
              <w:spacing w:line="260" w:lineRule="exact"/>
              <w:jc w:val="center"/>
              <w:rPr>
                <w:rFonts w:ascii="宋体" w:hAnsi="宋体"/>
                <w:b w:val="0"/>
                <w:bCs/>
                <w:szCs w:val="21"/>
              </w:rPr>
            </w:pPr>
          </w:p>
        </w:tc>
        <w:tc>
          <w:tcPr>
            <w:tcW w:w="1544" w:type="dxa"/>
            <w:shd w:val="clear" w:color="auto" w:fill="auto"/>
            <w:vAlign w:val="center"/>
          </w:tcPr>
          <w:p w14:paraId="28DF338D">
            <w:pPr>
              <w:spacing w:line="260" w:lineRule="exact"/>
              <w:jc w:val="center"/>
              <w:rPr>
                <w:rFonts w:ascii="宋体" w:hAnsi="宋体"/>
                <w:b w:val="0"/>
                <w:bCs/>
                <w:szCs w:val="21"/>
              </w:rPr>
            </w:pPr>
            <w:r>
              <w:rPr>
                <w:rFonts w:hint="eastAsia" w:ascii="宋体" w:hAnsi="宋体"/>
                <w:b w:val="0"/>
                <w:bCs/>
                <w:szCs w:val="21"/>
              </w:rPr>
              <w:t>34#药物中转</w:t>
            </w:r>
          </w:p>
        </w:tc>
        <w:tc>
          <w:tcPr>
            <w:tcW w:w="706" w:type="dxa"/>
            <w:shd w:val="clear" w:color="auto" w:fill="auto"/>
            <w:vAlign w:val="center"/>
          </w:tcPr>
          <w:p w14:paraId="17EE8D27">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-2</w:t>
            </w:r>
          </w:p>
        </w:tc>
        <w:tc>
          <w:tcPr>
            <w:tcW w:w="847" w:type="dxa"/>
            <w:shd w:val="clear" w:color="auto" w:fill="auto"/>
            <w:vAlign w:val="center"/>
          </w:tcPr>
          <w:p w14:paraId="5C174BA4">
            <w:pPr>
              <w:spacing w:line="260" w:lineRule="exact"/>
              <w:jc w:val="center"/>
              <w:rPr>
                <w:rFonts w:ascii="宋体" w:hAnsi="宋体"/>
                <w:b w:val="0"/>
                <w:bCs/>
                <w:szCs w:val="21"/>
              </w:rPr>
            </w:pPr>
            <w:r>
              <w:rPr>
                <w:rFonts w:hint="eastAsia" w:ascii="宋体" w:hAnsi="宋体"/>
                <w:b w:val="0"/>
                <w:bCs/>
                <w:szCs w:val="21"/>
              </w:rPr>
              <w:t>100</w:t>
            </w:r>
          </w:p>
        </w:tc>
        <w:tc>
          <w:tcPr>
            <w:tcW w:w="1128" w:type="dxa"/>
            <w:shd w:val="clear" w:color="auto" w:fill="auto"/>
            <w:vAlign w:val="center"/>
          </w:tcPr>
          <w:p w14:paraId="2EBE57C6">
            <w:pPr>
              <w:spacing w:line="260" w:lineRule="exact"/>
              <w:jc w:val="center"/>
              <w:rPr>
                <w:rFonts w:ascii="宋体" w:hAnsi="宋体"/>
                <w:b w:val="0"/>
                <w:bCs/>
                <w:szCs w:val="21"/>
              </w:rPr>
            </w:pPr>
            <w:r>
              <w:rPr>
                <w:rFonts w:hint="eastAsia" w:ascii="宋体" w:hAnsi="宋体"/>
                <w:b w:val="0"/>
                <w:bCs/>
                <w:szCs w:val="21"/>
              </w:rPr>
              <w:t>81.5</w:t>
            </w:r>
          </w:p>
        </w:tc>
        <w:tc>
          <w:tcPr>
            <w:tcW w:w="991" w:type="dxa"/>
            <w:shd w:val="clear" w:color="auto" w:fill="auto"/>
            <w:vAlign w:val="center"/>
          </w:tcPr>
          <w:p w14:paraId="6F0E023C">
            <w:pPr>
              <w:spacing w:line="260" w:lineRule="exact"/>
              <w:jc w:val="center"/>
              <w:rPr>
                <w:rFonts w:ascii="宋体" w:hAnsi="宋体"/>
                <w:b w:val="0"/>
                <w:bCs/>
                <w:szCs w:val="21"/>
              </w:rPr>
            </w:pPr>
            <w:r>
              <w:rPr>
                <w:rFonts w:hint="eastAsia" w:ascii="宋体" w:hAnsi="宋体"/>
                <w:b w:val="0"/>
                <w:bCs/>
                <w:szCs w:val="21"/>
              </w:rPr>
              <w:t>128</w:t>
            </w:r>
          </w:p>
        </w:tc>
      </w:tr>
      <w:tr w14:paraId="3A3F1B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901" w:type="dxa"/>
            <w:vMerge w:val="continue"/>
            <w:vAlign w:val="center"/>
          </w:tcPr>
          <w:p w14:paraId="4CC4E4C9">
            <w:pPr>
              <w:spacing w:line="260" w:lineRule="exact"/>
              <w:jc w:val="center"/>
              <w:rPr>
                <w:rFonts w:ascii="宋体" w:hAnsi="宋体"/>
                <w:b w:val="0"/>
                <w:bCs/>
                <w:szCs w:val="21"/>
              </w:rPr>
            </w:pPr>
          </w:p>
        </w:tc>
        <w:tc>
          <w:tcPr>
            <w:tcW w:w="734" w:type="dxa"/>
            <w:vMerge w:val="continue"/>
            <w:vAlign w:val="center"/>
          </w:tcPr>
          <w:p w14:paraId="05E919FF">
            <w:pPr>
              <w:spacing w:line="260" w:lineRule="exact"/>
              <w:jc w:val="center"/>
              <w:rPr>
                <w:rFonts w:ascii="宋体" w:hAnsi="宋体"/>
                <w:b w:val="0"/>
                <w:bCs/>
                <w:szCs w:val="21"/>
              </w:rPr>
            </w:pPr>
          </w:p>
        </w:tc>
        <w:tc>
          <w:tcPr>
            <w:tcW w:w="1005" w:type="dxa"/>
            <w:vMerge w:val="continue"/>
            <w:vAlign w:val="center"/>
          </w:tcPr>
          <w:p w14:paraId="120810D2">
            <w:pPr>
              <w:spacing w:line="260" w:lineRule="exact"/>
              <w:jc w:val="center"/>
              <w:rPr>
                <w:rFonts w:ascii="宋体" w:hAnsi="宋体"/>
                <w:b w:val="0"/>
                <w:bCs/>
                <w:szCs w:val="21"/>
              </w:rPr>
            </w:pPr>
          </w:p>
        </w:tc>
        <w:tc>
          <w:tcPr>
            <w:tcW w:w="1544" w:type="dxa"/>
            <w:shd w:val="clear" w:color="auto" w:fill="auto"/>
            <w:vAlign w:val="center"/>
          </w:tcPr>
          <w:p w14:paraId="02800446">
            <w:pPr>
              <w:spacing w:line="260" w:lineRule="exact"/>
              <w:jc w:val="center"/>
              <w:rPr>
                <w:rFonts w:ascii="宋体" w:hAnsi="宋体"/>
                <w:b w:val="0"/>
                <w:bCs/>
                <w:szCs w:val="21"/>
              </w:rPr>
            </w:pPr>
            <w:r>
              <w:rPr>
                <w:rFonts w:hint="eastAsia" w:ascii="宋体" w:hAnsi="宋体"/>
                <w:b w:val="0"/>
                <w:bCs/>
                <w:szCs w:val="21"/>
              </w:rPr>
              <w:t>72#亮珠中转</w:t>
            </w:r>
          </w:p>
        </w:tc>
        <w:tc>
          <w:tcPr>
            <w:tcW w:w="706" w:type="dxa"/>
            <w:shd w:val="clear" w:color="auto" w:fill="auto"/>
            <w:vAlign w:val="center"/>
          </w:tcPr>
          <w:p w14:paraId="1567D7BC">
            <w:pPr>
              <w:spacing w:line="260" w:lineRule="exact"/>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847" w:type="dxa"/>
            <w:shd w:val="clear" w:color="auto" w:fill="auto"/>
            <w:vAlign w:val="center"/>
          </w:tcPr>
          <w:p w14:paraId="57C2F1EA">
            <w:pPr>
              <w:spacing w:line="260" w:lineRule="exact"/>
              <w:jc w:val="center"/>
              <w:rPr>
                <w:rFonts w:ascii="宋体" w:hAnsi="宋体"/>
                <w:b w:val="0"/>
                <w:bCs/>
                <w:szCs w:val="21"/>
              </w:rPr>
            </w:pPr>
            <w:r>
              <w:rPr>
                <w:rFonts w:hint="eastAsia" w:ascii="宋体" w:hAnsi="宋体"/>
                <w:b w:val="0"/>
                <w:bCs/>
                <w:szCs w:val="21"/>
              </w:rPr>
              <w:t>100</w:t>
            </w:r>
          </w:p>
        </w:tc>
        <w:tc>
          <w:tcPr>
            <w:tcW w:w="1128" w:type="dxa"/>
            <w:shd w:val="clear" w:color="auto" w:fill="auto"/>
            <w:vAlign w:val="center"/>
          </w:tcPr>
          <w:p w14:paraId="0BD9A5E5">
            <w:pPr>
              <w:spacing w:line="260" w:lineRule="exact"/>
              <w:jc w:val="center"/>
              <w:rPr>
                <w:rFonts w:ascii="宋体" w:hAnsi="宋体"/>
                <w:b w:val="0"/>
                <w:bCs/>
                <w:szCs w:val="21"/>
              </w:rPr>
            </w:pPr>
            <w:r>
              <w:rPr>
                <w:rFonts w:hint="eastAsia" w:ascii="宋体" w:hAnsi="宋体"/>
                <w:b w:val="0"/>
                <w:bCs/>
                <w:szCs w:val="21"/>
              </w:rPr>
              <w:t>81.5</w:t>
            </w:r>
          </w:p>
        </w:tc>
        <w:tc>
          <w:tcPr>
            <w:tcW w:w="991" w:type="dxa"/>
            <w:shd w:val="clear" w:color="auto" w:fill="auto"/>
            <w:vAlign w:val="center"/>
          </w:tcPr>
          <w:p w14:paraId="41C54236">
            <w:pPr>
              <w:spacing w:line="260" w:lineRule="exact"/>
              <w:jc w:val="center"/>
              <w:rPr>
                <w:rFonts w:ascii="宋体" w:hAnsi="宋体"/>
                <w:b w:val="0"/>
                <w:bCs/>
                <w:szCs w:val="21"/>
              </w:rPr>
            </w:pPr>
            <w:r>
              <w:rPr>
                <w:rFonts w:hint="eastAsia" w:ascii="宋体" w:hAnsi="宋体"/>
                <w:b w:val="0"/>
                <w:bCs/>
                <w:szCs w:val="21"/>
              </w:rPr>
              <w:t>98</w:t>
            </w:r>
          </w:p>
        </w:tc>
      </w:tr>
      <w:tr w14:paraId="64D4A0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901" w:type="dxa"/>
            <w:vMerge w:val="continue"/>
            <w:vAlign w:val="center"/>
          </w:tcPr>
          <w:p w14:paraId="59243B3C">
            <w:pPr>
              <w:spacing w:line="260" w:lineRule="exact"/>
              <w:jc w:val="center"/>
              <w:rPr>
                <w:rFonts w:ascii="宋体" w:hAnsi="宋体"/>
                <w:b w:val="0"/>
                <w:bCs/>
                <w:szCs w:val="21"/>
              </w:rPr>
            </w:pPr>
          </w:p>
        </w:tc>
        <w:tc>
          <w:tcPr>
            <w:tcW w:w="734" w:type="dxa"/>
            <w:vMerge w:val="continue"/>
            <w:vAlign w:val="center"/>
          </w:tcPr>
          <w:p w14:paraId="2D7FE020">
            <w:pPr>
              <w:spacing w:line="260" w:lineRule="exact"/>
              <w:jc w:val="center"/>
              <w:rPr>
                <w:rFonts w:ascii="宋体" w:hAnsi="宋体"/>
                <w:b w:val="0"/>
                <w:bCs/>
                <w:szCs w:val="21"/>
              </w:rPr>
            </w:pPr>
          </w:p>
        </w:tc>
        <w:tc>
          <w:tcPr>
            <w:tcW w:w="1005" w:type="dxa"/>
            <w:vMerge w:val="continue"/>
            <w:vAlign w:val="center"/>
          </w:tcPr>
          <w:p w14:paraId="79AD7ED8">
            <w:pPr>
              <w:spacing w:line="260" w:lineRule="exact"/>
              <w:jc w:val="center"/>
              <w:rPr>
                <w:rFonts w:ascii="宋体" w:hAnsi="宋体"/>
                <w:b w:val="0"/>
                <w:bCs/>
                <w:szCs w:val="21"/>
              </w:rPr>
            </w:pPr>
          </w:p>
        </w:tc>
        <w:tc>
          <w:tcPr>
            <w:tcW w:w="1544" w:type="dxa"/>
            <w:shd w:val="clear" w:color="auto" w:fill="auto"/>
            <w:vAlign w:val="center"/>
          </w:tcPr>
          <w:p w14:paraId="54C1B192">
            <w:pPr>
              <w:spacing w:line="260" w:lineRule="exact"/>
              <w:jc w:val="center"/>
              <w:rPr>
                <w:rFonts w:ascii="宋体" w:hAnsi="宋体"/>
                <w:b w:val="0"/>
                <w:bCs/>
                <w:szCs w:val="21"/>
              </w:rPr>
            </w:pPr>
            <w:r>
              <w:rPr>
                <w:rFonts w:hint="eastAsia" w:ascii="宋体" w:hAnsi="宋体"/>
                <w:b w:val="0"/>
                <w:bCs/>
                <w:spacing w:val="-11"/>
                <w:szCs w:val="21"/>
              </w:rPr>
              <w:t>79#还原剂粉碎</w:t>
            </w:r>
          </w:p>
        </w:tc>
        <w:tc>
          <w:tcPr>
            <w:tcW w:w="706" w:type="dxa"/>
            <w:shd w:val="clear" w:color="auto" w:fill="auto"/>
            <w:vAlign w:val="center"/>
          </w:tcPr>
          <w:p w14:paraId="3871AFAE">
            <w:pPr>
              <w:spacing w:line="260" w:lineRule="exact"/>
              <w:jc w:val="center"/>
              <w:rPr>
                <w:rFonts w:ascii="宋体" w:hAnsi="宋体"/>
                <w:b w:val="0"/>
                <w:bCs/>
                <w:szCs w:val="21"/>
              </w:rPr>
            </w:pPr>
            <w:r>
              <w:rPr>
                <w:rFonts w:hint="eastAsia" w:ascii="宋体" w:hAnsi="宋体"/>
                <w:b w:val="0"/>
                <w:bCs/>
                <w:szCs w:val="21"/>
              </w:rPr>
              <w:t>1.3</w:t>
            </w:r>
          </w:p>
        </w:tc>
        <w:tc>
          <w:tcPr>
            <w:tcW w:w="847" w:type="dxa"/>
            <w:shd w:val="clear" w:color="auto" w:fill="auto"/>
            <w:vAlign w:val="center"/>
          </w:tcPr>
          <w:p w14:paraId="53CF84F1">
            <w:pPr>
              <w:spacing w:line="260" w:lineRule="exact"/>
              <w:jc w:val="center"/>
              <w:rPr>
                <w:rFonts w:ascii="宋体" w:hAnsi="宋体"/>
                <w:b w:val="0"/>
                <w:bCs/>
                <w:szCs w:val="21"/>
              </w:rPr>
            </w:pPr>
            <w:r>
              <w:rPr>
                <w:rFonts w:hint="eastAsia" w:ascii="宋体" w:hAnsi="宋体"/>
                <w:b w:val="0"/>
                <w:bCs/>
                <w:szCs w:val="21"/>
              </w:rPr>
              <w:t>100</w:t>
            </w:r>
          </w:p>
        </w:tc>
        <w:tc>
          <w:tcPr>
            <w:tcW w:w="1128" w:type="dxa"/>
            <w:shd w:val="clear" w:color="auto" w:fill="auto"/>
            <w:vAlign w:val="center"/>
          </w:tcPr>
          <w:p w14:paraId="56E8D6C1">
            <w:pPr>
              <w:spacing w:line="260" w:lineRule="exact"/>
              <w:jc w:val="center"/>
              <w:rPr>
                <w:rFonts w:ascii="宋体" w:hAnsi="宋体"/>
                <w:b w:val="0"/>
                <w:bCs/>
                <w:szCs w:val="21"/>
              </w:rPr>
            </w:pPr>
            <w:r>
              <w:rPr>
                <w:rFonts w:hint="eastAsia" w:ascii="宋体" w:hAnsi="宋体"/>
                <w:b w:val="0"/>
                <w:bCs/>
                <w:szCs w:val="21"/>
              </w:rPr>
              <w:t>81.5</w:t>
            </w:r>
          </w:p>
        </w:tc>
        <w:tc>
          <w:tcPr>
            <w:tcW w:w="991" w:type="dxa"/>
            <w:shd w:val="clear" w:color="auto" w:fill="auto"/>
            <w:vAlign w:val="center"/>
          </w:tcPr>
          <w:p w14:paraId="29B69DEB">
            <w:pPr>
              <w:spacing w:line="260" w:lineRule="exact"/>
              <w:jc w:val="center"/>
              <w:rPr>
                <w:rFonts w:ascii="宋体" w:hAnsi="宋体"/>
                <w:b w:val="0"/>
                <w:bCs/>
                <w:szCs w:val="21"/>
              </w:rPr>
            </w:pPr>
            <w:r>
              <w:rPr>
                <w:rFonts w:hint="eastAsia" w:ascii="宋体" w:hAnsi="宋体"/>
                <w:b w:val="0"/>
                <w:bCs/>
                <w:szCs w:val="21"/>
              </w:rPr>
              <w:t>93</w:t>
            </w:r>
          </w:p>
        </w:tc>
      </w:tr>
      <w:tr w14:paraId="52B107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901" w:type="dxa"/>
            <w:vMerge w:val="continue"/>
            <w:vAlign w:val="center"/>
          </w:tcPr>
          <w:p w14:paraId="50B5E3B5">
            <w:pPr>
              <w:spacing w:line="260" w:lineRule="exact"/>
              <w:jc w:val="center"/>
              <w:rPr>
                <w:rFonts w:ascii="宋体" w:hAnsi="宋体"/>
                <w:b w:val="0"/>
                <w:bCs/>
                <w:szCs w:val="21"/>
              </w:rPr>
            </w:pPr>
          </w:p>
        </w:tc>
        <w:tc>
          <w:tcPr>
            <w:tcW w:w="734" w:type="dxa"/>
            <w:vMerge w:val="continue"/>
            <w:vAlign w:val="center"/>
          </w:tcPr>
          <w:p w14:paraId="520B90BF">
            <w:pPr>
              <w:spacing w:line="260" w:lineRule="exact"/>
              <w:jc w:val="center"/>
              <w:rPr>
                <w:rFonts w:ascii="宋体" w:hAnsi="宋体"/>
                <w:b w:val="0"/>
                <w:bCs/>
                <w:szCs w:val="21"/>
              </w:rPr>
            </w:pPr>
          </w:p>
        </w:tc>
        <w:tc>
          <w:tcPr>
            <w:tcW w:w="1005" w:type="dxa"/>
            <w:vMerge w:val="continue"/>
            <w:vAlign w:val="center"/>
          </w:tcPr>
          <w:p w14:paraId="3C48A610">
            <w:pPr>
              <w:spacing w:line="260" w:lineRule="exact"/>
              <w:jc w:val="center"/>
              <w:rPr>
                <w:rFonts w:ascii="宋体" w:hAnsi="宋体"/>
                <w:b w:val="0"/>
                <w:bCs/>
                <w:szCs w:val="21"/>
              </w:rPr>
            </w:pPr>
          </w:p>
        </w:tc>
        <w:tc>
          <w:tcPr>
            <w:tcW w:w="1544" w:type="dxa"/>
            <w:shd w:val="clear" w:color="auto" w:fill="auto"/>
            <w:vAlign w:val="center"/>
          </w:tcPr>
          <w:p w14:paraId="03C41242">
            <w:pPr>
              <w:spacing w:line="260" w:lineRule="exact"/>
              <w:jc w:val="center"/>
              <w:rPr>
                <w:rFonts w:ascii="宋体" w:hAnsi="宋体"/>
                <w:b w:val="0"/>
                <w:bCs/>
                <w:szCs w:val="21"/>
              </w:rPr>
            </w:pPr>
            <w:r>
              <w:rPr>
                <w:rFonts w:hint="eastAsia" w:ascii="宋体" w:hAnsi="宋体"/>
                <w:b w:val="0"/>
                <w:bCs/>
                <w:szCs w:val="21"/>
              </w:rPr>
              <w:t>82#酒精库</w:t>
            </w:r>
          </w:p>
        </w:tc>
        <w:tc>
          <w:tcPr>
            <w:tcW w:w="706" w:type="dxa"/>
            <w:shd w:val="clear" w:color="auto" w:fill="auto"/>
            <w:vAlign w:val="center"/>
          </w:tcPr>
          <w:p w14:paraId="100E54D7">
            <w:pPr>
              <w:spacing w:line="260" w:lineRule="exact"/>
              <w:jc w:val="center"/>
              <w:rPr>
                <w:rFonts w:ascii="宋体" w:hAnsi="宋体"/>
                <w:b w:val="0"/>
                <w:bCs/>
                <w:szCs w:val="21"/>
              </w:rPr>
            </w:pPr>
            <w:r>
              <w:rPr>
                <w:rFonts w:hint="eastAsia" w:ascii="宋体" w:hAnsi="宋体"/>
                <w:b w:val="0"/>
                <w:bCs/>
                <w:szCs w:val="21"/>
              </w:rPr>
              <w:t>甲类</w:t>
            </w:r>
          </w:p>
        </w:tc>
        <w:tc>
          <w:tcPr>
            <w:tcW w:w="847" w:type="dxa"/>
            <w:shd w:val="clear" w:color="auto" w:fill="auto"/>
            <w:vAlign w:val="center"/>
          </w:tcPr>
          <w:p w14:paraId="470019A2">
            <w:pPr>
              <w:spacing w:line="260" w:lineRule="exact"/>
              <w:jc w:val="center"/>
              <w:rPr>
                <w:rFonts w:ascii="宋体" w:hAnsi="宋体"/>
                <w:b w:val="0"/>
                <w:bCs/>
                <w:szCs w:val="21"/>
              </w:rPr>
            </w:pPr>
            <w:r>
              <w:rPr>
                <w:rFonts w:hint="eastAsia" w:ascii="宋体" w:hAnsi="宋体"/>
                <w:b w:val="0"/>
                <w:bCs/>
                <w:szCs w:val="21"/>
              </w:rPr>
              <w:t>2000</w:t>
            </w:r>
          </w:p>
        </w:tc>
        <w:tc>
          <w:tcPr>
            <w:tcW w:w="1128" w:type="dxa"/>
            <w:shd w:val="clear" w:color="auto" w:fill="auto"/>
            <w:vAlign w:val="center"/>
          </w:tcPr>
          <w:p w14:paraId="06606F2D">
            <w:pPr>
              <w:spacing w:line="260" w:lineRule="exact"/>
              <w:jc w:val="center"/>
              <w:rPr>
                <w:rFonts w:ascii="宋体" w:hAnsi="宋体"/>
                <w:b w:val="0"/>
                <w:bCs/>
                <w:szCs w:val="21"/>
              </w:rPr>
            </w:pPr>
            <w:r>
              <w:rPr>
                <w:rFonts w:hint="eastAsia" w:ascii="宋体" w:hAnsi="宋体"/>
                <w:b w:val="0"/>
                <w:bCs/>
                <w:szCs w:val="21"/>
              </w:rPr>
              <w:t>81.5</w:t>
            </w:r>
          </w:p>
        </w:tc>
        <w:tc>
          <w:tcPr>
            <w:tcW w:w="991" w:type="dxa"/>
            <w:shd w:val="clear" w:color="auto" w:fill="auto"/>
            <w:vAlign w:val="center"/>
          </w:tcPr>
          <w:p w14:paraId="496906F9">
            <w:pPr>
              <w:spacing w:line="260" w:lineRule="exact"/>
              <w:jc w:val="center"/>
              <w:rPr>
                <w:rFonts w:ascii="宋体" w:hAnsi="宋体"/>
                <w:b w:val="0"/>
                <w:bCs/>
                <w:szCs w:val="21"/>
              </w:rPr>
            </w:pPr>
            <w:r>
              <w:rPr>
                <w:rFonts w:hint="eastAsia" w:ascii="宋体" w:hAnsi="宋体"/>
                <w:b w:val="0"/>
                <w:bCs/>
                <w:szCs w:val="21"/>
              </w:rPr>
              <w:t>96</w:t>
            </w:r>
          </w:p>
        </w:tc>
      </w:tr>
      <w:tr w14:paraId="3212B5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901" w:type="dxa"/>
            <w:vMerge w:val="restart"/>
            <w:vAlign w:val="center"/>
          </w:tcPr>
          <w:p w14:paraId="49612DA0">
            <w:pPr>
              <w:spacing w:line="260" w:lineRule="exact"/>
              <w:jc w:val="center"/>
              <w:rPr>
                <w:rFonts w:ascii="宋体" w:hAnsi="宋体"/>
                <w:b w:val="0"/>
                <w:bCs/>
                <w:szCs w:val="21"/>
              </w:rPr>
            </w:pPr>
            <w:r>
              <w:rPr>
                <w:rFonts w:hint="eastAsia" w:ascii="宋体" w:hAnsi="宋体"/>
                <w:b w:val="0"/>
                <w:bCs/>
                <w:szCs w:val="21"/>
              </w:rPr>
              <w:t>90#成品库</w:t>
            </w:r>
          </w:p>
        </w:tc>
        <w:tc>
          <w:tcPr>
            <w:tcW w:w="734" w:type="dxa"/>
            <w:vMerge w:val="restart"/>
            <w:vAlign w:val="center"/>
          </w:tcPr>
          <w:p w14:paraId="34D6577C">
            <w:pPr>
              <w:spacing w:line="260" w:lineRule="exact"/>
              <w:jc w:val="center"/>
              <w:rPr>
                <w:rFonts w:ascii="宋体" w:hAnsi="宋体"/>
                <w:b w:val="0"/>
                <w:bCs/>
                <w:szCs w:val="21"/>
              </w:rPr>
            </w:pPr>
            <w:r>
              <w:rPr>
                <w:rFonts w:hint="eastAsia" w:ascii="宋体" w:hAnsi="宋体"/>
                <w:b w:val="0"/>
                <w:bCs/>
                <w:szCs w:val="21"/>
              </w:rPr>
              <w:t>1.3</w:t>
            </w:r>
          </w:p>
        </w:tc>
        <w:tc>
          <w:tcPr>
            <w:tcW w:w="1005" w:type="dxa"/>
            <w:vMerge w:val="restart"/>
            <w:vAlign w:val="center"/>
          </w:tcPr>
          <w:p w14:paraId="7895DFE8">
            <w:pPr>
              <w:spacing w:line="260" w:lineRule="exact"/>
              <w:jc w:val="center"/>
              <w:rPr>
                <w:rFonts w:ascii="宋体" w:hAnsi="宋体"/>
                <w:b w:val="0"/>
                <w:bCs/>
                <w:szCs w:val="21"/>
              </w:rPr>
            </w:pPr>
            <w:r>
              <w:rPr>
                <w:rFonts w:hint="eastAsia" w:ascii="宋体" w:hAnsi="宋体"/>
                <w:b w:val="0"/>
                <w:bCs/>
                <w:szCs w:val="21"/>
              </w:rPr>
              <w:t>10000</w:t>
            </w:r>
          </w:p>
        </w:tc>
        <w:tc>
          <w:tcPr>
            <w:tcW w:w="1544" w:type="dxa"/>
            <w:vAlign w:val="center"/>
          </w:tcPr>
          <w:p w14:paraId="1E5F5737">
            <w:pPr>
              <w:spacing w:line="260" w:lineRule="exact"/>
              <w:jc w:val="center"/>
              <w:rPr>
                <w:rFonts w:ascii="宋体" w:hAnsi="宋体"/>
                <w:b w:val="0"/>
                <w:bCs/>
                <w:szCs w:val="21"/>
              </w:rPr>
            </w:pPr>
            <w:r>
              <w:rPr>
                <w:rFonts w:hint="eastAsia" w:ascii="宋体" w:hAnsi="宋体"/>
                <w:b w:val="0"/>
                <w:bCs/>
                <w:szCs w:val="21"/>
              </w:rPr>
              <w:t>48#电控</w:t>
            </w:r>
          </w:p>
        </w:tc>
        <w:tc>
          <w:tcPr>
            <w:tcW w:w="706" w:type="dxa"/>
            <w:vAlign w:val="center"/>
          </w:tcPr>
          <w:p w14:paraId="764F7641">
            <w:pPr>
              <w:jc w:val="center"/>
              <w:rPr>
                <w:rFonts w:ascii="宋体" w:hAnsi="宋体"/>
                <w:b w:val="0"/>
                <w:bCs/>
                <w:szCs w:val="21"/>
              </w:rPr>
            </w:pPr>
            <w:r>
              <w:rPr>
                <w:rFonts w:hint="eastAsia" w:ascii="宋体" w:hAnsi="宋体"/>
                <w:b w:val="0"/>
                <w:bCs/>
                <w:szCs w:val="21"/>
              </w:rPr>
              <w:t>/</w:t>
            </w:r>
          </w:p>
        </w:tc>
        <w:tc>
          <w:tcPr>
            <w:tcW w:w="847" w:type="dxa"/>
            <w:vAlign w:val="center"/>
          </w:tcPr>
          <w:p w14:paraId="6541BE09">
            <w:pPr>
              <w:jc w:val="center"/>
              <w:rPr>
                <w:rFonts w:ascii="宋体" w:hAnsi="宋体"/>
                <w:b w:val="0"/>
                <w:bCs/>
                <w:szCs w:val="21"/>
              </w:rPr>
            </w:pPr>
            <w:r>
              <w:rPr>
                <w:rFonts w:hint="eastAsia" w:ascii="宋体" w:hAnsi="宋体"/>
                <w:b w:val="0"/>
                <w:bCs/>
                <w:szCs w:val="21"/>
              </w:rPr>
              <w:t>/</w:t>
            </w:r>
          </w:p>
        </w:tc>
        <w:tc>
          <w:tcPr>
            <w:tcW w:w="1128" w:type="dxa"/>
            <w:vAlign w:val="center"/>
          </w:tcPr>
          <w:p w14:paraId="5A5EAAC1">
            <w:pPr>
              <w:spacing w:line="260" w:lineRule="exact"/>
              <w:jc w:val="center"/>
              <w:rPr>
                <w:rFonts w:ascii="宋体" w:hAnsi="宋体"/>
                <w:b w:val="0"/>
                <w:bCs/>
                <w:szCs w:val="21"/>
              </w:rPr>
            </w:pPr>
            <w:r>
              <w:rPr>
                <w:rFonts w:hint="eastAsia" w:ascii="宋体" w:hAnsi="宋体"/>
                <w:b w:val="0"/>
                <w:bCs/>
                <w:szCs w:val="21"/>
              </w:rPr>
              <w:t>85</w:t>
            </w:r>
          </w:p>
        </w:tc>
        <w:tc>
          <w:tcPr>
            <w:tcW w:w="991" w:type="dxa"/>
            <w:vAlign w:val="center"/>
          </w:tcPr>
          <w:p w14:paraId="743C2F35">
            <w:pPr>
              <w:spacing w:line="260" w:lineRule="exact"/>
              <w:jc w:val="center"/>
              <w:rPr>
                <w:rFonts w:ascii="宋体" w:hAnsi="宋体"/>
                <w:b w:val="0"/>
                <w:bCs/>
                <w:szCs w:val="21"/>
              </w:rPr>
            </w:pPr>
            <w:r>
              <w:rPr>
                <w:rFonts w:hint="eastAsia" w:ascii="宋体" w:hAnsi="宋体"/>
                <w:b w:val="0"/>
                <w:bCs/>
                <w:szCs w:val="21"/>
              </w:rPr>
              <w:t>99</w:t>
            </w:r>
          </w:p>
        </w:tc>
      </w:tr>
      <w:tr w14:paraId="5A70CE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73" w:hRule="atLeast"/>
          <w:jc w:val="center"/>
        </w:trPr>
        <w:tc>
          <w:tcPr>
            <w:tcW w:w="1901" w:type="dxa"/>
            <w:vMerge w:val="continue"/>
            <w:vAlign w:val="center"/>
          </w:tcPr>
          <w:p w14:paraId="02A419EF">
            <w:pPr>
              <w:spacing w:line="260" w:lineRule="exact"/>
              <w:jc w:val="center"/>
              <w:rPr>
                <w:rFonts w:ascii="宋体" w:hAnsi="宋体"/>
                <w:b w:val="0"/>
                <w:bCs/>
                <w:szCs w:val="21"/>
              </w:rPr>
            </w:pPr>
          </w:p>
        </w:tc>
        <w:tc>
          <w:tcPr>
            <w:tcW w:w="734" w:type="dxa"/>
            <w:vMerge w:val="continue"/>
            <w:vAlign w:val="center"/>
          </w:tcPr>
          <w:p w14:paraId="5E0565E7">
            <w:pPr>
              <w:spacing w:line="260" w:lineRule="exact"/>
              <w:jc w:val="center"/>
              <w:rPr>
                <w:rFonts w:ascii="宋体" w:hAnsi="宋体"/>
                <w:b w:val="0"/>
                <w:bCs/>
                <w:szCs w:val="21"/>
              </w:rPr>
            </w:pPr>
          </w:p>
        </w:tc>
        <w:tc>
          <w:tcPr>
            <w:tcW w:w="1005" w:type="dxa"/>
            <w:vMerge w:val="continue"/>
            <w:vAlign w:val="center"/>
          </w:tcPr>
          <w:p w14:paraId="3F7ED66F">
            <w:pPr>
              <w:spacing w:line="260" w:lineRule="exact"/>
              <w:jc w:val="center"/>
              <w:rPr>
                <w:rFonts w:ascii="宋体" w:hAnsi="宋体"/>
                <w:b w:val="0"/>
                <w:bCs/>
                <w:szCs w:val="21"/>
              </w:rPr>
            </w:pPr>
          </w:p>
        </w:tc>
        <w:tc>
          <w:tcPr>
            <w:tcW w:w="1544" w:type="dxa"/>
            <w:vAlign w:val="center"/>
          </w:tcPr>
          <w:p w14:paraId="4DFE6405">
            <w:pPr>
              <w:spacing w:line="260" w:lineRule="exact"/>
              <w:jc w:val="center"/>
              <w:rPr>
                <w:rFonts w:ascii="宋体" w:hAnsi="宋体"/>
                <w:b w:val="0"/>
                <w:bCs/>
                <w:szCs w:val="21"/>
              </w:rPr>
            </w:pPr>
            <w:r>
              <w:rPr>
                <w:rFonts w:hint="eastAsia" w:ascii="宋体" w:hAnsi="宋体"/>
                <w:b w:val="0"/>
                <w:bCs/>
                <w:spacing w:val="-11"/>
                <w:szCs w:val="21"/>
              </w:rPr>
              <w:t>67#电烘房/散热</w:t>
            </w:r>
          </w:p>
        </w:tc>
        <w:tc>
          <w:tcPr>
            <w:tcW w:w="706" w:type="dxa"/>
            <w:vAlign w:val="center"/>
          </w:tcPr>
          <w:p w14:paraId="437C480F">
            <w:pPr>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847" w:type="dxa"/>
            <w:vAlign w:val="center"/>
          </w:tcPr>
          <w:p w14:paraId="7D66A49F">
            <w:pPr>
              <w:jc w:val="center"/>
              <w:rPr>
                <w:rFonts w:ascii="宋体" w:hAnsi="宋体"/>
                <w:b w:val="0"/>
                <w:bCs/>
                <w:szCs w:val="21"/>
              </w:rPr>
            </w:pPr>
            <w:r>
              <w:rPr>
                <w:rFonts w:hint="eastAsia" w:ascii="宋体" w:hAnsi="宋体"/>
                <w:b w:val="0"/>
                <w:bCs/>
                <w:szCs w:val="21"/>
              </w:rPr>
              <w:t>500</w:t>
            </w:r>
          </w:p>
        </w:tc>
        <w:tc>
          <w:tcPr>
            <w:tcW w:w="1128" w:type="dxa"/>
            <w:vAlign w:val="center"/>
          </w:tcPr>
          <w:p w14:paraId="23DEFBFC">
            <w:pPr>
              <w:spacing w:line="260" w:lineRule="exact"/>
              <w:jc w:val="center"/>
              <w:rPr>
                <w:rFonts w:ascii="宋体" w:hAnsi="宋体"/>
                <w:b w:val="0"/>
                <w:bCs/>
                <w:szCs w:val="21"/>
              </w:rPr>
            </w:pPr>
            <w:r>
              <w:rPr>
                <w:rFonts w:hint="eastAsia" w:ascii="宋体" w:hAnsi="宋体"/>
                <w:b w:val="0"/>
                <w:bCs/>
                <w:szCs w:val="21"/>
              </w:rPr>
              <w:t>140</w:t>
            </w:r>
          </w:p>
        </w:tc>
        <w:tc>
          <w:tcPr>
            <w:tcW w:w="991" w:type="dxa"/>
            <w:vAlign w:val="center"/>
          </w:tcPr>
          <w:p w14:paraId="32C9994A">
            <w:pPr>
              <w:spacing w:line="260" w:lineRule="exact"/>
              <w:jc w:val="center"/>
              <w:rPr>
                <w:rFonts w:ascii="宋体" w:hAnsi="宋体"/>
                <w:b w:val="0"/>
                <w:bCs/>
                <w:szCs w:val="21"/>
              </w:rPr>
            </w:pPr>
            <w:r>
              <w:rPr>
                <w:rFonts w:hint="eastAsia" w:ascii="宋体" w:hAnsi="宋体"/>
                <w:b w:val="0"/>
                <w:bCs/>
                <w:szCs w:val="21"/>
              </w:rPr>
              <w:t>143</w:t>
            </w:r>
          </w:p>
        </w:tc>
      </w:tr>
      <w:tr w14:paraId="586D25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901" w:type="dxa"/>
            <w:vMerge w:val="continue"/>
            <w:vAlign w:val="center"/>
          </w:tcPr>
          <w:p w14:paraId="49986D1B">
            <w:pPr>
              <w:spacing w:line="260" w:lineRule="exact"/>
              <w:jc w:val="center"/>
              <w:rPr>
                <w:rFonts w:ascii="宋体" w:hAnsi="宋体"/>
                <w:b w:val="0"/>
                <w:bCs/>
                <w:szCs w:val="21"/>
              </w:rPr>
            </w:pPr>
          </w:p>
        </w:tc>
        <w:tc>
          <w:tcPr>
            <w:tcW w:w="734" w:type="dxa"/>
            <w:vMerge w:val="continue"/>
            <w:vAlign w:val="center"/>
          </w:tcPr>
          <w:p w14:paraId="46673B2D">
            <w:pPr>
              <w:spacing w:line="260" w:lineRule="exact"/>
              <w:jc w:val="center"/>
              <w:rPr>
                <w:rFonts w:ascii="宋体" w:hAnsi="宋体"/>
                <w:b w:val="0"/>
                <w:bCs/>
                <w:szCs w:val="21"/>
              </w:rPr>
            </w:pPr>
          </w:p>
        </w:tc>
        <w:tc>
          <w:tcPr>
            <w:tcW w:w="1005" w:type="dxa"/>
            <w:vMerge w:val="continue"/>
            <w:vAlign w:val="center"/>
          </w:tcPr>
          <w:p w14:paraId="1CF6015F">
            <w:pPr>
              <w:spacing w:line="260" w:lineRule="exact"/>
              <w:jc w:val="center"/>
              <w:rPr>
                <w:rFonts w:ascii="宋体" w:hAnsi="宋体"/>
                <w:b w:val="0"/>
                <w:bCs/>
                <w:szCs w:val="21"/>
              </w:rPr>
            </w:pPr>
          </w:p>
        </w:tc>
        <w:tc>
          <w:tcPr>
            <w:tcW w:w="1544" w:type="dxa"/>
            <w:vAlign w:val="center"/>
          </w:tcPr>
          <w:p w14:paraId="5408C740">
            <w:pPr>
              <w:spacing w:line="260" w:lineRule="exact"/>
              <w:jc w:val="center"/>
              <w:rPr>
                <w:rFonts w:ascii="宋体" w:hAnsi="宋体"/>
                <w:b w:val="0"/>
                <w:bCs/>
                <w:szCs w:val="21"/>
              </w:rPr>
            </w:pPr>
            <w:r>
              <w:rPr>
                <w:rFonts w:hint="eastAsia" w:ascii="宋体" w:hAnsi="宋体"/>
                <w:b w:val="0"/>
                <w:bCs/>
                <w:szCs w:val="21"/>
              </w:rPr>
              <w:t>65#包装中转</w:t>
            </w:r>
          </w:p>
        </w:tc>
        <w:tc>
          <w:tcPr>
            <w:tcW w:w="706" w:type="dxa"/>
            <w:shd w:val="clear" w:color="auto" w:fill="auto"/>
            <w:vAlign w:val="center"/>
          </w:tcPr>
          <w:p w14:paraId="61F75E36">
            <w:pPr>
              <w:jc w:val="center"/>
              <w:rPr>
                <w:rFonts w:ascii="宋体" w:hAnsi="宋体"/>
                <w:b w:val="0"/>
                <w:bCs/>
                <w:szCs w:val="21"/>
              </w:rPr>
            </w:pPr>
            <w:r>
              <w:rPr>
                <w:rFonts w:hint="eastAsia" w:ascii="宋体" w:hAnsi="宋体"/>
                <w:b w:val="0"/>
                <w:bCs/>
                <w:szCs w:val="21"/>
              </w:rPr>
              <w:t>1.1</w:t>
            </w:r>
            <w:r>
              <w:rPr>
                <w:rFonts w:hint="eastAsia" w:ascii="宋体" w:hAnsi="宋体"/>
                <w:b w:val="0"/>
                <w:bCs/>
                <w:szCs w:val="21"/>
                <w:vertAlign w:val="superscript"/>
              </w:rPr>
              <w:t>-1</w:t>
            </w:r>
          </w:p>
        </w:tc>
        <w:tc>
          <w:tcPr>
            <w:tcW w:w="847" w:type="dxa"/>
            <w:shd w:val="clear" w:color="auto" w:fill="auto"/>
            <w:vAlign w:val="center"/>
          </w:tcPr>
          <w:p w14:paraId="0118DB3B">
            <w:pPr>
              <w:jc w:val="center"/>
              <w:rPr>
                <w:rFonts w:ascii="宋体" w:hAnsi="宋体"/>
                <w:b w:val="0"/>
                <w:bCs/>
                <w:szCs w:val="21"/>
              </w:rPr>
            </w:pPr>
            <w:r>
              <w:rPr>
                <w:rFonts w:hint="eastAsia" w:ascii="宋体" w:hAnsi="宋体"/>
                <w:b w:val="0"/>
                <w:bCs/>
                <w:szCs w:val="21"/>
              </w:rPr>
              <w:t>200</w:t>
            </w:r>
          </w:p>
        </w:tc>
        <w:tc>
          <w:tcPr>
            <w:tcW w:w="1128" w:type="dxa"/>
            <w:vAlign w:val="center"/>
          </w:tcPr>
          <w:p w14:paraId="793FBA9E">
            <w:pPr>
              <w:spacing w:line="260" w:lineRule="exact"/>
              <w:jc w:val="center"/>
              <w:rPr>
                <w:rFonts w:ascii="宋体" w:hAnsi="宋体"/>
                <w:b w:val="0"/>
                <w:bCs/>
                <w:szCs w:val="21"/>
              </w:rPr>
            </w:pPr>
            <w:r>
              <w:rPr>
                <w:rFonts w:hint="eastAsia" w:ascii="宋体" w:hAnsi="宋体"/>
                <w:b w:val="0"/>
                <w:bCs/>
                <w:szCs w:val="21"/>
              </w:rPr>
              <w:t>110</w:t>
            </w:r>
          </w:p>
        </w:tc>
        <w:tc>
          <w:tcPr>
            <w:tcW w:w="991" w:type="dxa"/>
            <w:vAlign w:val="center"/>
          </w:tcPr>
          <w:p w14:paraId="76A1DE7B">
            <w:pPr>
              <w:spacing w:line="260" w:lineRule="exact"/>
              <w:jc w:val="center"/>
              <w:rPr>
                <w:rFonts w:ascii="宋体" w:hAnsi="宋体"/>
                <w:b w:val="0"/>
                <w:bCs/>
                <w:szCs w:val="21"/>
              </w:rPr>
            </w:pPr>
            <w:r>
              <w:rPr>
                <w:rFonts w:hint="eastAsia" w:ascii="宋体" w:hAnsi="宋体"/>
                <w:b w:val="0"/>
                <w:bCs/>
                <w:szCs w:val="21"/>
              </w:rPr>
              <w:t>145</w:t>
            </w:r>
          </w:p>
        </w:tc>
      </w:tr>
      <w:tr w14:paraId="5C1054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8856" w:type="dxa"/>
            <w:gridSpan w:val="8"/>
            <w:vAlign w:val="center"/>
          </w:tcPr>
          <w:p w14:paraId="4AD98443">
            <w:pPr>
              <w:spacing w:line="260" w:lineRule="exact"/>
              <w:rPr>
                <w:rFonts w:ascii="宋体" w:hAnsi="宋体"/>
                <w:b w:val="0"/>
                <w:bCs/>
                <w:szCs w:val="21"/>
              </w:rPr>
            </w:pPr>
            <w:r>
              <w:rPr>
                <w:rFonts w:hint="eastAsia" w:ascii="宋体" w:hAnsi="宋体"/>
                <w:b w:val="0"/>
                <w:bCs/>
                <w:szCs w:val="21"/>
              </w:rPr>
              <w:t>注：1、89成品库与危险品生产区外部距离标准值</w:t>
            </w:r>
            <w:r>
              <w:rPr>
                <w:rFonts w:hint="eastAsia" w:ascii="宋体" w:hAnsi="宋体"/>
                <w:b w:val="0"/>
                <w:bCs/>
                <w:spacing w:val="-11"/>
                <w:kern w:val="0"/>
                <w:szCs w:val="21"/>
              </w:rPr>
              <w:t>依据</w:t>
            </w:r>
            <w:r>
              <w:rPr>
                <w:rFonts w:hint="eastAsia" w:ascii="宋体" w:hAnsi="宋体" w:cs="宋体"/>
                <w:b w:val="0"/>
                <w:bCs/>
                <w:szCs w:val="21"/>
              </w:rPr>
              <w:t>G</w:t>
            </w:r>
            <w:r>
              <w:rPr>
                <w:rFonts w:ascii="宋体" w:hAnsi="宋体" w:cs="宋体"/>
                <w:b w:val="0"/>
                <w:bCs/>
                <w:szCs w:val="21"/>
              </w:rPr>
              <w:t>B50161-2022</w:t>
            </w:r>
            <w:r>
              <w:rPr>
                <w:rFonts w:hint="eastAsia" w:ascii="宋体" w:hAnsi="宋体" w:cs="宋体"/>
                <w:b w:val="0"/>
                <w:bCs/>
                <w:szCs w:val="21"/>
              </w:rPr>
              <w:t>中4</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3“注”采用线性插入法确定。</w:t>
            </w:r>
          </w:p>
        </w:tc>
      </w:tr>
    </w:tbl>
    <w:p w14:paraId="347D4CA9">
      <w:pPr>
        <w:jc w:val="center"/>
        <w:rPr>
          <w:rFonts w:ascii="黑体" w:hAnsi="黑体" w:eastAsia="黑体"/>
          <w:b w:val="0"/>
          <w:sz w:val="24"/>
        </w:rPr>
      </w:pPr>
    </w:p>
    <w:p w14:paraId="0485CC7A">
      <w:pPr>
        <w:pStyle w:val="5"/>
        <w:spacing w:before="120" w:beforeLines="50"/>
        <w:rPr>
          <w:rFonts w:ascii="黑体" w:hAnsi="黑体" w:eastAsia="黑体" w:cs="宋体"/>
          <w:b w:val="0"/>
          <w:color w:val="000000" w:themeColor="text1"/>
          <w:szCs w:val="28"/>
          <w14:textFill>
            <w14:solidFill>
              <w14:schemeClr w14:val="tx1"/>
            </w14:solidFill>
          </w14:textFill>
        </w:rPr>
      </w:pPr>
      <w:bookmarkStart w:id="558" w:name="_Toc165038817"/>
      <w:r>
        <w:rPr>
          <w:rFonts w:hint="eastAsia" w:ascii="黑体" w:hAnsi="黑体" w:eastAsia="黑体" w:cs="宋体"/>
          <w:b w:val="0"/>
          <w:color w:val="000000" w:themeColor="text1"/>
          <w:szCs w:val="28"/>
          <w14:textFill>
            <w14:solidFill>
              <w14:schemeClr w14:val="tx1"/>
            </w14:solidFill>
          </w14:textFill>
        </w:rPr>
        <w:t>5.</w:t>
      </w:r>
      <w:r>
        <w:rPr>
          <w:rFonts w:ascii="黑体" w:hAnsi="黑体" w:eastAsia="黑体" w:cs="宋体"/>
          <w:b w:val="0"/>
          <w:color w:val="000000" w:themeColor="text1"/>
          <w:szCs w:val="28"/>
          <w14:textFill>
            <w14:solidFill>
              <w14:schemeClr w14:val="tx1"/>
            </w14:solidFill>
          </w14:textFill>
        </w:rPr>
        <w:t>2</w:t>
      </w:r>
      <w:r>
        <w:rPr>
          <w:rFonts w:hint="eastAsia" w:ascii="黑体" w:hAnsi="黑体" w:eastAsia="黑体" w:cs="宋体"/>
          <w:b w:val="0"/>
          <w:color w:val="000000" w:themeColor="text1"/>
          <w:szCs w:val="28"/>
          <w14:textFill>
            <w14:solidFill>
              <w14:schemeClr w14:val="tx1"/>
            </w14:solidFill>
          </w14:textFill>
        </w:rPr>
        <w:t>.</w:t>
      </w:r>
      <w:r>
        <w:rPr>
          <w:rFonts w:ascii="黑体" w:hAnsi="黑体" w:eastAsia="黑体" w:cs="宋体"/>
          <w:b w:val="0"/>
          <w:color w:val="000000" w:themeColor="text1"/>
          <w:szCs w:val="28"/>
          <w14:textFill>
            <w14:solidFill>
              <w14:schemeClr w14:val="tx1"/>
            </w14:solidFill>
          </w14:textFill>
        </w:rPr>
        <w:t>2</w:t>
      </w:r>
      <w:r>
        <w:rPr>
          <w:rFonts w:hint="eastAsia" w:ascii="黑体" w:hAnsi="黑体" w:eastAsia="黑体" w:cs="宋体"/>
          <w:b w:val="0"/>
          <w:color w:val="000000" w:themeColor="text1"/>
          <w:szCs w:val="28"/>
          <w14:textFill>
            <w14:solidFill>
              <w14:schemeClr w14:val="tx1"/>
            </w14:solidFill>
          </w14:textFill>
        </w:rPr>
        <w:t>建设项目内部安全距离评价</w:t>
      </w:r>
      <w:bookmarkEnd w:id="558"/>
    </w:p>
    <w:p w14:paraId="63EB565A">
      <w:pPr>
        <w:spacing w:line="360" w:lineRule="auto"/>
        <w:ind w:firstLine="560" w:firstLineChars="200"/>
        <w:rPr>
          <w:rFonts w:ascii="黑体" w:hAnsi="宋体" w:eastAsia="黑体"/>
          <w:b w:val="0"/>
          <w:sz w:val="24"/>
        </w:rPr>
      </w:pPr>
      <w:r>
        <w:rPr>
          <w:rFonts w:hint="eastAsia" w:ascii="宋体" w:hAnsi="宋体"/>
          <w:b w:val="0"/>
          <w:sz w:val="28"/>
          <w:szCs w:val="28"/>
        </w:rPr>
        <w:t>本次评价组根据浏阳市太平复兴花炮厂（个人独资）提供的《浏阳市太平复兴花炮厂（个人独资）厂房升级改造项目总平面布置图》（初步设计方案图），</w:t>
      </w:r>
      <w:r>
        <w:rPr>
          <w:rFonts w:hint="eastAsia" w:ascii="宋体" w:hAnsi="宋体"/>
          <w:b w:val="0"/>
          <w:sz w:val="28"/>
          <w:szCs w:val="28"/>
          <w:lang w:val="en-GB"/>
        </w:rPr>
        <w:t>该项目原有工房及厂房升级改造项目工房的内部距离按不小于《烟花爆竹工程设计安全标准》（GB50161-2022）规定进行建设（设计）</w:t>
      </w:r>
      <w:r>
        <w:rPr>
          <w:rFonts w:hint="eastAsia" w:ascii="宋体" w:hAnsi="宋体"/>
          <w:b w:val="0"/>
          <w:sz w:val="28"/>
          <w:szCs w:val="28"/>
        </w:rPr>
        <w:t>；</w:t>
      </w:r>
      <w:r>
        <w:rPr>
          <w:rFonts w:hint="eastAsia" w:ascii="宋体" w:hAnsi="宋体"/>
          <w:b w:val="0"/>
          <w:bCs/>
          <w:sz w:val="28"/>
          <w:szCs w:val="28"/>
        </w:rPr>
        <w:t>厂房升级改造项目危险建筑物之间的内部距离情况见表5.7-</w:t>
      </w:r>
      <w:r>
        <w:rPr>
          <w:rFonts w:ascii="宋体" w:hAnsi="宋体"/>
          <w:b w:val="0"/>
          <w:bCs/>
          <w:sz w:val="28"/>
          <w:szCs w:val="28"/>
        </w:rPr>
        <w:t>3</w:t>
      </w:r>
      <w:r>
        <w:rPr>
          <w:rFonts w:ascii="宋体" w:hAnsi="宋体"/>
          <w:b w:val="0"/>
          <w:sz w:val="28"/>
          <w:szCs w:val="28"/>
        </w:rPr>
        <w:t>。</w:t>
      </w:r>
    </w:p>
    <w:p w14:paraId="68272BA9">
      <w:pPr>
        <w:rPr>
          <w:rFonts w:hint="eastAsia" w:ascii="黑体" w:hAnsi="宋体" w:eastAsia="黑体"/>
          <w:b w:val="0"/>
          <w:sz w:val="24"/>
        </w:rPr>
      </w:pPr>
      <w:r>
        <w:rPr>
          <w:rFonts w:hint="eastAsia" w:ascii="黑体" w:hAnsi="宋体" w:eastAsia="黑体"/>
          <w:b w:val="0"/>
          <w:sz w:val="24"/>
        </w:rPr>
        <w:br w:type="page"/>
      </w:r>
    </w:p>
    <w:p w14:paraId="2ADEF9D9">
      <w:pPr>
        <w:widowControl/>
        <w:jc w:val="center"/>
        <w:rPr>
          <w:rFonts w:ascii="黑体" w:hAnsi="宋体" w:eastAsia="黑体"/>
          <w:b w:val="0"/>
          <w:sz w:val="24"/>
        </w:rPr>
      </w:pPr>
      <w:r>
        <w:rPr>
          <w:rFonts w:hint="eastAsia" w:ascii="黑体" w:hAnsi="宋体" w:eastAsia="黑体"/>
          <w:b w:val="0"/>
          <w:sz w:val="24"/>
        </w:rPr>
        <w:t>表5.7-</w:t>
      </w:r>
      <w:r>
        <w:rPr>
          <w:rFonts w:ascii="黑体" w:hAnsi="宋体" w:eastAsia="黑体"/>
          <w:b w:val="0"/>
          <w:sz w:val="24"/>
        </w:rPr>
        <w:t>3</w:t>
      </w:r>
      <w:r>
        <w:rPr>
          <w:rFonts w:hint="eastAsia" w:ascii="黑体" w:hAnsi="宋体" w:eastAsia="黑体"/>
          <w:b w:val="0"/>
          <w:sz w:val="24"/>
        </w:rPr>
        <w:t xml:space="preserve"> </w:t>
      </w:r>
      <w:r>
        <w:rPr>
          <w:rFonts w:hint="eastAsia" w:ascii="黑体" w:hAnsi="黑体" w:eastAsia="黑体"/>
          <w:b w:val="0"/>
          <w:bCs/>
          <w:sz w:val="24"/>
        </w:rPr>
        <w:t>新、改建建（构）筑物之间内部距离平面布置图设计情况表</w:t>
      </w:r>
    </w:p>
    <w:tbl>
      <w:tblPr>
        <w:tblStyle w:val="88"/>
        <w:tblW w:w="5333"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98"/>
        <w:gridCol w:w="700"/>
        <w:gridCol w:w="1028"/>
        <w:gridCol w:w="2130"/>
        <w:gridCol w:w="812"/>
        <w:gridCol w:w="709"/>
        <w:gridCol w:w="769"/>
        <w:gridCol w:w="1761"/>
      </w:tblGrid>
      <w:tr w14:paraId="205F84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1008" w:type="pct"/>
            <w:shd w:val="clear" w:color="auto" w:fill="auto"/>
            <w:vAlign w:val="center"/>
          </w:tcPr>
          <w:p w14:paraId="49E1D7BF">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szCs w:val="21"/>
              </w:rPr>
            </w:pPr>
            <w:bookmarkStart w:id="559" w:name="_Toc235865729"/>
            <w:bookmarkStart w:id="560" w:name="_Toc235352377"/>
            <w:bookmarkStart w:id="561" w:name="_Toc211769702"/>
            <w:bookmarkStart w:id="562" w:name="_Toc235865640"/>
            <w:bookmarkStart w:id="563" w:name="_Toc221454631"/>
            <w:bookmarkStart w:id="564" w:name="_Toc235862398"/>
            <w:bookmarkStart w:id="565" w:name="_Toc235352281"/>
            <w:bookmarkStart w:id="566" w:name="_Toc364346101"/>
            <w:r>
              <w:rPr>
                <w:rFonts w:hint="eastAsia" w:ascii="宋体" w:hAnsi="宋体" w:cs="宋体"/>
                <w:szCs w:val="21"/>
              </w:rPr>
              <w:t>建（构）筑物名称</w:t>
            </w:r>
          </w:p>
        </w:tc>
        <w:tc>
          <w:tcPr>
            <w:tcW w:w="353" w:type="pct"/>
            <w:shd w:val="clear" w:color="auto" w:fill="auto"/>
            <w:vAlign w:val="center"/>
          </w:tcPr>
          <w:p w14:paraId="4FCD15F9">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szCs w:val="21"/>
              </w:rPr>
            </w:pPr>
            <w:r>
              <w:rPr>
                <w:rFonts w:hint="eastAsia" w:ascii="宋体" w:hAnsi="宋体" w:cs="宋体"/>
                <w:szCs w:val="21"/>
              </w:rPr>
              <w:t>危险等级</w:t>
            </w:r>
          </w:p>
        </w:tc>
        <w:tc>
          <w:tcPr>
            <w:tcW w:w="519" w:type="pct"/>
            <w:shd w:val="clear" w:color="auto" w:fill="auto"/>
            <w:vAlign w:val="center"/>
          </w:tcPr>
          <w:p w14:paraId="56AD428D">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szCs w:val="21"/>
              </w:rPr>
            </w:pPr>
            <w:r>
              <w:rPr>
                <w:rFonts w:hint="eastAsia" w:ascii="宋体" w:hAnsi="宋体" w:cs="宋体"/>
                <w:szCs w:val="21"/>
              </w:rPr>
              <w:t>计算药量(㎏)</w:t>
            </w:r>
          </w:p>
        </w:tc>
        <w:tc>
          <w:tcPr>
            <w:tcW w:w="1075" w:type="pct"/>
            <w:vAlign w:val="center"/>
          </w:tcPr>
          <w:p w14:paraId="12C281D2">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szCs w:val="21"/>
              </w:rPr>
            </w:pPr>
            <w:r>
              <w:rPr>
                <w:rFonts w:hint="eastAsia" w:ascii="宋体" w:hAnsi="宋体" w:cs="宋体"/>
                <w:szCs w:val="21"/>
              </w:rPr>
              <w:t>相邻建筑物名称</w:t>
            </w:r>
          </w:p>
        </w:tc>
        <w:tc>
          <w:tcPr>
            <w:tcW w:w="410" w:type="pct"/>
            <w:vAlign w:val="center"/>
          </w:tcPr>
          <w:p w14:paraId="6278147B">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szCs w:val="21"/>
              </w:rPr>
            </w:pPr>
            <w:r>
              <w:rPr>
                <w:rFonts w:hint="eastAsia" w:ascii="宋体" w:hAnsi="宋体" w:cs="宋体"/>
                <w:szCs w:val="21"/>
              </w:rPr>
              <w:t>标准距离(m)</w:t>
            </w:r>
          </w:p>
        </w:tc>
        <w:tc>
          <w:tcPr>
            <w:tcW w:w="358" w:type="pct"/>
            <w:vAlign w:val="center"/>
          </w:tcPr>
          <w:p w14:paraId="0156E73D">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szCs w:val="21"/>
              </w:rPr>
            </w:pPr>
            <w:r>
              <w:rPr>
                <w:rFonts w:hint="eastAsia" w:ascii="宋体" w:hAnsi="宋体" w:cs="宋体"/>
                <w:szCs w:val="21"/>
              </w:rPr>
              <w:t>设计距离(m)</w:t>
            </w:r>
          </w:p>
        </w:tc>
        <w:tc>
          <w:tcPr>
            <w:tcW w:w="388" w:type="pct"/>
            <w:vAlign w:val="center"/>
          </w:tcPr>
          <w:p w14:paraId="1CAFB2B7">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szCs w:val="21"/>
              </w:rPr>
            </w:pPr>
            <w:r>
              <w:rPr>
                <w:rFonts w:hint="eastAsia" w:ascii="宋体" w:hAnsi="宋体" w:cs="宋体"/>
                <w:szCs w:val="21"/>
              </w:rPr>
              <w:t>防护措施</w:t>
            </w:r>
          </w:p>
        </w:tc>
        <w:tc>
          <w:tcPr>
            <w:tcW w:w="885" w:type="pct"/>
            <w:vAlign w:val="center"/>
          </w:tcPr>
          <w:p w14:paraId="6119ED32">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szCs w:val="21"/>
              </w:rPr>
            </w:pPr>
            <w:r>
              <w:rPr>
                <w:rFonts w:hint="eastAsia" w:ascii="宋体" w:hAnsi="宋体" w:cs="宋体"/>
                <w:szCs w:val="21"/>
              </w:rPr>
              <w:t>标准依据</w:t>
            </w:r>
          </w:p>
        </w:tc>
      </w:tr>
      <w:tr w14:paraId="782E8D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4" w:hRule="atLeast"/>
          <w:jc w:val="center"/>
        </w:trPr>
        <w:tc>
          <w:tcPr>
            <w:tcW w:w="1008" w:type="pct"/>
            <w:shd w:val="clear" w:color="auto" w:fill="auto"/>
            <w:vAlign w:val="center"/>
          </w:tcPr>
          <w:p w14:paraId="79900A81">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9</w:t>
            </w:r>
            <w:r>
              <w:rPr>
                <w:rFonts w:ascii="宋体" w:hAnsi="宋体" w:cs="Arial"/>
                <w:b w:val="0"/>
                <w:bCs/>
                <w:szCs w:val="21"/>
              </w:rPr>
              <w:t>#</w:t>
            </w:r>
            <w:r>
              <w:rPr>
                <w:rFonts w:hint="eastAsia" w:ascii="宋体" w:hAnsi="宋体" w:cs="Arial"/>
                <w:b w:val="0"/>
                <w:bCs/>
                <w:szCs w:val="21"/>
              </w:rPr>
              <w:t>引中转</w:t>
            </w:r>
          </w:p>
        </w:tc>
        <w:tc>
          <w:tcPr>
            <w:tcW w:w="353" w:type="pct"/>
            <w:shd w:val="clear" w:color="auto" w:fill="auto"/>
            <w:vAlign w:val="center"/>
          </w:tcPr>
          <w:p w14:paraId="7946A83E">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-2</w:t>
            </w:r>
          </w:p>
        </w:tc>
        <w:tc>
          <w:tcPr>
            <w:tcW w:w="519" w:type="pct"/>
            <w:shd w:val="clear" w:color="auto" w:fill="auto"/>
            <w:vAlign w:val="center"/>
          </w:tcPr>
          <w:p w14:paraId="45475881">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100</w:t>
            </w:r>
          </w:p>
        </w:tc>
        <w:tc>
          <w:tcPr>
            <w:tcW w:w="1075" w:type="pct"/>
            <w:shd w:val="clear" w:color="auto" w:fill="auto"/>
            <w:vAlign w:val="center"/>
          </w:tcPr>
          <w:p w14:paraId="4EF9EFA3">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10</w:t>
            </w:r>
            <w:r>
              <w:rPr>
                <w:rFonts w:ascii="宋体" w:hAnsi="宋体"/>
                <w:b w:val="0"/>
                <w:bCs/>
                <w:spacing w:val="-4"/>
                <w:szCs w:val="21"/>
              </w:rPr>
              <w:t>#</w:t>
            </w:r>
            <w:r>
              <w:rPr>
                <w:rFonts w:hint="eastAsia" w:ascii="宋体" w:hAnsi="宋体"/>
                <w:b w:val="0"/>
                <w:bCs/>
                <w:spacing w:val="-4"/>
                <w:szCs w:val="21"/>
              </w:rPr>
              <w:t>半成品中转</w:t>
            </w:r>
          </w:p>
          <w:p w14:paraId="229A2751">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.3</w:t>
            </w:r>
            <w:r>
              <w:rPr>
                <w:rFonts w:hint="eastAsia" w:ascii="宋体" w:hAnsi="宋体"/>
                <w:b w:val="0"/>
                <w:bCs/>
                <w:spacing w:val="-4"/>
                <w:szCs w:val="21"/>
              </w:rPr>
              <w:t>级、4</w:t>
            </w:r>
            <w:r>
              <w:rPr>
                <w:rFonts w:ascii="宋体" w:hAnsi="宋体"/>
                <w:b w:val="0"/>
                <w:bCs/>
                <w:spacing w:val="-4"/>
                <w:szCs w:val="21"/>
              </w:rPr>
              <w:t>00kg</w:t>
            </w:r>
            <w:r>
              <w:rPr>
                <w:rFonts w:hint="eastAsia" w:ascii="宋体" w:hAnsi="宋体"/>
                <w:b w:val="0"/>
                <w:bCs/>
                <w:spacing w:val="-4"/>
                <w:szCs w:val="21"/>
              </w:rPr>
              <w:t>）</w:t>
            </w:r>
          </w:p>
        </w:tc>
        <w:tc>
          <w:tcPr>
            <w:tcW w:w="410" w:type="pct"/>
            <w:shd w:val="clear" w:color="auto" w:fill="auto"/>
            <w:vAlign w:val="center"/>
          </w:tcPr>
          <w:p w14:paraId="3C884962">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18</w:t>
            </w:r>
          </w:p>
        </w:tc>
        <w:tc>
          <w:tcPr>
            <w:tcW w:w="358" w:type="pct"/>
            <w:shd w:val="clear" w:color="auto" w:fill="auto"/>
            <w:vAlign w:val="center"/>
          </w:tcPr>
          <w:p w14:paraId="21870A01">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19</w:t>
            </w:r>
          </w:p>
        </w:tc>
        <w:tc>
          <w:tcPr>
            <w:tcW w:w="388" w:type="pct"/>
            <w:shd w:val="clear" w:color="auto" w:fill="auto"/>
            <w:vAlign w:val="center"/>
          </w:tcPr>
          <w:p w14:paraId="568C8CCE">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单有</w:t>
            </w:r>
          </w:p>
        </w:tc>
        <w:tc>
          <w:tcPr>
            <w:tcW w:w="885" w:type="pct"/>
            <w:shd w:val="clear" w:color="auto" w:fill="auto"/>
            <w:vAlign w:val="center"/>
          </w:tcPr>
          <w:p w14:paraId="633E00D0">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2</w:t>
            </w:r>
            <w:r>
              <w:rPr>
                <w:rFonts w:ascii="宋体" w:hAnsi="宋体" w:cs="宋体"/>
                <w:b w:val="0"/>
                <w:bCs/>
                <w:szCs w:val="21"/>
              </w:rPr>
              <w:t>.</w:t>
            </w:r>
            <w:r>
              <w:rPr>
                <w:rFonts w:hint="eastAsia" w:ascii="宋体" w:hAnsi="宋体" w:cs="宋体"/>
                <w:b w:val="0"/>
                <w:bCs/>
                <w:szCs w:val="21"/>
              </w:rPr>
              <w:t>8</w:t>
            </w:r>
          </w:p>
        </w:tc>
      </w:tr>
      <w:tr w14:paraId="1ED85B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restart"/>
            <w:shd w:val="clear" w:color="auto" w:fill="auto"/>
            <w:vAlign w:val="center"/>
          </w:tcPr>
          <w:p w14:paraId="3F4A45C4">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11</w:t>
            </w:r>
            <w:r>
              <w:rPr>
                <w:rFonts w:ascii="宋体" w:hAnsi="宋体" w:cs="Arial"/>
                <w:b w:val="0"/>
                <w:bCs/>
                <w:szCs w:val="21"/>
              </w:rPr>
              <w:t>#</w:t>
            </w:r>
            <w:r>
              <w:rPr>
                <w:rFonts w:hint="eastAsia" w:ascii="宋体" w:hAnsi="宋体" w:cs="Arial"/>
                <w:b w:val="0"/>
                <w:bCs/>
                <w:szCs w:val="21"/>
              </w:rPr>
              <w:t>组装/包装</w:t>
            </w:r>
          </w:p>
        </w:tc>
        <w:tc>
          <w:tcPr>
            <w:tcW w:w="353" w:type="pct"/>
            <w:vMerge w:val="restart"/>
            <w:shd w:val="clear" w:color="auto" w:fill="auto"/>
            <w:vAlign w:val="center"/>
          </w:tcPr>
          <w:p w14:paraId="168871B3">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.3</w:t>
            </w:r>
          </w:p>
        </w:tc>
        <w:tc>
          <w:tcPr>
            <w:tcW w:w="519" w:type="pct"/>
            <w:vMerge w:val="restart"/>
            <w:shd w:val="clear" w:color="auto" w:fill="auto"/>
            <w:vAlign w:val="center"/>
          </w:tcPr>
          <w:p w14:paraId="34A111C1">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360</w:t>
            </w:r>
          </w:p>
        </w:tc>
        <w:tc>
          <w:tcPr>
            <w:tcW w:w="1075" w:type="pct"/>
            <w:shd w:val="clear" w:color="auto" w:fill="auto"/>
            <w:vAlign w:val="center"/>
          </w:tcPr>
          <w:p w14:paraId="2EEAA279">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10</w:t>
            </w:r>
            <w:r>
              <w:rPr>
                <w:rFonts w:ascii="宋体" w:hAnsi="宋体"/>
                <w:b w:val="0"/>
                <w:bCs/>
                <w:spacing w:val="-4"/>
                <w:szCs w:val="21"/>
              </w:rPr>
              <w:t>#</w:t>
            </w:r>
            <w:r>
              <w:rPr>
                <w:rFonts w:hint="eastAsia" w:ascii="宋体" w:hAnsi="宋体"/>
                <w:b w:val="0"/>
                <w:bCs/>
                <w:spacing w:val="-4"/>
                <w:szCs w:val="21"/>
              </w:rPr>
              <w:t>半成品中转</w:t>
            </w:r>
          </w:p>
          <w:p w14:paraId="6308F61D">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.3</w:t>
            </w:r>
            <w:r>
              <w:rPr>
                <w:rFonts w:hint="eastAsia" w:ascii="宋体" w:hAnsi="宋体"/>
                <w:b w:val="0"/>
                <w:bCs/>
                <w:spacing w:val="-4"/>
                <w:szCs w:val="21"/>
              </w:rPr>
              <w:t>级、4</w:t>
            </w:r>
            <w:r>
              <w:rPr>
                <w:rFonts w:ascii="宋体" w:hAnsi="宋体"/>
                <w:b w:val="0"/>
                <w:bCs/>
                <w:spacing w:val="-4"/>
                <w:szCs w:val="21"/>
              </w:rPr>
              <w:t>00kg</w:t>
            </w:r>
            <w:r>
              <w:rPr>
                <w:rFonts w:hint="eastAsia" w:ascii="宋体" w:hAnsi="宋体"/>
                <w:b w:val="0"/>
                <w:bCs/>
                <w:spacing w:val="-4"/>
                <w:szCs w:val="21"/>
              </w:rPr>
              <w:t>）</w:t>
            </w:r>
          </w:p>
        </w:tc>
        <w:tc>
          <w:tcPr>
            <w:tcW w:w="410" w:type="pct"/>
            <w:shd w:val="clear" w:color="auto" w:fill="auto"/>
            <w:vAlign w:val="center"/>
          </w:tcPr>
          <w:p w14:paraId="4C75D4F2">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18</w:t>
            </w:r>
          </w:p>
        </w:tc>
        <w:tc>
          <w:tcPr>
            <w:tcW w:w="358" w:type="pct"/>
            <w:shd w:val="clear" w:color="auto" w:fill="auto"/>
            <w:vAlign w:val="center"/>
          </w:tcPr>
          <w:p w14:paraId="0D617C91">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18</w:t>
            </w:r>
          </w:p>
        </w:tc>
        <w:tc>
          <w:tcPr>
            <w:tcW w:w="388" w:type="pct"/>
            <w:vAlign w:val="center"/>
          </w:tcPr>
          <w:p w14:paraId="1111E7A2">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w:t>
            </w:r>
          </w:p>
        </w:tc>
        <w:tc>
          <w:tcPr>
            <w:tcW w:w="885" w:type="pct"/>
            <w:shd w:val="clear" w:color="auto" w:fill="auto"/>
            <w:vAlign w:val="center"/>
          </w:tcPr>
          <w:p w14:paraId="0BE4F180">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2</w:t>
            </w:r>
            <w:r>
              <w:rPr>
                <w:rFonts w:ascii="宋体" w:hAnsi="宋体" w:cs="宋体"/>
                <w:b w:val="0"/>
                <w:bCs/>
                <w:szCs w:val="21"/>
              </w:rPr>
              <w:t>.</w:t>
            </w:r>
            <w:r>
              <w:rPr>
                <w:rFonts w:hint="eastAsia" w:ascii="宋体" w:hAnsi="宋体" w:cs="宋体"/>
                <w:b w:val="0"/>
                <w:bCs/>
                <w:szCs w:val="21"/>
              </w:rPr>
              <w:t>8</w:t>
            </w:r>
          </w:p>
        </w:tc>
      </w:tr>
      <w:tr w14:paraId="07DC51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5013AB15">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59377916">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7E060C1B">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10544207">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7</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包装材料库</w:t>
            </w:r>
          </w:p>
        </w:tc>
        <w:tc>
          <w:tcPr>
            <w:tcW w:w="410" w:type="pct"/>
            <w:shd w:val="clear" w:color="auto" w:fill="auto"/>
            <w:vAlign w:val="center"/>
          </w:tcPr>
          <w:p w14:paraId="3C5641B7">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14.4</w:t>
            </w:r>
          </w:p>
        </w:tc>
        <w:tc>
          <w:tcPr>
            <w:tcW w:w="358" w:type="pct"/>
            <w:shd w:val="clear" w:color="auto" w:fill="auto"/>
            <w:vAlign w:val="center"/>
          </w:tcPr>
          <w:p w14:paraId="7974BA5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18</w:t>
            </w:r>
          </w:p>
        </w:tc>
        <w:tc>
          <w:tcPr>
            <w:tcW w:w="388" w:type="pct"/>
            <w:vAlign w:val="center"/>
          </w:tcPr>
          <w:p w14:paraId="30957FF9">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pacing w:val="-11"/>
                <w:sz w:val="18"/>
                <w:szCs w:val="18"/>
                <w14:textFill>
                  <w14:solidFill>
                    <w14:schemeClr w14:val="tx1"/>
                  </w14:solidFill>
                </w14:textFill>
              </w:rPr>
              <w:t>双有防火墙</w:t>
            </w:r>
          </w:p>
        </w:tc>
        <w:tc>
          <w:tcPr>
            <w:tcW w:w="885" w:type="pct"/>
            <w:shd w:val="clear" w:color="auto" w:fill="auto"/>
            <w:vAlign w:val="center"/>
          </w:tcPr>
          <w:p w14:paraId="47FCB07A">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.2.8</w:t>
            </w:r>
          </w:p>
        </w:tc>
      </w:tr>
      <w:tr w14:paraId="53E085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6C91D6CA">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28A4D962">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0AB1809B">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4A3A4276">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12</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组装/包装  </w:t>
            </w:r>
          </w:p>
          <w:p w14:paraId="49EE602A">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w:t>
            </w:r>
            <w:r>
              <w:rPr>
                <w:rFonts w:ascii="宋体" w:hAnsi="宋体"/>
                <w:b w:val="0"/>
                <w:bCs/>
                <w:color w:val="000000" w:themeColor="text1"/>
                <w:spacing w:val="-4"/>
                <w:szCs w:val="21"/>
                <w14:textFill>
                  <w14:solidFill>
                    <w14:schemeClr w14:val="tx1"/>
                  </w14:solidFill>
                </w14:textFill>
              </w:rPr>
              <w:t>.3</w:t>
            </w:r>
            <w:r>
              <w:rPr>
                <w:rFonts w:hint="eastAsia" w:ascii="宋体" w:hAnsi="宋体"/>
                <w:b w:val="0"/>
                <w:bCs/>
                <w:color w:val="000000" w:themeColor="text1"/>
                <w:spacing w:val="-4"/>
                <w:szCs w:val="21"/>
                <w14:textFill>
                  <w14:solidFill>
                    <w14:schemeClr w14:val="tx1"/>
                  </w14:solidFill>
                </w14:textFill>
              </w:rPr>
              <w:t>级、36</w:t>
            </w:r>
            <w:r>
              <w:rPr>
                <w:rFonts w:ascii="宋体" w:hAnsi="宋体"/>
                <w:b w:val="0"/>
                <w:bCs/>
                <w:color w:val="000000" w:themeColor="text1"/>
                <w:spacing w:val="-4"/>
                <w:szCs w:val="21"/>
                <w14:textFill>
                  <w14:solidFill>
                    <w14:schemeClr w14:val="tx1"/>
                  </w14:solidFill>
                </w14:textFill>
              </w:rPr>
              <w:t>0kg</w:t>
            </w:r>
            <w:r>
              <w:rPr>
                <w:rFonts w:hint="eastAsia" w:ascii="宋体" w:hAnsi="宋体"/>
                <w:b w:val="0"/>
                <w:bCs/>
                <w:color w:val="000000" w:themeColor="text1"/>
                <w:spacing w:val="-4"/>
                <w:szCs w:val="21"/>
                <w14:textFill>
                  <w14:solidFill>
                    <w14:schemeClr w14:val="tx1"/>
                  </w14:solidFill>
                </w14:textFill>
              </w:rPr>
              <w:t>）</w:t>
            </w:r>
          </w:p>
        </w:tc>
        <w:tc>
          <w:tcPr>
            <w:tcW w:w="410" w:type="pct"/>
            <w:shd w:val="clear" w:color="auto" w:fill="auto"/>
            <w:vAlign w:val="center"/>
          </w:tcPr>
          <w:p w14:paraId="175751D8">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18</w:t>
            </w:r>
          </w:p>
        </w:tc>
        <w:tc>
          <w:tcPr>
            <w:tcW w:w="358" w:type="pct"/>
            <w:shd w:val="clear" w:color="auto" w:fill="auto"/>
            <w:vAlign w:val="center"/>
          </w:tcPr>
          <w:p w14:paraId="254D249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18</w:t>
            </w:r>
          </w:p>
        </w:tc>
        <w:tc>
          <w:tcPr>
            <w:tcW w:w="388" w:type="pct"/>
            <w:vAlign w:val="center"/>
          </w:tcPr>
          <w:p w14:paraId="3DE4C6F5">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w:t>
            </w:r>
          </w:p>
        </w:tc>
        <w:tc>
          <w:tcPr>
            <w:tcW w:w="885" w:type="pct"/>
            <w:shd w:val="clear" w:color="auto" w:fill="auto"/>
            <w:vAlign w:val="center"/>
          </w:tcPr>
          <w:p w14:paraId="09AEBEF5">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.2.8</w:t>
            </w:r>
          </w:p>
        </w:tc>
      </w:tr>
      <w:tr w14:paraId="2B4140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restart"/>
            <w:shd w:val="clear" w:color="auto" w:fill="auto"/>
            <w:vAlign w:val="center"/>
          </w:tcPr>
          <w:p w14:paraId="5ED4983E">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13</w:t>
            </w:r>
            <w:r>
              <w:rPr>
                <w:rFonts w:ascii="宋体" w:hAnsi="宋体" w:cs="Arial"/>
                <w:b w:val="0"/>
                <w:bCs/>
                <w:szCs w:val="21"/>
              </w:rPr>
              <w:t>#</w:t>
            </w:r>
            <w:r>
              <w:rPr>
                <w:rFonts w:hint="eastAsia" w:ascii="宋体" w:hAnsi="宋体" w:cs="Arial"/>
                <w:b w:val="0"/>
                <w:bCs/>
                <w:szCs w:val="21"/>
              </w:rPr>
              <w:t>组装/包装</w:t>
            </w:r>
          </w:p>
        </w:tc>
        <w:tc>
          <w:tcPr>
            <w:tcW w:w="353" w:type="pct"/>
            <w:vMerge w:val="restart"/>
            <w:shd w:val="clear" w:color="auto" w:fill="auto"/>
            <w:vAlign w:val="center"/>
          </w:tcPr>
          <w:p w14:paraId="4CE2B378">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.3</w:t>
            </w:r>
          </w:p>
        </w:tc>
        <w:tc>
          <w:tcPr>
            <w:tcW w:w="519" w:type="pct"/>
            <w:vMerge w:val="restart"/>
            <w:shd w:val="clear" w:color="auto" w:fill="auto"/>
            <w:vAlign w:val="center"/>
          </w:tcPr>
          <w:p w14:paraId="5CBDFB1D">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360</w:t>
            </w:r>
          </w:p>
        </w:tc>
        <w:tc>
          <w:tcPr>
            <w:tcW w:w="1075" w:type="pct"/>
            <w:shd w:val="clear" w:color="auto" w:fill="auto"/>
            <w:vAlign w:val="center"/>
          </w:tcPr>
          <w:p w14:paraId="4243167F">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12</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组装/包装  </w:t>
            </w:r>
          </w:p>
          <w:p w14:paraId="43E7E13A">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w:t>
            </w:r>
            <w:r>
              <w:rPr>
                <w:rFonts w:ascii="宋体" w:hAnsi="宋体"/>
                <w:b w:val="0"/>
                <w:bCs/>
                <w:color w:val="000000" w:themeColor="text1"/>
                <w:spacing w:val="-4"/>
                <w:szCs w:val="21"/>
                <w14:textFill>
                  <w14:solidFill>
                    <w14:schemeClr w14:val="tx1"/>
                  </w14:solidFill>
                </w14:textFill>
              </w:rPr>
              <w:t>.3</w:t>
            </w:r>
            <w:r>
              <w:rPr>
                <w:rFonts w:hint="eastAsia" w:ascii="宋体" w:hAnsi="宋体"/>
                <w:b w:val="0"/>
                <w:bCs/>
                <w:color w:val="000000" w:themeColor="text1"/>
                <w:spacing w:val="-4"/>
                <w:szCs w:val="21"/>
                <w14:textFill>
                  <w14:solidFill>
                    <w14:schemeClr w14:val="tx1"/>
                  </w14:solidFill>
                </w14:textFill>
              </w:rPr>
              <w:t>级、36</w:t>
            </w:r>
            <w:r>
              <w:rPr>
                <w:rFonts w:ascii="宋体" w:hAnsi="宋体"/>
                <w:b w:val="0"/>
                <w:bCs/>
                <w:color w:val="000000" w:themeColor="text1"/>
                <w:spacing w:val="-4"/>
                <w:szCs w:val="21"/>
                <w14:textFill>
                  <w14:solidFill>
                    <w14:schemeClr w14:val="tx1"/>
                  </w14:solidFill>
                </w14:textFill>
              </w:rPr>
              <w:t>0kg</w:t>
            </w:r>
            <w:r>
              <w:rPr>
                <w:rFonts w:hint="eastAsia" w:ascii="宋体" w:hAnsi="宋体"/>
                <w:b w:val="0"/>
                <w:bCs/>
                <w:color w:val="000000" w:themeColor="text1"/>
                <w:spacing w:val="-4"/>
                <w:szCs w:val="21"/>
                <w14:textFill>
                  <w14:solidFill>
                    <w14:schemeClr w14:val="tx1"/>
                  </w14:solidFill>
                </w14:textFill>
              </w:rPr>
              <w:t>）</w:t>
            </w:r>
          </w:p>
        </w:tc>
        <w:tc>
          <w:tcPr>
            <w:tcW w:w="410" w:type="pct"/>
            <w:shd w:val="clear" w:color="auto" w:fill="auto"/>
            <w:vAlign w:val="center"/>
          </w:tcPr>
          <w:p w14:paraId="1687C667">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18</w:t>
            </w:r>
          </w:p>
        </w:tc>
        <w:tc>
          <w:tcPr>
            <w:tcW w:w="358" w:type="pct"/>
            <w:shd w:val="clear" w:color="auto" w:fill="auto"/>
            <w:vAlign w:val="center"/>
          </w:tcPr>
          <w:p w14:paraId="63FADD9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18</w:t>
            </w:r>
          </w:p>
        </w:tc>
        <w:tc>
          <w:tcPr>
            <w:tcW w:w="388" w:type="pct"/>
            <w:shd w:val="clear" w:color="auto" w:fill="auto"/>
            <w:vAlign w:val="center"/>
          </w:tcPr>
          <w:p w14:paraId="300F57A2">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w:t>
            </w:r>
          </w:p>
        </w:tc>
        <w:tc>
          <w:tcPr>
            <w:tcW w:w="885" w:type="pct"/>
            <w:shd w:val="clear" w:color="auto" w:fill="auto"/>
          </w:tcPr>
          <w:p w14:paraId="2A35EE9C">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.2.8</w:t>
            </w:r>
          </w:p>
        </w:tc>
      </w:tr>
      <w:tr w14:paraId="2AF709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62658A46">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7110FFB9">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1D721D60">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2AE24879">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14</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组装/包装  </w:t>
            </w:r>
          </w:p>
          <w:p w14:paraId="75FAEFCB">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w:t>
            </w:r>
            <w:r>
              <w:rPr>
                <w:rFonts w:ascii="宋体" w:hAnsi="宋体"/>
                <w:b w:val="0"/>
                <w:bCs/>
                <w:color w:val="000000" w:themeColor="text1"/>
                <w:spacing w:val="-4"/>
                <w:szCs w:val="21"/>
                <w14:textFill>
                  <w14:solidFill>
                    <w14:schemeClr w14:val="tx1"/>
                  </w14:solidFill>
                </w14:textFill>
              </w:rPr>
              <w:t>.3</w:t>
            </w:r>
            <w:r>
              <w:rPr>
                <w:rFonts w:hint="eastAsia" w:ascii="宋体" w:hAnsi="宋体"/>
                <w:b w:val="0"/>
                <w:bCs/>
                <w:color w:val="000000" w:themeColor="text1"/>
                <w:spacing w:val="-4"/>
                <w:szCs w:val="21"/>
                <w14:textFill>
                  <w14:solidFill>
                    <w14:schemeClr w14:val="tx1"/>
                  </w14:solidFill>
                </w14:textFill>
              </w:rPr>
              <w:t>级、3</w:t>
            </w:r>
            <w:r>
              <w:rPr>
                <w:rFonts w:ascii="宋体" w:hAnsi="宋体"/>
                <w:b w:val="0"/>
                <w:bCs/>
                <w:color w:val="000000" w:themeColor="text1"/>
                <w:spacing w:val="-4"/>
                <w:szCs w:val="21"/>
                <w14:textFill>
                  <w14:solidFill>
                    <w14:schemeClr w14:val="tx1"/>
                  </w14:solidFill>
                </w14:textFill>
              </w:rPr>
              <w:t>60kg</w:t>
            </w:r>
            <w:r>
              <w:rPr>
                <w:rFonts w:hint="eastAsia" w:ascii="宋体" w:hAnsi="宋体"/>
                <w:b w:val="0"/>
                <w:bCs/>
                <w:color w:val="000000" w:themeColor="text1"/>
                <w:spacing w:val="-4"/>
                <w:szCs w:val="21"/>
                <w14:textFill>
                  <w14:solidFill>
                    <w14:schemeClr w14:val="tx1"/>
                  </w14:solidFill>
                </w14:textFill>
              </w:rPr>
              <w:t>）</w:t>
            </w:r>
          </w:p>
        </w:tc>
        <w:tc>
          <w:tcPr>
            <w:tcW w:w="410" w:type="pct"/>
            <w:shd w:val="clear" w:color="auto" w:fill="auto"/>
            <w:vAlign w:val="center"/>
          </w:tcPr>
          <w:p w14:paraId="5CA0CC49">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18</w:t>
            </w:r>
          </w:p>
        </w:tc>
        <w:tc>
          <w:tcPr>
            <w:tcW w:w="358" w:type="pct"/>
            <w:shd w:val="clear" w:color="auto" w:fill="auto"/>
            <w:vAlign w:val="center"/>
          </w:tcPr>
          <w:p w14:paraId="2964037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18</w:t>
            </w:r>
          </w:p>
        </w:tc>
        <w:tc>
          <w:tcPr>
            <w:tcW w:w="388" w:type="pct"/>
            <w:shd w:val="clear" w:color="auto" w:fill="auto"/>
            <w:vAlign w:val="center"/>
          </w:tcPr>
          <w:p w14:paraId="34A05927">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w:t>
            </w:r>
          </w:p>
        </w:tc>
        <w:tc>
          <w:tcPr>
            <w:tcW w:w="885" w:type="pct"/>
            <w:shd w:val="clear" w:color="auto" w:fill="auto"/>
          </w:tcPr>
          <w:p w14:paraId="153F5FAB">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.2.8</w:t>
            </w:r>
          </w:p>
        </w:tc>
      </w:tr>
      <w:tr w14:paraId="1C78B8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restart"/>
            <w:shd w:val="clear" w:color="auto" w:fill="auto"/>
            <w:vAlign w:val="center"/>
          </w:tcPr>
          <w:p w14:paraId="6484DD90">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15</w:t>
            </w:r>
            <w:r>
              <w:rPr>
                <w:rFonts w:ascii="宋体" w:hAnsi="宋体" w:cs="Arial"/>
                <w:b w:val="0"/>
                <w:bCs/>
                <w:szCs w:val="21"/>
              </w:rPr>
              <w:t>#</w:t>
            </w:r>
            <w:r>
              <w:rPr>
                <w:rFonts w:hint="eastAsia" w:ascii="宋体" w:hAnsi="宋体" w:cs="Arial"/>
                <w:b w:val="0"/>
                <w:bCs/>
                <w:szCs w:val="21"/>
              </w:rPr>
              <w:t>组装/包装</w:t>
            </w:r>
          </w:p>
        </w:tc>
        <w:tc>
          <w:tcPr>
            <w:tcW w:w="353" w:type="pct"/>
            <w:vMerge w:val="restart"/>
            <w:shd w:val="clear" w:color="auto" w:fill="auto"/>
            <w:vAlign w:val="center"/>
          </w:tcPr>
          <w:p w14:paraId="7F732B21">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.3</w:t>
            </w:r>
          </w:p>
        </w:tc>
        <w:tc>
          <w:tcPr>
            <w:tcW w:w="519" w:type="pct"/>
            <w:vMerge w:val="restart"/>
            <w:shd w:val="clear" w:color="auto" w:fill="auto"/>
            <w:vAlign w:val="center"/>
          </w:tcPr>
          <w:p w14:paraId="2AC90612">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36</w:t>
            </w:r>
            <w:r>
              <w:rPr>
                <w:rFonts w:ascii="宋体" w:hAnsi="宋体" w:cs="Arial"/>
                <w:b w:val="0"/>
                <w:bCs/>
                <w:szCs w:val="21"/>
              </w:rPr>
              <w:t>0</w:t>
            </w:r>
          </w:p>
        </w:tc>
        <w:tc>
          <w:tcPr>
            <w:tcW w:w="1075" w:type="pct"/>
            <w:shd w:val="clear" w:color="auto" w:fill="auto"/>
            <w:vAlign w:val="center"/>
          </w:tcPr>
          <w:p w14:paraId="118B8DC8">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14</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组装/包装  </w:t>
            </w:r>
          </w:p>
          <w:p w14:paraId="31C42ACF">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w:t>
            </w:r>
            <w:r>
              <w:rPr>
                <w:rFonts w:ascii="宋体" w:hAnsi="宋体"/>
                <w:b w:val="0"/>
                <w:bCs/>
                <w:color w:val="000000" w:themeColor="text1"/>
                <w:spacing w:val="-4"/>
                <w:szCs w:val="21"/>
                <w14:textFill>
                  <w14:solidFill>
                    <w14:schemeClr w14:val="tx1"/>
                  </w14:solidFill>
                </w14:textFill>
              </w:rPr>
              <w:t>.3</w:t>
            </w:r>
            <w:r>
              <w:rPr>
                <w:rFonts w:hint="eastAsia" w:ascii="宋体" w:hAnsi="宋体"/>
                <w:b w:val="0"/>
                <w:bCs/>
                <w:color w:val="000000" w:themeColor="text1"/>
                <w:spacing w:val="-4"/>
                <w:szCs w:val="21"/>
                <w14:textFill>
                  <w14:solidFill>
                    <w14:schemeClr w14:val="tx1"/>
                  </w14:solidFill>
                </w14:textFill>
              </w:rPr>
              <w:t>级、3</w:t>
            </w:r>
            <w:r>
              <w:rPr>
                <w:rFonts w:ascii="宋体" w:hAnsi="宋体"/>
                <w:b w:val="0"/>
                <w:bCs/>
                <w:color w:val="000000" w:themeColor="text1"/>
                <w:spacing w:val="-4"/>
                <w:szCs w:val="21"/>
                <w14:textFill>
                  <w14:solidFill>
                    <w14:schemeClr w14:val="tx1"/>
                  </w14:solidFill>
                </w14:textFill>
              </w:rPr>
              <w:t>60kg</w:t>
            </w:r>
            <w:r>
              <w:rPr>
                <w:rFonts w:hint="eastAsia" w:ascii="宋体" w:hAnsi="宋体"/>
                <w:b w:val="0"/>
                <w:bCs/>
                <w:color w:val="000000" w:themeColor="text1"/>
                <w:spacing w:val="-4"/>
                <w:szCs w:val="21"/>
                <w14:textFill>
                  <w14:solidFill>
                    <w14:schemeClr w14:val="tx1"/>
                  </w14:solidFill>
                </w14:textFill>
              </w:rPr>
              <w:t>）</w:t>
            </w:r>
          </w:p>
        </w:tc>
        <w:tc>
          <w:tcPr>
            <w:tcW w:w="410" w:type="pct"/>
            <w:shd w:val="clear" w:color="auto" w:fill="auto"/>
            <w:vAlign w:val="center"/>
          </w:tcPr>
          <w:p w14:paraId="1002D24C">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18</w:t>
            </w:r>
          </w:p>
        </w:tc>
        <w:tc>
          <w:tcPr>
            <w:tcW w:w="358" w:type="pct"/>
            <w:shd w:val="clear" w:color="auto" w:fill="auto"/>
            <w:vAlign w:val="center"/>
          </w:tcPr>
          <w:p w14:paraId="03F71AD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18</w:t>
            </w:r>
          </w:p>
        </w:tc>
        <w:tc>
          <w:tcPr>
            <w:tcW w:w="388" w:type="pct"/>
            <w:shd w:val="clear" w:color="auto" w:fill="auto"/>
            <w:vAlign w:val="center"/>
          </w:tcPr>
          <w:p w14:paraId="101E68E3">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w:t>
            </w:r>
          </w:p>
        </w:tc>
        <w:tc>
          <w:tcPr>
            <w:tcW w:w="885" w:type="pct"/>
            <w:shd w:val="clear" w:color="auto" w:fill="auto"/>
          </w:tcPr>
          <w:p w14:paraId="5E75A597">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.2.8</w:t>
            </w:r>
          </w:p>
        </w:tc>
      </w:tr>
      <w:tr w14:paraId="7E93AB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5603BD78">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52B8C38B">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3C3B054E">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03A9D9BB">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16</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引中转   </w:t>
            </w:r>
          </w:p>
          <w:p w14:paraId="6D191583">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 xml:space="preserve"> （</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-2</w:t>
            </w:r>
            <w:r>
              <w:rPr>
                <w:rFonts w:hint="eastAsia" w:ascii="宋体" w:hAnsi="宋体" w:cs="Arial"/>
                <w:b w:val="0"/>
                <w:bCs/>
                <w:color w:val="000000" w:themeColor="text1"/>
                <w:szCs w:val="21"/>
                <w14:textFill>
                  <w14:solidFill>
                    <w14:schemeClr w14:val="tx1"/>
                  </w14:solidFill>
                </w14:textFill>
              </w:rPr>
              <w:t>级</w:t>
            </w:r>
            <w:r>
              <w:rPr>
                <w:rFonts w:hint="eastAsia" w:ascii="宋体" w:hAnsi="宋体"/>
                <w:b w:val="0"/>
                <w:bCs/>
                <w:color w:val="000000" w:themeColor="text1"/>
                <w:spacing w:val="-4"/>
                <w:szCs w:val="21"/>
                <w14:textFill>
                  <w14:solidFill>
                    <w14:schemeClr w14:val="tx1"/>
                  </w14:solidFill>
                </w14:textFill>
              </w:rPr>
              <w:t>、100</w:t>
            </w:r>
            <w:r>
              <w:rPr>
                <w:rFonts w:ascii="宋体" w:hAnsi="宋体"/>
                <w:b w:val="0"/>
                <w:bCs/>
                <w:color w:val="000000" w:themeColor="text1"/>
                <w:spacing w:val="-4"/>
                <w:szCs w:val="21"/>
                <w14:textFill>
                  <w14:solidFill>
                    <w14:schemeClr w14:val="tx1"/>
                  </w14:solidFill>
                </w14:textFill>
              </w:rPr>
              <w:t>kg</w:t>
            </w:r>
            <w:r>
              <w:rPr>
                <w:rFonts w:hint="eastAsia" w:ascii="宋体" w:hAnsi="宋体"/>
                <w:b w:val="0"/>
                <w:bCs/>
                <w:color w:val="000000" w:themeColor="text1"/>
                <w:spacing w:val="-4"/>
                <w:szCs w:val="21"/>
                <w14:textFill>
                  <w14:solidFill>
                    <w14:schemeClr w14:val="tx1"/>
                  </w14:solidFill>
                </w14:textFill>
              </w:rPr>
              <w:t>）</w:t>
            </w:r>
          </w:p>
        </w:tc>
        <w:tc>
          <w:tcPr>
            <w:tcW w:w="410" w:type="pct"/>
            <w:shd w:val="clear" w:color="auto" w:fill="auto"/>
            <w:vAlign w:val="center"/>
          </w:tcPr>
          <w:p w14:paraId="02886CE0">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18</w:t>
            </w:r>
          </w:p>
        </w:tc>
        <w:tc>
          <w:tcPr>
            <w:tcW w:w="358" w:type="pct"/>
            <w:shd w:val="clear" w:color="auto" w:fill="auto"/>
            <w:vAlign w:val="center"/>
          </w:tcPr>
          <w:p w14:paraId="0761EE0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21</w:t>
            </w:r>
          </w:p>
        </w:tc>
        <w:tc>
          <w:tcPr>
            <w:tcW w:w="388" w:type="pct"/>
            <w:shd w:val="clear" w:color="auto" w:fill="auto"/>
            <w:vAlign w:val="center"/>
          </w:tcPr>
          <w:p w14:paraId="4A76341A">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单有</w:t>
            </w:r>
          </w:p>
        </w:tc>
        <w:tc>
          <w:tcPr>
            <w:tcW w:w="885" w:type="pct"/>
            <w:shd w:val="clear" w:color="auto" w:fill="auto"/>
          </w:tcPr>
          <w:p w14:paraId="18946F98">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.2.8</w:t>
            </w:r>
          </w:p>
        </w:tc>
      </w:tr>
      <w:tr w14:paraId="12717E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664EC735">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7DD17A31">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3ADF7AF6">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3DA62D7C">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w:t>
            </w:r>
            <w:r>
              <w:rPr>
                <w:rFonts w:ascii="宋体" w:hAnsi="宋体"/>
                <w:b w:val="0"/>
                <w:bCs/>
                <w:color w:val="000000" w:themeColor="text1"/>
                <w:spacing w:val="-4"/>
                <w:szCs w:val="21"/>
                <w14:textFill>
                  <w14:solidFill>
                    <w14:schemeClr w14:val="tx1"/>
                  </w14:solidFill>
                </w14:textFill>
              </w:rPr>
              <w:t>7#</w:t>
            </w:r>
            <w:r>
              <w:rPr>
                <w:rFonts w:hint="eastAsia" w:ascii="宋体" w:hAnsi="宋体"/>
                <w:b w:val="0"/>
                <w:bCs/>
                <w:color w:val="000000" w:themeColor="text1"/>
                <w:spacing w:val="-4"/>
                <w:szCs w:val="21"/>
                <w14:textFill>
                  <w14:solidFill>
                    <w14:schemeClr w14:val="tx1"/>
                  </w14:solidFill>
                </w14:textFill>
              </w:rPr>
              <w:t xml:space="preserve">半成品中转 </w:t>
            </w:r>
          </w:p>
          <w:p w14:paraId="2E9D7913">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w:t>
            </w:r>
            <w:r>
              <w:rPr>
                <w:rFonts w:ascii="宋体" w:hAnsi="宋体"/>
                <w:b w:val="0"/>
                <w:bCs/>
                <w:color w:val="000000" w:themeColor="text1"/>
                <w:spacing w:val="-4"/>
                <w:szCs w:val="21"/>
                <w14:textFill>
                  <w14:solidFill>
                    <w14:schemeClr w14:val="tx1"/>
                  </w14:solidFill>
                </w14:textFill>
              </w:rPr>
              <w:t>.3</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00kg</w:t>
            </w:r>
            <w:r>
              <w:rPr>
                <w:rFonts w:hint="eastAsia" w:ascii="宋体" w:hAnsi="宋体"/>
                <w:b w:val="0"/>
                <w:bCs/>
                <w:color w:val="000000" w:themeColor="text1"/>
                <w:spacing w:val="-4"/>
                <w:szCs w:val="21"/>
                <w14:textFill>
                  <w14:solidFill>
                    <w14:schemeClr w14:val="tx1"/>
                  </w14:solidFill>
                </w14:textFill>
              </w:rPr>
              <w:t>）</w:t>
            </w:r>
          </w:p>
        </w:tc>
        <w:tc>
          <w:tcPr>
            <w:tcW w:w="410" w:type="pct"/>
            <w:shd w:val="clear" w:color="auto" w:fill="auto"/>
            <w:vAlign w:val="center"/>
          </w:tcPr>
          <w:p w14:paraId="1798EAEA">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19</w:t>
            </w:r>
          </w:p>
        </w:tc>
        <w:tc>
          <w:tcPr>
            <w:tcW w:w="358" w:type="pct"/>
            <w:shd w:val="clear" w:color="auto" w:fill="auto"/>
            <w:vAlign w:val="center"/>
          </w:tcPr>
          <w:p w14:paraId="124F320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38</w:t>
            </w:r>
          </w:p>
        </w:tc>
        <w:tc>
          <w:tcPr>
            <w:tcW w:w="388" w:type="pct"/>
            <w:shd w:val="clear" w:color="auto" w:fill="auto"/>
            <w:vAlign w:val="center"/>
          </w:tcPr>
          <w:p w14:paraId="22266F5F">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w:t>
            </w:r>
          </w:p>
        </w:tc>
        <w:tc>
          <w:tcPr>
            <w:tcW w:w="885" w:type="pct"/>
            <w:shd w:val="clear" w:color="auto" w:fill="auto"/>
          </w:tcPr>
          <w:p w14:paraId="76227543">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.2.8</w:t>
            </w:r>
          </w:p>
        </w:tc>
      </w:tr>
      <w:tr w14:paraId="67FEFB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restart"/>
            <w:shd w:val="clear" w:color="auto" w:fill="auto"/>
            <w:vAlign w:val="center"/>
          </w:tcPr>
          <w:p w14:paraId="4F8A9AA3">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18</w:t>
            </w:r>
            <w:r>
              <w:rPr>
                <w:rFonts w:ascii="宋体" w:hAnsi="宋体" w:cs="Arial"/>
                <w:b w:val="0"/>
                <w:bCs/>
                <w:szCs w:val="21"/>
              </w:rPr>
              <w:t>#</w:t>
            </w:r>
            <w:r>
              <w:rPr>
                <w:rFonts w:hint="eastAsia" w:ascii="宋体" w:hAnsi="宋体" w:cs="Arial"/>
                <w:b w:val="0"/>
                <w:bCs/>
                <w:szCs w:val="21"/>
              </w:rPr>
              <w:t>半成品中转</w:t>
            </w:r>
          </w:p>
        </w:tc>
        <w:tc>
          <w:tcPr>
            <w:tcW w:w="353" w:type="pct"/>
            <w:vMerge w:val="restart"/>
            <w:shd w:val="clear" w:color="auto" w:fill="auto"/>
            <w:vAlign w:val="center"/>
          </w:tcPr>
          <w:p w14:paraId="7467F97A">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w:t>
            </w:r>
            <w:r>
              <w:rPr>
                <w:rFonts w:hint="eastAsia" w:ascii="宋体" w:hAnsi="宋体" w:cs="Arial"/>
                <w:b w:val="0"/>
                <w:bCs/>
                <w:szCs w:val="21"/>
              </w:rPr>
              <w:t>3</w:t>
            </w:r>
          </w:p>
        </w:tc>
        <w:tc>
          <w:tcPr>
            <w:tcW w:w="519" w:type="pct"/>
            <w:vMerge w:val="restart"/>
            <w:shd w:val="clear" w:color="auto" w:fill="auto"/>
            <w:vAlign w:val="center"/>
          </w:tcPr>
          <w:p w14:paraId="3C8DEEA1">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500</w:t>
            </w:r>
          </w:p>
        </w:tc>
        <w:tc>
          <w:tcPr>
            <w:tcW w:w="1075" w:type="pct"/>
            <w:shd w:val="clear" w:color="auto" w:fill="auto"/>
            <w:vAlign w:val="center"/>
          </w:tcPr>
          <w:p w14:paraId="422ACEB8">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w:t>
            </w:r>
            <w:r>
              <w:rPr>
                <w:rFonts w:ascii="宋体" w:hAnsi="宋体"/>
                <w:b w:val="0"/>
                <w:bCs/>
                <w:color w:val="000000" w:themeColor="text1"/>
                <w:spacing w:val="-4"/>
                <w:szCs w:val="21"/>
                <w14:textFill>
                  <w14:solidFill>
                    <w14:schemeClr w14:val="tx1"/>
                  </w14:solidFill>
                </w14:textFill>
              </w:rPr>
              <w:t>7#</w:t>
            </w:r>
            <w:r>
              <w:rPr>
                <w:rFonts w:hint="eastAsia" w:ascii="宋体" w:hAnsi="宋体"/>
                <w:b w:val="0"/>
                <w:bCs/>
                <w:color w:val="000000" w:themeColor="text1"/>
                <w:spacing w:val="-4"/>
                <w:szCs w:val="21"/>
                <w14:textFill>
                  <w14:solidFill>
                    <w14:schemeClr w14:val="tx1"/>
                  </w14:solidFill>
                </w14:textFill>
              </w:rPr>
              <w:t xml:space="preserve">半成品中转 </w:t>
            </w:r>
          </w:p>
          <w:p w14:paraId="4EDC77CC">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color w:val="000000" w:themeColor="text1"/>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w:t>
            </w:r>
            <w:r>
              <w:rPr>
                <w:rFonts w:ascii="宋体" w:hAnsi="宋体"/>
                <w:b w:val="0"/>
                <w:bCs/>
                <w:color w:val="000000" w:themeColor="text1"/>
                <w:spacing w:val="-4"/>
                <w:szCs w:val="21"/>
                <w14:textFill>
                  <w14:solidFill>
                    <w14:schemeClr w14:val="tx1"/>
                  </w14:solidFill>
                </w14:textFill>
              </w:rPr>
              <w:t>.3</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00kg</w:t>
            </w:r>
            <w:r>
              <w:rPr>
                <w:rFonts w:hint="eastAsia" w:ascii="宋体" w:hAnsi="宋体"/>
                <w:b w:val="0"/>
                <w:bCs/>
                <w:color w:val="000000" w:themeColor="text1"/>
                <w:spacing w:val="-4"/>
                <w:szCs w:val="21"/>
                <w14:textFill>
                  <w14:solidFill>
                    <w14:schemeClr w14:val="tx1"/>
                  </w14:solidFill>
                </w14:textFill>
              </w:rPr>
              <w:t>）</w:t>
            </w:r>
          </w:p>
        </w:tc>
        <w:tc>
          <w:tcPr>
            <w:tcW w:w="410" w:type="pct"/>
            <w:shd w:val="clear" w:color="auto" w:fill="auto"/>
            <w:vAlign w:val="center"/>
          </w:tcPr>
          <w:p w14:paraId="029316EE">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15.2</w:t>
            </w:r>
          </w:p>
        </w:tc>
        <w:tc>
          <w:tcPr>
            <w:tcW w:w="358" w:type="pct"/>
            <w:shd w:val="clear" w:color="auto" w:fill="auto"/>
            <w:vAlign w:val="center"/>
          </w:tcPr>
          <w:p w14:paraId="11CB0EC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17</w:t>
            </w:r>
          </w:p>
        </w:tc>
        <w:tc>
          <w:tcPr>
            <w:tcW w:w="388" w:type="pct"/>
            <w:shd w:val="clear" w:color="auto" w:fill="auto"/>
            <w:vAlign w:val="center"/>
          </w:tcPr>
          <w:p w14:paraId="3FFF980B">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双有</w:t>
            </w:r>
          </w:p>
        </w:tc>
        <w:tc>
          <w:tcPr>
            <w:tcW w:w="885" w:type="pct"/>
            <w:shd w:val="clear" w:color="auto" w:fill="auto"/>
            <w:vAlign w:val="center"/>
          </w:tcPr>
          <w:p w14:paraId="747A35C3">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w:t>
            </w:r>
            <w:r>
              <w:rPr>
                <w:rFonts w:hint="eastAsia" w:ascii="宋体" w:hAnsi="宋体" w:cs="宋体"/>
                <w:b w:val="0"/>
                <w:bCs/>
                <w:color w:val="000000" w:themeColor="text1"/>
                <w:szCs w:val="21"/>
                <w14:textFill>
                  <w14:solidFill>
                    <w14:schemeClr w14:val="tx1"/>
                  </w14:solidFill>
                </w14:textFill>
              </w:rPr>
              <w:t>8</w:t>
            </w:r>
          </w:p>
        </w:tc>
      </w:tr>
      <w:tr w14:paraId="2C928B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0F1185EC">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22B50D6B">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4520E7F1">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3DDC9AA8">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19</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半成品中转 </w:t>
            </w:r>
          </w:p>
          <w:p w14:paraId="7EA979C2">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color w:val="000000" w:themeColor="text1"/>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（1</w:t>
            </w:r>
            <w:r>
              <w:rPr>
                <w:rFonts w:ascii="宋体" w:hAnsi="宋体"/>
                <w:b w:val="0"/>
                <w:bCs/>
                <w:color w:val="000000" w:themeColor="text1"/>
                <w:spacing w:val="-4"/>
                <w:szCs w:val="21"/>
                <w14:textFill>
                  <w14:solidFill>
                    <w14:schemeClr w14:val="tx1"/>
                  </w14:solidFill>
                </w14:textFill>
              </w:rPr>
              <w:t>.3</w:t>
            </w:r>
            <w:r>
              <w:rPr>
                <w:rFonts w:hint="eastAsia" w:ascii="宋体" w:hAnsi="宋体"/>
                <w:b w:val="0"/>
                <w:bCs/>
                <w:color w:val="000000" w:themeColor="text1"/>
                <w:spacing w:val="-4"/>
                <w:szCs w:val="21"/>
                <w14:textFill>
                  <w14:solidFill>
                    <w14:schemeClr w14:val="tx1"/>
                  </w14:solidFill>
                </w14:textFill>
              </w:rPr>
              <w:t>级、10</w:t>
            </w:r>
            <w:r>
              <w:rPr>
                <w:rFonts w:ascii="宋体" w:hAnsi="宋体"/>
                <w:b w:val="0"/>
                <w:bCs/>
                <w:color w:val="000000" w:themeColor="text1"/>
                <w:spacing w:val="-4"/>
                <w:szCs w:val="21"/>
                <w14:textFill>
                  <w14:solidFill>
                    <w14:schemeClr w14:val="tx1"/>
                  </w14:solidFill>
                </w14:textFill>
              </w:rPr>
              <w:t>00kg</w:t>
            </w:r>
            <w:r>
              <w:rPr>
                <w:rFonts w:hint="eastAsia" w:ascii="宋体" w:hAnsi="宋体"/>
                <w:b w:val="0"/>
                <w:bCs/>
                <w:color w:val="000000" w:themeColor="text1"/>
                <w:spacing w:val="-4"/>
                <w:szCs w:val="21"/>
                <w14:textFill>
                  <w14:solidFill>
                    <w14:schemeClr w14:val="tx1"/>
                  </w14:solidFill>
                </w14:textFill>
              </w:rPr>
              <w:t>）</w:t>
            </w:r>
          </w:p>
        </w:tc>
        <w:tc>
          <w:tcPr>
            <w:tcW w:w="410" w:type="pct"/>
            <w:shd w:val="clear" w:color="auto" w:fill="auto"/>
            <w:vAlign w:val="center"/>
          </w:tcPr>
          <w:p w14:paraId="23AF733F">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20</w:t>
            </w:r>
          </w:p>
        </w:tc>
        <w:tc>
          <w:tcPr>
            <w:tcW w:w="358" w:type="pct"/>
            <w:shd w:val="clear" w:color="auto" w:fill="auto"/>
            <w:vAlign w:val="center"/>
          </w:tcPr>
          <w:p w14:paraId="2D35C62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20</w:t>
            </w:r>
          </w:p>
        </w:tc>
        <w:tc>
          <w:tcPr>
            <w:tcW w:w="388" w:type="pct"/>
            <w:shd w:val="clear" w:color="auto" w:fill="auto"/>
            <w:vAlign w:val="center"/>
          </w:tcPr>
          <w:p w14:paraId="2D926942">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双有</w:t>
            </w:r>
          </w:p>
        </w:tc>
        <w:tc>
          <w:tcPr>
            <w:tcW w:w="885" w:type="pct"/>
            <w:shd w:val="clear" w:color="auto" w:fill="auto"/>
            <w:vAlign w:val="center"/>
          </w:tcPr>
          <w:p w14:paraId="17B7A45F">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w:t>
            </w:r>
            <w:r>
              <w:rPr>
                <w:rFonts w:hint="eastAsia" w:ascii="宋体" w:hAnsi="宋体" w:cs="宋体"/>
                <w:b w:val="0"/>
                <w:bCs/>
                <w:color w:val="000000" w:themeColor="text1"/>
                <w:szCs w:val="21"/>
                <w14:textFill>
                  <w14:solidFill>
                    <w14:schemeClr w14:val="tx1"/>
                  </w14:solidFill>
                </w14:textFill>
              </w:rPr>
              <w:t>8</w:t>
            </w:r>
          </w:p>
        </w:tc>
      </w:tr>
      <w:tr w14:paraId="161739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shd w:val="clear" w:color="auto" w:fill="auto"/>
            <w:vAlign w:val="center"/>
          </w:tcPr>
          <w:p w14:paraId="4ADED530">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19</w:t>
            </w:r>
            <w:r>
              <w:rPr>
                <w:rFonts w:ascii="宋体" w:hAnsi="宋体" w:cs="Arial"/>
                <w:b w:val="0"/>
                <w:bCs/>
                <w:szCs w:val="21"/>
              </w:rPr>
              <w:t>#</w:t>
            </w:r>
            <w:r>
              <w:rPr>
                <w:rFonts w:hint="eastAsia" w:ascii="宋体" w:hAnsi="宋体"/>
                <w:b w:val="0"/>
                <w:bCs/>
                <w:spacing w:val="-4"/>
                <w:szCs w:val="21"/>
              </w:rPr>
              <w:t>半成品中转</w:t>
            </w:r>
          </w:p>
        </w:tc>
        <w:tc>
          <w:tcPr>
            <w:tcW w:w="353" w:type="pct"/>
            <w:shd w:val="clear" w:color="auto" w:fill="auto"/>
            <w:vAlign w:val="center"/>
          </w:tcPr>
          <w:p w14:paraId="12E6C494">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w:t>
            </w:r>
            <w:r>
              <w:rPr>
                <w:rFonts w:hint="eastAsia" w:ascii="宋体" w:hAnsi="宋体" w:cs="Arial"/>
                <w:b w:val="0"/>
                <w:bCs/>
                <w:szCs w:val="21"/>
              </w:rPr>
              <w:t>3</w:t>
            </w:r>
          </w:p>
        </w:tc>
        <w:tc>
          <w:tcPr>
            <w:tcW w:w="519" w:type="pct"/>
            <w:shd w:val="clear" w:color="auto" w:fill="auto"/>
            <w:vAlign w:val="center"/>
          </w:tcPr>
          <w:p w14:paraId="3AE89518">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1000</w:t>
            </w:r>
          </w:p>
        </w:tc>
        <w:tc>
          <w:tcPr>
            <w:tcW w:w="1075" w:type="pct"/>
            <w:shd w:val="clear" w:color="auto" w:fill="auto"/>
            <w:vAlign w:val="center"/>
          </w:tcPr>
          <w:p w14:paraId="6CF7CB7D">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20</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辅助材料库</w:t>
            </w:r>
          </w:p>
        </w:tc>
        <w:tc>
          <w:tcPr>
            <w:tcW w:w="410" w:type="pct"/>
            <w:shd w:val="clear" w:color="auto" w:fill="auto"/>
            <w:vAlign w:val="center"/>
          </w:tcPr>
          <w:p w14:paraId="667CBA8B">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25</w:t>
            </w:r>
          </w:p>
        </w:tc>
        <w:tc>
          <w:tcPr>
            <w:tcW w:w="358" w:type="pct"/>
            <w:shd w:val="clear" w:color="auto" w:fill="auto"/>
            <w:vAlign w:val="center"/>
          </w:tcPr>
          <w:p w14:paraId="2EDFEEC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25</w:t>
            </w:r>
          </w:p>
        </w:tc>
        <w:tc>
          <w:tcPr>
            <w:tcW w:w="388" w:type="pct"/>
            <w:shd w:val="clear" w:color="auto" w:fill="auto"/>
            <w:vAlign w:val="center"/>
          </w:tcPr>
          <w:p w14:paraId="5BF5B79A">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w:t>
            </w:r>
          </w:p>
        </w:tc>
        <w:tc>
          <w:tcPr>
            <w:tcW w:w="885" w:type="pct"/>
            <w:shd w:val="clear" w:color="auto" w:fill="auto"/>
            <w:vAlign w:val="center"/>
          </w:tcPr>
          <w:p w14:paraId="19644E8B">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w:t>
            </w:r>
            <w:r>
              <w:rPr>
                <w:rFonts w:hint="eastAsia" w:ascii="宋体" w:hAnsi="宋体" w:cs="宋体"/>
                <w:b w:val="0"/>
                <w:bCs/>
                <w:color w:val="000000" w:themeColor="text1"/>
                <w:szCs w:val="21"/>
                <w14:textFill>
                  <w14:solidFill>
                    <w14:schemeClr w14:val="tx1"/>
                  </w14:solidFill>
                </w14:textFill>
              </w:rPr>
              <w:t>8</w:t>
            </w:r>
          </w:p>
        </w:tc>
      </w:tr>
      <w:tr w14:paraId="214D8F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shd w:val="clear" w:color="auto" w:fill="auto"/>
            <w:vAlign w:val="center"/>
          </w:tcPr>
          <w:p w14:paraId="57A81B64">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23</w:t>
            </w:r>
            <w:r>
              <w:rPr>
                <w:rFonts w:ascii="宋体" w:hAnsi="宋体" w:cs="Arial"/>
                <w:b w:val="0"/>
                <w:bCs/>
                <w:szCs w:val="21"/>
              </w:rPr>
              <w:t>#</w:t>
            </w:r>
            <w:r>
              <w:rPr>
                <w:rFonts w:hint="eastAsia" w:ascii="宋体" w:hAnsi="宋体" w:cs="Arial"/>
                <w:b w:val="0"/>
                <w:bCs/>
                <w:szCs w:val="21"/>
              </w:rPr>
              <w:t>半成品中转</w:t>
            </w:r>
          </w:p>
        </w:tc>
        <w:tc>
          <w:tcPr>
            <w:tcW w:w="353" w:type="pct"/>
            <w:shd w:val="clear" w:color="auto" w:fill="auto"/>
            <w:vAlign w:val="center"/>
          </w:tcPr>
          <w:p w14:paraId="59AE124F">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1.3</w:t>
            </w:r>
          </w:p>
        </w:tc>
        <w:tc>
          <w:tcPr>
            <w:tcW w:w="519" w:type="pct"/>
            <w:shd w:val="clear" w:color="auto" w:fill="auto"/>
            <w:vAlign w:val="center"/>
          </w:tcPr>
          <w:p w14:paraId="7A6F2242">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100</w:t>
            </w:r>
          </w:p>
        </w:tc>
        <w:tc>
          <w:tcPr>
            <w:tcW w:w="1075" w:type="pct"/>
            <w:shd w:val="clear" w:color="auto" w:fill="auto"/>
            <w:vAlign w:val="center"/>
          </w:tcPr>
          <w:p w14:paraId="2A8EA830">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ascii="宋体" w:hAnsi="宋体"/>
                <w:b w:val="0"/>
                <w:bCs/>
                <w:color w:val="000000" w:themeColor="text1"/>
                <w:spacing w:val="-4"/>
                <w:szCs w:val="21"/>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4</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工具间</w:t>
            </w:r>
          </w:p>
        </w:tc>
        <w:tc>
          <w:tcPr>
            <w:tcW w:w="410" w:type="pct"/>
            <w:shd w:val="clear" w:color="auto" w:fill="auto"/>
            <w:vAlign w:val="center"/>
          </w:tcPr>
          <w:p w14:paraId="1C73B28C">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w:t>
            </w:r>
            <w:r>
              <w:rPr>
                <w:rFonts w:ascii="宋体" w:hAnsi="宋体"/>
                <w:b w:val="0"/>
                <w:bCs/>
                <w:color w:val="000000" w:themeColor="text1"/>
                <w:spacing w:val="-4"/>
                <w:kern w:val="0"/>
                <w:szCs w:val="21"/>
                <w14:textFill>
                  <w14:solidFill>
                    <w14:schemeClr w14:val="tx1"/>
                  </w14:solidFill>
                </w14:textFill>
              </w:rPr>
              <w:t>4</w:t>
            </w:r>
          </w:p>
        </w:tc>
        <w:tc>
          <w:tcPr>
            <w:tcW w:w="358" w:type="pct"/>
            <w:shd w:val="clear" w:color="auto" w:fill="auto"/>
            <w:vAlign w:val="center"/>
          </w:tcPr>
          <w:p w14:paraId="7E8BE5B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14</w:t>
            </w:r>
          </w:p>
        </w:tc>
        <w:tc>
          <w:tcPr>
            <w:tcW w:w="388" w:type="pct"/>
            <w:shd w:val="clear" w:color="auto" w:fill="auto"/>
            <w:vAlign w:val="center"/>
          </w:tcPr>
          <w:p w14:paraId="67168247">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w:t>
            </w:r>
          </w:p>
        </w:tc>
        <w:tc>
          <w:tcPr>
            <w:tcW w:w="885" w:type="pct"/>
            <w:shd w:val="clear" w:color="auto" w:fill="auto"/>
          </w:tcPr>
          <w:p w14:paraId="3A7D3A36">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.2.8</w:t>
            </w:r>
          </w:p>
        </w:tc>
      </w:tr>
      <w:tr w14:paraId="667FE4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1008" w:type="pct"/>
            <w:vMerge w:val="restart"/>
            <w:shd w:val="clear" w:color="auto" w:fill="auto"/>
            <w:vAlign w:val="center"/>
          </w:tcPr>
          <w:p w14:paraId="5A8C3CF2">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25</w:t>
            </w:r>
            <w:r>
              <w:rPr>
                <w:rFonts w:ascii="宋体" w:hAnsi="宋体" w:cs="Arial"/>
                <w:b w:val="0"/>
                <w:bCs/>
                <w:szCs w:val="21"/>
              </w:rPr>
              <w:t>#</w:t>
            </w:r>
            <w:r>
              <w:rPr>
                <w:rFonts w:hint="eastAsia" w:ascii="宋体" w:hAnsi="宋体" w:cs="Arial"/>
                <w:b w:val="0"/>
                <w:bCs/>
                <w:szCs w:val="21"/>
              </w:rPr>
              <w:t>装药/压药</w:t>
            </w:r>
          </w:p>
        </w:tc>
        <w:tc>
          <w:tcPr>
            <w:tcW w:w="353" w:type="pct"/>
            <w:vMerge w:val="restart"/>
            <w:shd w:val="clear" w:color="auto" w:fill="auto"/>
            <w:vAlign w:val="center"/>
          </w:tcPr>
          <w:p w14:paraId="0D1929EF">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w:t>
            </w:r>
            <w:r>
              <w:rPr>
                <w:rFonts w:hint="eastAsia" w:ascii="宋体" w:hAnsi="宋体" w:cs="Arial"/>
                <w:b w:val="0"/>
                <w:bCs/>
                <w:szCs w:val="21"/>
                <w:vertAlign w:val="superscript"/>
              </w:rPr>
              <w:t>2</w:t>
            </w:r>
          </w:p>
        </w:tc>
        <w:tc>
          <w:tcPr>
            <w:tcW w:w="519" w:type="pct"/>
            <w:vMerge w:val="restart"/>
            <w:shd w:val="clear" w:color="auto" w:fill="auto"/>
            <w:vAlign w:val="center"/>
          </w:tcPr>
          <w:p w14:paraId="368B3920">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5</w:t>
            </w:r>
          </w:p>
        </w:tc>
        <w:tc>
          <w:tcPr>
            <w:tcW w:w="1075" w:type="pct"/>
            <w:shd w:val="clear" w:color="auto" w:fill="auto"/>
            <w:vAlign w:val="center"/>
          </w:tcPr>
          <w:p w14:paraId="350ADC79">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ascii="宋体" w:hAnsi="宋体"/>
                <w:b w:val="0"/>
                <w:bCs/>
                <w:color w:val="000000" w:themeColor="text1"/>
                <w:spacing w:val="-4"/>
                <w:szCs w:val="21"/>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4</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工具间</w:t>
            </w:r>
          </w:p>
        </w:tc>
        <w:tc>
          <w:tcPr>
            <w:tcW w:w="410" w:type="pct"/>
            <w:shd w:val="clear" w:color="auto" w:fill="auto"/>
            <w:vAlign w:val="center"/>
          </w:tcPr>
          <w:p w14:paraId="26F4907A">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7</w:t>
            </w:r>
          </w:p>
        </w:tc>
        <w:tc>
          <w:tcPr>
            <w:tcW w:w="358" w:type="pct"/>
            <w:shd w:val="clear" w:color="auto" w:fill="auto"/>
            <w:vAlign w:val="center"/>
          </w:tcPr>
          <w:p w14:paraId="60EB8D6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7</w:t>
            </w:r>
          </w:p>
        </w:tc>
        <w:tc>
          <w:tcPr>
            <w:tcW w:w="388" w:type="pct"/>
            <w:shd w:val="clear" w:color="auto" w:fill="auto"/>
            <w:vAlign w:val="center"/>
          </w:tcPr>
          <w:p w14:paraId="0E3FA71C">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w:t>
            </w:r>
          </w:p>
        </w:tc>
        <w:tc>
          <w:tcPr>
            <w:tcW w:w="885" w:type="pct"/>
            <w:shd w:val="clear" w:color="auto" w:fill="auto"/>
          </w:tcPr>
          <w:p w14:paraId="15C03C97">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w:t>
            </w:r>
            <w:r>
              <w:rPr>
                <w:rFonts w:hint="eastAsia" w:ascii="宋体" w:hAnsi="宋体" w:cs="宋体"/>
                <w:b w:val="0"/>
                <w:bCs/>
                <w:color w:val="000000" w:themeColor="text1"/>
                <w:szCs w:val="21"/>
                <w14:textFill>
                  <w14:solidFill>
                    <w14:schemeClr w14:val="tx1"/>
                  </w14:solidFill>
                </w14:textFill>
              </w:rPr>
              <w:t>3</w:t>
            </w:r>
          </w:p>
        </w:tc>
      </w:tr>
      <w:tr w14:paraId="779E63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3D26C4A9">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0D341CE8">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19634F82">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358D4BE9">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27</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药物中转 （</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w:t>
            </w:r>
            <w:r>
              <w:rPr>
                <w:rFonts w:hint="eastAsia" w:ascii="宋体" w:hAnsi="宋体" w:cs="Arial"/>
                <w:b w:val="0"/>
                <w:bCs/>
                <w:color w:val="000000" w:themeColor="text1"/>
                <w:szCs w:val="21"/>
                <w:vertAlign w:val="superscript"/>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级、1</w:t>
            </w:r>
            <w:r>
              <w:rPr>
                <w:rFonts w:ascii="宋体" w:hAnsi="宋体"/>
                <w:b w:val="0"/>
                <w:bCs/>
                <w:color w:val="000000" w:themeColor="text1"/>
                <w:spacing w:val="-4"/>
                <w:szCs w:val="21"/>
                <w14:textFill>
                  <w14:solidFill>
                    <w14:schemeClr w14:val="tx1"/>
                  </w14:solidFill>
                </w14:textFill>
              </w:rPr>
              <w:t>00kg</w:t>
            </w:r>
            <w:r>
              <w:rPr>
                <w:rFonts w:hint="eastAsia" w:ascii="宋体" w:hAnsi="宋体"/>
                <w:b w:val="0"/>
                <w:bCs/>
                <w:color w:val="000000" w:themeColor="text1"/>
                <w:spacing w:val="-4"/>
                <w:szCs w:val="21"/>
                <w14:textFill>
                  <w14:solidFill>
                    <w14:schemeClr w14:val="tx1"/>
                  </w14:solidFill>
                </w14:textFill>
              </w:rPr>
              <w:t>）</w:t>
            </w:r>
          </w:p>
        </w:tc>
        <w:tc>
          <w:tcPr>
            <w:tcW w:w="410" w:type="pct"/>
            <w:shd w:val="clear" w:color="auto" w:fill="auto"/>
            <w:vAlign w:val="center"/>
          </w:tcPr>
          <w:p w14:paraId="007F8936">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12</w:t>
            </w:r>
          </w:p>
        </w:tc>
        <w:tc>
          <w:tcPr>
            <w:tcW w:w="358" w:type="pct"/>
            <w:shd w:val="clear" w:color="auto" w:fill="auto"/>
            <w:vAlign w:val="center"/>
          </w:tcPr>
          <w:p w14:paraId="248640E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12</w:t>
            </w:r>
          </w:p>
        </w:tc>
        <w:tc>
          <w:tcPr>
            <w:tcW w:w="388" w:type="pct"/>
            <w:shd w:val="clear" w:color="auto" w:fill="auto"/>
            <w:vAlign w:val="center"/>
          </w:tcPr>
          <w:p w14:paraId="7B367968">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w:t>
            </w:r>
          </w:p>
        </w:tc>
        <w:tc>
          <w:tcPr>
            <w:tcW w:w="885" w:type="pct"/>
            <w:shd w:val="clear" w:color="auto" w:fill="auto"/>
          </w:tcPr>
          <w:p w14:paraId="08C5A869">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w:t>
            </w:r>
            <w:r>
              <w:rPr>
                <w:rFonts w:hint="eastAsia" w:ascii="宋体" w:hAnsi="宋体" w:cs="宋体"/>
                <w:b w:val="0"/>
                <w:bCs/>
                <w:color w:val="000000" w:themeColor="text1"/>
                <w:szCs w:val="21"/>
                <w14:textFill>
                  <w14:solidFill>
                    <w14:schemeClr w14:val="tx1"/>
                  </w14:solidFill>
                </w14:textFill>
              </w:rPr>
              <w:t>3</w:t>
            </w:r>
          </w:p>
        </w:tc>
      </w:tr>
      <w:tr w14:paraId="01D707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restart"/>
            <w:shd w:val="clear" w:color="auto" w:fill="auto"/>
            <w:vAlign w:val="center"/>
          </w:tcPr>
          <w:p w14:paraId="59C74849">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31</w:t>
            </w:r>
            <w:r>
              <w:rPr>
                <w:rFonts w:ascii="宋体" w:hAnsi="宋体" w:cs="Arial"/>
                <w:b w:val="0"/>
                <w:bCs/>
                <w:szCs w:val="21"/>
              </w:rPr>
              <w:t>#</w:t>
            </w:r>
            <w:r>
              <w:rPr>
                <w:rFonts w:hint="eastAsia" w:ascii="宋体" w:hAnsi="宋体" w:cs="Arial"/>
                <w:b w:val="0"/>
                <w:bCs/>
                <w:szCs w:val="21"/>
              </w:rPr>
              <w:t>半成品中转</w:t>
            </w:r>
          </w:p>
        </w:tc>
        <w:tc>
          <w:tcPr>
            <w:tcW w:w="353" w:type="pct"/>
            <w:vMerge w:val="restart"/>
            <w:shd w:val="clear" w:color="auto" w:fill="auto"/>
            <w:vAlign w:val="center"/>
          </w:tcPr>
          <w:p w14:paraId="1498FAD6">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.3</w:t>
            </w:r>
          </w:p>
        </w:tc>
        <w:tc>
          <w:tcPr>
            <w:tcW w:w="519" w:type="pct"/>
            <w:vMerge w:val="restart"/>
            <w:shd w:val="clear" w:color="auto" w:fill="auto"/>
            <w:vAlign w:val="center"/>
          </w:tcPr>
          <w:p w14:paraId="1B628B1F">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00</w:t>
            </w:r>
          </w:p>
        </w:tc>
        <w:tc>
          <w:tcPr>
            <w:tcW w:w="1075" w:type="pct"/>
            <w:shd w:val="clear" w:color="auto" w:fill="auto"/>
            <w:vAlign w:val="center"/>
          </w:tcPr>
          <w:p w14:paraId="34E1EC7C">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29</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装药/压药 （</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w:t>
            </w:r>
            <w:r>
              <w:rPr>
                <w:rFonts w:hint="eastAsia" w:ascii="宋体" w:hAnsi="宋体" w:cs="Arial"/>
                <w:b w:val="0"/>
                <w:bCs/>
                <w:color w:val="000000" w:themeColor="text1"/>
                <w:szCs w:val="21"/>
                <w:vertAlign w:val="superscript"/>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kg</w:t>
            </w:r>
            <w:r>
              <w:rPr>
                <w:rFonts w:hint="eastAsia" w:ascii="宋体" w:hAnsi="宋体"/>
                <w:b w:val="0"/>
                <w:bCs/>
                <w:color w:val="000000" w:themeColor="text1"/>
                <w:spacing w:val="-4"/>
                <w:szCs w:val="21"/>
                <w14:textFill>
                  <w14:solidFill>
                    <w14:schemeClr w14:val="tx1"/>
                  </w14:solidFill>
                </w14:textFill>
              </w:rPr>
              <w:t>）</w:t>
            </w:r>
          </w:p>
        </w:tc>
        <w:tc>
          <w:tcPr>
            <w:tcW w:w="410" w:type="pct"/>
            <w:shd w:val="clear" w:color="auto" w:fill="auto"/>
            <w:vAlign w:val="center"/>
          </w:tcPr>
          <w:p w14:paraId="6C2546EE">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14</w:t>
            </w:r>
          </w:p>
        </w:tc>
        <w:tc>
          <w:tcPr>
            <w:tcW w:w="358" w:type="pct"/>
            <w:shd w:val="clear" w:color="auto" w:fill="auto"/>
            <w:vAlign w:val="center"/>
          </w:tcPr>
          <w:p w14:paraId="67897FD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15</w:t>
            </w:r>
          </w:p>
        </w:tc>
        <w:tc>
          <w:tcPr>
            <w:tcW w:w="388" w:type="pct"/>
            <w:shd w:val="clear" w:color="auto" w:fill="auto"/>
            <w:vAlign w:val="center"/>
          </w:tcPr>
          <w:p w14:paraId="167CC55F">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双有</w:t>
            </w:r>
          </w:p>
        </w:tc>
        <w:tc>
          <w:tcPr>
            <w:tcW w:w="885" w:type="pct"/>
            <w:shd w:val="clear" w:color="auto" w:fill="auto"/>
          </w:tcPr>
          <w:p w14:paraId="512BEA30">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.2.8</w:t>
            </w:r>
          </w:p>
        </w:tc>
      </w:tr>
      <w:tr w14:paraId="0EB626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18BB706D">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1C4E8E45">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26DEF2E4">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2A34B109">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33</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装药/压药 </w:t>
            </w:r>
          </w:p>
          <w:p w14:paraId="5257FB32">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w:t>
            </w:r>
            <w:r>
              <w:rPr>
                <w:rFonts w:hint="eastAsia" w:ascii="宋体" w:hAnsi="宋体" w:cs="Arial"/>
                <w:b w:val="0"/>
                <w:bCs/>
                <w:color w:val="000000" w:themeColor="text1"/>
                <w:szCs w:val="21"/>
                <w:vertAlign w:val="superscript"/>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kg</w:t>
            </w:r>
            <w:r>
              <w:rPr>
                <w:rFonts w:hint="eastAsia" w:ascii="宋体" w:hAnsi="宋体"/>
                <w:b w:val="0"/>
                <w:bCs/>
                <w:color w:val="000000" w:themeColor="text1"/>
                <w:spacing w:val="-4"/>
                <w:szCs w:val="21"/>
                <w14:textFill>
                  <w14:solidFill>
                    <w14:schemeClr w14:val="tx1"/>
                  </w14:solidFill>
                </w14:textFill>
              </w:rPr>
              <w:t>）</w:t>
            </w:r>
          </w:p>
        </w:tc>
        <w:tc>
          <w:tcPr>
            <w:tcW w:w="410" w:type="pct"/>
            <w:shd w:val="clear" w:color="auto" w:fill="auto"/>
            <w:vAlign w:val="center"/>
          </w:tcPr>
          <w:p w14:paraId="21855473">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11.2</w:t>
            </w:r>
          </w:p>
        </w:tc>
        <w:tc>
          <w:tcPr>
            <w:tcW w:w="358" w:type="pct"/>
            <w:shd w:val="clear" w:color="auto" w:fill="auto"/>
            <w:vAlign w:val="center"/>
          </w:tcPr>
          <w:p w14:paraId="6E01B97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13</w:t>
            </w:r>
          </w:p>
        </w:tc>
        <w:tc>
          <w:tcPr>
            <w:tcW w:w="388" w:type="pct"/>
            <w:shd w:val="clear" w:color="auto" w:fill="auto"/>
            <w:vAlign w:val="center"/>
          </w:tcPr>
          <w:p w14:paraId="377B4E8C">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双有</w:t>
            </w:r>
          </w:p>
        </w:tc>
        <w:tc>
          <w:tcPr>
            <w:tcW w:w="885" w:type="pct"/>
            <w:shd w:val="clear" w:color="auto" w:fill="auto"/>
          </w:tcPr>
          <w:p w14:paraId="599FEE5E">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.2.8</w:t>
            </w:r>
          </w:p>
        </w:tc>
      </w:tr>
      <w:tr w14:paraId="4714A0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restart"/>
            <w:shd w:val="clear" w:color="auto" w:fill="auto"/>
            <w:vAlign w:val="center"/>
          </w:tcPr>
          <w:p w14:paraId="513F8F72">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34</w:t>
            </w:r>
            <w:r>
              <w:rPr>
                <w:rFonts w:ascii="宋体" w:hAnsi="宋体" w:cs="Arial"/>
                <w:b w:val="0"/>
                <w:bCs/>
                <w:szCs w:val="21"/>
              </w:rPr>
              <w:t>#</w:t>
            </w:r>
            <w:r>
              <w:rPr>
                <w:rFonts w:hint="eastAsia" w:ascii="宋体" w:hAnsi="宋体" w:cs="Arial"/>
                <w:b w:val="0"/>
                <w:bCs/>
                <w:szCs w:val="21"/>
              </w:rPr>
              <w:t>药物中转</w:t>
            </w:r>
          </w:p>
        </w:tc>
        <w:tc>
          <w:tcPr>
            <w:tcW w:w="353" w:type="pct"/>
            <w:vMerge w:val="restart"/>
            <w:shd w:val="clear" w:color="auto" w:fill="auto"/>
            <w:vAlign w:val="center"/>
          </w:tcPr>
          <w:p w14:paraId="565E2F4A">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w:t>
            </w:r>
            <w:r>
              <w:rPr>
                <w:rFonts w:hint="eastAsia" w:ascii="宋体" w:hAnsi="宋体" w:cs="Arial"/>
                <w:b w:val="0"/>
                <w:bCs/>
                <w:szCs w:val="21"/>
                <w:vertAlign w:val="superscript"/>
              </w:rPr>
              <w:t>2</w:t>
            </w:r>
          </w:p>
        </w:tc>
        <w:tc>
          <w:tcPr>
            <w:tcW w:w="519" w:type="pct"/>
            <w:vMerge w:val="restart"/>
            <w:shd w:val="clear" w:color="auto" w:fill="auto"/>
            <w:vAlign w:val="center"/>
          </w:tcPr>
          <w:p w14:paraId="0A03B2D8">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00</w:t>
            </w:r>
          </w:p>
        </w:tc>
        <w:tc>
          <w:tcPr>
            <w:tcW w:w="1075" w:type="pct"/>
            <w:shd w:val="clear" w:color="auto" w:fill="auto"/>
            <w:vAlign w:val="center"/>
          </w:tcPr>
          <w:p w14:paraId="186B23F7">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33</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装药/压药 </w:t>
            </w:r>
          </w:p>
          <w:p w14:paraId="12361280">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w:t>
            </w:r>
            <w:r>
              <w:rPr>
                <w:rFonts w:hint="eastAsia" w:ascii="宋体" w:hAnsi="宋体" w:cs="Arial"/>
                <w:b w:val="0"/>
                <w:bCs/>
                <w:color w:val="000000" w:themeColor="text1"/>
                <w:szCs w:val="21"/>
                <w:vertAlign w:val="superscript"/>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kg</w:t>
            </w:r>
            <w:r>
              <w:rPr>
                <w:rFonts w:hint="eastAsia" w:ascii="宋体" w:hAnsi="宋体"/>
                <w:b w:val="0"/>
                <w:bCs/>
                <w:color w:val="000000" w:themeColor="text1"/>
                <w:spacing w:val="-4"/>
                <w:szCs w:val="21"/>
                <w14:textFill>
                  <w14:solidFill>
                    <w14:schemeClr w14:val="tx1"/>
                  </w14:solidFill>
                </w14:textFill>
              </w:rPr>
              <w:t>）</w:t>
            </w:r>
          </w:p>
        </w:tc>
        <w:tc>
          <w:tcPr>
            <w:tcW w:w="410" w:type="pct"/>
            <w:shd w:val="clear" w:color="auto" w:fill="auto"/>
            <w:vAlign w:val="center"/>
          </w:tcPr>
          <w:p w14:paraId="365B120D">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12</w:t>
            </w:r>
          </w:p>
        </w:tc>
        <w:tc>
          <w:tcPr>
            <w:tcW w:w="358" w:type="pct"/>
            <w:shd w:val="clear" w:color="auto" w:fill="auto"/>
            <w:vAlign w:val="center"/>
          </w:tcPr>
          <w:p w14:paraId="4290C94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12</w:t>
            </w:r>
          </w:p>
        </w:tc>
        <w:tc>
          <w:tcPr>
            <w:tcW w:w="388" w:type="pct"/>
            <w:vAlign w:val="center"/>
          </w:tcPr>
          <w:p w14:paraId="6D4723E7">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双有</w:t>
            </w:r>
          </w:p>
        </w:tc>
        <w:tc>
          <w:tcPr>
            <w:tcW w:w="885" w:type="pct"/>
          </w:tcPr>
          <w:p w14:paraId="130F5A48">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w:t>
            </w:r>
            <w:r>
              <w:rPr>
                <w:rFonts w:hint="eastAsia" w:ascii="宋体" w:hAnsi="宋体" w:cs="宋体"/>
                <w:b w:val="0"/>
                <w:bCs/>
                <w:color w:val="000000" w:themeColor="text1"/>
                <w:szCs w:val="21"/>
                <w14:textFill>
                  <w14:solidFill>
                    <w14:schemeClr w14:val="tx1"/>
                  </w14:solidFill>
                </w14:textFill>
              </w:rPr>
              <w:t>3</w:t>
            </w:r>
          </w:p>
        </w:tc>
      </w:tr>
      <w:tr w14:paraId="138CDE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38D637BD">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5046AC8A">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36D23FD7">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349D4B4E">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35</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装药/压药 </w:t>
            </w:r>
          </w:p>
          <w:p w14:paraId="4E0C93EC">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w:t>
            </w:r>
            <w:r>
              <w:rPr>
                <w:rFonts w:hint="eastAsia" w:ascii="宋体" w:hAnsi="宋体" w:cs="Arial"/>
                <w:b w:val="0"/>
                <w:bCs/>
                <w:color w:val="000000" w:themeColor="text1"/>
                <w:szCs w:val="21"/>
                <w:vertAlign w:val="superscript"/>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kg</w:t>
            </w:r>
            <w:r>
              <w:rPr>
                <w:rFonts w:hint="eastAsia" w:ascii="宋体" w:hAnsi="宋体"/>
                <w:b w:val="0"/>
                <w:bCs/>
                <w:color w:val="000000" w:themeColor="text1"/>
                <w:spacing w:val="-4"/>
                <w:szCs w:val="21"/>
                <w14:textFill>
                  <w14:solidFill>
                    <w14:schemeClr w14:val="tx1"/>
                  </w14:solidFill>
                </w14:textFill>
              </w:rPr>
              <w:t>）</w:t>
            </w:r>
          </w:p>
        </w:tc>
        <w:tc>
          <w:tcPr>
            <w:tcW w:w="410" w:type="pct"/>
            <w:shd w:val="clear" w:color="auto" w:fill="auto"/>
            <w:vAlign w:val="center"/>
          </w:tcPr>
          <w:p w14:paraId="3E686C3B">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12</w:t>
            </w:r>
          </w:p>
        </w:tc>
        <w:tc>
          <w:tcPr>
            <w:tcW w:w="358" w:type="pct"/>
            <w:shd w:val="clear" w:color="auto" w:fill="auto"/>
            <w:vAlign w:val="center"/>
          </w:tcPr>
          <w:p w14:paraId="66BE955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12</w:t>
            </w:r>
          </w:p>
        </w:tc>
        <w:tc>
          <w:tcPr>
            <w:tcW w:w="388" w:type="pct"/>
            <w:vAlign w:val="center"/>
          </w:tcPr>
          <w:p w14:paraId="7F15BE09">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双有</w:t>
            </w:r>
          </w:p>
        </w:tc>
        <w:tc>
          <w:tcPr>
            <w:tcW w:w="885" w:type="pct"/>
          </w:tcPr>
          <w:p w14:paraId="77FD9CC0">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w:t>
            </w:r>
            <w:r>
              <w:rPr>
                <w:rFonts w:hint="eastAsia" w:ascii="宋体" w:hAnsi="宋体" w:cs="宋体"/>
                <w:b w:val="0"/>
                <w:bCs/>
                <w:color w:val="000000" w:themeColor="text1"/>
                <w:szCs w:val="21"/>
                <w14:textFill>
                  <w14:solidFill>
                    <w14:schemeClr w14:val="tx1"/>
                  </w14:solidFill>
                </w14:textFill>
              </w:rPr>
              <w:t>3</w:t>
            </w:r>
          </w:p>
        </w:tc>
      </w:tr>
      <w:tr w14:paraId="1904D6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7" w:hRule="atLeast"/>
          <w:jc w:val="center"/>
        </w:trPr>
        <w:tc>
          <w:tcPr>
            <w:tcW w:w="1008" w:type="pct"/>
            <w:vMerge w:val="restart"/>
            <w:shd w:val="clear" w:color="auto" w:fill="auto"/>
            <w:vAlign w:val="center"/>
          </w:tcPr>
          <w:p w14:paraId="3D7A4577">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37</w:t>
            </w:r>
            <w:r>
              <w:rPr>
                <w:rFonts w:ascii="宋体" w:hAnsi="宋体" w:cs="Arial"/>
                <w:b w:val="0"/>
                <w:bCs/>
                <w:szCs w:val="21"/>
              </w:rPr>
              <w:t>#</w:t>
            </w:r>
            <w:r>
              <w:rPr>
                <w:rFonts w:hint="eastAsia" w:ascii="宋体" w:hAnsi="宋体" w:cs="Arial"/>
                <w:b w:val="0"/>
                <w:bCs/>
                <w:szCs w:val="21"/>
              </w:rPr>
              <w:t>半成品中转</w:t>
            </w:r>
          </w:p>
        </w:tc>
        <w:tc>
          <w:tcPr>
            <w:tcW w:w="353" w:type="pct"/>
            <w:vMerge w:val="restart"/>
            <w:shd w:val="clear" w:color="auto" w:fill="auto"/>
            <w:vAlign w:val="center"/>
          </w:tcPr>
          <w:p w14:paraId="4DC099E1">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.3</w:t>
            </w:r>
          </w:p>
        </w:tc>
        <w:tc>
          <w:tcPr>
            <w:tcW w:w="519" w:type="pct"/>
            <w:vMerge w:val="restart"/>
            <w:shd w:val="clear" w:color="auto" w:fill="auto"/>
            <w:vAlign w:val="center"/>
          </w:tcPr>
          <w:p w14:paraId="221E55D2">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00</w:t>
            </w:r>
          </w:p>
        </w:tc>
        <w:tc>
          <w:tcPr>
            <w:tcW w:w="1075" w:type="pct"/>
            <w:shd w:val="clear" w:color="auto" w:fill="auto"/>
            <w:vAlign w:val="center"/>
          </w:tcPr>
          <w:p w14:paraId="0F0E32F4">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35</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装药/压药 </w:t>
            </w:r>
          </w:p>
          <w:p w14:paraId="54D06823">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w:t>
            </w:r>
            <w:r>
              <w:rPr>
                <w:rFonts w:hint="eastAsia" w:ascii="宋体" w:hAnsi="宋体" w:cs="Arial"/>
                <w:b w:val="0"/>
                <w:bCs/>
                <w:color w:val="000000" w:themeColor="text1"/>
                <w:szCs w:val="21"/>
                <w:vertAlign w:val="superscript"/>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kg</w:t>
            </w:r>
            <w:r>
              <w:rPr>
                <w:rFonts w:hint="eastAsia" w:ascii="宋体" w:hAnsi="宋体"/>
                <w:b w:val="0"/>
                <w:bCs/>
                <w:color w:val="000000" w:themeColor="text1"/>
                <w:spacing w:val="-4"/>
                <w:szCs w:val="21"/>
                <w14:textFill>
                  <w14:solidFill>
                    <w14:schemeClr w14:val="tx1"/>
                  </w14:solidFill>
                </w14:textFill>
              </w:rPr>
              <w:t>）</w:t>
            </w:r>
          </w:p>
        </w:tc>
        <w:tc>
          <w:tcPr>
            <w:tcW w:w="410" w:type="pct"/>
            <w:shd w:val="clear" w:color="auto" w:fill="auto"/>
            <w:vAlign w:val="center"/>
          </w:tcPr>
          <w:p w14:paraId="66A300DF">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11.2</w:t>
            </w:r>
          </w:p>
        </w:tc>
        <w:tc>
          <w:tcPr>
            <w:tcW w:w="358" w:type="pct"/>
            <w:shd w:val="clear" w:color="auto" w:fill="auto"/>
            <w:vAlign w:val="center"/>
          </w:tcPr>
          <w:p w14:paraId="6C68DA2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12</w:t>
            </w:r>
          </w:p>
        </w:tc>
        <w:tc>
          <w:tcPr>
            <w:tcW w:w="388" w:type="pct"/>
            <w:vAlign w:val="center"/>
          </w:tcPr>
          <w:p w14:paraId="2BD1E5D1">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双有</w:t>
            </w:r>
          </w:p>
        </w:tc>
        <w:tc>
          <w:tcPr>
            <w:tcW w:w="885" w:type="pct"/>
            <w:vAlign w:val="center"/>
          </w:tcPr>
          <w:p w14:paraId="593BE837">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GB50161-2022中第5</w:t>
            </w:r>
            <w:r>
              <w:rPr>
                <w:rFonts w:ascii="宋体" w:hAnsi="宋体" w:cs="宋体"/>
                <w:b w:val="0"/>
                <w:bCs/>
                <w:color w:val="000000" w:themeColor="text1"/>
                <w:szCs w:val="21"/>
                <w14:textFill>
                  <w14:solidFill>
                    <w14:schemeClr w14:val="tx1"/>
                  </w14:solidFill>
                </w14:textFill>
              </w:rPr>
              <w:t>.2.8</w:t>
            </w:r>
            <w:r>
              <w:rPr>
                <w:rFonts w:hint="eastAsia" w:ascii="宋体" w:hAnsi="宋体" w:cs="宋体"/>
                <w:b w:val="0"/>
                <w:bCs/>
                <w:color w:val="000000" w:themeColor="text1"/>
                <w:szCs w:val="21"/>
                <w14:textFill>
                  <w14:solidFill>
                    <w14:schemeClr w14:val="tx1"/>
                  </w14:solidFill>
                </w14:textFill>
              </w:rPr>
              <w:t>条</w:t>
            </w:r>
          </w:p>
        </w:tc>
      </w:tr>
      <w:tr w14:paraId="735904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84" w:hRule="atLeast"/>
          <w:jc w:val="center"/>
        </w:trPr>
        <w:tc>
          <w:tcPr>
            <w:tcW w:w="1008" w:type="pct"/>
            <w:vMerge w:val="continue"/>
            <w:shd w:val="clear" w:color="auto" w:fill="auto"/>
            <w:vAlign w:val="center"/>
          </w:tcPr>
          <w:p w14:paraId="46144267">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4BBC1CF6">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10DC6AB5">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22D3D0ED">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38</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筑药      </w:t>
            </w:r>
          </w:p>
          <w:p w14:paraId="038973DE">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w:t>
            </w:r>
            <w:r>
              <w:rPr>
                <w:rFonts w:hint="eastAsia" w:ascii="宋体" w:hAnsi="宋体" w:cs="Arial"/>
                <w:b w:val="0"/>
                <w:bCs/>
                <w:color w:val="000000" w:themeColor="text1"/>
                <w:szCs w:val="21"/>
                <w:vertAlign w:val="superscript"/>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kg</w:t>
            </w:r>
            <w:r>
              <w:rPr>
                <w:rFonts w:hint="eastAsia" w:ascii="宋体" w:hAnsi="宋体"/>
                <w:b w:val="0"/>
                <w:bCs/>
                <w:color w:val="000000" w:themeColor="text1"/>
                <w:spacing w:val="-4"/>
                <w:szCs w:val="21"/>
                <w14:textFill>
                  <w14:solidFill>
                    <w14:schemeClr w14:val="tx1"/>
                  </w14:solidFill>
                </w14:textFill>
              </w:rPr>
              <w:t>）</w:t>
            </w:r>
          </w:p>
        </w:tc>
        <w:tc>
          <w:tcPr>
            <w:tcW w:w="410" w:type="pct"/>
            <w:shd w:val="clear" w:color="auto" w:fill="auto"/>
            <w:vAlign w:val="center"/>
          </w:tcPr>
          <w:p w14:paraId="3AD36505">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11.2</w:t>
            </w:r>
          </w:p>
        </w:tc>
        <w:tc>
          <w:tcPr>
            <w:tcW w:w="358" w:type="pct"/>
            <w:shd w:val="clear" w:color="auto" w:fill="auto"/>
            <w:vAlign w:val="center"/>
          </w:tcPr>
          <w:p w14:paraId="6C62CC7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13</w:t>
            </w:r>
          </w:p>
        </w:tc>
        <w:tc>
          <w:tcPr>
            <w:tcW w:w="388" w:type="pct"/>
            <w:vAlign w:val="center"/>
          </w:tcPr>
          <w:p w14:paraId="46797BA0">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双有</w:t>
            </w:r>
          </w:p>
        </w:tc>
        <w:tc>
          <w:tcPr>
            <w:tcW w:w="885" w:type="pct"/>
            <w:vAlign w:val="center"/>
          </w:tcPr>
          <w:p w14:paraId="63E60E17">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GB50161-2022中第5</w:t>
            </w:r>
            <w:r>
              <w:rPr>
                <w:rFonts w:ascii="宋体" w:hAnsi="宋体" w:cs="宋体"/>
                <w:b w:val="0"/>
                <w:bCs/>
                <w:color w:val="000000" w:themeColor="text1"/>
                <w:szCs w:val="21"/>
                <w14:textFill>
                  <w14:solidFill>
                    <w14:schemeClr w14:val="tx1"/>
                  </w14:solidFill>
                </w14:textFill>
              </w:rPr>
              <w:t>.2.8</w:t>
            </w:r>
            <w:r>
              <w:rPr>
                <w:rFonts w:hint="eastAsia" w:ascii="宋体" w:hAnsi="宋体" w:cs="宋体"/>
                <w:b w:val="0"/>
                <w:bCs/>
                <w:color w:val="000000" w:themeColor="text1"/>
                <w:szCs w:val="21"/>
                <w14:textFill>
                  <w14:solidFill>
                    <w14:schemeClr w14:val="tx1"/>
                  </w14:solidFill>
                </w14:textFill>
              </w:rPr>
              <w:t>条</w:t>
            </w:r>
          </w:p>
        </w:tc>
      </w:tr>
      <w:tr w14:paraId="452D4C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restart"/>
            <w:shd w:val="clear" w:color="auto" w:fill="auto"/>
            <w:vAlign w:val="center"/>
          </w:tcPr>
          <w:p w14:paraId="5DD41607">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40</w:t>
            </w:r>
            <w:r>
              <w:rPr>
                <w:rFonts w:ascii="宋体" w:hAnsi="宋体" w:cs="Arial"/>
                <w:b w:val="0"/>
                <w:bCs/>
                <w:szCs w:val="21"/>
              </w:rPr>
              <w:t>#</w:t>
            </w:r>
            <w:r>
              <w:rPr>
                <w:rFonts w:hint="eastAsia" w:ascii="宋体" w:hAnsi="宋体" w:cs="Arial"/>
                <w:b w:val="0"/>
                <w:bCs/>
                <w:szCs w:val="21"/>
              </w:rPr>
              <w:t>药物中转</w:t>
            </w:r>
          </w:p>
        </w:tc>
        <w:tc>
          <w:tcPr>
            <w:tcW w:w="353" w:type="pct"/>
            <w:vMerge w:val="restart"/>
            <w:shd w:val="clear" w:color="auto" w:fill="auto"/>
            <w:vAlign w:val="center"/>
          </w:tcPr>
          <w:p w14:paraId="7C3BF042">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w:t>
            </w:r>
            <w:r>
              <w:rPr>
                <w:rFonts w:hint="eastAsia" w:ascii="宋体" w:hAnsi="宋体" w:cs="Arial"/>
                <w:b w:val="0"/>
                <w:bCs/>
                <w:szCs w:val="21"/>
                <w:vertAlign w:val="superscript"/>
              </w:rPr>
              <w:t>2</w:t>
            </w:r>
          </w:p>
        </w:tc>
        <w:tc>
          <w:tcPr>
            <w:tcW w:w="519" w:type="pct"/>
            <w:vMerge w:val="restart"/>
            <w:shd w:val="clear" w:color="auto" w:fill="auto"/>
            <w:vAlign w:val="center"/>
          </w:tcPr>
          <w:p w14:paraId="423DC98B">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50</w:t>
            </w:r>
          </w:p>
        </w:tc>
        <w:tc>
          <w:tcPr>
            <w:tcW w:w="1075" w:type="pct"/>
            <w:shd w:val="clear" w:color="auto" w:fill="auto"/>
            <w:vAlign w:val="center"/>
          </w:tcPr>
          <w:p w14:paraId="39166F50">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38</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筑药      </w:t>
            </w:r>
          </w:p>
          <w:p w14:paraId="2F3E6D61">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w:t>
            </w:r>
            <w:r>
              <w:rPr>
                <w:rFonts w:hint="eastAsia" w:ascii="宋体" w:hAnsi="宋体" w:cs="Arial"/>
                <w:b w:val="0"/>
                <w:bCs/>
                <w:color w:val="000000" w:themeColor="text1"/>
                <w:szCs w:val="21"/>
                <w:vertAlign w:val="superscript"/>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kg</w:t>
            </w:r>
            <w:r>
              <w:rPr>
                <w:rFonts w:hint="eastAsia" w:ascii="宋体" w:hAnsi="宋体"/>
                <w:b w:val="0"/>
                <w:bCs/>
                <w:color w:val="000000" w:themeColor="text1"/>
                <w:spacing w:val="-4"/>
                <w:szCs w:val="21"/>
                <w14:textFill>
                  <w14:solidFill>
                    <w14:schemeClr w14:val="tx1"/>
                  </w14:solidFill>
                </w14:textFill>
              </w:rPr>
              <w:t>）</w:t>
            </w:r>
          </w:p>
        </w:tc>
        <w:tc>
          <w:tcPr>
            <w:tcW w:w="410" w:type="pct"/>
            <w:shd w:val="clear" w:color="auto" w:fill="auto"/>
            <w:vAlign w:val="center"/>
          </w:tcPr>
          <w:p w14:paraId="09FEEBF5">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12</w:t>
            </w:r>
          </w:p>
        </w:tc>
        <w:tc>
          <w:tcPr>
            <w:tcW w:w="358" w:type="pct"/>
            <w:shd w:val="clear" w:color="auto" w:fill="auto"/>
            <w:vAlign w:val="center"/>
          </w:tcPr>
          <w:p w14:paraId="17C017A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14</w:t>
            </w:r>
          </w:p>
        </w:tc>
        <w:tc>
          <w:tcPr>
            <w:tcW w:w="388" w:type="pct"/>
            <w:vAlign w:val="center"/>
          </w:tcPr>
          <w:p w14:paraId="5782190B">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双有</w:t>
            </w:r>
          </w:p>
        </w:tc>
        <w:tc>
          <w:tcPr>
            <w:tcW w:w="885" w:type="pct"/>
            <w:vAlign w:val="center"/>
          </w:tcPr>
          <w:p w14:paraId="57DE24A8">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GB50161-2022中第5</w:t>
            </w:r>
            <w:r>
              <w:rPr>
                <w:rFonts w:ascii="宋体" w:hAnsi="宋体" w:cs="宋体"/>
                <w:b w:val="0"/>
                <w:bCs/>
                <w:color w:val="000000" w:themeColor="text1"/>
                <w:szCs w:val="21"/>
                <w14:textFill>
                  <w14:solidFill>
                    <w14:schemeClr w14:val="tx1"/>
                  </w14:solidFill>
                </w14:textFill>
              </w:rPr>
              <w:t>.2.</w:t>
            </w:r>
            <w:r>
              <w:rPr>
                <w:rFonts w:hint="eastAsia" w:ascii="宋体" w:hAnsi="宋体" w:cs="宋体"/>
                <w:b w:val="0"/>
                <w:bCs/>
                <w:color w:val="000000" w:themeColor="text1"/>
                <w:szCs w:val="21"/>
                <w14:textFill>
                  <w14:solidFill>
                    <w14:schemeClr w14:val="tx1"/>
                  </w14:solidFill>
                </w14:textFill>
              </w:rPr>
              <w:t>3</w:t>
            </w:r>
          </w:p>
        </w:tc>
      </w:tr>
      <w:tr w14:paraId="094A1A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15888689">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0C69E941">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1DCA93B4">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06358AA2">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42</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筑药      </w:t>
            </w:r>
          </w:p>
          <w:p w14:paraId="00342370">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w:t>
            </w:r>
            <w:r>
              <w:rPr>
                <w:rFonts w:hint="eastAsia" w:ascii="宋体" w:hAnsi="宋体" w:cs="Arial"/>
                <w:b w:val="0"/>
                <w:bCs/>
                <w:color w:val="000000" w:themeColor="text1"/>
                <w:szCs w:val="21"/>
                <w:vertAlign w:val="superscript"/>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kg</w:t>
            </w:r>
            <w:r>
              <w:rPr>
                <w:rFonts w:hint="eastAsia" w:ascii="宋体" w:hAnsi="宋体"/>
                <w:b w:val="0"/>
                <w:bCs/>
                <w:color w:val="000000" w:themeColor="text1"/>
                <w:spacing w:val="-4"/>
                <w:szCs w:val="21"/>
                <w14:textFill>
                  <w14:solidFill>
                    <w14:schemeClr w14:val="tx1"/>
                  </w14:solidFill>
                </w14:textFill>
              </w:rPr>
              <w:t>）</w:t>
            </w:r>
          </w:p>
        </w:tc>
        <w:tc>
          <w:tcPr>
            <w:tcW w:w="410" w:type="pct"/>
            <w:shd w:val="clear" w:color="auto" w:fill="auto"/>
            <w:vAlign w:val="center"/>
          </w:tcPr>
          <w:p w14:paraId="44CEB5BB">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12</w:t>
            </w:r>
          </w:p>
        </w:tc>
        <w:tc>
          <w:tcPr>
            <w:tcW w:w="358" w:type="pct"/>
            <w:shd w:val="clear" w:color="auto" w:fill="auto"/>
            <w:vAlign w:val="center"/>
          </w:tcPr>
          <w:p w14:paraId="499C379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14</w:t>
            </w:r>
          </w:p>
        </w:tc>
        <w:tc>
          <w:tcPr>
            <w:tcW w:w="388" w:type="pct"/>
            <w:vAlign w:val="center"/>
          </w:tcPr>
          <w:p w14:paraId="6AF81E38">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双有</w:t>
            </w:r>
          </w:p>
        </w:tc>
        <w:tc>
          <w:tcPr>
            <w:tcW w:w="885" w:type="pct"/>
            <w:vAlign w:val="center"/>
          </w:tcPr>
          <w:p w14:paraId="0069251E">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GB50161-2022中第5</w:t>
            </w:r>
            <w:r>
              <w:rPr>
                <w:rFonts w:ascii="宋体" w:hAnsi="宋体" w:cs="宋体"/>
                <w:b w:val="0"/>
                <w:bCs/>
                <w:color w:val="000000" w:themeColor="text1"/>
                <w:szCs w:val="21"/>
                <w14:textFill>
                  <w14:solidFill>
                    <w14:schemeClr w14:val="tx1"/>
                  </w14:solidFill>
                </w14:textFill>
              </w:rPr>
              <w:t>.2.</w:t>
            </w:r>
            <w:r>
              <w:rPr>
                <w:rFonts w:hint="eastAsia" w:ascii="宋体" w:hAnsi="宋体" w:cs="宋体"/>
                <w:b w:val="0"/>
                <w:bCs/>
                <w:color w:val="000000" w:themeColor="text1"/>
                <w:szCs w:val="21"/>
                <w14:textFill>
                  <w14:solidFill>
                    <w14:schemeClr w14:val="tx1"/>
                  </w14:solidFill>
                </w14:textFill>
              </w:rPr>
              <w:t>3</w:t>
            </w:r>
          </w:p>
        </w:tc>
      </w:tr>
      <w:tr w14:paraId="3DF7E1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restart"/>
            <w:shd w:val="clear" w:color="auto" w:fill="auto"/>
            <w:vAlign w:val="center"/>
          </w:tcPr>
          <w:p w14:paraId="2855818D">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43</w:t>
            </w:r>
            <w:r>
              <w:rPr>
                <w:rFonts w:ascii="宋体" w:hAnsi="宋体" w:cs="Arial"/>
                <w:b w:val="0"/>
                <w:bCs/>
                <w:szCs w:val="21"/>
              </w:rPr>
              <w:t>#</w:t>
            </w:r>
            <w:r>
              <w:rPr>
                <w:rFonts w:hint="eastAsia" w:ascii="宋体" w:hAnsi="宋体" w:cs="Arial"/>
                <w:b w:val="0"/>
                <w:bCs/>
                <w:szCs w:val="21"/>
              </w:rPr>
              <w:t>半成品中转</w:t>
            </w:r>
          </w:p>
        </w:tc>
        <w:tc>
          <w:tcPr>
            <w:tcW w:w="353" w:type="pct"/>
            <w:vMerge w:val="restart"/>
            <w:shd w:val="clear" w:color="auto" w:fill="auto"/>
            <w:vAlign w:val="center"/>
          </w:tcPr>
          <w:p w14:paraId="2FD5D26E">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ascii="宋体" w:hAnsi="宋体" w:cs="Arial"/>
                <w:b w:val="0"/>
                <w:bCs/>
                <w:szCs w:val="21"/>
              </w:rPr>
              <w:t>1.3</w:t>
            </w:r>
          </w:p>
        </w:tc>
        <w:tc>
          <w:tcPr>
            <w:tcW w:w="519" w:type="pct"/>
            <w:vMerge w:val="restart"/>
            <w:shd w:val="clear" w:color="auto" w:fill="auto"/>
            <w:vAlign w:val="center"/>
          </w:tcPr>
          <w:p w14:paraId="1ACF13DF">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00</w:t>
            </w:r>
          </w:p>
        </w:tc>
        <w:tc>
          <w:tcPr>
            <w:tcW w:w="1075" w:type="pct"/>
            <w:shd w:val="clear" w:color="auto" w:fill="auto"/>
            <w:vAlign w:val="center"/>
          </w:tcPr>
          <w:p w14:paraId="5FF1F064">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42</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筑药      </w:t>
            </w:r>
          </w:p>
          <w:p w14:paraId="2804101E">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w:t>
            </w:r>
            <w:r>
              <w:rPr>
                <w:rFonts w:hint="eastAsia" w:ascii="宋体" w:hAnsi="宋体" w:cs="Arial"/>
                <w:b w:val="0"/>
                <w:bCs/>
                <w:color w:val="000000" w:themeColor="text1"/>
                <w:szCs w:val="21"/>
                <w:vertAlign w:val="superscript"/>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kg</w:t>
            </w:r>
            <w:r>
              <w:rPr>
                <w:rFonts w:hint="eastAsia" w:ascii="宋体" w:hAnsi="宋体"/>
                <w:b w:val="0"/>
                <w:bCs/>
                <w:color w:val="000000" w:themeColor="text1"/>
                <w:spacing w:val="-4"/>
                <w:szCs w:val="21"/>
                <w14:textFill>
                  <w14:solidFill>
                    <w14:schemeClr w14:val="tx1"/>
                  </w14:solidFill>
                </w14:textFill>
              </w:rPr>
              <w:t>）</w:t>
            </w:r>
          </w:p>
        </w:tc>
        <w:tc>
          <w:tcPr>
            <w:tcW w:w="410" w:type="pct"/>
            <w:shd w:val="clear" w:color="auto" w:fill="auto"/>
            <w:vAlign w:val="center"/>
          </w:tcPr>
          <w:p w14:paraId="5E4F9701">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11.2</w:t>
            </w:r>
          </w:p>
        </w:tc>
        <w:tc>
          <w:tcPr>
            <w:tcW w:w="358" w:type="pct"/>
            <w:shd w:val="clear" w:color="auto" w:fill="auto"/>
            <w:vAlign w:val="center"/>
          </w:tcPr>
          <w:p w14:paraId="0D3DD11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13</w:t>
            </w:r>
          </w:p>
        </w:tc>
        <w:tc>
          <w:tcPr>
            <w:tcW w:w="388" w:type="pct"/>
            <w:vAlign w:val="center"/>
          </w:tcPr>
          <w:p w14:paraId="703E072D">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双有</w:t>
            </w:r>
          </w:p>
        </w:tc>
        <w:tc>
          <w:tcPr>
            <w:tcW w:w="885" w:type="pct"/>
            <w:vAlign w:val="center"/>
          </w:tcPr>
          <w:p w14:paraId="4ADB18D2">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GB50161-2022中第5</w:t>
            </w:r>
            <w:r>
              <w:rPr>
                <w:rFonts w:ascii="宋体" w:hAnsi="宋体" w:cs="宋体"/>
                <w:b w:val="0"/>
                <w:bCs/>
                <w:color w:val="000000" w:themeColor="text1"/>
                <w:szCs w:val="21"/>
                <w14:textFill>
                  <w14:solidFill>
                    <w14:schemeClr w14:val="tx1"/>
                  </w14:solidFill>
                </w14:textFill>
              </w:rPr>
              <w:t>.2.8</w:t>
            </w:r>
          </w:p>
        </w:tc>
      </w:tr>
      <w:tr w14:paraId="2417A1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7C508F3C">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5FEEE5C9">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51B3A543">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1AB4FFCF">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44</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筑药      </w:t>
            </w:r>
          </w:p>
          <w:p w14:paraId="4E570294">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w:t>
            </w:r>
            <w:r>
              <w:rPr>
                <w:rFonts w:hint="eastAsia" w:ascii="宋体" w:hAnsi="宋体" w:cs="Arial"/>
                <w:b w:val="0"/>
                <w:bCs/>
                <w:color w:val="000000" w:themeColor="text1"/>
                <w:szCs w:val="21"/>
                <w:vertAlign w:val="superscript"/>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kg</w:t>
            </w:r>
            <w:r>
              <w:rPr>
                <w:rFonts w:hint="eastAsia" w:ascii="宋体" w:hAnsi="宋体"/>
                <w:b w:val="0"/>
                <w:bCs/>
                <w:color w:val="000000" w:themeColor="text1"/>
                <w:spacing w:val="-4"/>
                <w:szCs w:val="21"/>
                <w14:textFill>
                  <w14:solidFill>
                    <w14:schemeClr w14:val="tx1"/>
                  </w14:solidFill>
                </w14:textFill>
              </w:rPr>
              <w:t>）</w:t>
            </w:r>
          </w:p>
        </w:tc>
        <w:tc>
          <w:tcPr>
            <w:tcW w:w="410" w:type="pct"/>
            <w:shd w:val="clear" w:color="auto" w:fill="auto"/>
            <w:vAlign w:val="center"/>
          </w:tcPr>
          <w:p w14:paraId="36C1CCDD">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14</w:t>
            </w:r>
          </w:p>
        </w:tc>
        <w:tc>
          <w:tcPr>
            <w:tcW w:w="358" w:type="pct"/>
            <w:shd w:val="clear" w:color="auto" w:fill="auto"/>
            <w:vAlign w:val="center"/>
          </w:tcPr>
          <w:p w14:paraId="6255AC3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15</w:t>
            </w:r>
          </w:p>
        </w:tc>
        <w:tc>
          <w:tcPr>
            <w:tcW w:w="388" w:type="pct"/>
            <w:vAlign w:val="center"/>
          </w:tcPr>
          <w:p w14:paraId="02CF7684">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双有</w:t>
            </w:r>
          </w:p>
        </w:tc>
        <w:tc>
          <w:tcPr>
            <w:tcW w:w="885" w:type="pct"/>
            <w:vAlign w:val="center"/>
          </w:tcPr>
          <w:p w14:paraId="1704E1D7">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GB50161-2022中第5</w:t>
            </w:r>
            <w:r>
              <w:rPr>
                <w:rFonts w:ascii="宋体" w:hAnsi="宋体" w:cs="宋体"/>
                <w:b w:val="0"/>
                <w:bCs/>
                <w:color w:val="000000" w:themeColor="text1"/>
                <w:szCs w:val="21"/>
                <w14:textFill>
                  <w14:solidFill>
                    <w14:schemeClr w14:val="tx1"/>
                  </w14:solidFill>
                </w14:textFill>
              </w:rPr>
              <w:t>.2.8</w:t>
            </w:r>
          </w:p>
        </w:tc>
      </w:tr>
      <w:tr w14:paraId="197EE5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restart"/>
            <w:shd w:val="clear" w:color="auto" w:fill="auto"/>
            <w:vAlign w:val="center"/>
          </w:tcPr>
          <w:p w14:paraId="2781B1AD">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46</w:t>
            </w:r>
            <w:r>
              <w:rPr>
                <w:rFonts w:ascii="宋体" w:hAnsi="宋体" w:cs="Arial"/>
                <w:b w:val="0"/>
                <w:bCs/>
                <w:szCs w:val="21"/>
              </w:rPr>
              <w:t>#</w:t>
            </w:r>
            <w:r>
              <w:rPr>
                <w:rFonts w:hint="eastAsia" w:ascii="宋体" w:hAnsi="宋体" w:cs="Arial"/>
                <w:b w:val="0"/>
                <w:bCs/>
                <w:szCs w:val="21"/>
              </w:rPr>
              <w:t>药物中转</w:t>
            </w:r>
          </w:p>
        </w:tc>
        <w:tc>
          <w:tcPr>
            <w:tcW w:w="353" w:type="pct"/>
            <w:vMerge w:val="restart"/>
            <w:shd w:val="clear" w:color="auto" w:fill="auto"/>
            <w:vAlign w:val="center"/>
          </w:tcPr>
          <w:p w14:paraId="34282E85">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w:t>
            </w:r>
            <w:r>
              <w:rPr>
                <w:rFonts w:hint="eastAsia" w:ascii="宋体" w:hAnsi="宋体" w:cs="Arial"/>
                <w:b w:val="0"/>
                <w:bCs/>
                <w:szCs w:val="21"/>
                <w:vertAlign w:val="superscript"/>
              </w:rPr>
              <w:t>2</w:t>
            </w:r>
          </w:p>
        </w:tc>
        <w:tc>
          <w:tcPr>
            <w:tcW w:w="519" w:type="pct"/>
            <w:vMerge w:val="restart"/>
            <w:shd w:val="clear" w:color="auto" w:fill="auto"/>
            <w:vAlign w:val="center"/>
          </w:tcPr>
          <w:p w14:paraId="025984D7">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100</w:t>
            </w:r>
          </w:p>
        </w:tc>
        <w:tc>
          <w:tcPr>
            <w:tcW w:w="1075" w:type="pct"/>
            <w:shd w:val="clear" w:color="auto" w:fill="auto"/>
            <w:vAlign w:val="center"/>
          </w:tcPr>
          <w:p w14:paraId="128F94C7">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44</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筑药      </w:t>
            </w:r>
          </w:p>
          <w:p w14:paraId="0D0F10D2">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w:t>
            </w:r>
            <w:r>
              <w:rPr>
                <w:rFonts w:hint="eastAsia"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14:textFill>
                  <w14:solidFill>
                    <w14:schemeClr w14:val="tx1"/>
                  </w14:solidFill>
                </w14:textFill>
              </w:rPr>
              <w:t>.1</w:t>
            </w:r>
            <w:r>
              <w:rPr>
                <w:rFonts w:ascii="宋体" w:hAnsi="宋体" w:cs="Arial"/>
                <w:b w:val="0"/>
                <w:bCs/>
                <w:color w:val="000000" w:themeColor="text1"/>
                <w:szCs w:val="21"/>
                <w:vertAlign w:val="superscript"/>
                <w14:textFill>
                  <w14:solidFill>
                    <w14:schemeClr w14:val="tx1"/>
                  </w14:solidFill>
                </w14:textFill>
              </w:rPr>
              <w:t>-</w:t>
            </w:r>
            <w:r>
              <w:rPr>
                <w:rFonts w:hint="eastAsia" w:ascii="宋体" w:hAnsi="宋体" w:cs="Arial"/>
                <w:b w:val="0"/>
                <w:bCs/>
                <w:color w:val="000000" w:themeColor="text1"/>
                <w:szCs w:val="21"/>
                <w:vertAlign w:val="superscript"/>
                <w14:textFill>
                  <w14:solidFill>
                    <w14:schemeClr w14:val="tx1"/>
                  </w14:solidFill>
                </w14:textFill>
              </w:rPr>
              <w:t>2</w:t>
            </w:r>
            <w:r>
              <w:rPr>
                <w:rFonts w:hint="eastAsia" w:ascii="宋体" w:hAnsi="宋体"/>
                <w:b w:val="0"/>
                <w:bCs/>
                <w:color w:val="000000" w:themeColor="text1"/>
                <w:spacing w:val="-4"/>
                <w:szCs w:val="21"/>
                <w14:textFill>
                  <w14:solidFill>
                    <w14:schemeClr w14:val="tx1"/>
                  </w14:solidFill>
                </w14:textFill>
              </w:rPr>
              <w:t>级、5</w:t>
            </w:r>
            <w:r>
              <w:rPr>
                <w:rFonts w:ascii="宋体" w:hAnsi="宋体"/>
                <w:b w:val="0"/>
                <w:bCs/>
                <w:color w:val="000000" w:themeColor="text1"/>
                <w:spacing w:val="-4"/>
                <w:szCs w:val="21"/>
                <w14:textFill>
                  <w14:solidFill>
                    <w14:schemeClr w14:val="tx1"/>
                  </w14:solidFill>
                </w14:textFill>
              </w:rPr>
              <w:t>kg</w:t>
            </w:r>
            <w:r>
              <w:rPr>
                <w:rFonts w:hint="eastAsia" w:ascii="宋体" w:hAnsi="宋体"/>
                <w:b w:val="0"/>
                <w:bCs/>
                <w:color w:val="000000" w:themeColor="text1"/>
                <w:spacing w:val="-4"/>
                <w:szCs w:val="21"/>
                <w14:textFill>
                  <w14:solidFill>
                    <w14:schemeClr w14:val="tx1"/>
                  </w14:solidFill>
                </w14:textFill>
              </w:rPr>
              <w:t>）</w:t>
            </w:r>
          </w:p>
        </w:tc>
        <w:tc>
          <w:tcPr>
            <w:tcW w:w="410" w:type="pct"/>
            <w:shd w:val="clear" w:color="auto" w:fill="auto"/>
            <w:vAlign w:val="center"/>
          </w:tcPr>
          <w:p w14:paraId="08E64A77">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12</w:t>
            </w:r>
          </w:p>
        </w:tc>
        <w:tc>
          <w:tcPr>
            <w:tcW w:w="358" w:type="pct"/>
            <w:shd w:val="clear" w:color="auto" w:fill="auto"/>
            <w:vAlign w:val="center"/>
          </w:tcPr>
          <w:p w14:paraId="4AD15CA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color w:val="000000" w:themeColor="text1"/>
                <w:spacing w:val="-4"/>
                <w:kern w:val="0"/>
                <w:szCs w:val="21"/>
                <w14:textFill>
                  <w14:solidFill>
                    <w14:schemeClr w14:val="tx1"/>
                  </w14:solidFill>
                </w14:textFill>
              </w:rPr>
            </w:pPr>
            <w:r>
              <w:rPr>
                <w:rFonts w:hint="eastAsia" w:ascii="宋体" w:hAnsi="宋体"/>
                <w:b w:val="0"/>
                <w:bCs/>
                <w:color w:val="000000" w:themeColor="text1"/>
                <w:spacing w:val="-4"/>
                <w:kern w:val="0"/>
                <w:szCs w:val="21"/>
                <w14:textFill>
                  <w14:solidFill>
                    <w14:schemeClr w14:val="tx1"/>
                  </w14:solidFill>
                </w14:textFill>
              </w:rPr>
              <w:t>19</w:t>
            </w:r>
          </w:p>
        </w:tc>
        <w:tc>
          <w:tcPr>
            <w:tcW w:w="388" w:type="pct"/>
            <w:vAlign w:val="center"/>
          </w:tcPr>
          <w:p w14:paraId="13764D2D">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zCs w:val="21"/>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双有</w:t>
            </w:r>
          </w:p>
        </w:tc>
        <w:tc>
          <w:tcPr>
            <w:tcW w:w="885" w:type="pct"/>
            <w:vAlign w:val="center"/>
          </w:tcPr>
          <w:p w14:paraId="6839E507">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GB50161-2022中表5</w:t>
            </w:r>
            <w:r>
              <w:rPr>
                <w:rFonts w:ascii="宋体" w:hAnsi="宋体" w:cs="宋体"/>
                <w:b w:val="0"/>
                <w:bCs/>
                <w:color w:val="000000" w:themeColor="text1"/>
                <w:szCs w:val="21"/>
                <w14:textFill>
                  <w14:solidFill>
                    <w14:schemeClr w14:val="tx1"/>
                  </w14:solidFill>
                </w14:textFill>
              </w:rPr>
              <w:t>.2.</w:t>
            </w:r>
            <w:r>
              <w:rPr>
                <w:rFonts w:hint="eastAsia" w:ascii="宋体" w:hAnsi="宋体" w:cs="宋体"/>
                <w:b w:val="0"/>
                <w:bCs/>
                <w:color w:val="000000" w:themeColor="text1"/>
                <w:szCs w:val="21"/>
                <w14:textFill>
                  <w14:solidFill>
                    <w14:schemeClr w14:val="tx1"/>
                  </w14:solidFill>
                </w14:textFill>
              </w:rPr>
              <w:t>3</w:t>
            </w:r>
          </w:p>
        </w:tc>
      </w:tr>
      <w:tr w14:paraId="7669DE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33AD680A">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20B83F09">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3A6A4A9F">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2659813A">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47</w:t>
            </w:r>
            <w:r>
              <w:rPr>
                <w:rFonts w:ascii="宋体" w:hAnsi="宋体"/>
                <w:b w:val="0"/>
                <w:bCs/>
                <w:spacing w:val="-4"/>
                <w:szCs w:val="21"/>
              </w:rPr>
              <w:t>#</w:t>
            </w:r>
            <w:r>
              <w:rPr>
                <w:rFonts w:hint="eastAsia" w:ascii="宋体" w:hAnsi="宋体"/>
                <w:b w:val="0"/>
                <w:bCs/>
                <w:spacing w:val="-4"/>
                <w:szCs w:val="21"/>
              </w:rPr>
              <w:t>机械药混合     （</w:t>
            </w: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w:t>
            </w:r>
            <w:r>
              <w:rPr>
                <w:rFonts w:hint="eastAsia" w:ascii="宋体" w:hAnsi="宋体" w:cs="Arial"/>
                <w:b w:val="0"/>
                <w:bCs/>
                <w:szCs w:val="21"/>
                <w:vertAlign w:val="superscript"/>
              </w:rPr>
              <w:t>1</w:t>
            </w:r>
            <w:r>
              <w:rPr>
                <w:rFonts w:hint="eastAsia" w:ascii="宋体" w:hAnsi="宋体"/>
                <w:b w:val="0"/>
                <w:bCs/>
                <w:spacing w:val="-4"/>
                <w:szCs w:val="21"/>
              </w:rPr>
              <w:t>级、10</w:t>
            </w:r>
            <w:r>
              <w:rPr>
                <w:rFonts w:ascii="宋体" w:hAnsi="宋体"/>
                <w:b w:val="0"/>
                <w:bCs/>
                <w:spacing w:val="-4"/>
                <w:szCs w:val="21"/>
              </w:rPr>
              <w:t>kg</w:t>
            </w:r>
            <w:r>
              <w:rPr>
                <w:rFonts w:hint="eastAsia" w:ascii="宋体" w:hAnsi="宋体"/>
                <w:b w:val="0"/>
                <w:bCs/>
                <w:spacing w:val="-4"/>
                <w:szCs w:val="21"/>
              </w:rPr>
              <w:t>）</w:t>
            </w:r>
          </w:p>
        </w:tc>
        <w:tc>
          <w:tcPr>
            <w:tcW w:w="410" w:type="pct"/>
            <w:shd w:val="clear" w:color="auto" w:fill="auto"/>
            <w:vAlign w:val="center"/>
          </w:tcPr>
          <w:p w14:paraId="4705ACAD">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12</w:t>
            </w:r>
          </w:p>
        </w:tc>
        <w:tc>
          <w:tcPr>
            <w:tcW w:w="358" w:type="pct"/>
            <w:shd w:val="clear" w:color="auto" w:fill="auto"/>
            <w:vAlign w:val="center"/>
          </w:tcPr>
          <w:p w14:paraId="632F05A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12</w:t>
            </w:r>
          </w:p>
        </w:tc>
        <w:tc>
          <w:tcPr>
            <w:tcW w:w="388" w:type="pct"/>
            <w:vAlign w:val="center"/>
          </w:tcPr>
          <w:p w14:paraId="653EFFB8">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vAlign w:val="center"/>
          </w:tcPr>
          <w:p w14:paraId="71379E1D">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.2.2</w:t>
            </w:r>
          </w:p>
        </w:tc>
      </w:tr>
      <w:tr w14:paraId="7D82DA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5" w:hRule="atLeast"/>
          <w:jc w:val="center"/>
        </w:trPr>
        <w:tc>
          <w:tcPr>
            <w:tcW w:w="1008" w:type="pct"/>
            <w:vMerge w:val="restart"/>
            <w:shd w:val="clear" w:color="auto" w:fill="auto"/>
            <w:vAlign w:val="center"/>
          </w:tcPr>
          <w:p w14:paraId="0E794E5A">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b w:val="0"/>
                <w:bCs/>
                <w:spacing w:val="-4"/>
                <w:szCs w:val="21"/>
              </w:rPr>
              <w:t>49</w:t>
            </w:r>
            <w:r>
              <w:rPr>
                <w:rFonts w:ascii="宋体" w:hAnsi="宋体"/>
                <w:b w:val="0"/>
                <w:bCs/>
                <w:spacing w:val="-4"/>
                <w:szCs w:val="21"/>
              </w:rPr>
              <w:t>#</w:t>
            </w:r>
            <w:r>
              <w:rPr>
                <w:rFonts w:hint="eastAsia" w:ascii="宋体" w:hAnsi="宋体"/>
                <w:b w:val="0"/>
                <w:bCs/>
                <w:spacing w:val="-4"/>
                <w:szCs w:val="21"/>
              </w:rPr>
              <w:t>称料</w:t>
            </w:r>
          </w:p>
        </w:tc>
        <w:tc>
          <w:tcPr>
            <w:tcW w:w="353" w:type="pct"/>
            <w:vMerge w:val="restart"/>
            <w:shd w:val="clear" w:color="auto" w:fill="auto"/>
            <w:vAlign w:val="center"/>
          </w:tcPr>
          <w:p w14:paraId="0414AAFD">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-1</w:t>
            </w:r>
          </w:p>
        </w:tc>
        <w:tc>
          <w:tcPr>
            <w:tcW w:w="519" w:type="pct"/>
            <w:vMerge w:val="restart"/>
            <w:shd w:val="clear" w:color="auto" w:fill="auto"/>
            <w:vAlign w:val="center"/>
          </w:tcPr>
          <w:p w14:paraId="57372C49">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30/200</w:t>
            </w:r>
          </w:p>
        </w:tc>
        <w:tc>
          <w:tcPr>
            <w:tcW w:w="1075" w:type="pct"/>
            <w:shd w:val="clear" w:color="auto" w:fill="auto"/>
            <w:vAlign w:val="center"/>
          </w:tcPr>
          <w:p w14:paraId="7DB58A62">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47</w:t>
            </w:r>
            <w:r>
              <w:rPr>
                <w:rFonts w:ascii="宋体" w:hAnsi="宋体"/>
                <w:b w:val="0"/>
                <w:bCs/>
                <w:spacing w:val="-4"/>
                <w:szCs w:val="21"/>
              </w:rPr>
              <w:t>#</w:t>
            </w:r>
            <w:r>
              <w:rPr>
                <w:rFonts w:hint="eastAsia" w:ascii="宋体" w:hAnsi="宋体"/>
                <w:b w:val="0"/>
                <w:bCs/>
                <w:spacing w:val="-4"/>
                <w:szCs w:val="21"/>
              </w:rPr>
              <w:t>机械药混合</w:t>
            </w:r>
          </w:p>
          <w:p w14:paraId="73887B27">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w:t>
            </w:r>
            <w:r>
              <w:rPr>
                <w:rFonts w:hint="eastAsia" w:ascii="宋体" w:hAnsi="宋体"/>
                <w:b w:val="0"/>
                <w:bCs/>
                <w:spacing w:val="-11"/>
                <w:szCs w:val="21"/>
              </w:rPr>
              <w:t>1</w:t>
            </w:r>
            <w:r>
              <w:rPr>
                <w:rFonts w:ascii="宋体" w:hAnsi="宋体"/>
                <w:b w:val="0"/>
                <w:bCs/>
                <w:spacing w:val="-11"/>
                <w:szCs w:val="21"/>
              </w:rPr>
              <w:t>.1</w:t>
            </w:r>
            <w:r>
              <w:rPr>
                <w:rFonts w:ascii="宋体" w:hAnsi="宋体"/>
                <w:b w:val="0"/>
                <w:bCs/>
                <w:spacing w:val="-11"/>
                <w:szCs w:val="21"/>
                <w:vertAlign w:val="superscript"/>
              </w:rPr>
              <w:t>-1</w:t>
            </w:r>
            <w:r>
              <w:rPr>
                <w:rFonts w:hint="eastAsia" w:ascii="宋体" w:hAnsi="宋体"/>
                <w:b w:val="0"/>
                <w:bCs/>
                <w:spacing w:val="-11"/>
                <w:szCs w:val="21"/>
              </w:rPr>
              <w:t>级10</w:t>
            </w:r>
            <w:r>
              <w:rPr>
                <w:rFonts w:ascii="宋体" w:hAnsi="宋体"/>
                <w:b w:val="0"/>
                <w:bCs/>
                <w:spacing w:val="-11"/>
                <w:szCs w:val="21"/>
              </w:rPr>
              <w:t>kg</w:t>
            </w:r>
            <w:r>
              <w:rPr>
                <w:rFonts w:hint="eastAsia" w:ascii="宋体" w:hAnsi="宋体"/>
                <w:b w:val="0"/>
                <w:bCs/>
                <w:spacing w:val="-11"/>
                <w:szCs w:val="21"/>
              </w:rPr>
              <w:t>）</w:t>
            </w:r>
          </w:p>
        </w:tc>
        <w:tc>
          <w:tcPr>
            <w:tcW w:w="410" w:type="pct"/>
            <w:shd w:val="clear" w:color="auto" w:fill="auto"/>
            <w:vAlign w:val="center"/>
          </w:tcPr>
          <w:p w14:paraId="4AD91C66">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14</w:t>
            </w:r>
          </w:p>
        </w:tc>
        <w:tc>
          <w:tcPr>
            <w:tcW w:w="358" w:type="pct"/>
            <w:shd w:val="clear" w:color="auto" w:fill="auto"/>
            <w:vAlign w:val="center"/>
          </w:tcPr>
          <w:p w14:paraId="4428D0E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16</w:t>
            </w:r>
          </w:p>
        </w:tc>
        <w:tc>
          <w:tcPr>
            <w:tcW w:w="388" w:type="pct"/>
            <w:vAlign w:val="center"/>
          </w:tcPr>
          <w:p w14:paraId="09AEE787">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vAlign w:val="center"/>
          </w:tcPr>
          <w:p w14:paraId="10153653">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w:t>
            </w:r>
            <w:r>
              <w:rPr>
                <w:rFonts w:hint="eastAsia" w:ascii="宋体" w:hAnsi="宋体" w:cs="宋体"/>
                <w:b w:val="0"/>
                <w:bCs/>
                <w:szCs w:val="21"/>
              </w:rPr>
              <w:t>8</w:t>
            </w:r>
          </w:p>
        </w:tc>
      </w:tr>
      <w:tr w14:paraId="4856D7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5" w:hRule="atLeast"/>
          <w:jc w:val="center"/>
        </w:trPr>
        <w:tc>
          <w:tcPr>
            <w:tcW w:w="1008" w:type="pct"/>
            <w:vMerge w:val="continue"/>
            <w:shd w:val="clear" w:color="auto" w:fill="auto"/>
            <w:vAlign w:val="center"/>
          </w:tcPr>
          <w:p w14:paraId="459D728E">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p>
        </w:tc>
        <w:tc>
          <w:tcPr>
            <w:tcW w:w="353" w:type="pct"/>
            <w:vMerge w:val="continue"/>
            <w:shd w:val="clear" w:color="auto" w:fill="auto"/>
            <w:vAlign w:val="center"/>
          </w:tcPr>
          <w:p w14:paraId="30D1F0CB">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6BF342FE">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6EC2E13C">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50</w:t>
            </w:r>
            <w:r>
              <w:rPr>
                <w:rFonts w:ascii="宋体" w:hAnsi="宋体"/>
                <w:b w:val="0"/>
                <w:bCs/>
                <w:spacing w:val="-4"/>
                <w:szCs w:val="21"/>
              </w:rPr>
              <w:t>#</w:t>
            </w:r>
            <w:r>
              <w:rPr>
                <w:rFonts w:hint="eastAsia" w:ascii="宋体" w:hAnsi="宋体"/>
                <w:b w:val="0"/>
                <w:bCs/>
                <w:spacing w:val="-11"/>
                <w:szCs w:val="21"/>
              </w:rPr>
              <w:t>化工原材料中转</w:t>
            </w:r>
          </w:p>
          <w:p w14:paraId="183B92B2">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（甲类、</w:t>
            </w:r>
            <w:r>
              <w:rPr>
                <w:rFonts w:ascii="宋体" w:hAnsi="宋体"/>
                <w:b w:val="0"/>
                <w:bCs/>
                <w:spacing w:val="-4"/>
                <w:szCs w:val="21"/>
              </w:rPr>
              <w:t>2</w:t>
            </w:r>
            <w:r>
              <w:rPr>
                <w:rFonts w:hint="eastAsia" w:ascii="宋体" w:hAnsi="宋体"/>
                <w:b w:val="0"/>
                <w:bCs/>
                <w:spacing w:val="-4"/>
                <w:szCs w:val="21"/>
              </w:rPr>
              <w:t>0</w:t>
            </w:r>
            <w:r>
              <w:rPr>
                <w:rFonts w:ascii="宋体" w:hAnsi="宋体"/>
                <w:b w:val="0"/>
                <w:bCs/>
                <w:spacing w:val="-4"/>
                <w:szCs w:val="21"/>
              </w:rPr>
              <w:t>00kg</w:t>
            </w:r>
            <w:r>
              <w:rPr>
                <w:rFonts w:hint="eastAsia" w:ascii="宋体" w:hAnsi="宋体"/>
                <w:b w:val="0"/>
                <w:bCs/>
                <w:spacing w:val="-4"/>
                <w:szCs w:val="21"/>
              </w:rPr>
              <w:t>）</w:t>
            </w:r>
          </w:p>
        </w:tc>
        <w:tc>
          <w:tcPr>
            <w:tcW w:w="410" w:type="pct"/>
            <w:shd w:val="clear" w:color="auto" w:fill="auto"/>
            <w:vAlign w:val="center"/>
          </w:tcPr>
          <w:p w14:paraId="46B2B4AE">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16</w:t>
            </w:r>
          </w:p>
        </w:tc>
        <w:tc>
          <w:tcPr>
            <w:tcW w:w="358" w:type="pct"/>
            <w:shd w:val="clear" w:color="auto" w:fill="auto"/>
            <w:vAlign w:val="center"/>
          </w:tcPr>
          <w:p w14:paraId="04CD364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16</w:t>
            </w:r>
          </w:p>
        </w:tc>
        <w:tc>
          <w:tcPr>
            <w:tcW w:w="388" w:type="pct"/>
            <w:vAlign w:val="center"/>
          </w:tcPr>
          <w:p w14:paraId="05B45D07">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vAlign w:val="center"/>
          </w:tcPr>
          <w:p w14:paraId="2C566580">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GB50161-2022中第5</w:t>
            </w:r>
            <w:r>
              <w:rPr>
                <w:rFonts w:ascii="宋体" w:hAnsi="宋体" w:cs="宋体"/>
                <w:b w:val="0"/>
                <w:bCs/>
                <w:szCs w:val="21"/>
              </w:rPr>
              <w:t>.2.</w:t>
            </w:r>
            <w:r>
              <w:rPr>
                <w:rFonts w:hint="eastAsia" w:ascii="宋体" w:hAnsi="宋体" w:cs="宋体"/>
                <w:b w:val="0"/>
                <w:bCs/>
                <w:szCs w:val="21"/>
              </w:rPr>
              <w:t>8</w:t>
            </w:r>
          </w:p>
        </w:tc>
      </w:tr>
      <w:tr w14:paraId="1E2421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1008" w:type="pct"/>
            <w:vMerge w:val="restart"/>
            <w:shd w:val="clear" w:color="auto" w:fill="auto"/>
            <w:vAlign w:val="center"/>
          </w:tcPr>
          <w:p w14:paraId="6E13CE07">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51</w:t>
            </w:r>
            <w:r>
              <w:rPr>
                <w:rFonts w:ascii="宋体" w:hAnsi="宋体" w:cs="Arial"/>
                <w:b w:val="0"/>
                <w:bCs/>
                <w:szCs w:val="21"/>
              </w:rPr>
              <w:t>#</w:t>
            </w:r>
            <w:r>
              <w:rPr>
                <w:rFonts w:hint="eastAsia" w:ascii="宋体" w:hAnsi="宋体" w:cs="Arial"/>
                <w:b w:val="0"/>
                <w:bCs/>
                <w:szCs w:val="21"/>
              </w:rPr>
              <w:t>亮珠中转</w:t>
            </w:r>
          </w:p>
        </w:tc>
        <w:tc>
          <w:tcPr>
            <w:tcW w:w="353" w:type="pct"/>
            <w:vMerge w:val="restart"/>
            <w:shd w:val="clear" w:color="auto" w:fill="auto"/>
            <w:vAlign w:val="center"/>
          </w:tcPr>
          <w:p w14:paraId="2915D41D">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-1</w:t>
            </w:r>
          </w:p>
        </w:tc>
        <w:tc>
          <w:tcPr>
            <w:tcW w:w="519" w:type="pct"/>
            <w:vMerge w:val="restart"/>
            <w:shd w:val="clear" w:color="auto" w:fill="auto"/>
            <w:vAlign w:val="center"/>
          </w:tcPr>
          <w:p w14:paraId="66BBFCD6">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00</w:t>
            </w:r>
          </w:p>
        </w:tc>
        <w:tc>
          <w:tcPr>
            <w:tcW w:w="1075" w:type="pct"/>
            <w:shd w:val="clear" w:color="auto" w:fill="auto"/>
            <w:vAlign w:val="center"/>
          </w:tcPr>
          <w:p w14:paraId="3C03DD63">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50</w:t>
            </w:r>
            <w:r>
              <w:rPr>
                <w:rFonts w:ascii="宋体" w:hAnsi="宋体"/>
                <w:b w:val="0"/>
                <w:bCs/>
                <w:spacing w:val="-4"/>
                <w:szCs w:val="21"/>
              </w:rPr>
              <w:t>#</w:t>
            </w:r>
            <w:r>
              <w:rPr>
                <w:rFonts w:hint="eastAsia" w:ascii="宋体" w:hAnsi="宋体"/>
                <w:b w:val="0"/>
                <w:bCs/>
                <w:spacing w:val="-11"/>
                <w:szCs w:val="21"/>
              </w:rPr>
              <w:t>化工原材料中转</w:t>
            </w:r>
          </w:p>
          <w:p w14:paraId="3FFE849B">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（甲类、</w:t>
            </w:r>
            <w:r>
              <w:rPr>
                <w:rFonts w:ascii="宋体" w:hAnsi="宋体"/>
                <w:b w:val="0"/>
                <w:bCs/>
                <w:spacing w:val="-4"/>
                <w:szCs w:val="21"/>
              </w:rPr>
              <w:t>2</w:t>
            </w:r>
            <w:r>
              <w:rPr>
                <w:rFonts w:hint="eastAsia" w:ascii="宋体" w:hAnsi="宋体"/>
                <w:b w:val="0"/>
                <w:bCs/>
                <w:spacing w:val="-4"/>
                <w:szCs w:val="21"/>
              </w:rPr>
              <w:t>0</w:t>
            </w:r>
            <w:r>
              <w:rPr>
                <w:rFonts w:ascii="宋体" w:hAnsi="宋体"/>
                <w:b w:val="0"/>
                <w:bCs/>
                <w:spacing w:val="-4"/>
                <w:szCs w:val="21"/>
              </w:rPr>
              <w:t>00kg</w:t>
            </w:r>
            <w:r>
              <w:rPr>
                <w:rFonts w:hint="eastAsia" w:ascii="宋体" w:hAnsi="宋体"/>
                <w:b w:val="0"/>
                <w:bCs/>
                <w:spacing w:val="-4"/>
                <w:szCs w:val="21"/>
              </w:rPr>
              <w:t>）</w:t>
            </w:r>
          </w:p>
        </w:tc>
        <w:tc>
          <w:tcPr>
            <w:tcW w:w="410" w:type="pct"/>
            <w:shd w:val="clear" w:color="auto" w:fill="auto"/>
            <w:vAlign w:val="center"/>
          </w:tcPr>
          <w:p w14:paraId="64A98B28">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12</w:t>
            </w:r>
          </w:p>
        </w:tc>
        <w:tc>
          <w:tcPr>
            <w:tcW w:w="358" w:type="pct"/>
            <w:shd w:val="clear" w:color="auto" w:fill="auto"/>
            <w:vAlign w:val="center"/>
          </w:tcPr>
          <w:p w14:paraId="0AFB68C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19</w:t>
            </w:r>
          </w:p>
        </w:tc>
        <w:tc>
          <w:tcPr>
            <w:tcW w:w="388" w:type="pct"/>
            <w:vAlign w:val="center"/>
          </w:tcPr>
          <w:p w14:paraId="344FD172">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tcPr>
          <w:p w14:paraId="4A928F7F">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w:t>
            </w:r>
            <w:r>
              <w:rPr>
                <w:rFonts w:hint="eastAsia" w:ascii="宋体" w:hAnsi="宋体" w:cs="宋体"/>
                <w:b w:val="0"/>
                <w:bCs/>
                <w:szCs w:val="21"/>
              </w:rPr>
              <w:t>2</w:t>
            </w:r>
          </w:p>
        </w:tc>
      </w:tr>
      <w:tr w14:paraId="0ED5A9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96" w:hRule="atLeast"/>
          <w:jc w:val="center"/>
        </w:trPr>
        <w:tc>
          <w:tcPr>
            <w:tcW w:w="1008" w:type="pct"/>
            <w:vMerge w:val="continue"/>
            <w:shd w:val="clear" w:color="auto" w:fill="auto"/>
            <w:vAlign w:val="center"/>
          </w:tcPr>
          <w:p w14:paraId="5638E20B">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512D90D6">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6D58A2FB">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30015E9D">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52</w:t>
            </w:r>
            <w:r>
              <w:rPr>
                <w:rFonts w:ascii="宋体" w:hAnsi="宋体"/>
                <w:b w:val="0"/>
                <w:bCs/>
                <w:spacing w:val="-4"/>
                <w:szCs w:val="21"/>
              </w:rPr>
              <w:t>#</w:t>
            </w:r>
            <w:r>
              <w:rPr>
                <w:rFonts w:hint="eastAsia" w:ascii="宋体" w:hAnsi="宋体"/>
                <w:b w:val="0"/>
                <w:bCs/>
                <w:spacing w:val="-11"/>
                <w:szCs w:val="21"/>
              </w:rPr>
              <w:t>黑火药中转</w:t>
            </w:r>
          </w:p>
          <w:p w14:paraId="5417BF7A">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w:t>
            </w:r>
            <w:r>
              <w:rPr>
                <w:rFonts w:hint="eastAsia" w:ascii="宋体" w:hAnsi="宋体"/>
                <w:b w:val="0"/>
                <w:bCs/>
                <w:spacing w:val="-4"/>
                <w:szCs w:val="21"/>
                <w:vertAlign w:val="superscript"/>
              </w:rPr>
              <w:t>2</w:t>
            </w:r>
            <w:r>
              <w:rPr>
                <w:rFonts w:hint="eastAsia" w:ascii="宋体" w:hAnsi="宋体"/>
                <w:b w:val="0"/>
                <w:bCs/>
                <w:spacing w:val="-4"/>
                <w:szCs w:val="21"/>
              </w:rPr>
              <w:t>级、1</w:t>
            </w:r>
            <w:r>
              <w:rPr>
                <w:rFonts w:ascii="宋体" w:hAnsi="宋体"/>
                <w:b w:val="0"/>
                <w:bCs/>
                <w:spacing w:val="-4"/>
                <w:szCs w:val="21"/>
              </w:rPr>
              <w:t>00kg</w:t>
            </w:r>
            <w:r>
              <w:rPr>
                <w:rFonts w:hint="eastAsia" w:ascii="宋体" w:hAnsi="宋体"/>
                <w:b w:val="0"/>
                <w:bCs/>
                <w:spacing w:val="-4"/>
                <w:szCs w:val="21"/>
              </w:rPr>
              <w:t>）</w:t>
            </w:r>
          </w:p>
        </w:tc>
        <w:tc>
          <w:tcPr>
            <w:tcW w:w="410" w:type="pct"/>
            <w:shd w:val="clear" w:color="auto" w:fill="auto"/>
            <w:vAlign w:val="center"/>
          </w:tcPr>
          <w:p w14:paraId="36380057">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12</w:t>
            </w:r>
          </w:p>
        </w:tc>
        <w:tc>
          <w:tcPr>
            <w:tcW w:w="358" w:type="pct"/>
            <w:shd w:val="clear" w:color="auto" w:fill="auto"/>
            <w:vAlign w:val="center"/>
          </w:tcPr>
          <w:p w14:paraId="7F4509A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12</w:t>
            </w:r>
          </w:p>
        </w:tc>
        <w:tc>
          <w:tcPr>
            <w:tcW w:w="388" w:type="pct"/>
            <w:vAlign w:val="center"/>
          </w:tcPr>
          <w:p w14:paraId="2AAF1370">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tcPr>
          <w:p w14:paraId="2626B95A">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w:t>
            </w:r>
            <w:r>
              <w:rPr>
                <w:rFonts w:hint="eastAsia" w:ascii="宋体" w:hAnsi="宋体" w:cs="宋体"/>
                <w:b w:val="0"/>
                <w:bCs/>
                <w:szCs w:val="21"/>
              </w:rPr>
              <w:t>2</w:t>
            </w:r>
          </w:p>
        </w:tc>
      </w:tr>
      <w:tr w14:paraId="75CC1E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96" w:hRule="atLeast"/>
          <w:jc w:val="center"/>
        </w:trPr>
        <w:tc>
          <w:tcPr>
            <w:tcW w:w="1008" w:type="pct"/>
            <w:shd w:val="clear" w:color="auto" w:fill="auto"/>
            <w:vAlign w:val="center"/>
          </w:tcPr>
          <w:p w14:paraId="7F9AC3EB">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52</w:t>
            </w:r>
            <w:r>
              <w:rPr>
                <w:rFonts w:ascii="宋体" w:hAnsi="宋体" w:cs="Arial"/>
                <w:b w:val="0"/>
                <w:bCs/>
                <w:szCs w:val="21"/>
              </w:rPr>
              <w:t>#</w:t>
            </w:r>
            <w:r>
              <w:rPr>
                <w:rFonts w:hint="eastAsia" w:ascii="宋体" w:hAnsi="宋体" w:cs="Arial"/>
                <w:b w:val="0"/>
                <w:bCs/>
                <w:szCs w:val="21"/>
              </w:rPr>
              <w:t>黑火药中转</w:t>
            </w:r>
          </w:p>
        </w:tc>
        <w:tc>
          <w:tcPr>
            <w:tcW w:w="353" w:type="pct"/>
            <w:shd w:val="clear" w:color="auto" w:fill="auto"/>
            <w:vAlign w:val="center"/>
          </w:tcPr>
          <w:p w14:paraId="30F53C0B">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b w:val="0"/>
                <w:bCs/>
                <w:szCs w:val="21"/>
              </w:rPr>
              <w:t>1</w:t>
            </w:r>
            <w:r>
              <w:rPr>
                <w:rFonts w:ascii="宋体" w:hAnsi="宋体"/>
                <w:b w:val="0"/>
                <w:bCs/>
                <w:szCs w:val="21"/>
              </w:rPr>
              <w:t>.1</w:t>
            </w:r>
            <w:r>
              <w:rPr>
                <w:rFonts w:ascii="宋体" w:hAnsi="宋体"/>
                <w:b w:val="0"/>
                <w:bCs/>
                <w:szCs w:val="21"/>
                <w:vertAlign w:val="superscript"/>
              </w:rPr>
              <w:t>-</w:t>
            </w:r>
            <w:r>
              <w:rPr>
                <w:rFonts w:hint="eastAsia" w:ascii="宋体" w:hAnsi="宋体"/>
                <w:b w:val="0"/>
                <w:bCs/>
                <w:szCs w:val="21"/>
                <w:vertAlign w:val="superscript"/>
              </w:rPr>
              <w:t>2</w:t>
            </w:r>
          </w:p>
        </w:tc>
        <w:tc>
          <w:tcPr>
            <w:tcW w:w="519" w:type="pct"/>
            <w:shd w:val="clear" w:color="auto" w:fill="auto"/>
            <w:vAlign w:val="center"/>
          </w:tcPr>
          <w:p w14:paraId="6F91933C">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00</w:t>
            </w:r>
          </w:p>
        </w:tc>
        <w:tc>
          <w:tcPr>
            <w:tcW w:w="1075" w:type="pct"/>
            <w:shd w:val="clear" w:color="auto" w:fill="auto"/>
            <w:vAlign w:val="center"/>
          </w:tcPr>
          <w:p w14:paraId="3B60561F">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53</w:t>
            </w:r>
            <w:r>
              <w:rPr>
                <w:rFonts w:ascii="宋体" w:hAnsi="宋体"/>
                <w:b w:val="0"/>
                <w:bCs/>
                <w:spacing w:val="-4"/>
                <w:szCs w:val="21"/>
              </w:rPr>
              <w:t>#</w:t>
            </w:r>
            <w:r>
              <w:rPr>
                <w:rFonts w:hint="eastAsia" w:ascii="宋体" w:hAnsi="宋体"/>
                <w:b w:val="0"/>
                <w:bCs/>
                <w:spacing w:val="-4"/>
                <w:szCs w:val="21"/>
              </w:rPr>
              <w:t>单基火药中转（1</w:t>
            </w:r>
            <w:r>
              <w:rPr>
                <w:rFonts w:ascii="宋体" w:hAnsi="宋体"/>
                <w:b w:val="0"/>
                <w:bCs/>
                <w:spacing w:val="-4"/>
                <w:szCs w:val="21"/>
              </w:rPr>
              <w:t>.1</w:t>
            </w:r>
            <w:r>
              <w:rPr>
                <w:rFonts w:ascii="宋体" w:hAnsi="宋体"/>
                <w:b w:val="0"/>
                <w:bCs/>
                <w:spacing w:val="-4"/>
                <w:szCs w:val="21"/>
                <w:vertAlign w:val="superscript"/>
              </w:rPr>
              <w:t>-</w:t>
            </w:r>
            <w:r>
              <w:rPr>
                <w:rFonts w:hint="eastAsia" w:ascii="宋体" w:hAnsi="宋体"/>
                <w:b w:val="0"/>
                <w:bCs/>
                <w:spacing w:val="-4"/>
                <w:szCs w:val="21"/>
                <w:vertAlign w:val="superscript"/>
              </w:rPr>
              <w:t>2</w:t>
            </w:r>
            <w:r>
              <w:rPr>
                <w:rFonts w:hint="eastAsia" w:ascii="宋体" w:hAnsi="宋体"/>
                <w:b w:val="0"/>
                <w:bCs/>
                <w:spacing w:val="-4"/>
                <w:szCs w:val="21"/>
              </w:rPr>
              <w:t>级、100</w:t>
            </w:r>
            <w:r>
              <w:rPr>
                <w:rFonts w:ascii="宋体" w:hAnsi="宋体"/>
                <w:b w:val="0"/>
                <w:bCs/>
                <w:spacing w:val="-4"/>
                <w:szCs w:val="21"/>
              </w:rPr>
              <w:t>kg</w:t>
            </w:r>
            <w:r>
              <w:rPr>
                <w:rFonts w:hint="eastAsia" w:ascii="宋体" w:hAnsi="宋体"/>
                <w:b w:val="0"/>
                <w:bCs/>
                <w:spacing w:val="-4"/>
                <w:szCs w:val="21"/>
              </w:rPr>
              <w:t>）</w:t>
            </w:r>
          </w:p>
        </w:tc>
        <w:tc>
          <w:tcPr>
            <w:tcW w:w="410" w:type="pct"/>
            <w:shd w:val="clear" w:color="auto" w:fill="auto"/>
            <w:vAlign w:val="center"/>
          </w:tcPr>
          <w:p w14:paraId="24AE413C">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ascii="宋体" w:hAnsi="宋体"/>
                <w:b w:val="0"/>
                <w:bCs/>
                <w:spacing w:val="-4"/>
                <w:kern w:val="0"/>
                <w:szCs w:val="21"/>
              </w:rPr>
              <w:t>12</w:t>
            </w:r>
          </w:p>
        </w:tc>
        <w:tc>
          <w:tcPr>
            <w:tcW w:w="358" w:type="pct"/>
            <w:shd w:val="clear" w:color="auto" w:fill="auto"/>
            <w:vAlign w:val="center"/>
          </w:tcPr>
          <w:p w14:paraId="6D84EA5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34</w:t>
            </w:r>
          </w:p>
        </w:tc>
        <w:tc>
          <w:tcPr>
            <w:tcW w:w="388" w:type="pct"/>
            <w:vAlign w:val="center"/>
          </w:tcPr>
          <w:p w14:paraId="0E158343">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vAlign w:val="center"/>
          </w:tcPr>
          <w:p w14:paraId="3EDFA1D1">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GB50161-2022中第5</w:t>
            </w:r>
            <w:r>
              <w:rPr>
                <w:rFonts w:ascii="宋体" w:hAnsi="宋体" w:cs="宋体"/>
                <w:b w:val="0"/>
                <w:bCs/>
                <w:szCs w:val="21"/>
              </w:rPr>
              <w:t>.2.</w:t>
            </w:r>
            <w:r>
              <w:rPr>
                <w:rFonts w:hint="eastAsia" w:ascii="宋体" w:hAnsi="宋体" w:cs="宋体"/>
                <w:b w:val="0"/>
                <w:bCs/>
                <w:szCs w:val="21"/>
              </w:rPr>
              <w:t>3</w:t>
            </w:r>
          </w:p>
        </w:tc>
      </w:tr>
      <w:tr w14:paraId="35714A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restart"/>
            <w:shd w:val="clear" w:color="auto" w:fill="auto"/>
            <w:vAlign w:val="center"/>
          </w:tcPr>
          <w:p w14:paraId="086C6C9B">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55</w:t>
            </w:r>
            <w:r>
              <w:rPr>
                <w:rFonts w:ascii="宋体" w:hAnsi="宋体" w:cs="Arial"/>
                <w:b w:val="0"/>
                <w:bCs/>
                <w:szCs w:val="21"/>
              </w:rPr>
              <w:t>#</w:t>
            </w:r>
            <w:r>
              <w:rPr>
                <w:rFonts w:hint="eastAsia" w:ascii="宋体" w:hAnsi="宋体" w:cs="Arial"/>
                <w:b w:val="0"/>
                <w:bCs/>
                <w:szCs w:val="21"/>
              </w:rPr>
              <w:t>亮珠库</w:t>
            </w:r>
          </w:p>
        </w:tc>
        <w:tc>
          <w:tcPr>
            <w:tcW w:w="353" w:type="pct"/>
            <w:vMerge w:val="restart"/>
            <w:shd w:val="clear" w:color="auto" w:fill="auto"/>
            <w:vAlign w:val="center"/>
          </w:tcPr>
          <w:p w14:paraId="1F16B8A4">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-1</w:t>
            </w:r>
          </w:p>
        </w:tc>
        <w:tc>
          <w:tcPr>
            <w:tcW w:w="519" w:type="pct"/>
            <w:vMerge w:val="restart"/>
            <w:shd w:val="clear" w:color="auto" w:fill="auto"/>
            <w:vAlign w:val="center"/>
          </w:tcPr>
          <w:p w14:paraId="16BC21FF">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500</w:t>
            </w:r>
          </w:p>
        </w:tc>
        <w:tc>
          <w:tcPr>
            <w:tcW w:w="1075" w:type="pct"/>
            <w:shd w:val="clear" w:color="auto" w:fill="auto"/>
            <w:vAlign w:val="center"/>
          </w:tcPr>
          <w:p w14:paraId="1524CADB">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54</w:t>
            </w:r>
            <w:r>
              <w:rPr>
                <w:rFonts w:ascii="宋体" w:hAnsi="宋体"/>
                <w:b w:val="0"/>
                <w:bCs/>
                <w:spacing w:val="-4"/>
                <w:szCs w:val="21"/>
              </w:rPr>
              <w:t>#</w:t>
            </w:r>
            <w:r>
              <w:rPr>
                <w:rFonts w:hint="eastAsia" w:ascii="宋体" w:hAnsi="宋体"/>
                <w:b w:val="0"/>
                <w:bCs/>
                <w:spacing w:val="-4"/>
                <w:szCs w:val="21"/>
              </w:rPr>
              <w:t xml:space="preserve">亮珠库    </w:t>
            </w:r>
          </w:p>
          <w:p w14:paraId="180BE3C5">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w:t>
            </w:r>
            <w:r>
              <w:rPr>
                <w:rFonts w:hint="eastAsia" w:ascii="宋体" w:hAnsi="宋体"/>
                <w:b w:val="0"/>
                <w:bCs/>
                <w:spacing w:val="-4"/>
                <w:szCs w:val="21"/>
                <w:vertAlign w:val="superscript"/>
              </w:rPr>
              <w:t>1</w:t>
            </w:r>
            <w:r>
              <w:rPr>
                <w:rFonts w:hint="eastAsia" w:ascii="宋体" w:hAnsi="宋体"/>
                <w:b w:val="0"/>
                <w:bCs/>
                <w:spacing w:val="-4"/>
                <w:szCs w:val="21"/>
              </w:rPr>
              <w:t>级、10</w:t>
            </w:r>
            <w:r>
              <w:rPr>
                <w:rFonts w:ascii="宋体" w:hAnsi="宋体"/>
                <w:b w:val="0"/>
                <w:bCs/>
                <w:spacing w:val="-4"/>
                <w:szCs w:val="21"/>
              </w:rPr>
              <w:t>00kg</w:t>
            </w:r>
            <w:r>
              <w:rPr>
                <w:rFonts w:hint="eastAsia" w:ascii="宋体" w:hAnsi="宋体"/>
                <w:b w:val="0"/>
                <w:bCs/>
                <w:spacing w:val="-4"/>
                <w:szCs w:val="21"/>
              </w:rPr>
              <w:t>）</w:t>
            </w:r>
          </w:p>
        </w:tc>
        <w:tc>
          <w:tcPr>
            <w:tcW w:w="410" w:type="pct"/>
            <w:shd w:val="clear" w:color="auto" w:fill="auto"/>
            <w:vAlign w:val="center"/>
          </w:tcPr>
          <w:p w14:paraId="6557E55F">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20</w:t>
            </w:r>
          </w:p>
        </w:tc>
        <w:tc>
          <w:tcPr>
            <w:tcW w:w="358" w:type="pct"/>
            <w:shd w:val="clear" w:color="auto" w:fill="auto"/>
            <w:vAlign w:val="center"/>
          </w:tcPr>
          <w:p w14:paraId="2F8D22B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20</w:t>
            </w:r>
          </w:p>
        </w:tc>
        <w:tc>
          <w:tcPr>
            <w:tcW w:w="388" w:type="pct"/>
            <w:vAlign w:val="center"/>
          </w:tcPr>
          <w:p w14:paraId="59EAEF74">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tcPr>
          <w:p w14:paraId="05FE1F07">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2</w:t>
            </w:r>
          </w:p>
        </w:tc>
      </w:tr>
      <w:tr w14:paraId="37CDC6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7F1617D4">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7F927A65">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7055126D">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37D3DBB8">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56</w:t>
            </w:r>
            <w:r>
              <w:rPr>
                <w:rFonts w:ascii="宋体" w:hAnsi="宋体"/>
                <w:b w:val="0"/>
                <w:bCs/>
                <w:spacing w:val="-4"/>
                <w:szCs w:val="21"/>
              </w:rPr>
              <w:t>#</w:t>
            </w:r>
            <w:r>
              <w:rPr>
                <w:rFonts w:hint="eastAsia" w:ascii="宋体" w:hAnsi="宋体"/>
                <w:b w:val="0"/>
                <w:bCs/>
                <w:spacing w:val="-4"/>
                <w:szCs w:val="21"/>
              </w:rPr>
              <w:t xml:space="preserve">亮珠库    </w:t>
            </w:r>
          </w:p>
          <w:p w14:paraId="4B30E8D8">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w:t>
            </w:r>
            <w:r>
              <w:rPr>
                <w:rFonts w:hint="eastAsia" w:ascii="宋体" w:hAnsi="宋体"/>
                <w:b w:val="0"/>
                <w:bCs/>
                <w:spacing w:val="-4"/>
                <w:szCs w:val="21"/>
                <w:vertAlign w:val="superscript"/>
              </w:rPr>
              <w:t>1</w:t>
            </w:r>
            <w:r>
              <w:rPr>
                <w:rFonts w:hint="eastAsia" w:ascii="宋体" w:hAnsi="宋体"/>
                <w:b w:val="0"/>
                <w:bCs/>
                <w:spacing w:val="-4"/>
                <w:szCs w:val="21"/>
              </w:rPr>
              <w:t>级、10</w:t>
            </w:r>
            <w:r>
              <w:rPr>
                <w:rFonts w:ascii="宋体" w:hAnsi="宋体"/>
                <w:b w:val="0"/>
                <w:bCs/>
                <w:spacing w:val="-4"/>
                <w:szCs w:val="21"/>
              </w:rPr>
              <w:t>00kg</w:t>
            </w:r>
            <w:r>
              <w:rPr>
                <w:rFonts w:hint="eastAsia" w:ascii="宋体" w:hAnsi="宋体"/>
                <w:b w:val="0"/>
                <w:bCs/>
                <w:spacing w:val="-4"/>
                <w:szCs w:val="21"/>
              </w:rPr>
              <w:t>）</w:t>
            </w:r>
          </w:p>
        </w:tc>
        <w:tc>
          <w:tcPr>
            <w:tcW w:w="410" w:type="pct"/>
            <w:shd w:val="clear" w:color="auto" w:fill="auto"/>
            <w:vAlign w:val="center"/>
          </w:tcPr>
          <w:p w14:paraId="04EF3DF8">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2</w:t>
            </w:r>
            <w:r>
              <w:rPr>
                <w:rFonts w:ascii="宋体" w:hAnsi="宋体"/>
                <w:b w:val="0"/>
                <w:bCs/>
                <w:spacing w:val="-4"/>
                <w:kern w:val="0"/>
                <w:szCs w:val="21"/>
              </w:rPr>
              <w:t>0</w:t>
            </w:r>
          </w:p>
        </w:tc>
        <w:tc>
          <w:tcPr>
            <w:tcW w:w="358" w:type="pct"/>
            <w:shd w:val="clear" w:color="auto" w:fill="auto"/>
            <w:vAlign w:val="center"/>
          </w:tcPr>
          <w:p w14:paraId="41F3557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20</w:t>
            </w:r>
          </w:p>
        </w:tc>
        <w:tc>
          <w:tcPr>
            <w:tcW w:w="388" w:type="pct"/>
            <w:vAlign w:val="center"/>
          </w:tcPr>
          <w:p w14:paraId="4A734954">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tcPr>
          <w:p w14:paraId="43D2F720">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2</w:t>
            </w:r>
          </w:p>
        </w:tc>
      </w:tr>
      <w:tr w14:paraId="1938FB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restart"/>
            <w:shd w:val="clear" w:color="auto" w:fill="auto"/>
            <w:vAlign w:val="center"/>
          </w:tcPr>
          <w:p w14:paraId="52C57BAE">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57</w:t>
            </w:r>
            <w:r>
              <w:rPr>
                <w:rFonts w:ascii="宋体" w:hAnsi="宋体" w:cs="Arial"/>
                <w:b w:val="0"/>
                <w:bCs/>
                <w:szCs w:val="21"/>
              </w:rPr>
              <w:t>#</w:t>
            </w:r>
            <w:r>
              <w:rPr>
                <w:rFonts w:hint="eastAsia" w:ascii="宋体" w:hAnsi="宋体" w:cs="Arial"/>
                <w:b w:val="0"/>
                <w:bCs/>
                <w:szCs w:val="21"/>
              </w:rPr>
              <w:t>亮珠库</w:t>
            </w:r>
          </w:p>
        </w:tc>
        <w:tc>
          <w:tcPr>
            <w:tcW w:w="353" w:type="pct"/>
            <w:vMerge w:val="restart"/>
            <w:shd w:val="clear" w:color="auto" w:fill="auto"/>
            <w:vAlign w:val="center"/>
          </w:tcPr>
          <w:p w14:paraId="36EBBFF1">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-1</w:t>
            </w:r>
          </w:p>
        </w:tc>
        <w:tc>
          <w:tcPr>
            <w:tcW w:w="519" w:type="pct"/>
            <w:vMerge w:val="restart"/>
            <w:shd w:val="clear" w:color="auto" w:fill="auto"/>
            <w:vAlign w:val="center"/>
          </w:tcPr>
          <w:p w14:paraId="52C0DA76">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00</w:t>
            </w:r>
            <w:r>
              <w:rPr>
                <w:rFonts w:hint="eastAsia" w:ascii="宋体" w:hAnsi="宋体" w:cs="Arial"/>
                <w:b w:val="0"/>
                <w:bCs/>
                <w:szCs w:val="21"/>
              </w:rPr>
              <w:t>0</w:t>
            </w:r>
          </w:p>
        </w:tc>
        <w:tc>
          <w:tcPr>
            <w:tcW w:w="1075" w:type="pct"/>
            <w:shd w:val="clear" w:color="auto" w:fill="auto"/>
            <w:vAlign w:val="center"/>
          </w:tcPr>
          <w:p w14:paraId="26A22ED8">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56</w:t>
            </w:r>
            <w:r>
              <w:rPr>
                <w:rFonts w:ascii="宋体" w:hAnsi="宋体"/>
                <w:b w:val="0"/>
                <w:bCs/>
                <w:spacing w:val="-4"/>
                <w:szCs w:val="21"/>
              </w:rPr>
              <w:t>#</w:t>
            </w:r>
            <w:r>
              <w:rPr>
                <w:rFonts w:hint="eastAsia" w:ascii="宋体" w:hAnsi="宋体"/>
                <w:b w:val="0"/>
                <w:bCs/>
                <w:spacing w:val="-4"/>
                <w:szCs w:val="21"/>
              </w:rPr>
              <w:t xml:space="preserve">亮珠库    </w:t>
            </w:r>
          </w:p>
          <w:p w14:paraId="04FB738B">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w:t>
            </w:r>
            <w:r>
              <w:rPr>
                <w:rFonts w:hint="eastAsia" w:ascii="宋体" w:hAnsi="宋体"/>
                <w:b w:val="0"/>
                <w:bCs/>
                <w:spacing w:val="-4"/>
                <w:szCs w:val="21"/>
                <w:vertAlign w:val="superscript"/>
              </w:rPr>
              <w:t>1</w:t>
            </w:r>
            <w:r>
              <w:rPr>
                <w:rFonts w:hint="eastAsia" w:ascii="宋体" w:hAnsi="宋体"/>
                <w:b w:val="0"/>
                <w:bCs/>
                <w:spacing w:val="-4"/>
                <w:szCs w:val="21"/>
              </w:rPr>
              <w:t>级、10</w:t>
            </w:r>
            <w:r>
              <w:rPr>
                <w:rFonts w:ascii="宋体" w:hAnsi="宋体"/>
                <w:b w:val="0"/>
                <w:bCs/>
                <w:spacing w:val="-4"/>
                <w:szCs w:val="21"/>
              </w:rPr>
              <w:t>00kg</w:t>
            </w:r>
            <w:r>
              <w:rPr>
                <w:rFonts w:hint="eastAsia" w:ascii="宋体" w:hAnsi="宋体"/>
                <w:b w:val="0"/>
                <w:bCs/>
                <w:spacing w:val="-4"/>
                <w:szCs w:val="21"/>
              </w:rPr>
              <w:t>）</w:t>
            </w:r>
          </w:p>
        </w:tc>
        <w:tc>
          <w:tcPr>
            <w:tcW w:w="410" w:type="pct"/>
            <w:shd w:val="clear" w:color="auto" w:fill="auto"/>
            <w:vAlign w:val="center"/>
          </w:tcPr>
          <w:p w14:paraId="4BA5D1BF">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20</w:t>
            </w:r>
          </w:p>
        </w:tc>
        <w:tc>
          <w:tcPr>
            <w:tcW w:w="358" w:type="pct"/>
            <w:shd w:val="clear" w:color="auto" w:fill="auto"/>
            <w:vAlign w:val="center"/>
          </w:tcPr>
          <w:p w14:paraId="4E86C8B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20</w:t>
            </w:r>
          </w:p>
        </w:tc>
        <w:tc>
          <w:tcPr>
            <w:tcW w:w="388" w:type="pct"/>
            <w:vAlign w:val="center"/>
          </w:tcPr>
          <w:p w14:paraId="67A6E408">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tcPr>
          <w:p w14:paraId="174CB2D3">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2</w:t>
            </w:r>
          </w:p>
        </w:tc>
      </w:tr>
      <w:tr w14:paraId="7CDF1C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50930546">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023356D2">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2E692797">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74F5BEAC">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58</w:t>
            </w:r>
            <w:r>
              <w:rPr>
                <w:rFonts w:ascii="宋体" w:hAnsi="宋体"/>
                <w:b w:val="0"/>
                <w:bCs/>
                <w:spacing w:val="-4"/>
                <w:szCs w:val="21"/>
              </w:rPr>
              <w:t>#</w:t>
            </w:r>
            <w:r>
              <w:rPr>
                <w:rFonts w:hint="eastAsia" w:ascii="宋体" w:hAnsi="宋体"/>
                <w:b w:val="0"/>
                <w:bCs/>
                <w:spacing w:val="-4"/>
                <w:szCs w:val="21"/>
              </w:rPr>
              <w:t xml:space="preserve">黑火药库   </w:t>
            </w:r>
          </w:p>
          <w:p w14:paraId="09212976">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w:t>
            </w:r>
            <w:r>
              <w:rPr>
                <w:rFonts w:hint="eastAsia" w:ascii="宋体" w:hAnsi="宋体"/>
                <w:b w:val="0"/>
                <w:bCs/>
                <w:spacing w:val="-4"/>
                <w:szCs w:val="21"/>
                <w:vertAlign w:val="superscript"/>
              </w:rPr>
              <w:t>2</w:t>
            </w:r>
            <w:r>
              <w:rPr>
                <w:rFonts w:hint="eastAsia" w:ascii="宋体" w:hAnsi="宋体"/>
                <w:b w:val="0"/>
                <w:bCs/>
                <w:spacing w:val="-4"/>
                <w:szCs w:val="21"/>
              </w:rPr>
              <w:t>级、10</w:t>
            </w:r>
            <w:r>
              <w:rPr>
                <w:rFonts w:ascii="宋体" w:hAnsi="宋体"/>
                <w:b w:val="0"/>
                <w:bCs/>
                <w:spacing w:val="-4"/>
                <w:szCs w:val="21"/>
              </w:rPr>
              <w:t>00kg</w:t>
            </w:r>
            <w:r>
              <w:rPr>
                <w:rFonts w:hint="eastAsia" w:ascii="宋体" w:hAnsi="宋体"/>
                <w:b w:val="0"/>
                <w:bCs/>
                <w:spacing w:val="-4"/>
                <w:szCs w:val="21"/>
              </w:rPr>
              <w:t>）</w:t>
            </w:r>
          </w:p>
        </w:tc>
        <w:tc>
          <w:tcPr>
            <w:tcW w:w="410" w:type="pct"/>
            <w:shd w:val="clear" w:color="auto" w:fill="auto"/>
            <w:vAlign w:val="center"/>
          </w:tcPr>
          <w:p w14:paraId="1CBFF92F">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20</w:t>
            </w:r>
          </w:p>
        </w:tc>
        <w:tc>
          <w:tcPr>
            <w:tcW w:w="358" w:type="pct"/>
            <w:shd w:val="clear" w:color="auto" w:fill="auto"/>
            <w:vAlign w:val="center"/>
          </w:tcPr>
          <w:p w14:paraId="2618451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20</w:t>
            </w:r>
          </w:p>
        </w:tc>
        <w:tc>
          <w:tcPr>
            <w:tcW w:w="388" w:type="pct"/>
            <w:vAlign w:val="center"/>
          </w:tcPr>
          <w:p w14:paraId="03F8F902">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tcPr>
          <w:p w14:paraId="04A73AB4">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2</w:t>
            </w:r>
          </w:p>
        </w:tc>
      </w:tr>
      <w:tr w14:paraId="447EA6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restart"/>
            <w:shd w:val="clear" w:color="auto" w:fill="auto"/>
            <w:vAlign w:val="center"/>
          </w:tcPr>
          <w:p w14:paraId="27FB12AB">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b w:val="0"/>
                <w:bCs/>
                <w:spacing w:val="-4"/>
                <w:szCs w:val="21"/>
              </w:rPr>
              <w:t>59</w:t>
            </w:r>
            <w:r>
              <w:rPr>
                <w:rFonts w:ascii="宋体" w:hAnsi="宋体"/>
                <w:b w:val="0"/>
                <w:bCs/>
                <w:spacing w:val="-4"/>
                <w:szCs w:val="21"/>
              </w:rPr>
              <w:t>#</w:t>
            </w:r>
            <w:r>
              <w:rPr>
                <w:rFonts w:hint="eastAsia" w:ascii="宋体" w:hAnsi="宋体"/>
                <w:b w:val="0"/>
                <w:bCs/>
                <w:spacing w:val="-4"/>
                <w:szCs w:val="21"/>
              </w:rPr>
              <w:t>黑火药库</w:t>
            </w:r>
          </w:p>
        </w:tc>
        <w:tc>
          <w:tcPr>
            <w:tcW w:w="353" w:type="pct"/>
            <w:vMerge w:val="restart"/>
            <w:shd w:val="clear" w:color="auto" w:fill="auto"/>
            <w:vAlign w:val="center"/>
          </w:tcPr>
          <w:p w14:paraId="6D8F0D61">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w:t>
            </w:r>
            <w:r>
              <w:rPr>
                <w:rFonts w:hint="eastAsia" w:ascii="宋体" w:hAnsi="宋体" w:cs="Arial"/>
                <w:b w:val="0"/>
                <w:bCs/>
                <w:szCs w:val="21"/>
                <w:vertAlign w:val="superscript"/>
              </w:rPr>
              <w:t>2</w:t>
            </w:r>
          </w:p>
        </w:tc>
        <w:tc>
          <w:tcPr>
            <w:tcW w:w="519" w:type="pct"/>
            <w:vMerge w:val="restart"/>
            <w:shd w:val="clear" w:color="auto" w:fill="auto"/>
            <w:vAlign w:val="center"/>
          </w:tcPr>
          <w:p w14:paraId="777FE1B6">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00</w:t>
            </w:r>
            <w:r>
              <w:rPr>
                <w:rFonts w:hint="eastAsia" w:ascii="宋体" w:hAnsi="宋体" w:cs="Arial"/>
                <w:b w:val="0"/>
                <w:bCs/>
                <w:szCs w:val="21"/>
              </w:rPr>
              <w:t>0</w:t>
            </w:r>
          </w:p>
        </w:tc>
        <w:tc>
          <w:tcPr>
            <w:tcW w:w="1075" w:type="pct"/>
            <w:shd w:val="clear" w:color="auto" w:fill="auto"/>
            <w:vAlign w:val="center"/>
          </w:tcPr>
          <w:p w14:paraId="1B5F67BF">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58</w:t>
            </w:r>
            <w:r>
              <w:rPr>
                <w:rFonts w:ascii="宋体" w:hAnsi="宋体"/>
                <w:b w:val="0"/>
                <w:bCs/>
                <w:spacing w:val="-4"/>
                <w:szCs w:val="21"/>
              </w:rPr>
              <w:t>#</w:t>
            </w:r>
            <w:r>
              <w:rPr>
                <w:rFonts w:hint="eastAsia" w:ascii="宋体" w:hAnsi="宋体"/>
                <w:b w:val="0"/>
                <w:bCs/>
                <w:spacing w:val="-4"/>
                <w:szCs w:val="21"/>
              </w:rPr>
              <w:t xml:space="preserve">黑火药库  </w:t>
            </w:r>
          </w:p>
          <w:p w14:paraId="5A167FFA">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 xml:space="preserve"> （1</w:t>
            </w:r>
            <w:r>
              <w:rPr>
                <w:rFonts w:ascii="宋体" w:hAnsi="宋体"/>
                <w:b w:val="0"/>
                <w:bCs/>
                <w:spacing w:val="-4"/>
                <w:szCs w:val="21"/>
              </w:rPr>
              <w:t>.1</w:t>
            </w:r>
            <w:r>
              <w:rPr>
                <w:rFonts w:ascii="宋体" w:hAnsi="宋体"/>
                <w:b w:val="0"/>
                <w:bCs/>
                <w:spacing w:val="-4"/>
                <w:szCs w:val="21"/>
                <w:vertAlign w:val="superscript"/>
              </w:rPr>
              <w:t>-</w:t>
            </w:r>
            <w:r>
              <w:rPr>
                <w:rFonts w:hint="eastAsia" w:ascii="宋体" w:hAnsi="宋体"/>
                <w:b w:val="0"/>
                <w:bCs/>
                <w:spacing w:val="-4"/>
                <w:szCs w:val="21"/>
                <w:vertAlign w:val="superscript"/>
              </w:rPr>
              <w:t>2</w:t>
            </w:r>
            <w:r>
              <w:rPr>
                <w:rFonts w:hint="eastAsia" w:ascii="宋体" w:hAnsi="宋体"/>
                <w:b w:val="0"/>
                <w:bCs/>
                <w:spacing w:val="-4"/>
                <w:szCs w:val="21"/>
              </w:rPr>
              <w:t>级、10</w:t>
            </w:r>
            <w:r>
              <w:rPr>
                <w:rFonts w:ascii="宋体" w:hAnsi="宋体"/>
                <w:b w:val="0"/>
                <w:bCs/>
                <w:spacing w:val="-4"/>
                <w:szCs w:val="21"/>
              </w:rPr>
              <w:t>00kg</w:t>
            </w:r>
            <w:r>
              <w:rPr>
                <w:rFonts w:hint="eastAsia" w:ascii="宋体" w:hAnsi="宋体"/>
                <w:b w:val="0"/>
                <w:bCs/>
                <w:spacing w:val="-4"/>
                <w:szCs w:val="21"/>
              </w:rPr>
              <w:t>）</w:t>
            </w:r>
          </w:p>
        </w:tc>
        <w:tc>
          <w:tcPr>
            <w:tcW w:w="410" w:type="pct"/>
            <w:shd w:val="clear" w:color="auto" w:fill="auto"/>
            <w:vAlign w:val="center"/>
          </w:tcPr>
          <w:p w14:paraId="5C0D6632">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16</w:t>
            </w:r>
          </w:p>
        </w:tc>
        <w:tc>
          <w:tcPr>
            <w:tcW w:w="358" w:type="pct"/>
            <w:shd w:val="clear" w:color="auto" w:fill="auto"/>
            <w:vAlign w:val="center"/>
          </w:tcPr>
          <w:p w14:paraId="1323BCA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17</w:t>
            </w:r>
          </w:p>
        </w:tc>
        <w:tc>
          <w:tcPr>
            <w:tcW w:w="388" w:type="pct"/>
            <w:vAlign w:val="center"/>
          </w:tcPr>
          <w:p w14:paraId="0BB1A5E1">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tcPr>
          <w:p w14:paraId="08CC2A1B">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3</w:t>
            </w:r>
          </w:p>
        </w:tc>
      </w:tr>
      <w:tr w14:paraId="46979D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614EAC19">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p>
        </w:tc>
        <w:tc>
          <w:tcPr>
            <w:tcW w:w="353" w:type="pct"/>
            <w:vMerge w:val="continue"/>
            <w:shd w:val="clear" w:color="auto" w:fill="auto"/>
            <w:vAlign w:val="center"/>
          </w:tcPr>
          <w:p w14:paraId="44DB7603">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67DB15A8">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24EC3328">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60</w:t>
            </w:r>
            <w:r>
              <w:rPr>
                <w:rFonts w:ascii="宋体" w:hAnsi="宋体"/>
                <w:b w:val="0"/>
                <w:bCs/>
                <w:spacing w:val="-4"/>
                <w:szCs w:val="21"/>
              </w:rPr>
              <w:t>#</w:t>
            </w:r>
            <w:r>
              <w:rPr>
                <w:rFonts w:hint="eastAsia" w:ascii="宋体" w:hAnsi="宋体"/>
                <w:b w:val="0"/>
                <w:bCs/>
                <w:spacing w:val="-4"/>
                <w:szCs w:val="21"/>
              </w:rPr>
              <w:t xml:space="preserve">黑火药库  </w:t>
            </w:r>
          </w:p>
          <w:p w14:paraId="67500128">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 xml:space="preserve"> （1</w:t>
            </w:r>
            <w:r>
              <w:rPr>
                <w:rFonts w:ascii="宋体" w:hAnsi="宋体"/>
                <w:b w:val="0"/>
                <w:bCs/>
                <w:spacing w:val="-4"/>
                <w:szCs w:val="21"/>
              </w:rPr>
              <w:t>.1</w:t>
            </w:r>
            <w:r>
              <w:rPr>
                <w:rFonts w:ascii="宋体" w:hAnsi="宋体"/>
                <w:b w:val="0"/>
                <w:bCs/>
                <w:spacing w:val="-4"/>
                <w:szCs w:val="21"/>
                <w:vertAlign w:val="superscript"/>
              </w:rPr>
              <w:t>-</w:t>
            </w:r>
            <w:r>
              <w:rPr>
                <w:rFonts w:hint="eastAsia" w:ascii="宋体" w:hAnsi="宋体"/>
                <w:b w:val="0"/>
                <w:bCs/>
                <w:spacing w:val="-4"/>
                <w:szCs w:val="21"/>
                <w:vertAlign w:val="superscript"/>
              </w:rPr>
              <w:t>2</w:t>
            </w:r>
            <w:r>
              <w:rPr>
                <w:rFonts w:hint="eastAsia" w:ascii="宋体" w:hAnsi="宋体"/>
                <w:b w:val="0"/>
                <w:bCs/>
                <w:spacing w:val="-4"/>
                <w:szCs w:val="21"/>
              </w:rPr>
              <w:t>级、10</w:t>
            </w:r>
            <w:r>
              <w:rPr>
                <w:rFonts w:ascii="宋体" w:hAnsi="宋体"/>
                <w:b w:val="0"/>
                <w:bCs/>
                <w:spacing w:val="-4"/>
                <w:szCs w:val="21"/>
              </w:rPr>
              <w:t>00kg</w:t>
            </w:r>
            <w:r>
              <w:rPr>
                <w:rFonts w:hint="eastAsia" w:ascii="宋体" w:hAnsi="宋体"/>
                <w:b w:val="0"/>
                <w:bCs/>
                <w:spacing w:val="-4"/>
                <w:szCs w:val="21"/>
              </w:rPr>
              <w:t>）</w:t>
            </w:r>
          </w:p>
        </w:tc>
        <w:tc>
          <w:tcPr>
            <w:tcW w:w="410" w:type="pct"/>
            <w:shd w:val="clear" w:color="auto" w:fill="auto"/>
            <w:vAlign w:val="center"/>
          </w:tcPr>
          <w:p w14:paraId="223375D0">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16</w:t>
            </w:r>
          </w:p>
        </w:tc>
        <w:tc>
          <w:tcPr>
            <w:tcW w:w="358" w:type="pct"/>
            <w:shd w:val="clear" w:color="auto" w:fill="auto"/>
            <w:vAlign w:val="center"/>
          </w:tcPr>
          <w:p w14:paraId="13BFFC8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19</w:t>
            </w:r>
          </w:p>
        </w:tc>
        <w:tc>
          <w:tcPr>
            <w:tcW w:w="388" w:type="pct"/>
            <w:vAlign w:val="center"/>
          </w:tcPr>
          <w:p w14:paraId="14467F2F">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tcPr>
          <w:p w14:paraId="550F23D4">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3</w:t>
            </w:r>
          </w:p>
        </w:tc>
      </w:tr>
      <w:tr w14:paraId="1AF5D9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restart"/>
            <w:shd w:val="clear" w:color="auto" w:fill="auto"/>
            <w:vAlign w:val="center"/>
          </w:tcPr>
          <w:p w14:paraId="04FD2094">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61</w:t>
            </w:r>
            <w:r>
              <w:rPr>
                <w:rFonts w:ascii="宋体" w:hAnsi="宋体" w:cs="Arial"/>
                <w:b w:val="0"/>
                <w:bCs/>
                <w:szCs w:val="21"/>
              </w:rPr>
              <w:t>#</w:t>
            </w:r>
            <w:r>
              <w:rPr>
                <w:rFonts w:hint="eastAsia" w:ascii="宋体" w:hAnsi="宋体" w:cs="Arial"/>
                <w:b w:val="0"/>
                <w:bCs/>
                <w:szCs w:val="21"/>
              </w:rPr>
              <w:t>单基火药库(湿)</w:t>
            </w:r>
          </w:p>
        </w:tc>
        <w:tc>
          <w:tcPr>
            <w:tcW w:w="353" w:type="pct"/>
            <w:vMerge w:val="restart"/>
            <w:shd w:val="clear" w:color="auto" w:fill="auto"/>
            <w:vAlign w:val="center"/>
          </w:tcPr>
          <w:p w14:paraId="59B1CD11">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w:t>
            </w:r>
            <w:r>
              <w:rPr>
                <w:rFonts w:hint="eastAsia" w:ascii="宋体" w:hAnsi="宋体" w:cs="Arial"/>
                <w:b w:val="0"/>
                <w:bCs/>
                <w:szCs w:val="21"/>
                <w:vertAlign w:val="superscript"/>
              </w:rPr>
              <w:t>2</w:t>
            </w:r>
          </w:p>
        </w:tc>
        <w:tc>
          <w:tcPr>
            <w:tcW w:w="519" w:type="pct"/>
            <w:vMerge w:val="restart"/>
            <w:shd w:val="clear" w:color="auto" w:fill="auto"/>
            <w:vAlign w:val="center"/>
          </w:tcPr>
          <w:p w14:paraId="7A8ABC1A">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5</w:t>
            </w:r>
            <w:r>
              <w:rPr>
                <w:rFonts w:ascii="宋体" w:hAnsi="宋体" w:cs="Arial"/>
                <w:b w:val="0"/>
                <w:bCs/>
                <w:szCs w:val="21"/>
              </w:rPr>
              <w:t>00</w:t>
            </w:r>
          </w:p>
        </w:tc>
        <w:tc>
          <w:tcPr>
            <w:tcW w:w="1075" w:type="pct"/>
            <w:shd w:val="clear" w:color="auto" w:fill="auto"/>
            <w:vAlign w:val="center"/>
          </w:tcPr>
          <w:p w14:paraId="388F7C44">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60</w:t>
            </w:r>
            <w:r>
              <w:rPr>
                <w:rFonts w:ascii="宋体" w:hAnsi="宋体"/>
                <w:b w:val="0"/>
                <w:bCs/>
                <w:spacing w:val="-4"/>
                <w:szCs w:val="21"/>
              </w:rPr>
              <w:t>#</w:t>
            </w:r>
            <w:r>
              <w:rPr>
                <w:rFonts w:hint="eastAsia" w:ascii="宋体" w:hAnsi="宋体"/>
                <w:b w:val="0"/>
                <w:bCs/>
                <w:spacing w:val="-4"/>
                <w:szCs w:val="21"/>
              </w:rPr>
              <w:t xml:space="preserve">黑火药库  </w:t>
            </w:r>
          </w:p>
          <w:p w14:paraId="5CF84F42">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 xml:space="preserve"> （1</w:t>
            </w:r>
            <w:r>
              <w:rPr>
                <w:rFonts w:ascii="宋体" w:hAnsi="宋体"/>
                <w:b w:val="0"/>
                <w:bCs/>
                <w:spacing w:val="-4"/>
                <w:szCs w:val="21"/>
              </w:rPr>
              <w:t>.1</w:t>
            </w:r>
            <w:r>
              <w:rPr>
                <w:rFonts w:ascii="宋体" w:hAnsi="宋体"/>
                <w:b w:val="0"/>
                <w:bCs/>
                <w:spacing w:val="-4"/>
                <w:szCs w:val="21"/>
                <w:vertAlign w:val="superscript"/>
              </w:rPr>
              <w:t>-</w:t>
            </w:r>
            <w:r>
              <w:rPr>
                <w:rFonts w:hint="eastAsia" w:ascii="宋体" w:hAnsi="宋体"/>
                <w:b w:val="0"/>
                <w:bCs/>
                <w:spacing w:val="-4"/>
                <w:szCs w:val="21"/>
                <w:vertAlign w:val="superscript"/>
              </w:rPr>
              <w:t>2</w:t>
            </w:r>
            <w:r>
              <w:rPr>
                <w:rFonts w:hint="eastAsia" w:ascii="宋体" w:hAnsi="宋体"/>
                <w:b w:val="0"/>
                <w:bCs/>
                <w:spacing w:val="-4"/>
                <w:szCs w:val="21"/>
              </w:rPr>
              <w:t>级、10</w:t>
            </w:r>
            <w:r>
              <w:rPr>
                <w:rFonts w:ascii="宋体" w:hAnsi="宋体"/>
                <w:b w:val="0"/>
                <w:bCs/>
                <w:spacing w:val="-4"/>
                <w:szCs w:val="21"/>
              </w:rPr>
              <w:t>00kg</w:t>
            </w:r>
            <w:r>
              <w:rPr>
                <w:rFonts w:hint="eastAsia" w:ascii="宋体" w:hAnsi="宋体"/>
                <w:b w:val="0"/>
                <w:bCs/>
                <w:spacing w:val="-4"/>
                <w:szCs w:val="21"/>
              </w:rPr>
              <w:t>）</w:t>
            </w:r>
          </w:p>
        </w:tc>
        <w:tc>
          <w:tcPr>
            <w:tcW w:w="410" w:type="pct"/>
            <w:shd w:val="clear" w:color="auto" w:fill="auto"/>
            <w:vAlign w:val="center"/>
          </w:tcPr>
          <w:p w14:paraId="1C670C56">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16</w:t>
            </w:r>
          </w:p>
        </w:tc>
        <w:tc>
          <w:tcPr>
            <w:tcW w:w="358" w:type="pct"/>
            <w:shd w:val="clear" w:color="auto" w:fill="auto"/>
            <w:vAlign w:val="center"/>
          </w:tcPr>
          <w:p w14:paraId="46CDCD3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16</w:t>
            </w:r>
          </w:p>
        </w:tc>
        <w:tc>
          <w:tcPr>
            <w:tcW w:w="388" w:type="pct"/>
            <w:vAlign w:val="center"/>
          </w:tcPr>
          <w:p w14:paraId="095F8C17">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tcPr>
          <w:p w14:paraId="0B1D6899">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3</w:t>
            </w:r>
          </w:p>
        </w:tc>
      </w:tr>
      <w:tr w14:paraId="5A7889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0" w:hRule="atLeast"/>
          <w:jc w:val="center"/>
        </w:trPr>
        <w:tc>
          <w:tcPr>
            <w:tcW w:w="1008" w:type="pct"/>
            <w:vMerge w:val="continue"/>
            <w:shd w:val="clear" w:color="auto" w:fill="auto"/>
            <w:vAlign w:val="center"/>
          </w:tcPr>
          <w:p w14:paraId="1C89D194">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64618265">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258CA63E">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16613381">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11"/>
                <w:szCs w:val="21"/>
              </w:rPr>
            </w:pPr>
            <w:r>
              <w:rPr>
                <w:rFonts w:hint="eastAsia" w:ascii="宋体" w:hAnsi="宋体"/>
                <w:b w:val="0"/>
                <w:bCs/>
                <w:spacing w:val="-11"/>
                <w:szCs w:val="21"/>
              </w:rPr>
              <w:t>62#单基火药库(湿)</w:t>
            </w:r>
          </w:p>
          <w:p w14:paraId="0D987889">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11"/>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w:t>
            </w:r>
            <w:r>
              <w:rPr>
                <w:rFonts w:hint="eastAsia" w:ascii="宋体" w:hAnsi="宋体"/>
                <w:b w:val="0"/>
                <w:bCs/>
                <w:spacing w:val="-4"/>
                <w:szCs w:val="21"/>
                <w:vertAlign w:val="superscript"/>
              </w:rPr>
              <w:t>2</w:t>
            </w:r>
            <w:r>
              <w:rPr>
                <w:rFonts w:hint="eastAsia" w:ascii="宋体" w:hAnsi="宋体"/>
                <w:b w:val="0"/>
                <w:bCs/>
                <w:spacing w:val="-4"/>
                <w:szCs w:val="21"/>
              </w:rPr>
              <w:t>级、5</w:t>
            </w:r>
            <w:r>
              <w:rPr>
                <w:rFonts w:ascii="宋体" w:hAnsi="宋体"/>
                <w:b w:val="0"/>
                <w:bCs/>
                <w:spacing w:val="-4"/>
                <w:szCs w:val="21"/>
              </w:rPr>
              <w:t>00kg</w:t>
            </w:r>
            <w:r>
              <w:rPr>
                <w:rFonts w:hint="eastAsia" w:ascii="宋体" w:hAnsi="宋体"/>
                <w:b w:val="0"/>
                <w:bCs/>
                <w:spacing w:val="-4"/>
                <w:szCs w:val="21"/>
              </w:rPr>
              <w:t>）</w:t>
            </w:r>
          </w:p>
        </w:tc>
        <w:tc>
          <w:tcPr>
            <w:tcW w:w="410" w:type="pct"/>
            <w:shd w:val="clear" w:color="auto" w:fill="auto"/>
            <w:vAlign w:val="center"/>
          </w:tcPr>
          <w:p w14:paraId="381E2914">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12</w:t>
            </w:r>
          </w:p>
        </w:tc>
        <w:tc>
          <w:tcPr>
            <w:tcW w:w="358" w:type="pct"/>
            <w:shd w:val="clear" w:color="auto" w:fill="auto"/>
            <w:vAlign w:val="center"/>
          </w:tcPr>
          <w:p w14:paraId="20010DB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16</w:t>
            </w:r>
          </w:p>
        </w:tc>
        <w:tc>
          <w:tcPr>
            <w:tcW w:w="388" w:type="pct"/>
            <w:vAlign w:val="center"/>
          </w:tcPr>
          <w:p w14:paraId="6F4D576D">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vAlign w:val="center"/>
          </w:tcPr>
          <w:p w14:paraId="2E68646F">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3</w:t>
            </w:r>
          </w:p>
        </w:tc>
      </w:tr>
      <w:tr w14:paraId="500724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restart"/>
            <w:shd w:val="clear" w:color="auto" w:fill="auto"/>
            <w:vAlign w:val="center"/>
          </w:tcPr>
          <w:p w14:paraId="0BD1AAD4">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63</w:t>
            </w:r>
            <w:r>
              <w:rPr>
                <w:rFonts w:ascii="宋体" w:hAnsi="宋体" w:cs="Arial"/>
                <w:b w:val="0"/>
                <w:bCs/>
                <w:szCs w:val="21"/>
              </w:rPr>
              <w:t>#</w:t>
            </w:r>
            <w:r>
              <w:rPr>
                <w:rFonts w:hint="eastAsia" w:ascii="宋体" w:hAnsi="宋体" w:cs="Arial"/>
                <w:b w:val="0"/>
                <w:bCs/>
                <w:szCs w:val="21"/>
              </w:rPr>
              <w:t>引线库</w:t>
            </w:r>
          </w:p>
        </w:tc>
        <w:tc>
          <w:tcPr>
            <w:tcW w:w="353" w:type="pct"/>
            <w:vMerge w:val="restart"/>
            <w:shd w:val="clear" w:color="auto" w:fill="auto"/>
            <w:vAlign w:val="center"/>
          </w:tcPr>
          <w:p w14:paraId="6018B6EF">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w:t>
            </w:r>
            <w:r>
              <w:rPr>
                <w:rFonts w:hint="eastAsia" w:ascii="宋体" w:hAnsi="宋体" w:cs="Arial"/>
                <w:b w:val="0"/>
                <w:bCs/>
                <w:szCs w:val="21"/>
                <w:vertAlign w:val="superscript"/>
              </w:rPr>
              <w:t>2</w:t>
            </w:r>
          </w:p>
        </w:tc>
        <w:tc>
          <w:tcPr>
            <w:tcW w:w="519" w:type="pct"/>
            <w:vMerge w:val="restart"/>
            <w:shd w:val="clear" w:color="auto" w:fill="auto"/>
            <w:vAlign w:val="center"/>
          </w:tcPr>
          <w:p w14:paraId="52EB0B00">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500</w:t>
            </w:r>
          </w:p>
        </w:tc>
        <w:tc>
          <w:tcPr>
            <w:tcW w:w="1075" w:type="pct"/>
            <w:shd w:val="clear" w:color="auto" w:fill="auto"/>
            <w:vAlign w:val="center"/>
          </w:tcPr>
          <w:p w14:paraId="1C3951DE">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60</w:t>
            </w:r>
            <w:r>
              <w:rPr>
                <w:rFonts w:ascii="宋体" w:hAnsi="宋体"/>
                <w:b w:val="0"/>
                <w:bCs/>
                <w:spacing w:val="-4"/>
                <w:szCs w:val="21"/>
              </w:rPr>
              <w:t>#</w:t>
            </w:r>
            <w:r>
              <w:rPr>
                <w:rFonts w:hint="eastAsia" w:ascii="宋体" w:hAnsi="宋体"/>
                <w:b w:val="0"/>
                <w:bCs/>
                <w:spacing w:val="-4"/>
                <w:szCs w:val="21"/>
              </w:rPr>
              <w:t>黑火药库</w:t>
            </w:r>
          </w:p>
          <w:p w14:paraId="5328565E">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w:t>
            </w:r>
            <w:r>
              <w:rPr>
                <w:rFonts w:hint="eastAsia" w:ascii="宋体" w:hAnsi="宋体"/>
                <w:b w:val="0"/>
                <w:bCs/>
                <w:spacing w:val="-4"/>
                <w:szCs w:val="21"/>
                <w:vertAlign w:val="superscript"/>
              </w:rPr>
              <w:t>2</w:t>
            </w:r>
            <w:r>
              <w:rPr>
                <w:rFonts w:hint="eastAsia" w:ascii="宋体" w:hAnsi="宋体"/>
                <w:b w:val="0"/>
                <w:bCs/>
                <w:spacing w:val="-4"/>
                <w:szCs w:val="21"/>
              </w:rPr>
              <w:t>级、10</w:t>
            </w:r>
            <w:r>
              <w:rPr>
                <w:rFonts w:ascii="宋体" w:hAnsi="宋体"/>
                <w:b w:val="0"/>
                <w:bCs/>
                <w:spacing w:val="-4"/>
                <w:szCs w:val="21"/>
              </w:rPr>
              <w:t>00kg</w:t>
            </w:r>
            <w:r>
              <w:rPr>
                <w:rFonts w:hint="eastAsia" w:ascii="宋体" w:hAnsi="宋体"/>
                <w:b w:val="0"/>
                <w:bCs/>
                <w:spacing w:val="-4"/>
                <w:szCs w:val="21"/>
              </w:rPr>
              <w:t>）</w:t>
            </w:r>
          </w:p>
        </w:tc>
        <w:tc>
          <w:tcPr>
            <w:tcW w:w="410" w:type="pct"/>
            <w:shd w:val="clear" w:color="auto" w:fill="auto"/>
            <w:vAlign w:val="center"/>
          </w:tcPr>
          <w:p w14:paraId="384D3D3A">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16</w:t>
            </w:r>
          </w:p>
        </w:tc>
        <w:tc>
          <w:tcPr>
            <w:tcW w:w="358" w:type="pct"/>
            <w:shd w:val="clear" w:color="auto" w:fill="auto"/>
            <w:vAlign w:val="center"/>
          </w:tcPr>
          <w:p w14:paraId="2D68341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33</w:t>
            </w:r>
          </w:p>
        </w:tc>
        <w:tc>
          <w:tcPr>
            <w:tcW w:w="388" w:type="pct"/>
            <w:vAlign w:val="center"/>
          </w:tcPr>
          <w:p w14:paraId="69C07D54">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vAlign w:val="center"/>
          </w:tcPr>
          <w:p w14:paraId="3B2A7DA1">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3</w:t>
            </w:r>
          </w:p>
        </w:tc>
      </w:tr>
      <w:tr w14:paraId="272687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07B9D62C">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525DBBC8">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7BD69924">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3C80C45C">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90</w:t>
            </w:r>
            <w:r>
              <w:rPr>
                <w:rFonts w:ascii="宋体" w:hAnsi="宋体"/>
                <w:b w:val="0"/>
                <w:bCs/>
                <w:spacing w:val="-4"/>
                <w:szCs w:val="21"/>
              </w:rPr>
              <w:t>#</w:t>
            </w:r>
            <w:r>
              <w:rPr>
                <w:rFonts w:hint="eastAsia" w:ascii="宋体" w:hAnsi="宋体"/>
                <w:b w:val="0"/>
                <w:bCs/>
                <w:spacing w:val="-4"/>
                <w:szCs w:val="21"/>
              </w:rPr>
              <w:t>成品库</w:t>
            </w:r>
          </w:p>
          <w:p w14:paraId="21CF3AD3">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w:t>
            </w:r>
            <w:r>
              <w:rPr>
                <w:rFonts w:hint="eastAsia" w:ascii="宋体" w:hAnsi="宋体"/>
                <w:b w:val="0"/>
                <w:bCs/>
                <w:spacing w:val="-4"/>
                <w:szCs w:val="21"/>
              </w:rPr>
              <w:t>3级、100</w:t>
            </w:r>
            <w:r>
              <w:rPr>
                <w:rFonts w:ascii="宋体" w:hAnsi="宋体"/>
                <w:b w:val="0"/>
                <w:bCs/>
                <w:spacing w:val="-4"/>
                <w:szCs w:val="21"/>
              </w:rPr>
              <w:t>00kg</w:t>
            </w:r>
            <w:r>
              <w:rPr>
                <w:rFonts w:hint="eastAsia" w:ascii="宋体" w:hAnsi="宋体"/>
                <w:b w:val="0"/>
                <w:bCs/>
                <w:spacing w:val="-4"/>
                <w:szCs w:val="21"/>
              </w:rPr>
              <w:t>）</w:t>
            </w:r>
          </w:p>
        </w:tc>
        <w:tc>
          <w:tcPr>
            <w:tcW w:w="410" w:type="pct"/>
            <w:shd w:val="clear" w:color="auto" w:fill="auto"/>
            <w:vAlign w:val="center"/>
          </w:tcPr>
          <w:p w14:paraId="6C9626B0">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30</w:t>
            </w:r>
          </w:p>
        </w:tc>
        <w:tc>
          <w:tcPr>
            <w:tcW w:w="358" w:type="pct"/>
            <w:shd w:val="clear" w:color="auto" w:fill="auto"/>
            <w:vAlign w:val="center"/>
          </w:tcPr>
          <w:p w14:paraId="21E760B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51</w:t>
            </w:r>
          </w:p>
        </w:tc>
        <w:tc>
          <w:tcPr>
            <w:tcW w:w="388" w:type="pct"/>
            <w:vAlign w:val="center"/>
          </w:tcPr>
          <w:p w14:paraId="4BF66A50">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单有</w:t>
            </w:r>
          </w:p>
        </w:tc>
        <w:tc>
          <w:tcPr>
            <w:tcW w:w="885" w:type="pct"/>
            <w:vAlign w:val="center"/>
          </w:tcPr>
          <w:p w14:paraId="13941ADF">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4</w:t>
            </w:r>
          </w:p>
        </w:tc>
      </w:tr>
      <w:tr w14:paraId="430BDA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restart"/>
            <w:shd w:val="clear" w:color="auto" w:fill="auto"/>
            <w:vAlign w:val="center"/>
          </w:tcPr>
          <w:p w14:paraId="096843A4">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66</w:t>
            </w:r>
            <w:r>
              <w:rPr>
                <w:rFonts w:ascii="宋体" w:hAnsi="宋体" w:cs="Arial"/>
                <w:b w:val="0"/>
                <w:bCs/>
                <w:szCs w:val="21"/>
              </w:rPr>
              <w:t>#</w:t>
            </w:r>
            <w:r>
              <w:rPr>
                <w:rFonts w:hint="eastAsia" w:ascii="宋体" w:hAnsi="宋体" w:cs="Arial"/>
                <w:b w:val="0"/>
                <w:bCs/>
                <w:szCs w:val="21"/>
              </w:rPr>
              <w:t>包装</w:t>
            </w:r>
          </w:p>
        </w:tc>
        <w:tc>
          <w:tcPr>
            <w:tcW w:w="353" w:type="pct"/>
            <w:vMerge w:val="restart"/>
            <w:shd w:val="clear" w:color="auto" w:fill="auto"/>
            <w:vAlign w:val="center"/>
          </w:tcPr>
          <w:p w14:paraId="4884B623">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-1</w:t>
            </w:r>
          </w:p>
        </w:tc>
        <w:tc>
          <w:tcPr>
            <w:tcW w:w="519" w:type="pct"/>
            <w:vMerge w:val="restart"/>
            <w:shd w:val="clear" w:color="auto" w:fill="auto"/>
            <w:vAlign w:val="center"/>
          </w:tcPr>
          <w:p w14:paraId="1646096B">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3</w:t>
            </w:r>
            <w:r>
              <w:rPr>
                <w:rFonts w:ascii="宋体" w:hAnsi="宋体" w:cs="Arial"/>
                <w:b w:val="0"/>
                <w:bCs/>
                <w:szCs w:val="21"/>
              </w:rPr>
              <w:t>0</w:t>
            </w:r>
          </w:p>
        </w:tc>
        <w:tc>
          <w:tcPr>
            <w:tcW w:w="1075" w:type="pct"/>
            <w:shd w:val="clear" w:color="auto" w:fill="auto"/>
            <w:vAlign w:val="center"/>
          </w:tcPr>
          <w:p w14:paraId="480218A3">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65</w:t>
            </w:r>
            <w:r>
              <w:rPr>
                <w:rFonts w:ascii="宋体" w:hAnsi="宋体"/>
                <w:b w:val="0"/>
                <w:bCs/>
                <w:spacing w:val="-4"/>
                <w:szCs w:val="21"/>
              </w:rPr>
              <w:t>#</w:t>
            </w:r>
            <w:r>
              <w:rPr>
                <w:rFonts w:hint="eastAsia" w:ascii="宋体" w:hAnsi="宋体"/>
                <w:b w:val="0"/>
                <w:bCs/>
                <w:spacing w:val="-4"/>
                <w:szCs w:val="21"/>
              </w:rPr>
              <w:t xml:space="preserve">包装中转  </w:t>
            </w:r>
          </w:p>
          <w:p w14:paraId="38C33F42">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-1</w:t>
            </w:r>
            <w:r>
              <w:rPr>
                <w:rFonts w:hint="eastAsia" w:ascii="宋体" w:hAnsi="宋体"/>
                <w:b w:val="0"/>
                <w:bCs/>
                <w:spacing w:val="-4"/>
                <w:szCs w:val="21"/>
              </w:rPr>
              <w:t>级、200</w:t>
            </w:r>
            <w:r>
              <w:rPr>
                <w:rFonts w:ascii="宋体" w:hAnsi="宋体"/>
                <w:b w:val="0"/>
                <w:bCs/>
                <w:spacing w:val="-4"/>
                <w:szCs w:val="21"/>
              </w:rPr>
              <w:t>kg</w:t>
            </w:r>
            <w:r>
              <w:rPr>
                <w:rFonts w:hint="eastAsia" w:ascii="宋体" w:hAnsi="宋体"/>
                <w:b w:val="0"/>
                <w:bCs/>
                <w:spacing w:val="-4"/>
                <w:szCs w:val="21"/>
              </w:rPr>
              <w:t>）</w:t>
            </w:r>
          </w:p>
        </w:tc>
        <w:tc>
          <w:tcPr>
            <w:tcW w:w="410" w:type="pct"/>
            <w:shd w:val="clear" w:color="auto" w:fill="auto"/>
            <w:vAlign w:val="center"/>
          </w:tcPr>
          <w:p w14:paraId="5C2C1EAE">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14</w:t>
            </w:r>
          </w:p>
        </w:tc>
        <w:tc>
          <w:tcPr>
            <w:tcW w:w="358" w:type="pct"/>
            <w:shd w:val="clear" w:color="auto" w:fill="auto"/>
            <w:vAlign w:val="center"/>
          </w:tcPr>
          <w:p w14:paraId="7FCE324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15</w:t>
            </w:r>
          </w:p>
        </w:tc>
        <w:tc>
          <w:tcPr>
            <w:tcW w:w="388" w:type="pct"/>
            <w:vAlign w:val="center"/>
          </w:tcPr>
          <w:p w14:paraId="1195C0E0">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vAlign w:val="center"/>
          </w:tcPr>
          <w:p w14:paraId="18897D77">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GB50161-2022中第5</w:t>
            </w:r>
            <w:r>
              <w:rPr>
                <w:rFonts w:ascii="宋体" w:hAnsi="宋体" w:cs="宋体"/>
                <w:b w:val="0"/>
                <w:bCs/>
                <w:szCs w:val="21"/>
              </w:rPr>
              <w:t>.2.2</w:t>
            </w:r>
          </w:p>
        </w:tc>
      </w:tr>
      <w:tr w14:paraId="5ABFC8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2ACCCF41">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1DB3F670">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66BF7A7E">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3FA93C63">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67</w:t>
            </w:r>
            <w:r>
              <w:rPr>
                <w:rFonts w:ascii="宋体" w:hAnsi="宋体"/>
                <w:b w:val="0"/>
                <w:bCs/>
                <w:spacing w:val="-4"/>
                <w:szCs w:val="21"/>
              </w:rPr>
              <w:t>#</w:t>
            </w:r>
            <w:r>
              <w:rPr>
                <w:rFonts w:hint="eastAsia" w:ascii="宋体" w:hAnsi="宋体"/>
                <w:b w:val="0"/>
                <w:bCs/>
                <w:spacing w:val="-4"/>
                <w:szCs w:val="21"/>
              </w:rPr>
              <w:t>电烘房/散热</w:t>
            </w:r>
          </w:p>
          <w:p w14:paraId="2C2C1CF7">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-1</w:t>
            </w:r>
            <w:r>
              <w:rPr>
                <w:rFonts w:hint="eastAsia" w:ascii="宋体" w:hAnsi="宋体"/>
                <w:b w:val="0"/>
                <w:bCs/>
                <w:spacing w:val="-4"/>
                <w:szCs w:val="21"/>
              </w:rPr>
              <w:t>级、500</w:t>
            </w:r>
            <w:r>
              <w:rPr>
                <w:rFonts w:ascii="宋体" w:hAnsi="宋体"/>
                <w:b w:val="0"/>
                <w:bCs/>
                <w:spacing w:val="-4"/>
                <w:szCs w:val="21"/>
              </w:rPr>
              <w:t>kg</w:t>
            </w:r>
            <w:r>
              <w:rPr>
                <w:rFonts w:hint="eastAsia" w:ascii="宋体" w:hAnsi="宋体"/>
                <w:b w:val="0"/>
                <w:bCs/>
                <w:spacing w:val="-4"/>
                <w:szCs w:val="21"/>
              </w:rPr>
              <w:t>）</w:t>
            </w:r>
          </w:p>
        </w:tc>
        <w:tc>
          <w:tcPr>
            <w:tcW w:w="410" w:type="pct"/>
            <w:shd w:val="clear" w:color="auto" w:fill="auto"/>
            <w:vAlign w:val="center"/>
          </w:tcPr>
          <w:p w14:paraId="524B4D32">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20</w:t>
            </w:r>
          </w:p>
        </w:tc>
        <w:tc>
          <w:tcPr>
            <w:tcW w:w="358" w:type="pct"/>
            <w:shd w:val="clear" w:color="auto" w:fill="auto"/>
            <w:vAlign w:val="center"/>
          </w:tcPr>
          <w:p w14:paraId="10E5792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20</w:t>
            </w:r>
          </w:p>
        </w:tc>
        <w:tc>
          <w:tcPr>
            <w:tcW w:w="388" w:type="pct"/>
            <w:vAlign w:val="center"/>
          </w:tcPr>
          <w:p w14:paraId="6BBCBE59">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vAlign w:val="center"/>
          </w:tcPr>
          <w:p w14:paraId="7561ED86">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GB50161-2022中第5</w:t>
            </w:r>
            <w:r>
              <w:rPr>
                <w:rFonts w:ascii="宋体" w:hAnsi="宋体" w:cs="宋体"/>
                <w:b w:val="0"/>
                <w:bCs/>
                <w:szCs w:val="21"/>
              </w:rPr>
              <w:t>.2.2</w:t>
            </w:r>
          </w:p>
        </w:tc>
      </w:tr>
      <w:tr w14:paraId="73C78C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restart"/>
            <w:shd w:val="clear" w:color="auto" w:fill="auto"/>
            <w:vAlign w:val="center"/>
          </w:tcPr>
          <w:p w14:paraId="35FBE008">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6</w:t>
            </w:r>
            <w:r>
              <w:rPr>
                <w:rFonts w:ascii="宋体" w:hAnsi="宋体" w:cs="Arial"/>
                <w:b w:val="0"/>
                <w:bCs/>
                <w:szCs w:val="21"/>
              </w:rPr>
              <w:t>9#</w:t>
            </w:r>
            <w:r>
              <w:rPr>
                <w:rFonts w:hint="eastAsia" w:ascii="宋体" w:hAnsi="宋体" w:cs="Arial"/>
                <w:b w:val="0"/>
                <w:bCs/>
                <w:szCs w:val="21"/>
              </w:rPr>
              <w:t>摊晾</w:t>
            </w:r>
          </w:p>
        </w:tc>
        <w:tc>
          <w:tcPr>
            <w:tcW w:w="353" w:type="pct"/>
            <w:vMerge w:val="restart"/>
            <w:shd w:val="clear" w:color="auto" w:fill="auto"/>
            <w:vAlign w:val="center"/>
          </w:tcPr>
          <w:p w14:paraId="5B9D51E9">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-1</w:t>
            </w:r>
          </w:p>
        </w:tc>
        <w:tc>
          <w:tcPr>
            <w:tcW w:w="519" w:type="pct"/>
            <w:vMerge w:val="restart"/>
            <w:shd w:val="clear" w:color="auto" w:fill="auto"/>
            <w:vAlign w:val="center"/>
          </w:tcPr>
          <w:p w14:paraId="4CE09FB5">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30</w:t>
            </w:r>
          </w:p>
        </w:tc>
        <w:tc>
          <w:tcPr>
            <w:tcW w:w="1075" w:type="pct"/>
            <w:shd w:val="clear" w:color="auto" w:fill="auto"/>
            <w:vAlign w:val="center"/>
          </w:tcPr>
          <w:p w14:paraId="38547B4E">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67</w:t>
            </w:r>
            <w:r>
              <w:rPr>
                <w:rFonts w:ascii="宋体" w:hAnsi="宋体"/>
                <w:b w:val="0"/>
                <w:bCs/>
                <w:spacing w:val="-4"/>
                <w:szCs w:val="21"/>
              </w:rPr>
              <w:t>#</w:t>
            </w:r>
            <w:r>
              <w:rPr>
                <w:rFonts w:hint="eastAsia" w:ascii="宋体" w:hAnsi="宋体"/>
                <w:b w:val="0"/>
                <w:bCs/>
                <w:spacing w:val="-4"/>
                <w:szCs w:val="21"/>
              </w:rPr>
              <w:t>电烘房/散热</w:t>
            </w:r>
          </w:p>
          <w:p w14:paraId="497BD833">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-1</w:t>
            </w:r>
            <w:r>
              <w:rPr>
                <w:rFonts w:hint="eastAsia" w:ascii="宋体" w:hAnsi="宋体"/>
                <w:b w:val="0"/>
                <w:bCs/>
                <w:spacing w:val="-4"/>
                <w:szCs w:val="21"/>
              </w:rPr>
              <w:t>级、500</w:t>
            </w:r>
            <w:r>
              <w:rPr>
                <w:rFonts w:ascii="宋体" w:hAnsi="宋体"/>
                <w:b w:val="0"/>
                <w:bCs/>
                <w:spacing w:val="-4"/>
                <w:szCs w:val="21"/>
              </w:rPr>
              <w:t>kg</w:t>
            </w:r>
            <w:r>
              <w:rPr>
                <w:rFonts w:hint="eastAsia" w:ascii="宋体" w:hAnsi="宋体"/>
                <w:b w:val="0"/>
                <w:bCs/>
                <w:spacing w:val="-4"/>
                <w:szCs w:val="21"/>
              </w:rPr>
              <w:t>）</w:t>
            </w:r>
          </w:p>
        </w:tc>
        <w:tc>
          <w:tcPr>
            <w:tcW w:w="410" w:type="pct"/>
            <w:shd w:val="clear" w:color="auto" w:fill="auto"/>
            <w:vAlign w:val="center"/>
          </w:tcPr>
          <w:p w14:paraId="51C4BE23">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21</w:t>
            </w:r>
          </w:p>
        </w:tc>
        <w:tc>
          <w:tcPr>
            <w:tcW w:w="358" w:type="pct"/>
            <w:shd w:val="clear" w:color="auto" w:fill="auto"/>
            <w:vAlign w:val="center"/>
          </w:tcPr>
          <w:p w14:paraId="45E3886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20</w:t>
            </w:r>
          </w:p>
        </w:tc>
        <w:tc>
          <w:tcPr>
            <w:tcW w:w="388" w:type="pct"/>
            <w:vAlign w:val="center"/>
          </w:tcPr>
          <w:p w14:paraId="16C994E4">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vAlign w:val="center"/>
          </w:tcPr>
          <w:p w14:paraId="3419EB6F">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GB50161-2022中第5</w:t>
            </w:r>
            <w:r>
              <w:rPr>
                <w:rFonts w:ascii="宋体" w:hAnsi="宋体" w:cs="宋体"/>
                <w:b w:val="0"/>
                <w:bCs/>
                <w:szCs w:val="21"/>
              </w:rPr>
              <w:t>.2.2</w:t>
            </w:r>
          </w:p>
        </w:tc>
      </w:tr>
      <w:tr w14:paraId="0C666B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00D74EBF">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6100C764">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451CADD1">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0A3BDD81">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70</w:t>
            </w:r>
            <w:r>
              <w:rPr>
                <w:rFonts w:ascii="宋体" w:hAnsi="宋体"/>
                <w:b w:val="0"/>
                <w:bCs/>
                <w:spacing w:val="-4"/>
                <w:szCs w:val="21"/>
              </w:rPr>
              <w:t>#</w:t>
            </w:r>
            <w:r>
              <w:rPr>
                <w:rFonts w:hint="eastAsia" w:ascii="宋体" w:hAnsi="宋体"/>
                <w:b w:val="0"/>
                <w:bCs/>
                <w:spacing w:val="-4"/>
                <w:szCs w:val="21"/>
              </w:rPr>
              <w:t xml:space="preserve">筛选中转  </w:t>
            </w:r>
          </w:p>
          <w:p w14:paraId="38254051">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-1</w:t>
            </w:r>
            <w:r>
              <w:rPr>
                <w:rFonts w:hint="eastAsia" w:ascii="宋体" w:hAnsi="宋体"/>
                <w:b w:val="0"/>
                <w:bCs/>
                <w:spacing w:val="-4"/>
                <w:szCs w:val="21"/>
              </w:rPr>
              <w:t>级、100</w:t>
            </w:r>
            <w:r>
              <w:rPr>
                <w:rFonts w:ascii="宋体" w:hAnsi="宋体"/>
                <w:b w:val="0"/>
                <w:bCs/>
                <w:spacing w:val="-4"/>
                <w:szCs w:val="21"/>
              </w:rPr>
              <w:t>kg</w:t>
            </w:r>
            <w:r>
              <w:rPr>
                <w:rFonts w:hint="eastAsia" w:ascii="宋体" w:hAnsi="宋体"/>
                <w:b w:val="0"/>
                <w:bCs/>
                <w:spacing w:val="-4"/>
                <w:szCs w:val="21"/>
              </w:rPr>
              <w:t>）</w:t>
            </w:r>
          </w:p>
        </w:tc>
        <w:tc>
          <w:tcPr>
            <w:tcW w:w="410" w:type="pct"/>
            <w:shd w:val="clear" w:color="auto" w:fill="auto"/>
            <w:vAlign w:val="center"/>
          </w:tcPr>
          <w:p w14:paraId="01B962E4">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12</w:t>
            </w:r>
          </w:p>
        </w:tc>
        <w:tc>
          <w:tcPr>
            <w:tcW w:w="358" w:type="pct"/>
            <w:shd w:val="clear" w:color="auto" w:fill="auto"/>
            <w:vAlign w:val="center"/>
          </w:tcPr>
          <w:p w14:paraId="46CD3FC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12</w:t>
            </w:r>
          </w:p>
        </w:tc>
        <w:tc>
          <w:tcPr>
            <w:tcW w:w="388" w:type="pct"/>
            <w:vAlign w:val="center"/>
          </w:tcPr>
          <w:p w14:paraId="3431C450">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vAlign w:val="center"/>
          </w:tcPr>
          <w:p w14:paraId="171CE882">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GB50161-2022中第5</w:t>
            </w:r>
            <w:r>
              <w:rPr>
                <w:rFonts w:ascii="宋体" w:hAnsi="宋体" w:cs="宋体"/>
                <w:b w:val="0"/>
                <w:bCs/>
                <w:szCs w:val="21"/>
              </w:rPr>
              <w:t>.2.2</w:t>
            </w:r>
          </w:p>
        </w:tc>
      </w:tr>
      <w:tr w14:paraId="53F717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restart"/>
            <w:shd w:val="clear" w:color="auto" w:fill="auto"/>
            <w:vAlign w:val="center"/>
          </w:tcPr>
          <w:p w14:paraId="136A6F32">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71</w:t>
            </w:r>
            <w:r>
              <w:rPr>
                <w:rFonts w:ascii="宋体" w:hAnsi="宋体" w:cs="Arial"/>
                <w:b w:val="0"/>
                <w:bCs/>
                <w:szCs w:val="21"/>
              </w:rPr>
              <w:t>#</w:t>
            </w:r>
            <w:r>
              <w:rPr>
                <w:rFonts w:hint="eastAsia" w:ascii="宋体" w:hAnsi="宋体" w:cs="Arial"/>
                <w:b w:val="0"/>
                <w:bCs/>
                <w:szCs w:val="21"/>
              </w:rPr>
              <w:t>机械筛选</w:t>
            </w:r>
          </w:p>
        </w:tc>
        <w:tc>
          <w:tcPr>
            <w:tcW w:w="353" w:type="pct"/>
            <w:vMerge w:val="restart"/>
            <w:shd w:val="clear" w:color="auto" w:fill="auto"/>
            <w:vAlign w:val="center"/>
          </w:tcPr>
          <w:p w14:paraId="53C85537">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-1</w:t>
            </w:r>
          </w:p>
        </w:tc>
        <w:tc>
          <w:tcPr>
            <w:tcW w:w="519" w:type="pct"/>
            <w:vMerge w:val="restart"/>
            <w:shd w:val="clear" w:color="auto" w:fill="auto"/>
            <w:vAlign w:val="center"/>
          </w:tcPr>
          <w:p w14:paraId="50AE644F">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2</w:t>
            </w:r>
            <w:r>
              <w:rPr>
                <w:rFonts w:ascii="宋体" w:hAnsi="宋体" w:cs="Arial"/>
                <w:b w:val="0"/>
                <w:bCs/>
                <w:szCs w:val="21"/>
              </w:rPr>
              <w:t>0</w:t>
            </w:r>
          </w:p>
        </w:tc>
        <w:tc>
          <w:tcPr>
            <w:tcW w:w="1075" w:type="pct"/>
            <w:shd w:val="clear" w:color="auto" w:fill="auto"/>
            <w:vAlign w:val="center"/>
          </w:tcPr>
          <w:p w14:paraId="2DAD9651">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70</w:t>
            </w:r>
            <w:r>
              <w:rPr>
                <w:rFonts w:ascii="宋体" w:hAnsi="宋体"/>
                <w:b w:val="0"/>
                <w:bCs/>
                <w:spacing w:val="-4"/>
                <w:szCs w:val="21"/>
              </w:rPr>
              <w:t>#</w:t>
            </w:r>
            <w:r>
              <w:rPr>
                <w:rFonts w:hint="eastAsia" w:ascii="宋体" w:hAnsi="宋体"/>
                <w:b w:val="0"/>
                <w:bCs/>
                <w:spacing w:val="-4"/>
                <w:szCs w:val="21"/>
              </w:rPr>
              <w:t xml:space="preserve">筛选中转  </w:t>
            </w:r>
          </w:p>
          <w:p w14:paraId="61B353CB">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-1</w:t>
            </w:r>
            <w:r>
              <w:rPr>
                <w:rFonts w:hint="eastAsia" w:ascii="宋体" w:hAnsi="宋体"/>
                <w:b w:val="0"/>
                <w:bCs/>
                <w:spacing w:val="-4"/>
                <w:szCs w:val="21"/>
              </w:rPr>
              <w:t>级、100</w:t>
            </w:r>
            <w:r>
              <w:rPr>
                <w:rFonts w:ascii="宋体" w:hAnsi="宋体"/>
                <w:b w:val="0"/>
                <w:bCs/>
                <w:spacing w:val="-4"/>
                <w:szCs w:val="21"/>
              </w:rPr>
              <w:t>kg</w:t>
            </w:r>
            <w:r>
              <w:rPr>
                <w:rFonts w:hint="eastAsia" w:ascii="宋体" w:hAnsi="宋体"/>
                <w:b w:val="0"/>
                <w:bCs/>
                <w:spacing w:val="-4"/>
                <w:szCs w:val="21"/>
              </w:rPr>
              <w:t>）</w:t>
            </w:r>
          </w:p>
        </w:tc>
        <w:tc>
          <w:tcPr>
            <w:tcW w:w="410" w:type="pct"/>
            <w:shd w:val="clear" w:color="auto" w:fill="auto"/>
            <w:vAlign w:val="center"/>
          </w:tcPr>
          <w:p w14:paraId="154E700E">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12</w:t>
            </w:r>
          </w:p>
        </w:tc>
        <w:tc>
          <w:tcPr>
            <w:tcW w:w="358" w:type="pct"/>
            <w:shd w:val="clear" w:color="auto" w:fill="auto"/>
            <w:vAlign w:val="center"/>
          </w:tcPr>
          <w:p w14:paraId="1AA4BBA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12</w:t>
            </w:r>
          </w:p>
        </w:tc>
        <w:tc>
          <w:tcPr>
            <w:tcW w:w="388" w:type="pct"/>
            <w:vAlign w:val="center"/>
          </w:tcPr>
          <w:p w14:paraId="7D65DC03">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vAlign w:val="center"/>
          </w:tcPr>
          <w:p w14:paraId="4845DBCE">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GB50161-2022中第5</w:t>
            </w:r>
            <w:r>
              <w:rPr>
                <w:rFonts w:ascii="宋体" w:hAnsi="宋体" w:cs="宋体"/>
                <w:b w:val="0"/>
                <w:bCs/>
                <w:szCs w:val="21"/>
              </w:rPr>
              <w:t>.2.2</w:t>
            </w:r>
          </w:p>
        </w:tc>
      </w:tr>
      <w:tr w14:paraId="3F2499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33A25BF0">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6493D62E">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0E80BBBC">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4CB0776B">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72</w:t>
            </w:r>
            <w:r>
              <w:rPr>
                <w:rFonts w:ascii="宋体" w:hAnsi="宋体"/>
                <w:b w:val="0"/>
                <w:bCs/>
                <w:spacing w:val="-4"/>
                <w:szCs w:val="21"/>
              </w:rPr>
              <w:t>#</w:t>
            </w:r>
            <w:r>
              <w:rPr>
                <w:rFonts w:hint="eastAsia" w:ascii="宋体" w:hAnsi="宋体"/>
                <w:b w:val="0"/>
                <w:bCs/>
                <w:spacing w:val="-4"/>
                <w:szCs w:val="21"/>
              </w:rPr>
              <w:t xml:space="preserve">亮珠中转  </w:t>
            </w:r>
          </w:p>
          <w:p w14:paraId="71E979ED">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-1</w:t>
            </w:r>
            <w:r>
              <w:rPr>
                <w:rFonts w:hint="eastAsia" w:ascii="宋体" w:hAnsi="宋体"/>
                <w:b w:val="0"/>
                <w:bCs/>
                <w:spacing w:val="-4"/>
                <w:szCs w:val="21"/>
              </w:rPr>
              <w:t>级、100</w:t>
            </w:r>
            <w:r>
              <w:rPr>
                <w:rFonts w:ascii="宋体" w:hAnsi="宋体"/>
                <w:b w:val="0"/>
                <w:bCs/>
                <w:spacing w:val="-4"/>
                <w:szCs w:val="21"/>
              </w:rPr>
              <w:t>kg</w:t>
            </w:r>
            <w:r>
              <w:rPr>
                <w:rFonts w:hint="eastAsia" w:ascii="宋体" w:hAnsi="宋体"/>
                <w:b w:val="0"/>
                <w:bCs/>
                <w:spacing w:val="-4"/>
                <w:szCs w:val="21"/>
              </w:rPr>
              <w:t>）</w:t>
            </w:r>
          </w:p>
        </w:tc>
        <w:tc>
          <w:tcPr>
            <w:tcW w:w="410" w:type="pct"/>
            <w:shd w:val="clear" w:color="auto" w:fill="auto"/>
            <w:vAlign w:val="center"/>
          </w:tcPr>
          <w:p w14:paraId="05085E65">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12</w:t>
            </w:r>
          </w:p>
        </w:tc>
        <w:tc>
          <w:tcPr>
            <w:tcW w:w="358" w:type="pct"/>
            <w:shd w:val="clear" w:color="auto" w:fill="auto"/>
            <w:vAlign w:val="center"/>
          </w:tcPr>
          <w:p w14:paraId="03145A8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12</w:t>
            </w:r>
          </w:p>
        </w:tc>
        <w:tc>
          <w:tcPr>
            <w:tcW w:w="388" w:type="pct"/>
            <w:vAlign w:val="center"/>
          </w:tcPr>
          <w:p w14:paraId="0D1D70B2">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vAlign w:val="center"/>
          </w:tcPr>
          <w:p w14:paraId="7FCF620A">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GB50161-2022中第5</w:t>
            </w:r>
            <w:r>
              <w:rPr>
                <w:rFonts w:ascii="宋体" w:hAnsi="宋体" w:cs="宋体"/>
                <w:b w:val="0"/>
                <w:bCs/>
                <w:szCs w:val="21"/>
              </w:rPr>
              <w:t>.2.2</w:t>
            </w:r>
          </w:p>
        </w:tc>
      </w:tr>
      <w:tr w14:paraId="25F53A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restart"/>
            <w:shd w:val="clear" w:color="auto" w:fill="auto"/>
            <w:vAlign w:val="center"/>
          </w:tcPr>
          <w:p w14:paraId="6AEE6E9B">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73</w:t>
            </w:r>
            <w:r>
              <w:rPr>
                <w:rFonts w:ascii="宋体" w:hAnsi="宋体" w:cs="Arial"/>
                <w:b w:val="0"/>
                <w:bCs/>
                <w:szCs w:val="21"/>
              </w:rPr>
              <w:t>#</w:t>
            </w:r>
            <w:r>
              <w:rPr>
                <w:rFonts w:hint="eastAsia" w:ascii="宋体" w:hAnsi="宋体" w:cs="Arial"/>
                <w:b w:val="0"/>
                <w:bCs/>
                <w:szCs w:val="21"/>
              </w:rPr>
              <w:t>造粒</w:t>
            </w:r>
          </w:p>
        </w:tc>
        <w:tc>
          <w:tcPr>
            <w:tcW w:w="353" w:type="pct"/>
            <w:vMerge w:val="restart"/>
            <w:shd w:val="clear" w:color="auto" w:fill="auto"/>
            <w:vAlign w:val="center"/>
          </w:tcPr>
          <w:p w14:paraId="7F0992CD">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-1</w:t>
            </w:r>
          </w:p>
        </w:tc>
        <w:tc>
          <w:tcPr>
            <w:tcW w:w="519" w:type="pct"/>
            <w:vMerge w:val="restart"/>
            <w:shd w:val="clear" w:color="auto" w:fill="auto"/>
            <w:vAlign w:val="center"/>
          </w:tcPr>
          <w:p w14:paraId="6AF3FC5E">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2</w:t>
            </w:r>
            <w:r>
              <w:rPr>
                <w:rFonts w:ascii="宋体" w:hAnsi="宋体" w:cs="Arial"/>
                <w:b w:val="0"/>
                <w:bCs/>
                <w:szCs w:val="21"/>
              </w:rPr>
              <w:t>0</w:t>
            </w:r>
          </w:p>
        </w:tc>
        <w:tc>
          <w:tcPr>
            <w:tcW w:w="1075" w:type="pct"/>
            <w:shd w:val="clear" w:color="auto" w:fill="auto"/>
            <w:vAlign w:val="center"/>
          </w:tcPr>
          <w:p w14:paraId="2D015B4B">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72</w:t>
            </w:r>
            <w:r>
              <w:rPr>
                <w:rFonts w:ascii="宋体" w:hAnsi="宋体"/>
                <w:b w:val="0"/>
                <w:bCs/>
                <w:spacing w:val="-4"/>
                <w:szCs w:val="21"/>
              </w:rPr>
              <w:t>#</w:t>
            </w:r>
            <w:r>
              <w:rPr>
                <w:rFonts w:hint="eastAsia" w:ascii="宋体" w:hAnsi="宋体"/>
                <w:b w:val="0"/>
                <w:bCs/>
                <w:spacing w:val="-4"/>
                <w:szCs w:val="21"/>
              </w:rPr>
              <w:t xml:space="preserve">亮珠中转  </w:t>
            </w:r>
          </w:p>
          <w:p w14:paraId="0D5EC34A">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-1</w:t>
            </w:r>
            <w:r>
              <w:rPr>
                <w:rFonts w:hint="eastAsia" w:ascii="宋体" w:hAnsi="宋体"/>
                <w:b w:val="0"/>
                <w:bCs/>
                <w:spacing w:val="-4"/>
                <w:szCs w:val="21"/>
              </w:rPr>
              <w:t>级、100</w:t>
            </w:r>
            <w:r>
              <w:rPr>
                <w:rFonts w:ascii="宋体" w:hAnsi="宋体"/>
                <w:b w:val="0"/>
                <w:bCs/>
                <w:spacing w:val="-4"/>
                <w:szCs w:val="21"/>
              </w:rPr>
              <w:t>kg</w:t>
            </w:r>
            <w:r>
              <w:rPr>
                <w:rFonts w:hint="eastAsia" w:ascii="宋体" w:hAnsi="宋体"/>
                <w:b w:val="0"/>
                <w:bCs/>
                <w:spacing w:val="-4"/>
                <w:szCs w:val="21"/>
              </w:rPr>
              <w:t>）</w:t>
            </w:r>
          </w:p>
        </w:tc>
        <w:tc>
          <w:tcPr>
            <w:tcW w:w="410" w:type="pct"/>
            <w:shd w:val="clear" w:color="auto" w:fill="auto"/>
            <w:vAlign w:val="center"/>
          </w:tcPr>
          <w:p w14:paraId="3FA9AEEC">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12</w:t>
            </w:r>
          </w:p>
        </w:tc>
        <w:tc>
          <w:tcPr>
            <w:tcW w:w="358" w:type="pct"/>
            <w:shd w:val="clear" w:color="auto" w:fill="auto"/>
            <w:vAlign w:val="center"/>
          </w:tcPr>
          <w:p w14:paraId="6E8AE0B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12</w:t>
            </w:r>
          </w:p>
        </w:tc>
        <w:tc>
          <w:tcPr>
            <w:tcW w:w="388" w:type="pct"/>
            <w:vAlign w:val="center"/>
          </w:tcPr>
          <w:p w14:paraId="2662F68B">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vAlign w:val="center"/>
          </w:tcPr>
          <w:p w14:paraId="4458EBA8">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GB50161-2022中第5</w:t>
            </w:r>
            <w:r>
              <w:rPr>
                <w:rFonts w:ascii="宋体" w:hAnsi="宋体" w:cs="宋体"/>
                <w:b w:val="0"/>
                <w:bCs/>
                <w:szCs w:val="21"/>
              </w:rPr>
              <w:t>.2.2</w:t>
            </w:r>
          </w:p>
        </w:tc>
      </w:tr>
      <w:tr w14:paraId="484504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071AA3F7">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74FDE575">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05428AF1">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7A0824D8">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74</w:t>
            </w:r>
            <w:r>
              <w:rPr>
                <w:rFonts w:ascii="宋体" w:hAnsi="宋体"/>
                <w:b w:val="0"/>
                <w:bCs/>
                <w:spacing w:val="-4"/>
                <w:szCs w:val="21"/>
              </w:rPr>
              <w:t>#</w:t>
            </w:r>
            <w:r>
              <w:rPr>
                <w:rFonts w:hint="eastAsia" w:ascii="宋体" w:hAnsi="宋体"/>
                <w:b w:val="0"/>
                <w:bCs/>
                <w:spacing w:val="-4"/>
                <w:szCs w:val="21"/>
              </w:rPr>
              <w:t xml:space="preserve">药物中转  </w:t>
            </w:r>
          </w:p>
          <w:p w14:paraId="7F42AD5C">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-1</w:t>
            </w:r>
            <w:r>
              <w:rPr>
                <w:rFonts w:hint="eastAsia" w:ascii="宋体" w:hAnsi="宋体"/>
                <w:b w:val="0"/>
                <w:bCs/>
                <w:spacing w:val="-4"/>
                <w:szCs w:val="21"/>
              </w:rPr>
              <w:t>级、100</w:t>
            </w:r>
            <w:r>
              <w:rPr>
                <w:rFonts w:ascii="宋体" w:hAnsi="宋体"/>
                <w:b w:val="0"/>
                <w:bCs/>
                <w:spacing w:val="-4"/>
                <w:szCs w:val="21"/>
              </w:rPr>
              <w:t>kg</w:t>
            </w:r>
            <w:r>
              <w:rPr>
                <w:rFonts w:hint="eastAsia" w:ascii="宋体" w:hAnsi="宋体"/>
                <w:b w:val="0"/>
                <w:bCs/>
                <w:spacing w:val="-4"/>
                <w:szCs w:val="21"/>
              </w:rPr>
              <w:t>）</w:t>
            </w:r>
          </w:p>
        </w:tc>
        <w:tc>
          <w:tcPr>
            <w:tcW w:w="410" w:type="pct"/>
            <w:shd w:val="clear" w:color="auto" w:fill="auto"/>
            <w:vAlign w:val="center"/>
          </w:tcPr>
          <w:p w14:paraId="130C4563">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12</w:t>
            </w:r>
          </w:p>
        </w:tc>
        <w:tc>
          <w:tcPr>
            <w:tcW w:w="358" w:type="pct"/>
            <w:shd w:val="clear" w:color="auto" w:fill="auto"/>
            <w:vAlign w:val="center"/>
          </w:tcPr>
          <w:p w14:paraId="0ADE44E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13</w:t>
            </w:r>
          </w:p>
        </w:tc>
        <w:tc>
          <w:tcPr>
            <w:tcW w:w="388" w:type="pct"/>
            <w:vAlign w:val="center"/>
          </w:tcPr>
          <w:p w14:paraId="18F5AB14">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vAlign w:val="center"/>
          </w:tcPr>
          <w:p w14:paraId="4EE69DA5">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GB50161-2022中第5</w:t>
            </w:r>
            <w:r>
              <w:rPr>
                <w:rFonts w:ascii="宋体" w:hAnsi="宋体" w:cs="宋体"/>
                <w:b w:val="0"/>
                <w:bCs/>
                <w:szCs w:val="21"/>
              </w:rPr>
              <w:t>.2.2</w:t>
            </w:r>
          </w:p>
        </w:tc>
      </w:tr>
      <w:tr w14:paraId="597225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restart"/>
            <w:shd w:val="clear" w:color="auto" w:fill="auto"/>
            <w:vAlign w:val="center"/>
          </w:tcPr>
          <w:p w14:paraId="1DDF788C">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76</w:t>
            </w:r>
            <w:r>
              <w:rPr>
                <w:rFonts w:ascii="宋体" w:hAnsi="宋体" w:cs="Arial"/>
                <w:b w:val="0"/>
                <w:bCs/>
                <w:szCs w:val="21"/>
              </w:rPr>
              <w:t>#</w:t>
            </w:r>
            <w:r>
              <w:rPr>
                <w:rFonts w:hint="eastAsia" w:ascii="宋体" w:hAnsi="宋体" w:cs="Arial"/>
                <w:b w:val="0"/>
                <w:bCs/>
                <w:szCs w:val="21"/>
              </w:rPr>
              <w:t>机械药混合</w:t>
            </w:r>
          </w:p>
        </w:tc>
        <w:tc>
          <w:tcPr>
            <w:tcW w:w="353" w:type="pct"/>
            <w:vMerge w:val="restart"/>
            <w:shd w:val="clear" w:color="auto" w:fill="auto"/>
            <w:vAlign w:val="center"/>
          </w:tcPr>
          <w:p w14:paraId="5CA51F87">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w:t>
            </w:r>
            <w:r>
              <w:rPr>
                <w:rFonts w:hint="eastAsia" w:ascii="宋体" w:hAnsi="宋体" w:cs="Arial"/>
                <w:b w:val="0"/>
                <w:bCs/>
                <w:szCs w:val="21"/>
                <w:vertAlign w:val="superscript"/>
              </w:rPr>
              <w:t>1</w:t>
            </w:r>
          </w:p>
        </w:tc>
        <w:tc>
          <w:tcPr>
            <w:tcW w:w="519" w:type="pct"/>
            <w:vMerge w:val="restart"/>
            <w:shd w:val="clear" w:color="auto" w:fill="auto"/>
            <w:vAlign w:val="center"/>
          </w:tcPr>
          <w:p w14:paraId="304D714A">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10</w:t>
            </w:r>
          </w:p>
        </w:tc>
        <w:tc>
          <w:tcPr>
            <w:tcW w:w="1075" w:type="pct"/>
            <w:shd w:val="clear" w:color="auto" w:fill="auto"/>
            <w:vAlign w:val="center"/>
          </w:tcPr>
          <w:p w14:paraId="43B88DA6">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74</w:t>
            </w:r>
            <w:r>
              <w:rPr>
                <w:rFonts w:ascii="宋体" w:hAnsi="宋体"/>
                <w:b w:val="0"/>
                <w:bCs/>
                <w:spacing w:val="-4"/>
                <w:szCs w:val="21"/>
              </w:rPr>
              <w:t>#</w:t>
            </w:r>
            <w:r>
              <w:rPr>
                <w:rFonts w:hint="eastAsia" w:ascii="宋体" w:hAnsi="宋体"/>
                <w:b w:val="0"/>
                <w:bCs/>
                <w:spacing w:val="-4"/>
                <w:szCs w:val="21"/>
              </w:rPr>
              <w:t xml:space="preserve">药物中转  </w:t>
            </w:r>
          </w:p>
          <w:p w14:paraId="6ADB3D93">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-1</w:t>
            </w:r>
            <w:r>
              <w:rPr>
                <w:rFonts w:hint="eastAsia" w:ascii="宋体" w:hAnsi="宋体"/>
                <w:b w:val="0"/>
                <w:bCs/>
                <w:spacing w:val="-4"/>
                <w:szCs w:val="21"/>
              </w:rPr>
              <w:t>级、100</w:t>
            </w:r>
            <w:r>
              <w:rPr>
                <w:rFonts w:ascii="宋体" w:hAnsi="宋体"/>
                <w:b w:val="0"/>
                <w:bCs/>
                <w:spacing w:val="-4"/>
                <w:szCs w:val="21"/>
              </w:rPr>
              <w:t>kg</w:t>
            </w:r>
            <w:r>
              <w:rPr>
                <w:rFonts w:hint="eastAsia" w:ascii="宋体" w:hAnsi="宋体"/>
                <w:b w:val="0"/>
                <w:bCs/>
                <w:spacing w:val="-4"/>
                <w:szCs w:val="21"/>
              </w:rPr>
              <w:t>）</w:t>
            </w:r>
          </w:p>
        </w:tc>
        <w:tc>
          <w:tcPr>
            <w:tcW w:w="410" w:type="pct"/>
            <w:shd w:val="clear" w:color="auto" w:fill="auto"/>
            <w:vAlign w:val="center"/>
          </w:tcPr>
          <w:p w14:paraId="0B8B35F7">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12</w:t>
            </w:r>
          </w:p>
        </w:tc>
        <w:tc>
          <w:tcPr>
            <w:tcW w:w="358" w:type="pct"/>
            <w:shd w:val="clear" w:color="auto" w:fill="auto"/>
            <w:vAlign w:val="center"/>
          </w:tcPr>
          <w:p w14:paraId="7C8E9FF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12</w:t>
            </w:r>
          </w:p>
        </w:tc>
        <w:tc>
          <w:tcPr>
            <w:tcW w:w="388" w:type="pct"/>
            <w:vAlign w:val="center"/>
          </w:tcPr>
          <w:p w14:paraId="0DB9E9AE">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vAlign w:val="center"/>
          </w:tcPr>
          <w:p w14:paraId="3B7BDCA9">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w:t>
            </w:r>
            <w:r>
              <w:rPr>
                <w:rFonts w:hint="eastAsia" w:ascii="宋体" w:hAnsi="宋体" w:cs="宋体"/>
                <w:b w:val="0"/>
                <w:bCs/>
                <w:szCs w:val="21"/>
              </w:rPr>
              <w:t>2</w:t>
            </w:r>
          </w:p>
        </w:tc>
      </w:tr>
      <w:tr w14:paraId="35676A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5398CAA3">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51A710E5">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6F28A360">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5E6FCF42">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77</w:t>
            </w:r>
            <w:r>
              <w:rPr>
                <w:rFonts w:ascii="宋体" w:hAnsi="宋体"/>
                <w:b w:val="0"/>
                <w:bCs/>
                <w:spacing w:val="-4"/>
                <w:szCs w:val="21"/>
              </w:rPr>
              <w:t>#</w:t>
            </w:r>
            <w:r>
              <w:rPr>
                <w:rFonts w:hint="eastAsia" w:ascii="宋体" w:hAnsi="宋体"/>
                <w:b w:val="0"/>
                <w:bCs/>
                <w:spacing w:val="-4"/>
                <w:szCs w:val="21"/>
              </w:rPr>
              <w:t xml:space="preserve">称料      </w:t>
            </w:r>
          </w:p>
          <w:p w14:paraId="318A2D86">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11"/>
                <w:szCs w:val="21"/>
              </w:rPr>
              <w:t>（1</w:t>
            </w:r>
            <w:r>
              <w:rPr>
                <w:rFonts w:ascii="宋体" w:hAnsi="宋体"/>
                <w:b w:val="0"/>
                <w:bCs/>
                <w:spacing w:val="-11"/>
                <w:szCs w:val="21"/>
              </w:rPr>
              <w:t>.1</w:t>
            </w:r>
            <w:r>
              <w:rPr>
                <w:rFonts w:ascii="宋体" w:hAnsi="宋体"/>
                <w:b w:val="0"/>
                <w:bCs/>
                <w:spacing w:val="-11"/>
                <w:szCs w:val="21"/>
                <w:vertAlign w:val="superscript"/>
              </w:rPr>
              <w:t>-2</w:t>
            </w:r>
            <w:r>
              <w:rPr>
                <w:rFonts w:hint="eastAsia" w:ascii="宋体" w:hAnsi="宋体"/>
                <w:b w:val="0"/>
                <w:bCs/>
                <w:spacing w:val="-11"/>
                <w:szCs w:val="21"/>
              </w:rPr>
              <w:t>级、3</w:t>
            </w:r>
            <w:r>
              <w:rPr>
                <w:rFonts w:ascii="宋体" w:hAnsi="宋体"/>
                <w:b w:val="0"/>
                <w:bCs/>
                <w:spacing w:val="-11"/>
                <w:szCs w:val="21"/>
              </w:rPr>
              <w:t>0</w:t>
            </w:r>
            <w:r>
              <w:rPr>
                <w:rFonts w:hint="eastAsia" w:ascii="宋体" w:hAnsi="宋体"/>
                <w:b w:val="0"/>
                <w:bCs/>
                <w:spacing w:val="-11"/>
                <w:szCs w:val="21"/>
              </w:rPr>
              <w:t>/200</w:t>
            </w:r>
            <w:r>
              <w:rPr>
                <w:rFonts w:ascii="宋体" w:hAnsi="宋体"/>
                <w:b w:val="0"/>
                <w:bCs/>
                <w:spacing w:val="-11"/>
                <w:szCs w:val="21"/>
              </w:rPr>
              <w:t>kg</w:t>
            </w:r>
            <w:r>
              <w:rPr>
                <w:rFonts w:hint="eastAsia" w:ascii="宋体" w:hAnsi="宋体"/>
                <w:b w:val="0"/>
                <w:bCs/>
                <w:spacing w:val="-11"/>
                <w:szCs w:val="21"/>
              </w:rPr>
              <w:t>）</w:t>
            </w:r>
          </w:p>
        </w:tc>
        <w:tc>
          <w:tcPr>
            <w:tcW w:w="410" w:type="pct"/>
            <w:shd w:val="clear" w:color="auto" w:fill="auto"/>
            <w:vAlign w:val="center"/>
          </w:tcPr>
          <w:p w14:paraId="57C93079">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16</w:t>
            </w:r>
          </w:p>
        </w:tc>
        <w:tc>
          <w:tcPr>
            <w:tcW w:w="358" w:type="pct"/>
            <w:shd w:val="clear" w:color="auto" w:fill="auto"/>
            <w:vAlign w:val="center"/>
          </w:tcPr>
          <w:p w14:paraId="05CF4F0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1</w:t>
            </w:r>
            <w:r>
              <w:rPr>
                <w:rFonts w:ascii="宋体" w:hAnsi="宋体"/>
                <w:b w:val="0"/>
                <w:bCs/>
                <w:spacing w:val="-4"/>
                <w:kern w:val="0"/>
                <w:szCs w:val="21"/>
              </w:rPr>
              <w:t>6</w:t>
            </w:r>
          </w:p>
        </w:tc>
        <w:tc>
          <w:tcPr>
            <w:tcW w:w="388" w:type="pct"/>
            <w:vAlign w:val="center"/>
          </w:tcPr>
          <w:p w14:paraId="4E749576">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vAlign w:val="center"/>
          </w:tcPr>
          <w:p w14:paraId="587D730F">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w:t>
            </w:r>
            <w:r>
              <w:rPr>
                <w:rFonts w:hint="eastAsia" w:ascii="宋体" w:hAnsi="宋体" w:cs="宋体"/>
                <w:b w:val="0"/>
                <w:bCs/>
                <w:szCs w:val="21"/>
              </w:rPr>
              <w:t>8</w:t>
            </w:r>
          </w:p>
        </w:tc>
      </w:tr>
      <w:tr w14:paraId="632DB2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32FA1E98">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6D03A00E">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541253B9">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4475CE42">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79</w:t>
            </w:r>
            <w:r>
              <w:rPr>
                <w:rFonts w:ascii="宋体" w:hAnsi="宋体"/>
                <w:b w:val="0"/>
                <w:bCs/>
                <w:spacing w:val="-4"/>
                <w:szCs w:val="21"/>
              </w:rPr>
              <w:t>#</w:t>
            </w:r>
            <w:r>
              <w:rPr>
                <w:rFonts w:hint="eastAsia" w:ascii="宋体" w:hAnsi="宋体"/>
                <w:b w:val="0"/>
                <w:bCs/>
                <w:spacing w:val="-4"/>
                <w:szCs w:val="21"/>
              </w:rPr>
              <w:t xml:space="preserve">还原剂粉碎      </w:t>
            </w:r>
            <w:r>
              <w:rPr>
                <w:rFonts w:hint="eastAsia" w:ascii="宋体" w:hAnsi="宋体"/>
                <w:b w:val="0"/>
                <w:bCs/>
                <w:spacing w:val="-11"/>
                <w:szCs w:val="21"/>
              </w:rPr>
              <w:t>（1</w:t>
            </w:r>
            <w:r>
              <w:rPr>
                <w:rFonts w:ascii="宋体" w:hAnsi="宋体"/>
                <w:b w:val="0"/>
                <w:bCs/>
                <w:spacing w:val="-11"/>
                <w:szCs w:val="21"/>
              </w:rPr>
              <w:t>.</w:t>
            </w:r>
            <w:r>
              <w:rPr>
                <w:rFonts w:hint="eastAsia" w:ascii="宋体" w:hAnsi="宋体"/>
                <w:b w:val="0"/>
                <w:bCs/>
                <w:spacing w:val="-11"/>
                <w:szCs w:val="21"/>
              </w:rPr>
              <w:t>3级、100</w:t>
            </w:r>
            <w:r>
              <w:rPr>
                <w:rFonts w:ascii="宋体" w:hAnsi="宋体"/>
                <w:b w:val="0"/>
                <w:bCs/>
                <w:spacing w:val="-11"/>
                <w:szCs w:val="21"/>
              </w:rPr>
              <w:t>kg</w:t>
            </w:r>
            <w:r>
              <w:rPr>
                <w:rFonts w:hint="eastAsia" w:ascii="宋体" w:hAnsi="宋体"/>
                <w:b w:val="0"/>
                <w:bCs/>
                <w:spacing w:val="-11"/>
                <w:szCs w:val="21"/>
              </w:rPr>
              <w:t>）</w:t>
            </w:r>
          </w:p>
        </w:tc>
        <w:tc>
          <w:tcPr>
            <w:tcW w:w="410" w:type="pct"/>
            <w:shd w:val="clear" w:color="auto" w:fill="auto"/>
            <w:vAlign w:val="center"/>
          </w:tcPr>
          <w:p w14:paraId="2402A437">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14</w:t>
            </w:r>
          </w:p>
        </w:tc>
        <w:tc>
          <w:tcPr>
            <w:tcW w:w="358" w:type="pct"/>
            <w:shd w:val="clear" w:color="auto" w:fill="auto"/>
            <w:vAlign w:val="center"/>
          </w:tcPr>
          <w:p w14:paraId="4E516A0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22</w:t>
            </w:r>
          </w:p>
        </w:tc>
        <w:tc>
          <w:tcPr>
            <w:tcW w:w="388" w:type="pct"/>
            <w:vAlign w:val="center"/>
          </w:tcPr>
          <w:p w14:paraId="363688A0">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单有</w:t>
            </w:r>
          </w:p>
        </w:tc>
        <w:tc>
          <w:tcPr>
            <w:tcW w:w="885" w:type="pct"/>
            <w:vAlign w:val="center"/>
          </w:tcPr>
          <w:p w14:paraId="23BF513C">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w:t>
            </w:r>
            <w:r>
              <w:rPr>
                <w:rFonts w:hint="eastAsia" w:ascii="宋体" w:hAnsi="宋体" w:cs="宋体"/>
                <w:b w:val="0"/>
                <w:bCs/>
                <w:szCs w:val="21"/>
              </w:rPr>
              <w:t>8</w:t>
            </w:r>
          </w:p>
        </w:tc>
      </w:tr>
      <w:tr w14:paraId="5C0C54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restart"/>
            <w:shd w:val="clear" w:color="auto" w:fill="auto"/>
            <w:vAlign w:val="center"/>
          </w:tcPr>
          <w:p w14:paraId="6057FFEE">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78</w:t>
            </w:r>
            <w:r>
              <w:rPr>
                <w:rFonts w:ascii="宋体" w:hAnsi="宋体" w:cs="Arial"/>
                <w:b w:val="0"/>
                <w:bCs/>
                <w:szCs w:val="21"/>
              </w:rPr>
              <w:t>#</w:t>
            </w:r>
            <w:r>
              <w:rPr>
                <w:rFonts w:hint="eastAsia" w:ascii="宋体" w:hAnsi="宋体" w:cs="Arial"/>
                <w:b w:val="0"/>
                <w:bCs/>
                <w:szCs w:val="21"/>
              </w:rPr>
              <w:t>黑火药中转</w:t>
            </w:r>
          </w:p>
        </w:tc>
        <w:tc>
          <w:tcPr>
            <w:tcW w:w="353" w:type="pct"/>
            <w:vMerge w:val="restart"/>
            <w:shd w:val="clear" w:color="auto" w:fill="auto"/>
            <w:vAlign w:val="center"/>
          </w:tcPr>
          <w:p w14:paraId="7988CFBE">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-2</w:t>
            </w:r>
          </w:p>
        </w:tc>
        <w:tc>
          <w:tcPr>
            <w:tcW w:w="519" w:type="pct"/>
            <w:vMerge w:val="restart"/>
            <w:shd w:val="clear" w:color="auto" w:fill="auto"/>
            <w:vAlign w:val="center"/>
          </w:tcPr>
          <w:p w14:paraId="36749C22">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0</w:t>
            </w:r>
            <w:r>
              <w:rPr>
                <w:rFonts w:hint="eastAsia" w:ascii="宋体" w:hAnsi="宋体" w:cs="Arial"/>
                <w:b w:val="0"/>
                <w:bCs/>
                <w:szCs w:val="21"/>
              </w:rPr>
              <w:t>0</w:t>
            </w:r>
          </w:p>
        </w:tc>
        <w:tc>
          <w:tcPr>
            <w:tcW w:w="1075" w:type="pct"/>
            <w:shd w:val="clear" w:color="auto" w:fill="auto"/>
            <w:vAlign w:val="center"/>
          </w:tcPr>
          <w:p w14:paraId="2A0683EB">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77</w:t>
            </w:r>
            <w:r>
              <w:rPr>
                <w:rFonts w:ascii="宋体" w:hAnsi="宋体"/>
                <w:b w:val="0"/>
                <w:bCs/>
                <w:spacing w:val="-4"/>
                <w:szCs w:val="21"/>
              </w:rPr>
              <w:t>#</w:t>
            </w:r>
            <w:r>
              <w:rPr>
                <w:rFonts w:hint="eastAsia" w:ascii="宋体" w:hAnsi="宋体"/>
                <w:b w:val="0"/>
                <w:bCs/>
                <w:spacing w:val="-4"/>
                <w:szCs w:val="21"/>
              </w:rPr>
              <w:t xml:space="preserve">称料 </w:t>
            </w:r>
          </w:p>
          <w:p w14:paraId="42A61621">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11"/>
                <w:szCs w:val="21"/>
              </w:rPr>
              <w:t>（1</w:t>
            </w:r>
            <w:r>
              <w:rPr>
                <w:rFonts w:ascii="宋体" w:hAnsi="宋体"/>
                <w:b w:val="0"/>
                <w:bCs/>
                <w:spacing w:val="-11"/>
                <w:szCs w:val="21"/>
              </w:rPr>
              <w:t>.1</w:t>
            </w:r>
            <w:r>
              <w:rPr>
                <w:rFonts w:ascii="宋体" w:hAnsi="宋体"/>
                <w:b w:val="0"/>
                <w:bCs/>
                <w:spacing w:val="-11"/>
                <w:szCs w:val="21"/>
                <w:vertAlign w:val="superscript"/>
              </w:rPr>
              <w:t>-2</w:t>
            </w:r>
            <w:r>
              <w:rPr>
                <w:rFonts w:hint="eastAsia" w:ascii="宋体" w:hAnsi="宋体"/>
                <w:b w:val="0"/>
                <w:bCs/>
                <w:spacing w:val="-11"/>
                <w:szCs w:val="21"/>
              </w:rPr>
              <w:t>级、3</w:t>
            </w:r>
            <w:r>
              <w:rPr>
                <w:rFonts w:ascii="宋体" w:hAnsi="宋体"/>
                <w:b w:val="0"/>
                <w:bCs/>
                <w:spacing w:val="-11"/>
                <w:szCs w:val="21"/>
              </w:rPr>
              <w:t>0</w:t>
            </w:r>
            <w:r>
              <w:rPr>
                <w:rFonts w:hint="eastAsia" w:ascii="宋体" w:hAnsi="宋体"/>
                <w:b w:val="0"/>
                <w:bCs/>
                <w:spacing w:val="-11"/>
                <w:szCs w:val="21"/>
              </w:rPr>
              <w:t>/200</w:t>
            </w:r>
            <w:r>
              <w:rPr>
                <w:rFonts w:ascii="宋体" w:hAnsi="宋体"/>
                <w:b w:val="0"/>
                <w:bCs/>
                <w:spacing w:val="-11"/>
                <w:szCs w:val="21"/>
              </w:rPr>
              <w:t>kg</w:t>
            </w:r>
            <w:r>
              <w:rPr>
                <w:rFonts w:hint="eastAsia" w:ascii="宋体" w:hAnsi="宋体"/>
                <w:b w:val="0"/>
                <w:bCs/>
                <w:spacing w:val="-11"/>
                <w:szCs w:val="21"/>
              </w:rPr>
              <w:t>）</w:t>
            </w:r>
          </w:p>
        </w:tc>
        <w:tc>
          <w:tcPr>
            <w:tcW w:w="410" w:type="pct"/>
            <w:shd w:val="clear" w:color="auto" w:fill="auto"/>
            <w:vAlign w:val="center"/>
          </w:tcPr>
          <w:p w14:paraId="35A99373">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16</w:t>
            </w:r>
          </w:p>
        </w:tc>
        <w:tc>
          <w:tcPr>
            <w:tcW w:w="358" w:type="pct"/>
            <w:shd w:val="clear" w:color="auto" w:fill="auto"/>
            <w:vAlign w:val="center"/>
          </w:tcPr>
          <w:p w14:paraId="664B94B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1</w:t>
            </w:r>
            <w:r>
              <w:rPr>
                <w:rFonts w:ascii="宋体" w:hAnsi="宋体"/>
                <w:b w:val="0"/>
                <w:bCs/>
                <w:spacing w:val="-4"/>
                <w:kern w:val="0"/>
                <w:szCs w:val="21"/>
              </w:rPr>
              <w:t>6</w:t>
            </w:r>
          </w:p>
        </w:tc>
        <w:tc>
          <w:tcPr>
            <w:tcW w:w="388" w:type="pct"/>
            <w:vAlign w:val="center"/>
          </w:tcPr>
          <w:p w14:paraId="36FF0F02">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vAlign w:val="center"/>
          </w:tcPr>
          <w:p w14:paraId="1AE47569">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w:t>
            </w:r>
            <w:r>
              <w:rPr>
                <w:rFonts w:hint="eastAsia" w:ascii="宋体" w:hAnsi="宋体" w:cs="宋体"/>
                <w:b w:val="0"/>
                <w:bCs/>
                <w:szCs w:val="21"/>
              </w:rPr>
              <w:t>8</w:t>
            </w:r>
          </w:p>
        </w:tc>
      </w:tr>
      <w:tr w14:paraId="48AD8E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15DBB6BD">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439DB702">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77DF7B4F">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5C0F7717">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83</w:t>
            </w:r>
            <w:r>
              <w:rPr>
                <w:rFonts w:ascii="宋体" w:hAnsi="宋体"/>
                <w:b w:val="0"/>
                <w:bCs/>
                <w:spacing w:val="-4"/>
                <w:szCs w:val="21"/>
              </w:rPr>
              <w:t>#</w:t>
            </w:r>
            <w:r>
              <w:rPr>
                <w:rFonts w:hint="eastAsia" w:ascii="宋体" w:hAnsi="宋体"/>
                <w:b w:val="0"/>
                <w:bCs/>
                <w:spacing w:val="-4"/>
                <w:szCs w:val="21"/>
              </w:rPr>
              <w:t>危废暂存间</w:t>
            </w:r>
          </w:p>
          <w:p w14:paraId="33994064">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w:t>
            </w:r>
            <w:r>
              <w:rPr>
                <w:rFonts w:hint="eastAsia" w:ascii="宋体" w:hAnsi="宋体"/>
                <w:b w:val="0"/>
                <w:bCs/>
                <w:spacing w:val="-4"/>
                <w:szCs w:val="21"/>
                <w:vertAlign w:val="superscript"/>
              </w:rPr>
              <w:t>1</w:t>
            </w:r>
            <w:r>
              <w:rPr>
                <w:rFonts w:hint="eastAsia" w:ascii="宋体" w:hAnsi="宋体"/>
                <w:b w:val="0"/>
                <w:bCs/>
                <w:spacing w:val="-4"/>
                <w:szCs w:val="21"/>
              </w:rPr>
              <w:t>级、20</w:t>
            </w:r>
            <w:r>
              <w:rPr>
                <w:rFonts w:ascii="宋体" w:hAnsi="宋体"/>
                <w:b w:val="0"/>
                <w:bCs/>
                <w:spacing w:val="-4"/>
                <w:szCs w:val="21"/>
              </w:rPr>
              <w:t>kg</w:t>
            </w:r>
            <w:r>
              <w:rPr>
                <w:rFonts w:hint="eastAsia" w:ascii="宋体" w:hAnsi="宋体"/>
                <w:b w:val="0"/>
                <w:bCs/>
                <w:spacing w:val="-4"/>
                <w:szCs w:val="21"/>
              </w:rPr>
              <w:t>）</w:t>
            </w:r>
          </w:p>
        </w:tc>
        <w:tc>
          <w:tcPr>
            <w:tcW w:w="410" w:type="pct"/>
            <w:shd w:val="clear" w:color="auto" w:fill="auto"/>
            <w:vAlign w:val="center"/>
          </w:tcPr>
          <w:p w14:paraId="6508BD95">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12</w:t>
            </w:r>
          </w:p>
        </w:tc>
        <w:tc>
          <w:tcPr>
            <w:tcW w:w="358" w:type="pct"/>
            <w:shd w:val="clear" w:color="auto" w:fill="auto"/>
            <w:vAlign w:val="center"/>
          </w:tcPr>
          <w:p w14:paraId="2A1EC82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31</w:t>
            </w:r>
          </w:p>
        </w:tc>
        <w:tc>
          <w:tcPr>
            <w:tcW w:w="388" w:type="pct"/>
            <w:vAlign w:val="center"/>
          </w:tcPr>
          <w:p w14:paraId="2D2B134A">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vAlign w:val="center"/>
          </w:tcPr>
          <w:p w14:paraId="4926C258">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w:t>
            </w:r>
            <w:r>
              <w:rPr>
                <w:rFonts w:hint="eastAsia" w:ascii="宋体" w:hAnsi="宋体" w:cs="宋体"/>
                <w:b w:val="0"/>
                <w:bCs/>
                <w:szCs w:val="21"/>
              </w:rPr>
              <w:t>3</w:t>
            </w:r>
          </w:p>
        </w:tc>
      </w:tr>
      <w:tr w14:paraId="0722CA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shd w:val="clear" w:color="auto" w:fill="auto"/>
            <w:vAlign w:val="center"/>
          </w:tcPr>
          <w:p w14:paraId="4A18568F">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79</w:t>
            </w:r>
            <w:r>
              <w:rPr>
                <w:rFonts w:ascii="宋体" w:hAnsi="宋体" w:cs="Arial"/>
                <w:b w:val="0"/>
                <w:bCs/>
                <w:szCs w:val="21"/>
              </w:rPr>
              <w:t>#</w:t>
            </w:r>
            <w:r>
              <w:rPr>
                <w:rFonts w:hint="eastAsia" w:ascii="宋体" w:hAnsi="宋体" w:cs="Arial"/>
                <w:b w:val="0"/>
                <w:bCs/>
                <w:szCs w:val="21"/>
              </w:rPr>
              <w:t>还原剂粉碎</w:t>
            </w:r>
          </w:p>
        </w:tc>
        <w:tc>
          <w:tcPr>
            <w:tcW w:w="353" w:type="pct"/>
            <w:shd w:val="clear" w:color="auto" w:fill="auto"/>
            <w:vAlign w:val="center"/>
          </w:tcPr>
          <w:p w14:paraId="2628DD83">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w:t>
            </w:r>
            <w:r>
              <w:rPr>
                <w:rFonts w:hint="eastAsia" w:ascii="宋体" w:hAnsi="宋体" w:cs="Arial"/>
                <w:b w:val="0"/>
                <w:bCs/>
                <w:szCs w:val="21"/>
              </w:rPr>
              <w:t>3</w:t>
            </w:r>
          </w:p>
        </w:tc>
        <w:tc>
          <w:tcPr>
            <w:tcW w:w="519" w:type="pct"/>
            <w:shd w:val="clear" w:color="auto" w:fill="auto"/>
            <w:vAlign w:val="center"/>
          </w:tcPr>
          <w:p w14:paraId="69D9BE49">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100</w:t>
            </w:r>
          </w:p>
        </w:tc>
        <w:tc>
          <w:tcPr>
            <w:tcW w:w="1075" w:type="pct"/>
            <w:shd w:val="clear" w:color="auto" w:fill="auto"/>
            <w:vAlign w:val="center"/>
          </w:tcPr>
          <w:p w14:paraId="7AF4F8EB">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80</w:t>
            </w:r>
            <w:r>
              <w:rPr>
                <w:rFonts w:ascii="宋体" w:hAnsi="宋体"/>
                <w:b w:val="0"/>
                <w:bCs/>
                <w:spacing w:val="-4"/>
                <w:szCs w:val="21"/>
              </w:rPr>
              <w:t>#</w:t>
            </w:r>
            <w:r>
              <w:rPr>
                <w:rFonts w:hint="eastAsia" w:ascii="宋体" w:hAnsi="宋体"/>
                <w:b w:val="0"/>
                <w:bCs/>
                <w:spacing w:val="-4"/>
                <w:szCs w:val="21"/>
              </w:rPr>
              <w:t>氧化剂粉碎</w:t>
            </w:r>
          </w:p>
          <w:p w14:paraId="58F641E2">
            <w:pPr>
              <w:keepNext w:val="0"/>
              <w:keepLines w:val="0"/>
              <w:pageBreakBefore w:val="0"/>
              <w:kinsoku/>
              <w:wordWrap/>
              <w:overflowPunct/>
              <w:topLinePunct w:val="0"/>
              <w:autoSpaceDE/>
              <w:autoSpaceDN/>
              <w:bidi w:val="0"/>
              <w:adjustRightInd/>
              <w:snapToGrid/>
              <w:spacing w:line="240" w:lineRule="exact"/>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w:t>
            </w:r>
            <w:r>
              <w:rPr>
                <w:rFonts w:hint="eastAsia" w:ascii="宋体" w:hAnsi="宋体"/>
                <w:b w:val="0"/>
                <w:bCs/>
                <w:spacing w:val="-4"/>
                <w:szCs w:val="21"/>
              </w:rPr>
              <w:t>3级、1</w:t>
            </w:r>
            <w:r>
              <w:rPr>
                <w:rFonts w:ascii="宋体" w:hAnsi="宋体"/>
                <w:b w:val="0"/>
                <w:bCs/>
                <w:spacing w:val="-4"/>
                <w:szCs w:val="21"/>
              </w:rPr>
              <w:t>00kg</w:t>
            </w:r>
            <w:r>
              <w:rPr>
                <w:rFonts w:hint="eastAsia" w:ascii="宋体" w:hAnsi="宋体"/>
                <w:b w:val="0"/>
                <w:bCs/>
                <w:spacing w:val="-4"/>
                <w:szCs w:val="21"/>
              </w:rPr>
              <w:t>）</w:t>
            </w:r>
          </w:p>
        </w:tc>
        <w:tc>
          <w:tcPr>
            <w:tcW w:w="410" w:type="pct"/>
            <w:shd w:val="clear" w:color="auto" w:fill="auto"/>
            <w:vAlign w:val="center"/>
          </w:tcPr>
          <w:p w14:paraId="0BC08E84">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11.2</w:t>
            </w:r>
          </w:p>
        </w:tc>
        <w:tc>
          <w:tcPr>
            <w:tcW w:w="358" w:type="pct"/>
            <w:shd w:val="clear" w:color="auto" w:fill="auto"/>
            <w:vAlign w:val="center"/>
          </w:tcPr>
          <w:p w14:paraId="1753F02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1</w:t>
            </w:r>
            <w:r>
              <w:rPr>
                <w:rFonts w:ascii="宋体" w:hAnsi="宋体"/>
                <w:b w:val="0"/>
                <w:bCs/>
                <w:spacing w:val="-4"/>
                <w:kern w:val="0"/>
                <w:szCs w:val="21"/>
              </w:rPr>
              <w:t>2</w:t>
            </w:r>
          </w:p>
        </w:tc>
        <w:tc>
          <w:tcPr>
            <w:tcW w:w="388" w:type="pct"/>
            <w:vAlign w:val="center"/>
          </w:tcPr>
          <w:p w14:paraId="5E4A5D4A">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pacing w:val="-11"/>
                <w:sz w:val="18"/>
                <w:szCs w:val="18"/>
              </w:rPr>
              <w:t>双有防火墙</w:t>
            </w:r>
          </w:p>
        </w:tc>
        <w:tc>
          <w:tcPr>
            <w:tcW w:w="885" w:type="pct"/>
            <w:vAlign w:val="center"/>
          </w:tcPr>
          <w:p w14:paraId="6CE56444">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w:t>
            </w:r>
            <w:r>
              <w:rPr>
                <w:rFonts w:hint="eastAsia" w:ascii="宋体" w:hAnsi="宋体" w:cs="宋体"/>
                <w:b w:val="0"/>
                <w:bCs/>
                <w:szCs w:val="21"/>
              </w:rPr>
              <w:t>8</w:t>
            </w:r>
          </w:p>
        </w:tc>
      </w:tr>
      <w:tr w14:paraId="6CE9AE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restart"/>
            <w:shd w:val="clear" w:color="auto" w:fill="auto"/>
            <w:vAlign w:val="center"/>
          </w:tcPr>
          <w:p w14:paraId="74B022A9">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80</w:t>
            </w:r>
            <w:r>
              <w:rPr>
                <w:rFonts w:ascii="宋体" w:hAnsi="宋体" w:cs="Arial"/>
                <w:b w:val="0"/>
                <w:bCs/>
                <w:szCs w:val="21"/>
              </w:rPr>
              <w:t>#</w:t>
            </w:r>
            <w:r>
              <w:rPr>
                <w:rFonts w:hint="eastAsia" w:ascii="宋体" w:hAnsi="宋体" w:cs="Arial"/>
                <w:b w:val="0"/>
                <w:bCs/>
                <w:szCs w:val="21"/>
              </w:rPr>
              <w:t>氧化剂粉碎</w:t>
            </w:r>
          </w:p>
        </w:tc>
        <w:tc>
          <w:tcPr>
            <w:tcW w:w="353" w:type="pct"/>
            <w:vMerge w:val="restart"/>
            <w:shd w:val="clear" w:color="auto" w:fill="auto"/>
            <w:vAlign w:val="center"/>
          </w:tcPr>
          <w:p w14:paraId="229143FF">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1.3</w:t>
            </w:r>
          </w:p>
        </w:tc>
        <w:tc>
          <w:tcPr>
            <w:tcW w:w="519" w:type="pct"/>
            <w:vMerge w:val="restart"/>
            <w:shd w:val="clear" w:color="auto" w:fill="auto"/>
            <w:vAlign w:val="center"/>
          </w:tcPr>
          <w:p w14:paraId="53957108">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100</w:t>
            </w:r>
          </w:p>
        </w:tc>
        <w:tc>
          <w:tcPr>
            <w:tcW w:w="1075" w:type="pct"/>
            <w:shd w:val="clear" w:color="auto" w:fill="auto"/>
            <w:vAlign w:val="center"/>
          </w:tcPr>
          <w:p w14:paraId="3C4BF299">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77</w:t>
            </w:r>
            <w:r>
              <w:rPr>
                <w:rFonts w:ascii="宋体" w:hAnsi="宋体"/>
                <w:b w:val="0"/>
                <w:bCs/>
                <w:spacing w:val="-4"/>
                <w:szCs w:val="21"/>
              </w:rPr>
              <w:t>#</w:t>
            </w:r>
            <w:r>
              <w:rPr>
                <w:rFonts w:hint="eastAsia" w:ascii="宋体" w:hAnsi="宋体"/>
                <w:b w:val="0"/>
                <w:bCs/>
                <w:spacing w:val="-4"/>
                <w:szCs w:val="21"/>
              </w:rPr>
              <w:t>称料</w:t>
            </w:r>
          </w:p>
          <w:p w14:paraId="13DECD61">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11"/>
                <w:szCs w:val="21"/>
              </w:rPr>
              <w:t>（1</w:t>
            </w:r>
            <w:r>
              <w:rPr>
                <w:rFonts w:ascii="宋体" w:hAnsi="宋体"/>
                <w:b w:val="0"/>
                <w:bCs/>
                <w:spacing w:val="-11"/>
                <w:szCs w:val="21"/>
              </w:rPr>
              <w:t>.1</w:t>
            </w:r>
            <w:r>
              <w:rPr>
                <w:rFonts w:ascii="宋体" w:hAnsi="宋体"/>
                <w:b w:val="0"/>
                <w:bCs/>
                <w:spacing w:val="-11"/>
                <w:szCs w:val="21"/>
                <w:vertAlign w:val="superscript"/>
              </w:rPr>
              <w:t>-2</w:t>
            </w:r>
            <w:r>
              <w:rPr>
                <w:rFonts w:hint="eastAsia" w:ascii="宋体" w:hAnsi="宋体"/>
                <w:b w:val="0"/>
                <w:bCs/>
                <w:spacing w:val="-11"/>
                <w:szCs w:val="21"/>
              </w:rPr>
              <w:t>级、3</w:t>
            </w:r>
            <w:r>
              <w:rPr>
                <w:rFonts w:ascii="宋体" w:hAnsi="宋体"/>
                <w:b w:val="0"/>
                <w:bCs/>
                <w:spacing w:val="-11"/>
                <w:szCs w:val="21"/>
              </w:rPr>
              <w:t>0</w:t>
            </w:r>
            <w:r>
              <w:rPr>
                <w:rFonts w:hint="eastAsia" w:ascii="宋体" w:hAnsi="宋体"/>
                <w:b w:val="0"/>
                <w:bCs/>
                <w:spacing w:val="-11"/>
                <w:szCs w:val="21"/>
              </w:rPr>
              <w:t>/200</w:t>
            </w:r>
            <w:r>
              <w:rPr>
                <w:rFonts w:ascii="宋体" w:hAnsi="宋体"/>
                <w:b w:val="0"/>
                <w:bCs/>
                <w:spacing w:val="-11"/>
                <w:szCs w:val="21"/>
              </w:rPr>
              <w:t>kg</w:t>
            </w:r>
            <w:r>
              <w:rPr>
                <w:rFonts w:hint="eastAsia" w:ascii="宋体" w:hAnsi="宋体"/>
                <w:b w:val="0"/>
                <w:bCs/>
                <w:spacing w:val="-11"/>
                <w:szCs w:val="21"/>
              </w:rPr>
              <w:t>）</w:t>
            </w:r>
          </w:p>
        </w:tc>
        <w:tc>
          <w:tcPr>
            <w:tcW w:w="410" w:type="pct"/>
            <w:shd w:val="clear" w:color="auto" w:fill="auto"/>
            <w:vAlign w:val="center"/>
          </w:tcPr>
          <w:p w14:paraId="29B05E34">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16</w:t>
            </w:r>
          </w:p>
        </w:tc>
        <w:tc>
          <w:tcPr>
            <w:tcW w:w="358" w:type="pct"/>
            <w:shd w:val="clear" w:color="auto" w:fill="auto"/>
            <w:vAlign w:val="center"/>
          </w:tcPr>
          <w:p w14:paraId="4B3B40E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18</w:t>
            </w:r>
          </w:p>
        </w:tc>
        <w:tc>
          <w:tcPr>
            <w:tcW w:w="388" w:type="pct"/>
            <w:vAlign w:val="center"/>
          </w:tcPr>
          <w:p w14:paraId="3544269A">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11"/>
                <w:sz w:val="18"/>
                <w:szCs w:val="18"/>
              </w:rPr>
            </w:pPr>
            <w:r>
              <w:rPr>
                <w:rFonts w:hint="eastAsia" w:ascii="宋体" w:hAnsi="宋体"/>
                <w:b w:val="0"/>
                <w:bCs/>
                <w:spacing w:val="-11"/>
                <w:sz w:val="18"/>
                <w:szCs w:val="18"/>
              </w:rPr>
              <w:t>单有</w:t>
            </w:r>
          </w:p>
        </w:tc>
        <w:tc>
          <w:tcPr>
            <w:tcW w:w="885" w:type="pct"/>
            <w:vAlign w:val="center"/>
          </w:tcPr>
          <w:p w14:paraId="463255CD">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w:t>
            </w:r>
            <w:r>
              <w:rPr>
                <w:rFonts w:hint="eastAsia" w:ascii="宋体" w:hAnsi="宋体" w:cs="宋体"/>
                <w:b w:val="0"/>
                <w:bCs/>
                <w:szCs w:val="21"/>
              </w:rPr>
              <w:t>8</w:t>
            </w:r>
          </w:p>
        </w:tc>
      </w:tr>
      <w:tr w14:paraId="2E17D1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28FA5847">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color w:val="FF0000"/>
                <w:szCs w:val="21"/>
              </w:rPr>
            </w:pPr>
          </w:p>
        </w:tc>
        <w:tc>
          <w:tcPr>
            <w:tcW w:w="353" w:type="pct"/>
            <w:vMerge w:val="continue"/>
            <w:shd w:val="clear" w:color="auto" w:fill="auto"/>
            <w:vAlign w:val="center"/>
          </w:tcPr>
          <w:p w14:paraId="11E2D75A">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color w:val="FF0000"/>
                <w:szCs w:val="21"/>
              </w:rPr>
            </w:pPr>
          </w:p>
        </w:tc>
        <w:tc>
          <w:tcPr>
            <w:tcW w:w="519" w:type="pct"/>
            <w:vMerge w:val="continue"/>
            <w:shd w:val="clear" w:color="auto" w:fill="auto"/>
            <w:vAlign w:val="center"/>
          </w:tcPr>
          <w:p w14:paraId="0B71195D">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color w:val="FF0000"/>
                <w:szCs w:val="21"/>
              </w:rPr>
            </w:pPr>
          </w:p>
        </w:tc>
        <w:tc>
          <w:tcPr>
            <w:tcW w:w="1075" w:type="pct"/>
            <w:shd w:val="clear" w:color="auto" w:fill="auto"/>
            <w:vAlign w:val="center"/>
          </w:tcPr>
          <w:p w14:paraId="3A856EEA">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81</w:t>
            </w:r>
            <w:r>
              <w:rPr>
                <w:rFonts w:ascii="宋体" w:hAnsi="宋体"/>
                <w:b w:val="0"/>
                <w:bCs/>
                <w:spacing w:val="-4"/>
                <w:szCs w:val="21"/>
              </w:rPr>
              <w:t>#</w:t>
            </w:r>
            <w:r>
              <w:rPr>
                <w:rFonts w:hint="eastAsia" w:ascii="宋体" w:hAnsi="宋体"/>
                <w:b w:val="0"/>
                <w:bCs/>
                <w:spacing w:val="-4"/>
                <w:szCs w:val="21"/>
              </w:rPr>
              <w:t xml:space="preserve">化工原材料库     </w:t>
            </w:r>
            <w:r>
              <w:rPr>
                <w:rFonts w:hint="eastAsia" w:ascii="宋体" w:hAnsi="宋体"/>
                <w:b w:val="0"/>
                <w:bCs/>
                <w:spacing w:val="-11"/>
                <w:szCs w:val="21"/>
              </w:rPr>
              <w:t>（甲类、40000</w:t>
            </w:r>
            <w:r>
              <w:rPr>
                <w:rFonts w:ascii="宋体" w:hAnsi="宋体"/>
                <w:b w:val="0"/>
                <w:bCs/>
                <w:spacing w:val="-11"/>
                <w:szCs w:val="21"/>
              </w:rPr>
              <w:t>kg</w:t>
            </w:r>
            <w:r>
              <w:rPr>
                <w:rFonts w:hint="eastAsia" w:ascii="宋体" w:hAnsi="宋体"/>
                <w:b w:val="0"/>
                <w:bCs/>
                <w:spacing w:val="-11"/>
                <w:szCs w:val="21"/>
              </w:rPr>
              <w:t>）</w:t>
            </w:r>
          </w:p>
        </w:tc>
        <w:tc>
          <w:tcPr>
            <w:tcW w:w="410" w:type="pct"/>
            <w:shd w:val="clear" w:color="auto" w:fill="auto"/>
            <w:vAlign w:val="center"/>
          </w:tcPr>
          <w:p w14:paraId="10ACCFA8">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 xml:space="preserve"> 20</w:t>
            </w:r>
          </w:p>
        </w:tc>
        <w:tc>
          <w:tcPr>
            <w:tcW w:w="358" w:type="pct"/>
            <w:shd w:val="clear" w:color="auto" w:fill="auto"/>
            <w:vAlign w:val="center"/>
          </w:tcPr>
          <w:p w14:paraId="228CB73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20</w:t>
            </w:r>
          </w:p>
        </w:tc>
        <w:tc>
          <w:tcPr>
            <w:tcW w:w="388" w:type="pct"/>
            <w:vAlign w:val="center"/>
          </w:tcPr>
          <w:p w14:paraId="51FAF4BC">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11"/>
                <w:sz w:val="18"/>
                <w:szCs w:val="18"/>
              </w:rPr>
            </w:pPr>
            <w:r>
              <w:rPr>
                <w:rFonts w:hint="eastAsia" w:ascii="宋体" w:hAnsi="宋体"/>
                <w:b w:val="0"/>
                <w:bCs/>
                <w:spacing w:val="-11"/>
                <w:sz w:val="18"/>
                <w:szCs w:val="18"/>
              </w:rPr>
              <w:t>\</w:t>
            </w:r>
          </w:p>
        </w:tc>
        <w:tc>
          <w:tcPr>
            <w:tcW w:w="885" w:type="pct"/>
            <w:vAlign w:val="center"/>
          </w:tcPr>
          <w:p w14:paraId="3D67B665">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 50016-2014</w:t>
            </w:r>
          </w:p>
          <w:p w14:paraId="1DEE4620">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第3.5.1条</w:t>
            </w:r>
          </w:p>
        </w:tc>
      </w:tr>
      <w:tr w14:paraId="4BD7DA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restart"/>
            <w:shd w:val="clear" w:color="auto" w:fill="auto"/>
            <w:vAlign w:val="center"/>
          </w:tcPr>
          <w:p w14:paraId="7B03F722">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81</w:t>
            </w:r>
            <w:r>
              <w:rPr>
                <w:rFonts w:ascii="宋体" w:hAnsi="宋体" w:cs="Arial"/>
                <w:b w:val="0"/>
                <w:bCs/>
                <w:szCs w:val="21"/>
              </w:rPr>
              <w:t>#</w:t>
            </w:r>
            <w:r>
              <w:rPr>
                <w:rFonts w:hint="eastAsia" w:ascii="宋体" w:hAnsi="宋体" w:cs="Arial"/>
                <w:b w:val="0"/>
                <w:bCs/>
                <w:szCs w:val="21"/>
              </w:rPr>
              <w:t>化工原材料库</w:t>
            </w:r>
          </w:p>
        </w:tc>
        <w:tc>
          <w:tcPr>
            <w:tcW w:w="353" w:type="pct"/>
            <w:vMerge w:val="restart"/>
            <w:shd w:val="clear" w:color="auto" w:fill="auto"/>
            <w:vAlign w:val="center"/>
          </w:tcPr>
          <w:p w14:paraId="1C5E98F9">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甲类</w:t>
            </w:r>
          </w:p>
        </w:tc>
        <w:tc>
          <w:tcPr>
            <w:tcW w:w="519" w:type="pct"/>
            <w:vMerge w:val="restart"/>
            <w:shd w:val="clear" w:color="auto" w:fill="auto"/>
            <w:vAlign w:val="center"/>
          </w:tcPr>
          <w:p w14:paraId="46F4A69D">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400</w:t>
            </w:r>
            <w:r>
              <w:rPr>
                <w:rFonts w:ascii="宋体" w:hAnsi="宋体" w:cs="Arial"/>
                <w:b w:val="0"/>
                <w:bCs/>
                <w:szCs w:val="21"/>
              </w:rPr>
              <w:t>00</w:t>
            </w:r>
          </w:p>
        </w:tc>
        <w:tc>
          <w:tcPr>
            <w:tcW w:w="1075" w:type="pct"/>
            <w:shd w:val="clear" w:color="auto" w:fill="auto"/>
            <w:vAlign w:val="center"/>
          </w:tcPr>
          <w:p w14:paraId="5200ADA4">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000000" w:themeColor="text1"/>
                <w:spacing w:val="-4"/>
                <w:szCs w:val="21"/>
                <w14:textFill>
                  <w14:solidFill>
                    <w14:schemeClr w14:val="tx1"/>
                  </w14:solidFill>
                </w14:textFill>
              </w:rPr>
            </w:pPr>
            <w:r>
              <w:rPr>
                <w:rFonts w:hint="eastAsia" w:ascii="宋体" w:hAnsi="宋体"/>
                <w:b w:val="0"/>
                <w:bCs/>
                <w:color w:val="000000" w:themeColor="text1"/>
                <w:spacing w:val="-4"/>
                <w:szCs w:val="21"/>
                <w14:textFill>
                  <w14:solidFill>
                    <w14:schemeClr w14:val="tx1"/>
                  </w14:solidFill>
                </w14:textFill>
              </w:rPr>
              <w:t>77</w:t>
            </w:r>
            <w:r>
              <w:rPr>
                <w:rFonts w:ascii="宋体" w:hAnsi="宋体"/>
                <w:b w:val="0"/>
                <w:bCs/>
                <w:color w:val="000000" w:themeColor="text1"/>
                <w:spacing w:val="-4"/>
                <w:szCs w:val="21"/>
                <w14:textFill>
                  <w14:solidFill>
                    <w14:schemeClr w14:val="tx1"/>
                  </w14:solidFill>
                </w14:textFill>
              </w:rPr>
              <w:t>#</w:t>
            </w:r>
            <w:r>
              <w:rPr>
                <w:rFonts w:hint="eastAsia" w:ascii="宋体" w:hAnsi="宋体"/>
                <w:b w:val="0"/>
                <w:bCs/>
                <w:color w:val="000000" w:themeColor="text1"/>
                <w:spacing w:val="-4"/>
                <w:szCs w:val="21"/>
                <w14:textFill>
                  <w14:solidFill>
                    <w14:schemeClr w14:val="tx1"/>
                  </w14:solidFill>
                </w14:textFill>
              </w:rPr>
              <w:t xml:space="preserve">称料 </w:t>
            </w:r>
          </w:p>
          <w:p w14:paraId="158D7483">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color w:val="000000" w:themeColor="text1"/>
                <w:spacing w:val="-11"/>
                <w:szCs w:val="21"/>
                <w14:textFill>
                  <w14:solidFill>
                    <w14:schemeClr w14:val="tx1"/>
                  </w14:solidFill>
                </w14:textFill>
              </w:rPr>
              <w:t>（1</w:t>
            </w:r>
            <w:r>
              <w:rPr>
                <w:rFonts w:ascii="宋体" w:hAnsi="宋体"/>
                <w:b w:val="0"/>
                <w:bCs/>
                <w:color w:val="000000" w:themeColor="text1"/>
                <w:spacing w:val="-11"/>
                <w:szCs w:val="21"/>
                <w14:textFill>
                  <w14:solidFill>
                    <w14:schemeClr w14:val="tx1"/>
                  </w14:solidFill>
                </w14:textFill>
              </w:rPr>
              <w:t>.1</w:t>
            </w:r>
            <w:r>
              <w:rPr>
                <w:rFonts w:ascii="宋体" w:hAnsi="宋体"/>
                <w:b w:val="0"/>
                <w:bCs/>
                <w:color w:val="000000" w:themeColor="text1"/>
                <w:spacing w:val="-11"/>
                <w:szCs w:val="21"/>
                <w:vertAlign w:val="superscript"/>
                <w14:textFill>
                  <w14:solidFill>
                    <w14:schemeClr w14:val="tx1"/>
                  </w14:solidFill>
                </w14:textFill>
              </w:rPr>
              <w:t>-2</w:t>
            </w:r>
            <w:r>
              <w:rPr>
                <w:rFonts w:hint="eastAsia" w:ascii="宋体" w:hAnsi="宋体"/>
                <w:b w:val="0"/>
                <w:bCs/>
                <w:color w:val="000000" w:themeColor="text1"/>
                <w:spacing w:val="-11"/>
                <w:szCs w:val="21"/>
                <w14:textFill>
                  <w14:solidFill>
                    <w14:schemeClr w14:val="tx1"/>
                  </w14:solidFill>
                </w14:textFill>
              </w:rPr>
              <w:t>级、3</w:t>
            </w:r>
            <w:r>
              <w:rPr>
                <w:rFonts w:ascii="宋体" w:hAnsi="宋体"/>
                <w:b w:val="0"/>
                <w:bCs/>
                <w:color w:val="000000" w:themeColor="text1"/>
                <w:spacing w:val="-11"/>
                <w:szCs w:val="21"/>
                <w14:textFill>
                  <w14:solidFill>
                    <w14:schemeClr w14:val="tx1"/>
                  </w14:solidFill>
                </w14:textFill>
              </w:rPr>
              <w:t>0</w:t>
            </w:r>
            <w:r>
              <w:rPr>
                <w:rFonts w:hint="eastAsia" w:ascii="宋体" w:hAnsi="宋体"/>
                <w:b w:val="0"/>
                <w:bCs/>
                <w:color w:val="000000" w:themeColor="text1"/>
                <w:spacing w:val="-11"/>
                <w:szCs w:val="21"/>
                <w14:textFill>
                  <w14:solidFill>
                    <w14:schemeClr w14:val="tx1"/>
                  </w14:solidFill>
                </w14:textFill>
              </w:rPr>
              <w:t>/200</w:t>
            </w:r>
            <w:r>
              <w:rPr>
                <w:rFonts w:ascii="宋体" w:hAnsi="宋体"/>
                <w:b w:val="0"/>
                <w:bCs/>
                <w:color w:val="000000" w:themeColor="text1"/>
                <w:spacing w:val="-11"/>
                <w:szCs w:val="21"/>
                <w14:textFill>
                  <w14:solidFill>
                    <w14:schemeClr w14:val="tx1"/>
                  </w14:solidFill>
                </w14:textFill>
              </w:rPr>
              <w:t>kg</w:t>
            </w:r>
            <w:r>
              <w:rPr>
                <w:rFonts w:hint="eastAsia" w:ascii="宋体" w:hAnsi="宋体"/>
                <w:b w:val="0"/>
                <w:bCs/>
                <w:color w:val="000000" w:themeColor="text1"/>
                <w:spacing w:val="-11"/>
                <w:szCs w:val="21"/>
                <w14:textFill>
                  <w14:solidFill>
                    <w14:schemeClr w14:val="tx1"/>
                  </w14:solidFill>
                </w14:textFill>
              </w:rPr>
              <w:t>）</w:t>
            </w:r>
          </w:p>
        </w:tc>
        <w:tc>
          <w:tcPr>
            <w:tcW w:w="410" w:type="pct"/>
            <w:shd w:val="clear" w:color="auto" w:fill="auto"/>
            <w:vAlign w:val="center"/>
          </w:tcPr>
          <w:p w14:paraId="11F30A77">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20</w:t>
            </w:r>
          </w:p>
        </w:tc>
        <w:tc>
          <w:tcPr>
            <w:tcW w:w="358" w:type="pct"/>
            <w:shd w:val="clear" w:color="auto" w:fill="auto"/>
            <w:vAlign w:val="center"/>
          </w:tcPr>
          <w:p w14:paraId="367A10C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23</w:t>
            </w:r>
          </w:p>
        </w:tc>
        <w:tc>
          <w:tcPr>
            <w:tcW w:w="388" w:type="pct"/>
            <w:vAlign w:val="center"/>
          </w:tcPr>
          <w:p w14:paraId="2FB4827E">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单有</w:t>
            </w:r>
          </w:p>
        </w:tc>
        <w:tc>
          <w:tcPr>
            <w:tcW w:w="885" w:type="pct"/>
            <w:shd w:val="clear" w:color="auto" w:fill="auto"/>
            <w:vAlign w:val="center"/>
          </w:tcPr>
          <w:p w14:paraId="660D6BCE">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 50016-2014</w:t>
            </w:r>
          </w:p>
          <w:p w14:paraId="7A053AE1">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第3.5.1条</w:t>
            </w:r>
          </w:p>
        </w:tc>
      </w:tr>
      <w:tr w14:paraId="4A8AAF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58D605C6">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6B2D6608">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40FA4C0F">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7DA06E7C">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82</w:t>
            </w:r>
            <w:r>
              <w:rPr>
                <w:rFonts w:ascii="宋体" w:hAnsi="宋体"/>
                <w:b w:val="0"/>
                <w:bCs/>
                <w:spacing w:val="-4"/>
                <w:szCs w:val="21"/>
              </w:rPr>
              <w:t>#</w:t>
            </w:r>
            <w:r>
              <w:rPr>
                <w:rFonts w:hint="eastAsia" w:ascii="宋体" w:hAnsi="宋体"/>
                <w:b w:val="0"/>
                <w:bCs/>
                <w:spacing w:val="-4"/>
                <w:szCs w:val="21"/>
              </w:rPr>
              <w:t>酒精库</w:t>
            </w:r>
          </w:p>
          <w:p w14:paraId="53A305C8">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color w:val="FF0000"/>
                <w:spacing w:val="-4"/>
                <w:szCs w:val="21"/>
              </w:rPr>
            </w:pPr>
            <w:r>
              <w:rPr>
                <w:rFonts w:hint="eastAsia" w:ascii="宋体" w:hAnsi="宋体"/>
                <w:b w:val="0"/>
                <w:bCs/>
                <w:spacing w:val="-4"/>
                <w:szCs w:val="21"/>
              </w:rPr>
              <w:t>（甲类、20</w:t>
            </w:r>
            <w:r>
              <w:rPr>
                <w:rFonts w:ascii="宋体" w:hAnsi="宋体"/>
                <w:b w:val="0"/>
                <w:bCs/>
                <w:spacing w:val="-4"/>
                <w:szCs w:val="21"/>
              </w:rPr>
              <w:t>00kg</w:t>
            </w:r>
            <w:r>
              <w:rPr>
                <w:rFonts w:hint="eastAsia" w:ascii="宋体" w:hAnsi="宋体"/>
                <w:b w:val="0"/>
                <w:bCs/>
                <w:spacing w:val="-4"/>
                <w:szCs w:val="21"/>
              </w:rPr>
              <w:t>）</w:t>
            </w:r>
          </w:p>
        </w:tc>
        <w:tc>
          <w:tcPr>
            <w:tcW w:w="410" w:type="pct"/>
            <w:shd w:val="clear" w:color="auto" w:fill="auto"/>
            <w:vAlign w:val="center"/>
          </w:tcPr>
          <w:p w14:paraId="45F04111">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20</w:t>
            </w:r>
          </w:p>
        </w:tc>
        <w:tc>
          <w:tcPr>
            <w:tcW w:w="358" w:type="pct"/>
            <w:shd w:val="clear" w:color="auto" w:fill="auto"/>
            <w:vAlign w:val="center"/>
          </w:tcPr>
          <w:p w14:paraId="02E7BE5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26</w:t>
            </w:r>
          </w:p>
        </w:tc>
        <w:tc>
          <w:tcPr>
            <w:tcW w:w="388" w:type="pct"/>
            <w:vAlign w:val="center"/>
          </w:tcPr>
          <w:p w14:paraId="5932ABAF">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w:t>
            </w:r>
          </w:p>
        </w:tc>
        <w:tc>
          <w:tcPr>
            <w:tcW w:w="885" w:type="pct"/>
            <w:shd w:val="clear" w:color="auto" w:fill="auto"/>
            <w:vAlign w:val="center"/>
          </w:tcPr>
          <w:p w14:paraId="373E3FCA">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 50016-2014</w:t>
            </w:r>
          </w:p>
          <w:p w14:paraId="0ED2E554">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第3.5.1条</w:t>
            </w:r>
          </w:p>
        </w:tc>
      </w:tr>
      <w:tr w14:paraId="35D294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shd w:val="clear" w:color="auto" w:fill="auto"/>
            <w:vAlign w:val="center"/>
          </w:tcPr>
          <w:p w14:paraId="50C102F2">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83</w:t>
            </w:r>
            <w:r>
              <w:rPr>
                <w:rFonts w:ascii="宋体" w:hAnsi="宋体" w:cs="Arial"/>
                <w:b w:val="0"/>
                <w:bCs/>
                <w:szCs w:val="21"/>
              </w:rPr>
              <w:t>#</w:t>
            </w:r>
            <w:r>
              <w:rPr>
                <w:rFonts w:hint="eastAsia" w:ascii="宋体" w:hAnsi="宋体" w:cs="Arial"/>
                <w:b w:val="0"/>
                <w:bCs/>
                <w:szCs w:val="21"/>
              </w:rPr>
              <w:t>危废暂存间</w:t>
            </w:r>
          </w:p>
        </w:tc>
        <w:tc>
          <w:tcPr>
            <w:tcW w:w="353" w:type="pct"/>
            <w:shd w:val="clear" w:color="auto" w:fill="auto"/>
            <w:vAlign w:val="center"/>
          </w:tcPr>
          <w:p w14:paraId="236805CD">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w:t>
            </w:r>
            <w:r>
              <w:rPr>
                <w:rFonts w:hint="eastAsia" w:ascii="宋体" w:hAnsi="宋体" w:cs="Arial"/>
                <w:b w:val="0"/>
                <w:bCs/>
                <w:szCs w:val="21"/>
                <w:vertAlign w:val="superscript"/>
              </w:rPr>
              <w:t>1</w:t>
            </w:r>
          </w:p>
        </w:tc>
        <w:tc>
          <w:tcPr>
            <w:tcW w:w="519" w:type="pct"/>
            <w:shd w:val="clear" w:color="auto" w:fill="auto"/>
            <w:vAlign w:val="center"/>
          </w:tcPr>
          <w:p w14:paraId="05E2F11B">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2</w:t>
            </w:r>
            <w:r>
              <w:rPr>
                <w:rFonts w:ascii="宋体" w:hAnsi="宋体" w:cs="Arial"/>
                <w:b w:val="0"/>
                <w:bCs/>
                <w:szCs w:val="21"/>
              </w:rPr>
              <w:t>0</w:t>
            </w:r>
          </w:p>
        </w:tc>
        <w:tc>
          <w:tcPr>
            <w:tcW w:w="1075" w:type="pct"/>
            <w:shd w:val="clear" w:color="auto" w:fill="auto"/>
            <w:vAlign w:val="center"/>
          </w:tcPr>
          <w:p w14:paraId="7EC7371B">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84</w:t>
            </w:r>
            <w:r>
              <w:rPr>
                <w:rFonts w:ascii="宋体" w:hAnsi="宋体"/>
                <w:b w:val="0"/>
                <w:bCs/>
                <w:spacing w:val="-4"/>
                <w:szCs w:val="21"/>
              </w:rPr>
              <w:t>#</w:t>
            </w:r>
            <w:r>
              <w:rPr>
                <w:rFonts w:hint="eastAsia" w:ascii="宋体" w:hAnsi="宋体"/>
                <w:b w:val="0"/>
                <w:bCs/>
                <w:spacing w:val="-4"/>
                <w:szCs w:val="21"/>
              </w:rPr>
              <w:t>单基火药中转（1</w:t>
            </w:r>
            <w:r>
              <w:rPr>
                <w:rFonts w:ascii="宋体" w:hAnsi="宋体"/>
                <w:b w:val="0"/>
                <w:bCs/>
                <w:spacing w:val="-4"/>
                <w:szCs w:val="21"/>
              </w:rPr>
              <w:t>.1</w:t>
            </w:r>
            <w:r>
              <w:rPr>
                <w:rFonts w:ascii="宋体" w:hAnsi="宋体"/>
                <w:b w:val="0"/>
                <w:bCs/>
                <w:spacing w:val="-4"/>
                <w:szCs w:val="21"/>
                <w:vertAlign w:val="superscript"/>
              </w:rPr>
              <w:t>-2</w:t>
            </w:r>
            <w:r>
              <w:rPr>
                <w:rFonts w:hint="eastAsia" w:ascii="宋体" w:hAnsi="宋体"/>
                <w:b w:val="0"/>
                <w:bCs/>
                <w:spacing w:val="-4"/>
                <w:szCs w:val="21"/>
              </w:rPr>
              <w:t>级、2</w:t>
            </w:r>
            <w:r>
              <w:rPr>
                <w:rFonts w:ascii="宋体" w:hAnsi="宋体"/>
                <w:b w:val="0"/>
                <w:bCs/>
                <w:spacing w:val="-4"/>
                <w:szCs w:val="21"/>
              </w:rPr>
              <w:t>00kg</w:t>
            </w:r>
            <w:r>
              <w:rPr>
                <w:rFonts w:hint="eastAsia" w:ascii="宋体" w:hAnsi="宋体"/>
                <w:b w:val="0"/>
                <w:bCs/>
                <w:spacing w:val="-4"/>
                <w:szCs w:val="21"/>
              </w:rPr>
              <w:t>）</w:t>
            </w:r>
          </w:p>
        </w:tc>
        <w:tc>
          <w:tcPr>
            <w:tcW w:w="410" w:type="pct"/>
            <w:shd w:val="clear" w:color="auto" w:fill="auto"/>
            <w:vAlign w:val="center"/>
          </w:tcPr>
          <w:p w14:paraId="62B2AA4B">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12</w:t>
            </w:r>
          </w:p>
        </w:tc>
        <w:tc>
          <w:tcPr>
            <w:tcW w:w="358" w:type="pct"/>
            <w:shd w:val="clear" w:color="auto" w:fill="auto"/>
            <w:vAlign w:val="center"/>
          </w:tcPr>
          <w:p w14:paraId="2ADCF65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47</w:t>
            </w:r>
          </w:p>
        </w:tc>
        <w:tc>
          <w:tcPr>
            <w:tcW w:w="388" w:type="pct"/>
            <w:vAlign w:val="center"/>
          </w:tcPr>
          <w:p w14:paraId="65CFA7DA">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vAlign w:val="center"/>
          </w:tcPr>
          <w:p w14:paraId="52141073">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.2.3</w:t>
            </w:r>
          </w:p>
        </w:tc>
      </w:tr>
      <w:tr w14:paraId="2634CF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restart"/>
            <w:shd w:val="clear" w:color="auto" w:fill="auto"/>
            <w:vAlign w:val="center"/>
          </w:tcPr>
          <w:p w14:paraId="1403A727">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85</w:t>
            </w:r>
            <w:r>
              <w:rPr>
                <w:rFonts w:ascii="宋体" w:hAnsi="宋体" w:cs="Arial"/>
                <w:b w:val="0"/>
                <w:bCs/>
                <w:szCs w:val="21"/>
              </w:rPr>
              <w:t>#</w:t>
            </w:r>
            <w:r>
              <w:rPr>
                <w:rFonts w:hint="eastAsia" w:ascii="宋体" w:hAnsi="宋体" w:cs="Arial"/>
                <w:b w:val="0"/>
                <w:bCs/>
                <w:szCs w:val="21"/>
              </w:rPr>
              <w:t>晒坪/凉棚</w:t>
            </w:r>
          </w:p>
        </w:tc>
        <w:tc>
          <w:tcPr>
            <w:tcW w:w="353" w:type="pct"/>
            <w:vMerge w:val="restart"/>
            <w:shd w:val="clear" w:color="auto" w:fill="auto"/>
            <w:vAlign w:val="center"/>
          </w:tcPr>
          <w:p w14:paraId="051517FD">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-2</w:t>
            </w:r>
          </w:p>
        </w:tc>
        <w:tc>
          <w:tcPr>
            <w:tcW w:w="519" w:type="pct"/>
            <w:vMerge w:val="restart"/>
            <w:shd w:val="clear" w:color="auto" w:fill="auto"/>
            <w:vAlign w:val="center"/>
          </w:tcPr>
          <w:p w14:paraId="69329E7F">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00</w:t>
            </w:r>
          </w:p>
        </w:tc>
        <w:tc>
          <w:tcPr>
            <w:tcW w:w="1075" w:type="pct"/>
            <w:shd w:val="clear" w:color="auto" w:fill="auto"/>
            <w:vAlign w:val="center"/>
          </w:tcPr>
          <w:p w14:paraId="4479AD2D">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84</w:t>
            </w:r>
            <w:r>
              <w:rPr>
                <w:rFonts w:ascii="宋体" w:hAnsi="宋体"/>
                <w:b w:val="0"/>
                <w:bCs/>
                <w:spacing w:val="-4"/>
                <w:szCs w:val="21"/>
              </w:rPr>
              <w:t>#</w:t>
            </w:r>
            <w:r>
              <w:rPr>
                <w:rFonts w:hint="eastAsia" w:ascii="宋体" w:hAnsi="宋体"/>
                <w:b w:val="0"/>
                <w:bCs/>
                <w:spacing w:val="-4"/>
                <w:szCs w:val="21"/>
              </w:rPr>
              <w:t>单基火药中转（1</w:t>
            </w:r>
            <w:r>
              <w:rPr>
                <w:rFonts w:ascii="宋体" w:hAnsi="宋体"/>
                <w:b w:val="0"/>
                <w:bCs/>
                <w:spacing w:val="-4"/>
                <w:szCs w:val="21"/>
              </w:rPr>
              <w:t>.1</w:t>
            </w:r>
            <w:r>
              <w:rPr>
                <w:rFonts w:ascii="宋体" w:hAnsi="宋体"/>
                <w:b w:val="0"/>
                <w:bCs/>
                <w:spacing w:val="-4"/>
                <w:szCs w:val="21"/>
                <w:vertAlign w:val="superscript"/>
              </w:rPr>
              <w:t>-2</w:t>
            </w:r>
            <w:r>
              <w:rPr>
                <w:rFonts w:hint="eastAsia" w:ascii="宋体" w:hAnsi="宋体"/>
                <w:b w:val="0"/>
                <w:bCs/>
                <w:spacing w:val="-4"/>
                <w:szCs w:val="21"/>
              </w:rPr>
              <w:t>级、2</w:t>
            </w:r>
            <w:r>
              <w:rPr>
                <w:rFonts w:ascii="宋体" w:hAnsi="宋体"/>
                <w:b w:val="0"/>
                <w:bCs/>
                <w:spacing w:val="-4"/>
                <w:szCs w:val="21"/>
              </w:rPr>
              <w:t>00kg</w:t>
            </w:r>
            <w:r>
              <w:rPr>
                <w:rFonts w:hint="eastAsia" w:ascii="宋体" w:hAnsi="宋体"/>
                <w:b w:val="0"/>
                <w:bCs/>
                <w:spacing w:val="-4"/>
                <w:szCs w:val="21"/>
              </w:rPr>
              <w:t>）</w:t>
            </w:r>
          </w:p>
        </w:tc>
        <w:tc>
          <w:tcPr>
            <w:tcW w:w="410" w:type="pct"/>
            <w:shd w:val="clear" w:color="auto" w:fill="auto"/>
            <w:vAlign w:val="center"/>
          </w:tcPr>
          <w:p w14:paraId="4E5F6A15">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12</w:t>
            </w:r>
          </w:p>
        </w:tc>
        <w:tc>
          <w:tcPr>
            <w:tcW w:w="358" w:type="pct"/>
            <w:shd w:val="clear" w:color="auto" w:fill="auto"/>
            <w:vAlign w:val="center"/>
          </w:tcPr>
          <w:p w14:paraId="32DCA1D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16</w:t>
            </w:r>
          </w:p>
        </w:tc>
        <w:tc>
          <w:tcPr>
            <w:tcW w:w="388" w:type="pct"/>
            <w:vAlign w:val="center"/>
          </w:tcPr>
          <w:p w14:paraId="03999E4D">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vAlign w:val="center"/>
          </w:tcPr>
          <w:p w14:paraId="515DA64B">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.2.3</w:t>
            </w:r>
          </w:p>
        </w:tc>
      </w:tr>
      <w:tr w14:paraId="1A580C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39200D4A">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67F04697">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76506188">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0115875D">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86</w:t>
            </w:r>
            <w:r>
              <w:rPr>
                <w:rFonts w:ascii="宋体" w:hAnsi="宋体"/>
                <w:b w:val="0"/>
                <w:bCs/>
                <w:spacing w:val="-4"/>
                <w:szCs w:val="21"/>
              </w:rPr>
              <w:t>#</w:t>
            </w:r>
            <w:r>
              <w:rPr>
                <w:rFonts w:hint="eastAsia" w:ascii="宋体" w:hAnsi="宋体"/>
                <w:b w:val="0"/>
                <w:bCs/>
                <w:spacing w:val="-4"/>
                <w:szCs w:val="21"/>
              </w:rPr>
              <w:t xml:space="preserve">包装      </w:t>
            </w:r>
          </w:p>
          <w:p w14:paraId="12CF97C8">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-2</w:t>
            </w:r>
            <w:r>
              <w:rPr>
                <w:rFonts w:hint="eastAsia" w:ascii="宋体" w:hAnsi="宋体"/>
                <w:b w:val="0"/>
                <w:bCs/>
                <w:spacing w:val="-4"/>
                <w:szCs w:val="21"/>
              </w:rPr>
              <w:t>级、3</w:t>
            </w:r>
            <w:r>
              <w:rPr>
                <w:rFonts w:ascii="宋体" w:hAnsi="宋体"/>
                <w:b w:val="0"/>
                <w:bCs/>
                <w:spacing w:val="-4"/>
                <w:szCs w:val="21"/>
              </w:rPr>
              <w:t>0kg</w:t>
            </w:r>
            <w:r>
              <w:rPr>
                <w:rFonts w:hint="eastAsia" w:ascii="宋体" w:hAnsi="宋体"/>
                <w:b w:val="0"/>
                <w:bCs/>
                <w:spacing w:val="-4"/>
                <w:szCs w:val="21"/>
              </w:rPr>
              <w:t>）</w:t>
            </w:r>
          </w:p>
        </w:tc>
        <w:tc>
          <w:tcPr>
            <w:tcW w:w="410" w:type="pct"/>
            <w:shd w:val="clear" w:color="auto" w:fill="auto"/>
            <w:vAlign w:val="center"/>
          </w:tcPr>
          <w:p w14:paraId="52E82219">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12</w:t>
            </w:r>
          </w:p>
        </w:tc>
        <w:tc>
          <w:tcPr>
            <w:tcW w:w="358" w:type="pct"/>
            <w:shd w:val="clear" w:color="auto" w:fill="auto"/>
            <w:vAlign w:val="center"/>
          </w:tcPr>
          <w:p w14:paraId="31CF811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16</w:t>
            </w:r>
          </w:p>
        </w:tc>
        <w:tc>
          <w:tcPr>
            <w:tcW w:w="388" w:type="pct"/>
            <w:vAlign w:val="center"/>
          </w:tcPr>
          <w:p w14:paraId="74359ABE">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vAlign w:val="center"/>
          </w:tcPr>
          <w:p w14:paraId="00F81410">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.2.3</w:t>
            </w:r>
          </w:p>
        </w:tc>
      </w:tr>
      <w:tr w14:paraId="7A1C49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shd w:val="clear" w:color="auto" w:fill="auto"/>
            <w:vAlign w:val="center"/>
          </w:tcPr>
          <w:p w14:paraId="2F69C531">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87</w:t>
            </w:r>
            <w:r>
              <w:rPr>
                <w:rFonts w:ascii="宋体" w:hAnsi="宋体" w:cs="Arial"/>
                <w:b w:val="0"/>
                <w:bCs/>
                <w:szCs w:val="21"/>
              </w:rPr>
              <w:t>#</w:t>
            </w:r>
            <w:r>
              <w:rPr>
                <w:rFonts w:hint="eastAsia" w:ascii="宋体" w:hAnsi="宋体" w:cs="Arial"/>
                <w:b w:val="0"/>
                <w:bCs/>
                <w:szCs w:val="21"/>
              </w:rPr>
              <w:t>单基火药中转</w:t>
            </w:r>
          </w:p>
        </w:tc>
        <w:tc>
          <w:tcPr>
            <w:tcW w:w="353" w:type="pct"/>
            <w:shd w:val="clear" w:color="auto" w:fill="auto"/>
            <w:vAlign w:val="center"/>
          </w:tcPr>
          <w:p w14:paraId="0AB54FE3">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-2</w:t>
            </w:r>
          </w:p>
        </w:tc>
        <w:tc>
          <w:tcPr>
            <w:tcW w:w="519" w:type="pct"/>
            <w:shd w:val="clear" w:color="auto" w:fill="auto"/>
            <w:vAlign w:val="center"/>
          </w:tcPr>
          <w:p w14:paraId="0B803020">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2</w:t>
            </w:r>
            <w:r>
              <w:rPr>
                <w:rFonts w:ascii="宋体" w:hAnsi="宋体" w:cs="Arial"/>
                <w:b w:val="0"/>
                <w:bCs/>
                <w:szCs w:val="21"/>
              </w:rPr>
              <w:t>00</w:t>
            </w:r>
          </w:p>
        </w:tc>
        <w:tc>
          <w:tcPr>
            <w:tcW w:w="1075" w:type="pct"/>
            <w:shd w:val="clear" w:color="auto" w:fill="auto"/>
            <w:vAlign w:val="center"/>
          </w:tcPr>
          <w:p w14:paraId="27C7EF54">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86</w:t>
            </w:r>
            <w:r>
              <w:rPr>
                <w:rFonts w:ascii="宋体" w:hAnsi="宋体"/>
                <w:b w:val="0"/>
                <w:bCs/>
                <w:spacing w:val="-4"/>
                <w:szCs w:val="21"/>
              </w:rPr>
              <w:t>#</w:t>
            </w:r>
            <w:r>
              <w:rPr>
                <w:rFonts w:hint="eastAsia" w:ascii="宋体" w:hAnsi="宋体"/>
                <w:b w:val="0"/>
                <w:bCs/>
                <w:spacing w:val="-4"/>
                <w:szCs w:val="21"/>
              </w:rPr>
              <w:t xml:space="preserve">包装     </w:t>
            </w:r>
          </w:p>
          <w:p w14:paraId="7BB7471F">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 xml:space="preserve"> （1</w:t>
            </w:r>
            <w:r>
              <w:rPr>
                <w:rFonts w:ascii="宋体" w:hAnsi="宋体"/>
                <w:b w:val="0"/>
                <w:bCs/>
                <w:spacing w:val="-4"/>
                <w:szCs w:val="21"/>
              </w:rPr>
              <w:t>.1</w:t>
            </w:r>
            <w:r>
              <w:rPr>
                <w:rFonts w:ascii="宋体" w:hAnsi="宋体"/>
                <w:b w:val="0"/>
                <w:bCs/>
                <w:spacing w:val="-4"/>
                <w:szCs w:val="21"/>
                <w:vertAlign w:val="superscript"/>
              </w:rPr>
              <w:t>-2</w:t>
            </w:r>
            <w:r>
              <w:rPr>
                <w:rFonts w:hint="eastAsia" w:ascii="宋体" w:hAnsi="宋体"/>
                <w:b w:val="0"/>
                <w:bCs/>
                <w:spacing w:val="-4"/>
                <w:szCs w:val="21"/>
              </w:rPr>
              <w:t>级、3</w:t>
            </w:r>
            <w:r>
              <w:rPr>
                <w:rFonts w:ascii="宋体" w:hAnsi="宋体"/>
                <w:b w:val="0"/>
                <w:bCs/>
                <w:spacing w:val="-4"/>
                <w:szCs w:val="21"/>
              </w:rPr>
              <w:t>0kg</w:t>
            </w:r>
            <w:r>
              <w:rPr>
                <w:rFonts w:hint="eastAsia" w:ascii="宋体" w:hAnsi="宋体"/>
                <w:b w:val="0"/>
                <w:bCs/>
                <w:spacing w:val="-4"/>
                <w:szCs w:val="21"/>
              </w:rPr>
              <w:t>）</w:t>
            </w:r>
          </w:p>
        </w:tc>
        <w:tc>
          <w:tcPr>
            <w:tcW w:w="410" w:type="pct"/>
            <w:shd w:val="clear" w:color="auto" w:fill="auto"/>
            <w:vAlign w:val="center"/>
          </w:tcPr>
          <w:p w14:paraId="01F86490">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1</w:t>
            </w:r>
            <w:r>
              <w:rPr>
                <w:rFonts w:ascii="宋体" w:hAnsi="宋体"/>
                <w:b w:val="0"/>
                <w:bCs/>
                <w:spacing w:val="-4"/>
                <w:kern w:val="0"/>
                <w:szCs w:val="21"/>
              </w:rPr>
              <w:t>2</w:t>
            </w:r>
          </w:p>
        </w:tc>
        <w:tc>
          <w:tcPr>
            <w:tcW w:w="358" w:type="pct"/>
            <w:shd w:val="clear" w:color="auto" w:fill="auto"/>
            <w:vAlign w:val="center"/>
          </w:tcPr>
          <w:p w14:paraId="62FA666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16</w:t>
            </w:r>
          </w:p>
        </w:tc>
        <w:tc>
          <w:tcPr>
            <w:tcW w:w="388" w:type="pct"/>
            <w:vAlign w:val="center"/>
          </w:tcPr>
          <w:p w14:paraId="0B9BD251">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vAlign w:val="center"/>
          </w:tcPr>
          <w:p w14:paraId="729F7649">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.2.3</w:t>
            </w:r>
          </w:p>
        </w:tc>
      </w:tr>
      <w:tr w14:paraId="7BDCA5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restart"/>
            <w:shd w:val="clear" w:color="auto" w:fill="auto"/>
            <w:vAlign w:val="center"/>
          </w:tcPr>
          <w:p w14:paraId="44195185">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89</w:t>
            </w:r>
            <w:r>
              <w:rPr>
                <w:rFonts w:ascii="宋体" w:hAnsi="宋体" w:cs="Arial"/>
                <w:b w:val="0"/>
                <w:bCs/>
                <w:szCs w:val="21"/>
              </w:rPr>
              <w:t>#</w:t>
            </w:r>
            <w:r>
              <w:rPr>
                <w:rFonts w:hint="eastAsia" w:ascii="宋体" w:hAnsi="宋体" w:cs="Arial"/>
                <w:b w:val="0"/>
                <w:bCs/>
                <w:szCs w:val="21"/>
              </w:rPr>
              <w:t>成品库</w:t>
            </w:r>
          </w:p>
        </w:tc>
        <w:tc>
          <w:tcPr>
            <w:tcW w:w="353" w:type="pct"/>
            <w:vMerge w:val="restart"/>
            <w:shd w:val="clear" w:color="auto" w:fill="auto"/>
            <w:vAlign w:val="center"/>
          </w:tcPr>
          <w:p w14:paraId="13B3B166">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w:t>
            </w:r>
            <w:r>
              <w:rPr>
                <w:rFonts w:hint="eastAsia" w:ascii="宋体" w:hAnsi="宋体" w:cs="Arial"/>
                <w:b w:val="0"/>
                <w:bCs/>
                <w:szCs w:val="21"/>
              </w:rPr>
              <w:t>3</w:t>
            </w:r>
          </w:p>
        </w:tc>
        <w:tc>
          <w:tcPr>
            <w:tcW w:w="519" w:type="pct"/>
            <w:vMerge w:val="restart"/>
            <w:shd w:val="clear" w:color="auto" w:fill="auto"/>
            <w:vAlign w:val="center"/>
          </w:tcPr>
          <w:p w14:paraId="4DF6954D">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15000</w:t>
            </w:r>
          </w:p>
        </w:tc>
        <w:tc>
          <w:tcPr>
            <w:tcW w:w="1075" w:type="pct"/>
            <w:shd w:val="clear" w:color="auto" w:fill="auto"/>
            <w:vAlign w:val="center"/>
          </w:tcPr>
          <w:p w14:paraId="54ADE906">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88</w:t>
            </w:r>
            <w:r>
              <w:rPr>
                <w:rFonts w:ascii="宋体" w:hAnsi="宋体"/>
                <w:b w:val="0"/>
                <w:bCs/>
                <w:spacing w:val="-4"/>
                <w:szCs w:val="21"/>
              </w:rPr>
              <w:t>#</w:t>
            </w:r>
            <w:r>
              <w:rPr>
                <w:rFonts w:hint="eastAsia" w:ascii="宋体" w:hAnsi="宋体"/>
                <w:b w:val="0"/>
                <w:bCs/>
                <w:spacing w:val="-4"/>
                <w:szCs w:val="21"/>
              </w:rPr>
              <w:t>值班室</w:t>
            </w:r>
          </w:p>
        </w:tc>
        <w:tc>
          <w:tcPr>
            <w:tcW w:w="410" w:type="pct"/>
            <w:shd w:val="clear" w:color="auto" w:fill="auto"/>
            <w:vAlign w:val="center"/>
          </w:tcPr>
          <w:p w14:paraId="1ADAB808">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40</w:t>
            </w:r>
          </w:p>
        </w:tc>
        <w:tc>
          <w:tcPr>
            <w:tcW w:w="358" w:type="pct"/>
            <w:shd w:val="clear" w:color="auto" w:fill="auto"/>
            <w:vAlign w:val="center"/>
          </w:tcPr>
          <w:p w14:paraId="3CC9ACE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49</w:t>
            </w:r>
          </w:p>
        </w:tc>
        <w:tc>
          <w:tcPr>
            <w:tcW w:w="388" w:type="pct"/>
            <w:vAlign w:val="center"/>
          </w:tcPr>
          <w:p w14:paraId="3B784EC0">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w:t>
            </w:r>
          </w:p>
        </w:tc>
        <w:tc>
          <w:tcPr>
            <w:tcW w:w="885" w:type="pct"/>
            <w:vAlign w:val="center"/>
          </w:tcPr>
          <w:p w14:paraId="3759697C">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p>
        </w:tc>
      </w:tr>
      <w:tr w14:paraId="6A6456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vMerge w:val="continue"/>
            <w:shd w:val="clear" w:color="auto" w:fill="auto"/>
            <w:vAlign w:val="center"/>
          </w:tcPr>
          <w:p w14:paraId="5171EAF0">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353" w:type="pct"/>
            <w:vMerge w:val="continue"/>
            <w:shd w:val="clear" w:color="auto" w:fill="auto"/>
            <w:vAlign w:val="center"/>
          </w:tcPr>
          <w:p w14:paraId="3626FA1A">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519" w:type="pct"/>
            <w:vMerge w:val="continue"/>
            <w:shd w:val="clear" w:color="auto" w:fill="auto"/>
            <w:vAlign w:val="center"/>
          </w:tcPr>
          <w:p w14:paraId="45C9D28B">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p>
        </w:tc>
        <w:tc>
          <w:tcPr>
            <w:tcW w:w="1075" w:type="pct"/>
            <w:shd w:val="clear" w:color="auto" w:fill="auto"/>
            <w:vAlign w:val="center"/>
          </w:tcPr>
          <w:p w14:paraId="15B5496F">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90</w:t>
            </w:r>
            <w:r>
              <w:rPr>
                <w:rFonts w:ascii="宋体" w:hAnsi="宋体"/>
                <w:b w:val="0"/>
                <w:bCs/>
                <w:spacing w:val="-4"/>
                <w:szCs w:val="21"/>
              </w:rPr>
              <w:t>#</w:t>
            </w:r>
            <w:r>
              <w:rPr>
                <w:rFonts w:hint="eastAsia" w:ascii="宋体" w:hAnsi="宋体"/>
                <w:b w:val="0"/>
                <w:bCs/>
                <w:spacing w:val="-4"/>
                <w:szCs w:val="21"/>
              </w:rPr>
              <w:t xml:space="preserve">成品库     </w:t>
            </w:r>
          </w:p>
          <w:p w14:paraId="2D70061C">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w:t>
            </w:r>
            <w:r>
              <w:rPr>
                <w:rFonts w:hint="eastAsia" w:ascii="宋体" w:hAnsi="宋体"/>
                <w:b w:val="0"/>
                <w:bCs/>
                <w:spacing w:val="-4"/>
                <w:szCs w:val="21"/>
              </w:rPr>
              <w:t>3级、1000</w:t>
            </w:r>
            <w:r>
              <w:rPr>
                <w:rFonts w:ascii="宋体" w:hAnsi="宋体"/>
                <w:b w:val="0"/>
                <w:bCs/>
                <w:spacing w:val="-4"/>
                <w:szCs w:val="21"/>
              </w:rPr>
              <w:t>0kg</w:t>
            </w:r>
            <w:r>
              <w:rPr>
                <w:rFonts w:hint="eastAsia" w:ascii="宋体" w:hAnsi="宋体"/>
                <w:b w:val="0"/>
                <w:bCs/>
                <w:spacing w:val="-4"/>
                <w:szCs w:val="21"/>
              </w:rPr>
              <w:t>）</w:t>
            </w:r>
          </w:p>
        </w:tc>
        <w:tc>
          <w:tcPr>
            <w:tcW w:w="410" w:type="pct"/>
            <w:shd w:val="clear" w:color="auto" w:fill="auto"/>
            <w:vAlign w:val="center"/>
          </w:tcPr>
          <w:p w14:paraId="5384C48F">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35</w:t>
            </w:r>
          </w:p>
        </w:tc>
        <w:tc>
          <w:tcPr>
            <w:tcW w:w="358" w:type="pct"/>
            <w:shd w:val="clear" w:color="auto" w:fill="auto"/>
            <w:vAlign w:val="center"/>
          </w:tcPr>
          <w:p w14:paraId="619E5E5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36</w:t>
            </w:r>
          </w:p>
        </w:tc>
        <w:tc>
          <w:tcPr>
            <w:tcW w:w="388" w:type="pct"/>
            <w:vAlign w:val="center"/>
          </w:tcPr>
          <w:p w14:paraId="4BFCC3FB">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w:t>
            </w:r>
          </w:p>
        </w:tc>
        <w:tc>
          <w:tcPr>
            <w:tcW w:w="885" w:type="pct"/>
            <w:vAlign w:val="center"/>
          </w:tcPr>
          <w:p w14:paraId="4466A390">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4</w:t>
            </w:r>
          </w:p>
        </w:tc>
      </w:tr>
      <w:tr w14:paraId="5DB301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8" w:type="pct"/>
            <w:shd w:val="clear" w:color="auto" w:fill="auto"/>
            <w:vAlign w:val="center"/>
          </w:tcPr>
          <w:p w14:paraId="37C0B6F4">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90</w:t>
            </w:r>
            <w:r>
              <w:rPr>
                <w:rFonts w:ascii="宋体" w:hAnsi="宋体" w:cs="Arial"/>
                <w:b w:val="0"/>
                <w:bCs/>
                <w:szCs w:val="21"/>
              </w:rPr>
              <w:t>#</w:t>
            </w:r>
            <w:r>
              <w:rPr>
                <w:rFonts w:hint="eastAsia" w:ascii="宋体" w:hAnsi="宋体" w:cs="Arial"/>
                <w:b w:val="0"/>
                <w:bCs/>
                <w:szCs w:val="21"/>
              </w:rPr>
              <w:t>成品库</w:t>
            </w:r>
          </w:p>
        </w:tc>
        <w:tc>
          <w:tcPr>
            <w:tcW w:w="353" w:type="pct"/>
            <w:shd w:val="clear" w:color="auto" w:fill="auto"/>
            <w:vAlign w:val="center"/>
          </w:tcPr>
          <w:p w14:paraId="60D1F594">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1</w:t>
            </w:r>
            <w:r>
              <w:rPr>
                <w:rFonts w:ascii="宋体" w:hAnsi="宋体" w:cs="Arial"/>
                <w:b w:val="0"/>
                <w:bCs/>
                <w:szCs w:val="21"/>
              </w:rPr>
              <w:t>.1</w:t>
            </w:r>
            <w:r>
              <w:rPr>
                <w:rFonts w:ascii="宋体" w:hAnsi="宋体" w:cs="Arial"/>
                <w:b w:val="0"/>
                <w:bCs/>
                <w:szCs w:val="21"/>
                <w:vertAlign w:val="superscript"/>
              </w:rPr>
              <w:t>-2</w:t>
            </w:r>
          </w:p>
        </w:tc>
        <w:tc>
          <w:tcPr>
            <w:tcW w:w="519" w:type="pct"/>
            <w:shd w:val="clear" w:color="auto" w:fill="auto"/>
            <w:vAlign w:val="center"/>
          </w:tcPr>
          <w:p w14:paraId="70D72A21">
            <w:pPr>
              <w:keepNext w:val="0"/>
              <w:keepLines w:val="0"/>
              <w:pageBreakBefore w:val="0"/>
              <w:kinsoku/>
              <w:wordWrap/>
              <w:overflowPunct/>
              <w:topLinePunct w:val="0"/>
              <w:autoSpaceDE/>
              <w:autoSpaceDN/>
              <w:bidi w:val="0"/>
              <w:adjustRightInd/>
              <w:snapToGrid/>
              <w:spacing w:line="240" w:lineRule="exact"/>
              <w:jc w:val="center"/>
              <w:rPr>
                <w:rFonts w:ascii="宋体" w:hAnsi="宋体" w:cs="Arial"/>
                <w:b w:val="0"/>
                <w:bCs/>
                <w:szCs w:val="21"/>
              </w:rPr>
            </w:pPr>
            <w:r>
              <w:rPr>
                <w:rFonts w:hint="eastAsia" w:ascii="宋体" w:hAnsi="宋体" w:cs="Arial"/>
                <w:b w:val="0"/>
                <w:bCs/>
                <w:szCs w:val="21"/>
              </w:rPr>
              <w:t>5</w:t>
            </w:r>
          </w:p>
        </w:tc>
        <w:tc>
          <w:tcPr>
            <w:tcW w:w="1075" w:type="pct"/>
            <w:shd w:val="clear" w:color="auto" w:fill="auto"/>
            <w:vAlign w:val="center"/>
          </w:tcPr>
          <w:p w14:paraId="1C509B51">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63</w:t>
            </w:r>
            <w:r>
              <w:rPr>
                <w:rFonts w:ascii="宋体" w:hAnsi="宋体"/>
                <w:b w:val="0"/>
                <w:bCs/>
                <w:spacing w:val="-4"/>
                <w:szCs w:val="21"/>
              </w:rPr>
              <w:t>#</w:t>
            </w:r>
            <w:r>
              <w:rPr>
                <w:rFonts w:hint="eastAsia" w:ascii="宋体" w:hAnsi="宋体"/>
                <w:b w:val="0"/>
                <w:bCs/>
                <w:spacing w:val="-4"/>
                <w:szCs w:val="21"/>
              </w:rPr>
              <w:t>引线库</w:t>
            </w:r>
          </w:p>
          <w:p w14:paraId="343603C9">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szCs w:val="21"/>
              </w:rPr>
            </w:pPr>
            <w:r>
              <w:rPr>
                <w:rFonts w:hint="eastAsia" w:ascii="宋体" w:hAnsi="宋体"/>
                <w:b w:val="0"/>
                <w:bCs/>
                <w:spacing w:val="-4"/>
                <w:szCs w:val="21"/>
              </w:rPr>
              <w:t>（1</w:t>
            </w:r>
            <w:r>
              <w:rPr>
                <w:rFonts w:ascii="宋体" w:hAnsi="宋体"/>
                <w:b w:val="0"/>
                <w:bCs/>
                <w:spacing w:val="-4"/>
                <w:szCs w:val="21"/>
              </w:rPr>
              <w:t>.1</w:t>
            </w:r>
            <w:r>
              <w:rPr>
                <w:rFonts w:ascii="宋体" w:hAnsi="宋体"/>
                <w:b w:val="0"/>
                <w:bCs/>
                <w:spacing w:val="-4"/>
                <w:szCs w:val="21"/>
                <w:vertAlign w:val="superscript"/>
              </w:rPr>
              <w:t>-1</w:t>
            </w:r>
            <w:r>
              <w:rPr>
                <w:rFonts w:hint="eastAsia" w:ascii="宋体" w:hAnsi="宋体"/>
                <w:b w:val="0"/>
                <w:bCs/>
                <w:spacing w:val="-4"/>
                <w:szCs w:val="21"/>
              </w:rPr>
              <w:t>级、50</w:t>
            </w:r>
            <w:r>
              <w:rPr>
                <w:rFonts w:ascii="宋体" w:hAnsi="宋体"/>
                <w:b w:val="0"/>
                <w:bCs/>
                <w:spacing w:val="-4"/>
                <w:szCs w:val="21"/>
              </w:rPr>
              <w:t>0kg</w:t>
            </w:r>
            <w:r>
              <w:rPr>
                <w:rFonts w:hint="eastAsia" w:ascii="宋体" w:hAnsi="宋体"/>
                <w:b w:val="0"/>
                <w:bCs/>
                <w:spacing w:val="-4"/>
                <w:szCs w:val="21"/>
              </w:rPr>
              <w:t>）</w:t>
            </w:r>
          </w:p>
        </w:tc>
        <w:tc>
          <w:tcPr>
            <w:tcW w:w="410" w:type="pct"/>
            <w:shd w:val="clear" w:color="auto" w:fill="auto"/>
            <w:vAlign w:val="center"/>
          </w:tcPr>
          <w:p w14:paraId="1B89AEF3">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pacing w:val="-4"/>
                <w:kern w:val="0"/>
                <w:szCs w:val="21"/>
              </w:rPr>
            </w:pPr>
            <w:r>
              <w:rPr>
                <w:rFonts w:hint="eastAsia" w:ascii="宋体" w:hAnsi="宋体"/>
                <w:b w:val="0"/>
                <w:bCs/>
                <w:spacing w:val="-4"/>
                <w:kern w:val="0"/>
                <w:szCs w:val="21"/>
              </w:rPr>
              <w:t>30</w:t>
            </w:r>
          </w:p>
        </w:tc>
        <w:tc>
          <w:tcPr>
            <w:tcW w:w="358" w:type="pct"/>
            <w:shd w:val="clear" w:color="auto" w:fill="auto"/>
            <w:vAlign w:val="center"/>
          </w:tcPr>
          <w:p w14:paraId="690E993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b w:val="0"/>
                <w:bCs/>
                <w:spacing w:val="-4"/>
                <w:kern w:val="0"/>
                <w:szCs w:val="21"/>
              </w:rPr>
            </w:pPr>
            <w:r>
              <w:rPr>
                <w:rFonts w:hint="eastAsia" w:ascii="宋体" w:hAnsi="宋体"/>
                <w:b w:val="0"/>
                <w:bCs/>
                <w:spacing w:val="-4"/>
                <w:kern w:val="0"/>
                <w:szCs w:val="21"/>
              </w:rPr>
              <w:t>51</w:t>
            </w:r>
          </w:p>
        </w:tc>
        <w:tc>
          <w:tcPr>
            <w:tcW w:w="388" w:type="pct"/>
            <w:vAlign w:val="center"/>
          </w:tcPr>
          <w:p w14:paraId="421B70CF">
            <w:pPr>
              <w:keepNext w:val="0"/>
              <w:keepLines w:val="0"/>
              <w:pageBreakBefore w:val="0"/>
              <w:kinsoku/>
              <w:wordWrap/>
              <w:overflowPunct/>
              <w:topLinePunct w:val="0"/>
              <w:autoSpaceDE/>
              <w:autoSpaceDN/>
              <w:bidi w:val="0"/>
              <w:adjustRightInd/>
              <w:snapToGrid/>
              <w:spacing w:line="240" w:lineRule="exact"/>
              <w:jc w:val="center"/>
              <w:rPr>
                <w:rFonts w:ascii="宋体" w:hAnsi="宋体"/>
                <w:b w:val="0"/>
                <w:bCs/>
                <w:szCs w:val="21"/>
              </w:rPr>
            </w:pPr>
            <w:r>
              <w:rPr>
                <w:rFonts w:hint="eastAsia" w:ascii="宋体" w:hAnsi="宋体"/>
                <w:b w:val="0"/>
                <w:bCs/>
                <w:szCs w:val="21"/>
              </w:rPr>
              <w:t>双有</w:t>
            </w:r>
          </w:p>
        </w:tc>
        <w:tc>
          <w:tcPr>
            <w:tcW w:w="885" w:type="pct"/>
            <w:vAlign w:val="center"/>
          </w:tcPr>
          <w:p w14:paraId="6D436F6A">
            <w:pPr>
              <w:keepNext w:val="0"/>
              <w:keepLines w:val="0"/>
              <w:pageBreakBefore w:val="0"/>
              <w:kinsoku/>
              <w:wordWrap/>
              <w:overflowPunct/>
              <w:topLinePunct w:val="0"/>
              <w:autoSpaceDE/>
              <w:autoSpaceDN/>
              <w:bidi w:val="0"/>
              <w:adjustRightInd/>
              <w:snapToGrid/>
              <w:spacing w:line="240" w:lineRule="exact"/>
              <w:jc w:val="center"/>
              <w:rPr>
                <w:rFonts w:ascii="宋体" w:hAnsi="宋体" w:cs="宋体"/>
                <w:b w:val="0"/>
                <w:bCs/>
                <w:szCs w:val="21"/>
              </w:rPr>
            </w:pPr>
            <w:r>
              <w:rPr>
                <w:rFonts w:hint="eastAsia" w:ascii="宋体" w:hAnsi="宋体" w:cs="宋体"/>
                <w:b w:val="0"/>
                <w:bCs/>
                <w:szCs w:val="21"/>
              </w:rPr>
              <w:t>GB50161-2022中表5</w:t>
            </w:r>
            <w:r>
              <w:rPr>
                <w:rFonts w:ascii="宋体" w:hAnsi="宋体" w:cs="宋体"/>
                <w:b w:val="0"/>
                <w:bCs/>
                <w:szCs w:val="21"/>
              </w:rPr>
              <w:t>.</w:t>
            </w:r>
            <w:r>
              <w:rPr>
                <w:rFonts w:hint="eastAsia" w:ascii="宋体" w:hAnsi="宋体" w:cs="宋体"/>
                <w:b w:val="0"/>
                <w:bCs/>
                <w:szCs w:val="21"/>
              </w:rPr>
              <w:t>3</w:t>
            </w:r>
            <w:r>
              <w:rPr>
                <w:rFonts w:ascii="宋体" w:hAnsi="宋体" w:cs="宋体"/>
                <w:b w:val="0"/>
                <w:bCs/>
                <w:szCs w:val="21"/>
              </w:rPr>
              <w:t>.</w:t>
            </w:r>
            <w:r>
              <w:rPr>
                <w:rFonts w:hint="eastAsia" w:ascii="宋体" w:hAnsi="宋体" w:cs="宋体"/>
                <w:b w:val="0"/>
                <w:bCs/>
                <w:szCs w:val="21"/>
              </w:rPr>
              <w:t>4</w:t>
            </w:r>
          </w:p>
        </w:tc>
      </w:tr>
      <w:tr w14:paraId="694DA2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000" w:type="pct"/>
            <w:gridSpan w:val="8"/>
            <w:shd w:val="clear" w:color="auto" w:fill="auto"/>
            <w:vAlign w:val="center"/>
          </w:tcPr>
          <w:p w14:paraId="4B5235E0">
            <w:pPr>
              <w:keepNext w:val="0"/>
              <w:keepLines w:val="0"/>
              <w:pageBreakBefore w:val="0"/>
              <w:kinsoku/>
              <w:wordWrap/>
              <w:overflowPunct/>
              <w:topLinePunct w:val="0"/>
              <w:autoSpaceDE/>
              <w:autoSpaceDN/>
              <w:bidi w:val="0"/>
              <w:adjustRightInd/>
              <w:snapToGrid/>
              <w:spacing w:line="240" w:lineRule="exact"/>
              <w:rPr>
                <w:rFonts w:ascii="宋体" w:hAnsi="宋体" w:cs="宋体"/>
                <w:b w:val="0"/>
                <w:bCs/>
                <w:szCs w:val="21"/>
              </w:rPr>
            </w:pPr>
            <w:r>
              <w:rPr>
                <w:rFonts w:hint="eastAsia" w:ascii="宋体" w:hAnsi="宋体" w:cs="宋体"/>
                <w:b w:val="0"/>
                <w:bCs/>
                <w:szCs w:val="21"/>
              </w:rPr>
              <w:t>备注：</w:t>
            </w:r>
          </w:p>
          <w:p w14:paraId="1E27F0A1">
            <w:pPr>
              <w:keepNext w:val="0"/>
              <w:keepLines w:val="0"/>
              <w:pageBreakBefore w:val="0"/>
              <w:kinsoku/>
              <w:wordWrap/>
              <w:overflowPunct/>
              <w:topLinePunct w:val="0"/>
              <w:autoSpaceDE/>
              <w:autoSpaceDN/>
              <w:bidi w:val="0"/>
              <w:adjustRightInd/>
              <w:snapToGrid/>
              <w:spacing w:line="240" w:lineRule="exact"/>
              <w:ind w:firstLine="630" w:firstLineChars="300"/>
              <w:rPr>
                <w:rFonts w:ascii="宋体" w:hAnsi="宋体" w:cs="宋体"/>
                <w:b w:val="0"/>
                <w:bCs/>
                <w:szCs w:val="21"/>
              </w:rPr>
            </w:pPr>
            <w:r>
              <w:rPr>
                <w:rFonts w:hint="eastAsia" w:ascii="宋体" w:hAnsi="宋体" w:cs="宋体"/>
                <w:b w:val="0"/>
                <w:bCs/>
                <w:szCs w:val="21"/>
              </w:rPr>
              <w:t>表中11</w:t>
            </w:r>
            <w:r>
              <w:rPr>
                <w:rFonts w:ascii="宋体" w:hAnsi="宋体" w:cs="宋体"/>
                <w:b w:val="0"/>
                <w:bCs/>
                <w:szCs w:val="21"/>
              </w:rPr>
              <w:t>#</w:t>
            </w:r>
            <w:r>
              <w:rPr>
                <w:rFonts w:hint="eastAsia" w:ascii="宋体" w:hAnsi="宋体" w:cs="宋体"/>
                <w:b w:val="0"/>
                <w:bCs/>
                <w:szCs w:val="21"/>
              </w:rPr>
              <w:t>组装/包装（1</w:t>
            </w:r>
            <w:r>
              <w:rPr>
                <w:rFonts w:ascii="宋体" w:hAnsi="宋体" w:cs="宋体"/>
                <w:b w:val="0"/>
                <w:bCs/>
                <w:szCs w:val="21"/>
              </w:rPr>
              <w:t>.3</w:t>
            </w:r>
            <w:r>
              <w:rPr>
                <w:rFonts w:hint="eastAsia" w:ascii="宋体" w:hAnsi="宋体" w:cs="宋体"/>
                <w:b w:val="0"/>
                <w:bCs/>
                <w:szCs w:val="21"/>
              </w:rPr>
              <w:t>级、36</w:t>
            </w:r>
            <w:r>
              <w:rPr>
                <w:rFonts w:ascii="宋体" w:hAnsi="宋体" w:cs="宋体"/>
                <w:b w:val="0"/>
                <w:bCs/>
                <w:szCs w:val="21"/>
              </w:rPr>
              <w:t>0</w:t>
            </w:r>
            <w:r>
              <w:rPr>
                <w:rFonts w:hint="eastAsia" w:ascii="宋体" w:hAnsi="宋体" w:cs="宋体"/>
                <w:b w:val="0"/>
                <w:bCs/>
                <w:szCs w:val="21"/>
              </w:rPr>
              <w:t>kg）与7</w:t>
            </w:r>
            <w:r>
              <w:rPr>
                <w:rFonts w:ascii="宋体" w:hAnsi="宋体" w:cs="宋体"/>
                <w:b w:val="0"/>
                <w:bCs/>
                <w:szCs w:val="21"/>
              </w:rPr>
              <w:t>#</w:t>
            </w:r>
            <w:r>
              <w:rPr>
                <w:rFonts w:hint="eastAsia" w:ascii="宋体" w:hAnsi="宋体" w:cs="宋体"/>
                <w:b w:val="0"/>
                <w:bCs/>
                <w:szCs w:val="21"/>
              </w:rPr>
              <w:t>包装材料库；18</w:t>
            </w:r>
            <w:r>
              <w:rPr>
                <w:rFonts w:ascii="宋体" w:hAnsi="宋体" w:cs="宋体"/>
                <w:b w:val="0"/>
                <w:bCs/>
                <w:szCs w:val="21"/>
              </w:rPr>
              <w:t>#</w:t>
            </w:r>
            <w:r>
              <w:rPr>
                <w:rFonts w:hint="eastAsia" w:ascii="宋体" w:hAnsi="宋体" w:cs="宋体"/>
                <w:b w:val="0"/>
                <w:bCs/>
                <w:szCs w:val="21"/>
              </w:rPr>
              <w:t>半成品中转（1</w:t>
            </w:r>
            <w:r>
              <w:rPr>
                <w:rFonts w:ascii="宋体" w:hAnsi="宋体" w:cs="宋体"/>
                <w:b w:val="0"/>
                <w:bCs/>
                <w:szCs w:val="21"/>
              </w:rPr>
              <w:t>.</w:t>
            </w:r>
            <w:r>
              <w:rPr>
                <w:rFonts w:hint="eastAsia" w:ascii="宋体" w:hAnsi="宋体" w:cs="宋体"/>
                <w:b w:val="0"/>
                <w:bCs/>
                <w:szCs w:val="21"/>
              </w:rPr>
              <w:t>3级、500</w:t>
            </w:r>
            <w:r>
              <w:rPr>
                <w:rFonts w:ascii="宋体" w:hAnsi="宋体" w:cs="宋体"/>
                <w:b w:val="0"/>
                <w:bCs/>
                <w:szCs w:val="21"/>
              </w:rPr>
              <w:t>kg</w:t>
            </w:r>
            <w:r>
              <w:rPr>
                <w:rFonts w:hint="eastAsia" w:ascii="宋体" w:hAnsi="宋体" w:cs="宋体"/>
                <w:b w:val="0"/>
                <w:bCs/>
                <w:szCs w:val="21"/>
              </w:rPr>
              <w:t>）与17</w:t>
            </w:r>
            <w:r>
              <w:rPr>
                <w:rFonts w:ascii="宋体" w:hAnsi="宋体" w:cs="宋体"/>
                <w:b w:val="0"/>
                <w:bCs/>
                <w:szCs w:val="21"/>
              </w:rPr>
              <w:t>#</w:t>
            </w:r>
            <w:r>
              <w:rPr>
                <w:rFonts w:hint="eastAsia" w:ascii="宋体" w:hAnsi="宋体" w:cs="宋体"/>
                <w:b w:val="0"/>
                <w:bCs/>
                <w:szCs w:val="21"/>
              </w:rPr>
              <w:t>半成品中转（1</w:t>
            </w:r>
            <w:r>
              <w:rPr>
                <w:rFonts w:ascii="宋体" w:hAnsi="宋体" w:cs="宋体"/>
                <w:b w:val="0"/>
                <w:bCs/>
                <w:szCs w:val="21"/>
              </w:rPr>
              <w:t>.3</w:t>
            </w:r>
            <w:r>
              <w:rPr>
                <w:rFonts w:hint="eastAsia" w:ascii="宋体" w:hAnsi="宋体" w:cs="宋体"/>
                <w:b w:val="0"/>
                <w:bCs/>
                <w:szCs w:val="21"/>
              </w:rPr>
              <w:t>级、5</w:t>
            </w:r>
            <w:r>
              <w:rPr>
                <w:rFonts w:ascii="宋体" w:hAnsi="宋体" w:cs="宋体"/>
                <w:b w:val="0"/>
                <w:bCs/>
                <w:szCs w:val="21"/>
              </w:rPr>
              <w:t>00kg</w:t>
            </w:r>
            <w:r>
              <w:rPr>
                <w:rFonts w:hint="eastAsia" w:ascii="宋体" w:hAnsi="宋体" w:cs="宋体"/>
                <w:b w:val="0"/>
                <w:bCs/>
                <w:szCs w:val="21"/>
              </w:rPr>
              <w:t>）、19</w:t>
            </w:r>
            <w:r>
              <w:rPr>
                <w:rFonts w:ascii="宋体" w:hAnsi="宋体" w:cs="宋体"/>
                <w:b w:val="0"/>
                <w:bCs/>
                <w:szCs w:val="21"/>
              </w:rPr>
              <w:t>#</w:t>
            </w:r>
            <w:r>
              <w:rPr>
                <w:rFonts w:hint="eastAsia" w:ascii="宋体" w:hAnsi="宋体" w:cs="宋体"/>
                <w:b w:val="0"/>
                <w:bCs/>
                <w:szCs w:val="21"/>
              </w:rPr>
              <w:t>半成品中转（1</w:t>
            </w:r>
            <w:r>
              <w:rPr>
                <w:rFonts w:ascii="宋体" w:hAnsi="宋体" w:cs="宋体"/>
                <w:b w:val="0"/>
                <w:bCs/>
                <w:szCs w:val="21"/>
              </w:rPr>
              <w:t>.3</w:t>
            </w:r>
            <w:r>
              <w:rPr>
                <w:rFonts w:hint="eastAsia" w:ascii="宋体" w:hAnsi="宋体" w:cs="宋体"/>
                <w:b w:val="0"/>
                <w:bCs/>
                <w:szCs w:val="21"/>
              </w:rPr>
              <w:t>级、10</w:t>
            </w:r>
            <w:r>
              <w:rPr>
                <w:rFonts w:ascii="宋体" w:hAnsi="宋体" w:cs="宋体"/>
                <w:b w:val="0"/>
                <w:bCs/>
                <w:szCs w:val="21"/>
              </w:rPr>
              <w:t>00kg</w:t>
            </w:r>
            <w:r>
              <w:rPr>
                <w:rFonts w:hint="eastAsia" w:ascii="宋体" w:hAnsi="宋体" w:cs="宋体"/>
                <w:b w:val="0"/>
                <w:bCs/>
                <w:szCs w:val="21"/>
              </w:rPr>
              <w:t>）；31#半成品中转（1</w:t>
            </w:r>
            <w:r>
              <w:rPr>
                <w:rFonts w:ascii="宋体" w:hAnsi="宋体" w:cs="宋体"/>
                <w:b w:val="0"/>
                <w:bCs/>
                <w:szCs w:val="21"/>
              </w:rPr>
              <w:t>.</w:t>
            </w:r>
            <w:r>
              <w:rPr>
                <w:rFonts w:hint="eastAsia" w:ascii="宋体" w:hAnsi="宋体" w:cs="宋体"/>
                <w:b w:val="0"/>
                <w:bCs/>
                <w:szCs w:val="21"/>
              </w:rPr>
              <w:t>3级、100</w:t>
            </w:r>
            <w:r>
              <w:rPr>
                <w:rFonts w:ascii="宋体" w:hAnsi="宋体" w:cs="宋体"/>
                <w:b w:val="0"/>
                <w:bCs/>
                <w:szCs w:val="21"/>
              </w:rPr>
              <w:t>kg</w:t>
            </w:r>
            <w:r>
              <w:rPr>
                <w:rFonts w:hint="eastAsia" w:ascii="宋体" w:hAnsi="宋体" w:cs="宋体"/>
                <w:b w:val="0"/>
                <w:bCs/>
                <w:szCs w:val="21"/>
              </w:rPr>
              <w:t>）与33</w:t>
            </w:r>
            <w:r>
              <w:rPr>
                <w:rFonts w:ascii="宋体" w:hAnsi="宋体" w:cs="宋体"/>
                <w:b w:val="0"/>
                <w:bCs/>
                <w:szCs w:val="21"/>
              </w:rPr>
              <w:t>#</w:t>
            </w:r>
            <w:r>
              <w:rPr>
                <w:rFonts w:hint="eastAsia" w:ascii="宋体" w:hAnsi="宋体" w:cs="宋体"/>
                <w:b w:val="0"/>
                <w:bCs/>
                <w:szCs w:val="21"/>
              </w:rPr>
              <w:t>装药/压药（1</w:t>
            </w:r>
            <w:r>
              <w:rPr>
                <w:rFonts w:ascii="宋体" w:hAnsi="宋体" w:cs="宋体"/>
                <w:b w:val="0"/>
                <w:bCs/>
                <w:szCs w:val="21"/>
              </w:rPr>
              <w:t>.1</w:t>
            </w:r>
            <w:r>
              <w:rPr>
                <w:rFonts w:ascii="宋体" w:hAnsi="宋体" w:cs="宋体"/>
                <w:b w:val="0"/>
                <w:bCs/>
                <w:szCs w:val="21"/>
                <w:vertAlign w:val="superscript"/>
              </w:rPr>
              <w:t>-</w:t>
            </w:r>
            <w:r>
              <w:rPr>
                <w:rFonts w:hint="eastAsia" w:ascii="宋体" w:hAnsi="宋体" w:cs="宋体"/>
                <w:b w:val="0"/>
                <w:bCs/>
                <w:szCs w:val="21"/>
                <w:vertAlign w:val="superscript"/>
              </w:rPr>
              <w:t>2</w:t>
            </w:r>
            <w:r>
              <w:rPr>
                <w:rFonts w:hint="eastAsia" w:ascii="宋体" w:hAnsi="宋体" w:cs="宋体"/>
                <w:b w:val="0"/>
                <w:bCs/>
                <w:szCs w:val="21"/>
              </w:rPr>
              <w:t>级、5</w:t>
            </w:r>
            <w:r>
              <w:rPr>
                <w:rFonts w:ascii="宋体" w:hAnsi="宋体" w:cs="宋体"/>
                <w:b w:val="0"/>
                <w:bCs/>
                <w:szCs w:val="21"/>
              </w:rPr>
              <w:t>kg</w:t>
            </w:r>
            <w:r>
              <w:rPr>
                <w:rFonts w:hint="eastAsia" w:ascii="宋体" w:hAnsi="宋体" w:cs="宋体"/>
                <w:b w:val="0"/>
                <w:bCs/>
                <w:szCs w:val="21"/>
              </w:rPr>
              <w:t>）；37</w:t>
            </w:r>
            <w:r>
              <w:rPr>
                <w:rFonts w:ascii="宋体" w:hAnsi="宋体" w:cs="宋体"/>
                <w:b w:val="0"/>
                <w:bCs/>
                <w:szCs w:val="21"/>
              </w:rPr>
              <w:t>#</w:t>
            </w:r>
            <w:r>
              <w:rPr>
                <w:rFonts w:hint="eastAsia" w:ascii="宋体" w:hAnsi="宋体" w:cs="宋体"/>
                <w:b w:val="0"/>
                <w:bCs/>
                <w:szCs w:val="21"/>
              </w:rPr>
              <w:t>半成品中转（1</w:t>
            </w:r>
            <w:r>
              <w:rPr>
                <w:rFonts w:ascii="宋体" w:hAnsi="宋体" w:cs="宋体"/>
                <w:b w:val="0"/>
                <w:bCs/>
                <w:szCs w:val="21"/>
              </w:rPr>
              <w:t>.3</w:t>
            </w:r>
            <w:r>
              <w:rPr>
                <w:rFonts w:hint="eastAsia" w:ascii="宋体" w:hAnsi="宋体" w:cs="宋体"/>
                <w:b w:val="0"/>
                <w:bCs/>
                <w:szCs w:val="21"/>
              </w:rPr>
              <w:t>级、</w:t>
            </w:r>
            <w:r>
              <w:rPr>
                <w:rFonts w:ascii="宋体" w:hAnsi="宋体" w:cs="宋体"/>
                <w:b w:val="0"/>
                <w:bCs/>
                <w:szCs w:val="21"/>
              </w:rPr>
              <w:t>100kg</w:t>
            </w:r>
            <w:r>
              <w:rPr>
                <w:rFonts w:hint="eastAsia" w:ascii="宋体" w:hAnsi="宋体" w:cs="宋体"/>
                <w:b w:val="0"/>
                <w:bCs/>
                <w:szCs w:val="21"/>
              </w:rPr>
              <w:t>）与35</w:t>
            </w:r>
            <w:r>
              <w:rPr>
                <w:rFonts w:ascii="宋体" w:hAnsi="宋体" w:cs="宋体"/>
                <w:b w:val="0"/>
                <w:bCs/>
                <w:szCs w:val="21"/>
              </w:rPr>
              <w:t>#</w:t>
            </w:r>
            <w:r>
              <w:rPr>
                <w:rFonts w:hint="eastAsia" w:ascii="宋体" w:hAnsi="宋体" w:cs="宋体"/>
                <w:b w:val="0"/>
                <w:bCs/>
                <w:szCs w:val="21"/>
              </w:rPr>
              <w:t>装药/压药（1</w:t>
            </w:r>
            <w:r>
              <w:rPr>
                <w:rFonts w:ascii="宋体" w:hAnsi="宋体" w:cs="宋体"/>
                <w:b w:val="0"/>
                <w:bCs/>
                <w:szCs w:val="21"/>
              </w:rPr>
              <w:t>.1</w:t>
            </w:r>
            <w:r>
              <w:rPr>
                <w:rFonts w:ascii="宋体" w:hAnsi="宋体" w:cs="宋体"/>
                <w:b w:val="0"/>
                <w:bCs/>
                <w:szCs w:val="21"/>
                <w:vertAlign w:val="superscript"/>
              </w:rPr>
              <w:t>-</w:t>
            </w:r>
            <w:r>
              <w:rPr>
                <w:rFonts w:hint="eastAsia" w:ascii="宋体" w:hAnsi="宋体" w:cs="宋体"/>
                <w:b w:val="0"/>
                <w:bCs/>
                <w:szCs w:val="21"/>
                <w:vertAlign w:val="superscript"/>
              </w:rPr>
              <w:t>2</w:t>
            </w:r>
            <w:r>
              <w:rPr>
                <w:rFonts w:hint="eastAsia" w:ascii="宋体" w:hAnsi="宋体" w:cs="宋体"/>
                <w:b w:val="0"/>
                <w:bCs/>
                <w:szCs w:val="21"/>
              </w:rPr>
              <w:t>级、5</w:t>
            </w:r>
            <w:r>
              <w:rPr>
                <w:rFonts w:ascii="宋体" w:hAnsi="宋体" w:cs="宋体"/>
                <w:b w:val="0"/>
                <w:bCs/>
                <w:szCs w:val="21"/>
              </w:rPr>
              <w:t>kg</w:t>
            </w:r>
            <w:r>
              <w:rPr>
                <w:rFonts w:hint="eastAsia" w:ascii="宋体" w:hAnsi="宋体" w:cs="宋体"/>
                <w:b w:val="0"/>
                <w:bCs/>
                <w:szCs w:val="21"/>
              </w:rPr>
              <w:t>）、38#（1</w:t>
            </w:r>
            <w:r>
              <w:rPr>
                <w:rFonts w:ascii="宋体" w:hAnsi="宋体" w:cs="宋体"/>
                <w:b w:val="0"/>
                <w:bCs/>
                <w:szCs w:val="21"/>
              </w:rPr>
              <w:t>.1</w:t>
            </w:r>
            <w:r>
              <w:rPr>
                <w:rFonts w:ascii="宋体" w:hAnsi="宋体" w:cs="宋体"/>
                <w:b w:val="0"/>
                <w:bCs/>
                <w:szCs w:val="21"/>
                <w:vertAlign w:val="superscript"/>
              </w:rPr>
              <w:t>-</w:t>
            </w:r>
            <w:r>
              <w:rPr>
                <w:rFonts w:hint="eastAsia" w:ascii="宋体" w:hAnsi="宋体" w:cs="宋体"/>
                <w:b w:val="0"/>
                <w:bCs/>
                <w:szCs w:val="21"/>
                <w:vertAlign w:val="superscript"/>
              </w:rPr>
              <w:t>2</w:t>
            </w:r>
            <w:r>
              <w:rPr>
                <w:rFonts w:hint="eastAsia" w:ascii="宋体" w:hAnsi="宋体" w:cs="宋体"/>
                <w:b w:val="0"/>
                <w:bCs/>
                <w:szCs w:val="21"/>
              </w:rPr>
              <w:t>级、5</w:t>
            </w:r>
            <w:r>
              <w:rPr>
                <w:rFonts w:ascii="宋体" w:hAnsi="宋体" w:cs="宋体"/>
                <w:b w:val="0"/>
                <w:bCs/>
                <w:szCs w:val="21"/>
              </w:rPr>
              <w:t>kg</w:t>
            </w:r>
            <w:r>
              <w:rPr>
                <w:rFonts w:hint="eastAsia" w:ascii="宋体" w:hAnsi="宋体" w:cs="宋体"/>
                <w:b w:val="0"/>
                <w:bCs/>
                <w:szCs w:val="21"/>
              </w:rPr>
              <w:t>）；43</w:t>
            </w:r>
            <w:r>
              <w:rPr>
                <w:rFonts w:ascii="宋体" w:hAnsi="宋体" w:cs="宋体"/>
                <w:b w:val="0"/>
                <w:bCs/>
                <w:szCs w:val="21"/>
              </w:rPr>
              <w:t>#</w:t>
            </w:r>
            <w:r>
              <w:rPr>
                <w:rFonts w:hint="eastAsia" w:ascii="宋体" w:hAnsi="宋体" w:cs="宋体"/>
                <w:b w:val="0"/>
                <w:bCs/>
                <w:szCs w:val="21"/>
              </w:rPr>
              <w:t>半成品中转（1</w:t>
            </w:r>
            <w:r>
              <w:rPr>
                <w:rFonts w:ascii="宋体" w:hAnsi="宋体" w:cs="宋体"/>
                <w:b w:val="0"/>
                <w:bCs/>
                <w:szCs w:val="21"/>
              </w:rPr>
              <w:t>.3</w:t>
            </w:r>
            <w:r>
              <w:rPr>
                <w:rFonts w:hint="eastAsia" w:ascii="宋体" w:hAnsi="宋体" w:cs="宋体"/>
                <w:b w:val="0"/>
                <w:bCs/>
                <w:szCs w:val="21"/>
              </w:rPr>
              <w:t>级、1</w:t>
            </w:r>
            <w:r>
              <w:rPr>
                <w:rFonts w:ascii="宋体" w:hAnsi="宋体" w:cs="宋体"/>
                <w:b w:val="0"/>
                <w:bCs/>
                <w:szCs w:val="21"/>
              </w:rPr>
              <w:t>00kg</w:t>
            </w:r>
            <w:r>
              <w:rPr>
                <w:rFonts w:hint="eastAsia" w:ascii="宋体" w:hAnsi="宋体" w:cs="宋体"/>
                <w:b w:val="0"/>
                <w:bCs/>
                <w:szCs w:val="21"/>
              </w:rPr>
              <w:t>）与42</w:t>
            </w:r>
            <w:r>
              <w:rPr>
                <w:rFonts w:ascii="宋体" w:hAnsi="宋体" w:cs="宋体"/>
                <w:b w:val="0"/>
                <w:bCs/>
                <w:szCs w:val="21"/>
              </w:rPr>
              <w:t>#</w:t>
            </w:r>
            <w:r>
              <w:rPr>
                <w:rFonts w:hint="eastAsia" w:ascii="宋体" w:hAnsi="宋体" w:cs="宋体"/>
                <w:b w:val="0"/>
                <w:bCs/>
                <w:szCs w:val="21"/>
              </w:rPr>
              <w:t>筑药（1</w:t>
            </w:r>
            <w:r>
              <w:rPr>
                <w:rFonts w:ascii="宋体" w:hAnsi="宋体" w:cs="宋体"/>
                <w:b w:val="0"/>
                <w:bCs/>
                <w:szCs w:val="21"/>
              </w:rPr>
              <w:t>.1</w:t>
            </w:r>
            <w:r>
              <w:rPr>
                <w:rFonts w:ascii="宋体" w:hAnsi="宋体" w:cs="宋体"/>
                <w:b w:val="0"/>
                <w:bCs/>
                <w:szCs w:val="21"/>
                <w:vertAlign w:val="superscript"/>
              </w:rPr>
              <w:t>-2</w:t>
            </w:r>
            <w:r>
              <w:rPr>
                <w:rFonts w:hint="eastAsia" w:ascii="宋体" w:hAnsi="宋体" w:cs="宋体"/>
                <w:b w:val="0"/>
                <w:bCs/>
                <w:szCs w:val="21"/>
              </w:rPr>
              <w:t>级、5</w:t>
            </w:r>
            <w:r>
              <w:rPr>
                <w:rFonts w:ascii="宋体" w:hAnsi="宋体" w:cs="宋体"/>
                <w:b w:val="0"/>
                <w:bCs/>
                <w:szCs w:val="21"/>
              </w:rPr>
              <w:t>kg</w:t>
            </w:r>
            <w:r>
              <w:rPr>
                <w:rFonts w:hint="eastAsia" w:ascii="宋体" w:hAnsi="宋体" w:cs="宋体"/>
                <w:b w:val="0"/>
                <w:bCs/>
                <w:szCs w:val="21"/>
              </w:rPr>
              <w:t>）之间均设置防护屏障，故内部安全距离按G</w:t>
            </w:r>
            <w:r>
              <w:rPr>
                <w:rFonts w:ascii="宋体" w:hAnsi="宋体" w:cs="宋体"/>
                <w:b w:val="0"/>
                <w:bCs/>
                <w:szCs w:val="21"/>
              </w:rPr>
              <w:t>B50161-2022</w:t>
            </w:r>
            <w:r>
              <w:rPr>
                <w:rFonts w:hint="eastAsia" w:ascii="宋体" w:hAnsi="宋体" w:cs="宋体"/>
                <w:b w:val="0"/>
                <w:bCs/>
                <w:szCs w:val="21"/>
              </w:rPr>
              <w:t>中表5</w:t>
            </w:r>
            <w:r>
              <w:rPr>
                <w:rFonts w:ascii="宋体" w:hAnsi="宋体" w:cs="宋体"/>
                <w:b w:val="0"/>
                <w:bCs/>
                <w:szCs w:val="21"/>
              </w:rPr>
              <w:t>.2.8</w:t>
            </w:r>
            <w:r>
              <w:rPr>
                <w:rFonts w:hint="eastAsia" w:ascii="宋体" w:hAnsi="宋体" w:cs="宋体"/>
                <w:b w:val="0"/>
                <w:bCs/>
                <w:szCs w:val="21"/>
              </w:rPr>
              <w:t>所规定值的8</w:t>
            </w:r>
            <w:r>
              <w:rPr>
                <w:rFonts w:ascii="宋体" w:hAnsi="宋体" w:cs="宋体"/>
                <w:b w:val="0"/>
                <w:bCs/>
                <w:szCs w:val="21"/>
              </w:rPr>
              <w:t>0%</w:t>
            </w:r>
            <w:r>
              <w:rPr>
                <w:rFonts w:hint="eastAsia" w:ascii="宋体" w:hAnsi="宋体" w:cs="宋体"/>
                <w:b w:val="0"/>
                <w:bCs/>
                <w:szCs w:val="21"/>
              </w:rPr>
              <w:t>，且不小于1</w:t>
            </w:r>
            <w:r>
              <w:rPr>
                <w:rFonts w:ascii="宋体" w:hAnsi="宋体" w:cs="宋体"/>
                <w:b w:val="0"/>
                <w:bCs/>
                <w:szCs w:val="21"/>
              </w:rPr>
              <w:t>2</w:t>
            </w:r>
            <w:r>
              <w:rPr>
                <w:rFonts w:hint="eastAsia" w:ascii="宋体" w:hAnsi="宋体" w:cs="宋体"/>
                <w:b w:val="0"/>
                <w:bCs/>
                <w:szCs w:val="21"/>
              </w:rPr>
              <w:t>m；</w:t>
            </w:r>
          </w:p>
          <w:p w14:paraId="43506295">
            <w:pPr>
              <w:keepNext w:val="0"/>
              <w:keepLines w:val="0"/>
              <w:pageBreakBefore w:val="0"/>
              <w:kinsoku/>
              <w:wordWrap/>
              <w:overflowPunct/>
              <w:topLinePunct w:val="0"/>
              <w:autoSpaceDE/>
              <w:autoSpaceDN/>
              <w:bidi w:val="0"/>
              <w:adjustRightInd/>
              <w:snapToGrid/>
              <w:spacing w:line="240" w:lineRule="exact"/>
              <w:ind w:firstLine="630" w:firstLineChars="300"/>
              <w:rPr>
                <w:rFonts w:ascii="宋体" w:hAnsi="宋体" w:cs="宋体"/>
                <w:b w:val="0"/>
                <w:bCs/>
                <w:szCs w:val="21"/>
              </w:rPr>
            </w:pPr>
          </w:p>
        </w:tc>
      </w:tr>
    </w:tbl>
    <w:p w14:paraId="678CAFDE">
      <w:pPr>
        <w:rPr>
          <w:rFonts w:hint="eastAsia" w:ascii="黑体" w:hAnsi="宋体" w:eastAsia="黑体"/>
          <w:b w:val="0"/>
          <w:bCs/>
          <w:snapToGrid w:val="0"/>
          <w:sz w:val="30"/>
          <w:szCs w:val="30"/>
        </w:rPr>
      </w:pPr>
      <w:bookmarkStart w:id="567" w:name="_Toc17262"/>
      <w:r>
        <w:rPr>
          <w:rFonts w:hint="eastAsia" w:ascii="黑体" w:hAnsi="宋体" w:eastAsia="黑体"/>
          <w:b w:val="0"/>
          <w:bCs/>
          <w:snapToGrid w:val="0"/>
          <w:sz w:val="30"/>
          <w:szCs w:val="30"/>
        </w:rPr>
        <w:br w:type="page"/>
      </w:r>
    </w:p>
    <w:p w14:paraId="108D3557">
      <w:pPr>
        <w:keepNext/>
        <w:keepLines/>
        <w:spacing w:before="240" w:beforeLines="100" w:line="360" w:lineRule="auto"/>
        <w:outlineLvl w:val="1"/>
        <w:rPr>
          <w:rFonts w:ascii="黑体" w:hAnsi="宋体" w:eastAsia="黑体"/>
          <w:b w:val="0"/>
          <w:bCs/>
          <w:snapToGrid w:val="0"/>
          <w:sz w:val="30"/>
          <w:szCs w:val="30"/>
        </w:rPr>
      </w:pPr>
      <w:r>
        <w:rPr>
          <w:rFonts w:hint="eastAsia" w:ascii="黑体" w:hAnsi="宋体" w:eastAsia="黑体"/>
          <w:b w:val="0"/>
          <w:bCs/>
          <w:snapToGrid w:val="0"/>
          <w:sz w:val="30"/>
          <w:szCs w:val="30"/>
        </w:rPr>
        <w:t>5.</w:t>
      </w:r>
      <w:bookmarkEnd w:id="559"/>
      <w:bookmarkEnd w:id="560"/>
      <w:bookmarkEnd w:id="561"/>
      <w:bookmarkEnd w:id="562"/>
      <w:bookmarkEnd w:id="563"/>
      <w:bookmarkEnd w:id="564"/>
      <w:bookmarkEnd w:id="565"/>
      <w:bookmarkEnd w:id="566"/>
      <w:r>
        <w:rPr>
          <w:rFonts w:ascii="黑体" w:hAnsi="宋体" w:eastAsia="黑体"/>
          <w:b w:val="0"/>
          <w:bCs/>
          <w:snapToGrid w:val="0"/>
          <w:sz w:val="30"/>
          <w:szCs w:val="30"/>
        </w:rPr>
        <w:t>3</w:t>
      </w:r>
      <w:r>
        <w:rPr>
          <w:rFonts w:hint="eastAsia" w:ascii="黑体" w:hAnsi="宋体" w:eastAsia="黑体"/>
          <w:b w:val="0"/>
          <w:bCs/>
          <w:snapToGrid w:val="0"/>
          <w:sz w:val="30"/>
          <w:szCs w:val="30"/>
        </w:rPr>
        <w:t>安全设施及公用工程单元</w:t>
      </w:r>
      <w:bookmarkEnd w:id="567"/>
    </w:p>
    <w:p w14:paraId="767B25DA">
      <w:pPr>
        <w:pStyle w:val="5"/>
        <w:rPr>
          <w:rFonts w:ascii="黑体" w:hAnsi="黑体" w:eastAsia="黑体" w:cs="宋体"/>
          <w:b w:val="0"/>
          <w:szCs w:val="28"/>
        </w:rPr>
      </w:pPr>
      <w:bookmarkStart w:id="568" w:name="_Toc165038821"/>
      <w:r>
        <w:rPr>
          <w:rFonts w:hint="eastAsia" w:ascii="黑体" w:hAnsi="黑体" w:eastAsia="黑体" w:cs="宋体"/>
          <w:b w:val="0"/>
          <w:szCs w:val="28"/>
        </w:rPr>
        <w:t>5.</w:t>
      </w:r>
      <w:r>
        <w:rPr>
          <w:rFonts w:ascii="黑体" w:hAnsi="黑体" w:eastAsia="黑体" w:cs="宋体"/>
          <w:b w:val="0"/>
          <w:szCs w:val="28"/>
        </w:rPr>
        <w:t>3</w:t>
      </w:r>
      <w:r>
        <w:rPr>
          <w:rFonts w:hint="eastAsia" w:ascii="黑体" w:hAnsi="黑体" w:eastAsia="黑体" w:cs="宋体"/>
          <w:b w:val="0"/>
          <w:szCs w:val="28"/>
        </w:rPr>
        <w:t>.1</w:t>
      </w:r>
      <w:bookmarkEnd w:id="568"/>
      <w:r>
        <w:rPr>
          <w:rFonts w:hint="eastAsia" w:ascii="黑体" w:hAnsi="黑体" w:eastAsia="黑体" w:cs="宋体"/>
          <w:b w:val="0"/>
          <w:szCs w:val="28"/>
        </w:rPr>
        <w:t>消防安全设施</w:t>
      </w:r>
    </w:p>
    <w:p w14:paraId="43D021E6">
      <w:pPr>
        <w:spacing w:line="360" w:lineRule="auto"/>
        <w:ind w:firstLine="560" w:firstLineChars="200"/>
        <w:rPr>
          <w:rFonts w:ascii="宋体" w:hAnsi="宋体"/>
          <w:b w:val="0"/>
          <w:bCs/>
          <w:sz w:val="28"/>
          <w:szCs w:val="28"/>
        </w:rPr>
      </w:pPr>
      <w:r>
        <w:rPr>
          <w:rFonts w:hint="eastAsia" w:ascii="宋体" w:hAnsi="宋体"/>
          <w:b w:val="0"/>
          <w:bCs/>
          <w:sz w:val="28"/>
          <w:szCs w:val="28"/>
        </w:rPr>
        <w:t>该项目消防给水采用厂区内新设置的1座高位消防水池蓄水（有效容积300m</w:t>
      </w:r>
      <w:r>
        <w:rPr>
          <w:rFonts w:ascii="宋体" w:hAnsi="宋体"/>
          <w:b w:val="0"/>
          <w:bCs/>
          <w:sz w:val="28"/>
          <w:szCs w:val="28"/>
          <w:vertAlign w:val="superscript"/>
        </w:rPr>
        <w:t>3</w:t>
      </w:r>
      <w:r>
        <w:rPr>
          <w:rFonts w:hint="eastAsia" w:ascii="宋体" w:hAnsi="宋体"/>
          <w:b w:val="0"/>
          <w:bCs/>
          <w:sz w:val="28"/>
          <w:szCs w:val="28"/>
        </w:rPr>
        <w:t>），该企业的室外消防水量25L/S，灭火时间3小时，一次性消防用水量=25×3.6×3=270m</w:t>
      </w:r>
      <w:r>
        <w:rPr>
          <w:rFonts w:hint="eastAsia" w:ascii="宋体" w:hAnsi="宋体"/>
          <w:b w:val="0"/>
          <w:bCs/>
          <w:sz w:val="28"/>
          <w:szCs w:val="28"/>
          <w:vertAlign w:val="superscript"/>
        </w:rPr>
        <w:t>3</w:t>
      </w:r>
      <w:r>
        <w:rPr>
          <w:rFonts w:hint="eastAsia" w:ascii="宋体" w:hAnsi="宋体"/>
          <w:b w:val="0"/>
          <w:bCs/>
          <w:sz w:val="28"/>
          <w:szCs w:val="28"/>
        </w:rPr>
        <w:t>，能满足火灾初期使用。补充水采用井水、厂区内水塘和厂区东边河流地表水供水，用水泵送到高位水池，同时为消防管网提供不间断水源。项目危险品生产区、成品库区的消防用水通过厂区预埋的管网连接于厂区内的消火栓出水，利用消防水带、消防水枪达到消防的目的。生产区内拟设有消火栓，设置的消火栓距危险品生产区最远处距离均不超过150m。药物总库、成品库区和原材料库区采用厂区管网进行消防供水，需满足消防要求。</w:t>
      </w:r>
    </w:p>
    <w:p w14:paraId="6866E3CB">
      <w:pPr>
        <w:widowControl/>
        <w:spacing w:line="360" w:lineRule="auto"/>
        <w:ind w:firstLine="536" w:firstLineChars="200"/>
        <w:rPr>
          <w:rFonts w:ascii="宋体" w:hAnsi="宋体" w:cs="宋体"/>
          <w:b w:val="0"/>
          <w:bCs/>
          <w:spacing w:val="10"/>
          <w:kern w:val="24"/>
          <w:sz w:val="28"/>
          <w:szCs w:val="28"/>
        </w:rPr>
      </w:pPr>
      <w:r>
        <w:rPr>
          <w:rFonts w:hint="eastAsia" w:ascii="宋体" w:hAnsi="宋体"/>
          <w:b w:val="0"/>
          <w:bCs/>
          <w:spacing w:val="-6"/>
          <w:sz w:val="28"/>
          <w:szCs w:val="28"/>
        </w:rPr>
        <w:t>危险品生产区、药物总库、成品库消防给水设施保护范围不大于150m，项目配备消防水泵以及消防水带、消防水枪、灭火器等。消防水源和消防设施、设备能够满足消防需要，立足于在火灾初期及时扑救</w:t>
      </w:r>
      <w:r>
        <w:rPr>
          <w:rFonts w:hint="eastAsia" w:ascii="宋体" w:hAnsi="宋体" w:cs="宋体"/>
          <w:b w:val="0"/>
          <w:bCs/>
          <w:spacing w:val="-6"/>
          <w:sz w:val="28"/>
          <w:szCs w:val="28"/>
        </w:rPr>
        <w:t>。</w:t>
      </w:r>
    </w:p>
    <w:p w14:paraId="6E5596B5">
      <w:pPr>
        <w:pStyle w:val="5"/>
        <w:rPr>
          <w:rFonts w:ascii="黑体" w:hAnsi="黑体" w:eastAsia="黑体" w:cs="宋体"/>
          <w:b w:val="0"/>
          <w:szCs w:val="28"/>
        </w:rPr>
      </w:pPr>
      <w:bookmarkStart w:id="569" w:name="_Toc165038822"/>
      <w:r>
        <w:rPr>
          <w:rFonts w:hint="eastAsia" w:ascii="黑体" w:hAnsi="黑体" w:eastAsia="黑体" w:cs="宋体"/>
          <w:b w:val="0"/>
          <w:szCs w:val="28"/>
        </w:rPr>
        <w:t>5.</w:t>
      </w:r>
      <w:r>
        <w:rPr>
          <w:rFonts w:ascii="黑体" w:hAnsi="黑体" w:eastAsia="黑体" w:cs="宋体"/>
          <w:b w:val="0"/>
          <w:szCs w:val="28"/>
        </w:rPr>
        <w:t>3</w:t>
      </w:r>
      <w:r>
        <w:rPr>
          <w:rFonts w:hint="eastAsia" w:ascii="黑体" w:hAnsi="黑体" w:eastAsia="黑体" w:cs="宋体"/>
          <w:b w:val="0"/>
          <w:szCs w:val="28"/>
        </w:rPr>
        <w:t>.2</w:t>
      </w:r>
      <w:bookmarkEnd w:id="569"/>
      <w:r>
        <w:rPr>
          <w:rFonts w:hint="eastAsia" w:ascii="黑体" w:hAnsi="黑体" w:eastAsia="黑体" w:cs="宋体"/>
          <w:b w:val="0"/>
          <w:szCs w:val="28"/>
        </w:rPr>
        <w:t>防雷、防静电设施</w:t>
      </w:r>
    </w:p>
    <w:p w14:paraId="66E29FB7">
      <w:pPr>
        <w:spacing w:line="360" w:lineRule="auto"/>
        <w:ind w:firstLine="560" w:firstLineChars="200"/>
        <w:jc w:val="left"/>
        <w:rPr>
          <w:rFonts w:ascii="宋体" w:hAnsi="宋体"/>
          <w:b w:val="0"/>
          <w:bCs/>
          <w:sz w:val="28"/>
          <w:szCs w:val="28"/>
          <w:lang w:val="en-GB"/>
        </w:rPr>
      </w:pPr>
      <w:r>
        <w:rPr>
          <w:rFonts w:hint="eastAsia" w:ascii="宋体" w:hAnsi="宋体"/>
          <w:b w:val="0"/>
          <w:bCs/>
          <w:sz w:val="28"/>
          <w:szCs w:val="28"/>
        </w:rPr>
        <w:t>该项目</w:t>
      </w:r>
      <w:r>
        <w:rPr>
          <w:rFonts w:hint="eastAsia" w:ascii="宋体" w:hAnsi="宋体"/>
          <w:b w:val="0"/>
          <w:bCs/>
          <w:sz w:val="28"/>
          <w:szCs w:val="28"/>
          <w:lang w:val="en-GB"/>
        </w:rPr>
        <w:t>本次</w:t>
      </w:r>
      <w:r>
        <w:rPr>
          <w:rFonts w:hint="eastAsia" w:ascii="宋体" w:hAnsi="宋体"/>
          <w:b w:val="0"/>
          <w:bCs/>
          <w:sz w:val="28"/>
          <w:szCs w:val="28"/>
        </w:rPr>
        <w:t>新、改建</w:t>
      </w:r>
      <w:r>
        <w:rPr>
          <w:rFonts w:hint="eastAsia" w:ascii="宋体" w:hAnsi="宋体"/>
          <w:b w:val="0"/>
          <w:bCs/>
          <w:sz w:val="28"/>
          <w:szCs w:val="28"/>
          <w:lang w:val="en-GB"/>
        </w:rPr>
        <w:t>工</w:t>
      </w:r>
      <w:r>
        <w:rPr>
          <w:rFonts w:hint="eastAsia" w:ascii="宋体" w:hAnsi="宋体"/>
          <w:b w:val="0"/>
          <w:bCs/>
          <w:sz w:val="28"/>
          <w:szCs w:val="28"/>
        </w:rPr>
        <w:t>库</w:t>
      </w:r>
      <w:r>
        <w:rPr>
          <w:rFonts w:hint="eastAsia" w:ascii="宋体" w:hAnsi="宋体"/>
          <w:b w:val="0"/>
          <w:bCs/>
          <w:sz w:val="28"/>
          <w:szCs w:val="28"/>
          <w:lang w:val="en-GB"/>
        </w:rPr>
        <w:t>房拟依据标准根据不同的防雷类别采取相应的防雷措施，防雷装置</w:t>
      </w:r>
      <w:r>
        <w:rPr>
          <w:rFonts w:hint="eastAsia" w:ascii="宋体" w:hAnsi="宋体"/>
          <w:b w:val="0"/>
          <w:bCs/>
          <w:sz w:val="28"/>
          <w:szCs w:val="28"/>
        </w:rPr>
        <w:t>拟</w:t>
      </w:r>
      <w:r>
        <w:rPr>
          <w:rFonts w:hint="eastAsia" w:ascii="宋体" w:hAnsi="宋体"/>
          <w:b w:val="0"/>
          <w:bCs/>
          <w:sz w:val="28"/>
          <w:szCs w:val="28"/>
          <w:lang w:val="en-GB"/>
        </w:rPr>
        <w:t>委托有</w:t>
      </w:r>
      <w:r>
        <w:rPr>
          <w:rFonts w:hint="eastAsia" w:ascii="宋体" w:hAnsi="宋体"/>
          <w:b w:val="0"/>
          <w:bCs/>
          <w:sz w:val="28"/>
          <w:szCs w:val="28"/>
        </w:rPr>
        <w:t>相关</w:t>
      </w:r>
      <w:r>
        <w:rPr>
          <w:rFonts w:hint="eastAsia" w:ascii="宋体" w:hAnsi="宋体"/>
          <w:b w:val="0"/>
          <w:bCs/>
          <w:sz w:val="28"/>
          <w:szCs w:val="28"/>
          <w:lang w:val="en-GB"/>
        </w:rPr>
        <w:t>资质的单位进行设计、安装和检测。</w:t>
      </w:r>
    </w:p>
    <w:p w14:paraId="0E3E5635">
      <w:pPr>
        <w:spacing w:line="360" w:lineRule="auto"/>
        <w:ind w:firstLine="560" w:firstLineChars="200"/>
        <w:rPr>
          <w:rFonts w:ascii="宋体" w:hAnsi="宋体"/>
          <w:b w:val="0"/>
          <w:bCs/>
          <w:sz w:val="28"/>
          <w:szCs w:val="28"/>
        </w:rPr>
      </w:pPr>
      <w:r>
        <w:rPr>
          <w:rFonts w:hint="eastAsia" w:ascii="宋体" w:hAnsi="宋体"/>
          <w:b w:val="0"/>
          <w:bCs/>
          <w:sz w:val="28"/>
          <w:szCs w:val="28"/>
        </w:rPr>
        <w:t>该项目拟在新、改建危险性工库房的出入口安装导静电装置，</w:t>
      </w:r>
      <w:r>
        <w:rPr>
          <w:rFonts w:ascii="宋体" w:hAnsi="宋体"/>
          <w:b w:val="0"/>
          <w:bCs/>
          <w:sz w:val="28"/>
          <w:szCs w:val="28"/>
        </w:rPr>
        <w:t>1.1</w:t>
      </w:r>
      <w:r>
        <w:rPr>
          <w:rFonts w:hint="eastAsia" w:ascii="宋体" w:hAnsi="宋体"/>
          <w:b w:val="0"/>
          <w:bCs/>
          <w:sz w:val="28"/>
          <w:szCs w:val="28"/>
        </w:rPr>
        <w:t>级工房拟采用导静电地面、工作台面，防静电工作台面拟采用铺设防静电橡胶板方式，防静电地面拟采用环氧树脂（或聚氨酯）自流平涂料地面，自流平涂料面下方应设静电接地网（带），或防静电地面采用铺设防静电橡胶板方式。</w:t>
      </w:r>
    </w:p>
    <w:p w14:paraId="15238F3E">
      <w:pPr>
        <w:pStyle w:val="5"/>
        <w:rPr>
          <w:rFonts w:ascii="黑体" w:hAnsi="黑体" w:eastAsia="黑体" w:cs="宋体"/>
          <w:b w:val="0"/>
          <w:szCs w:val="28"/>
        </w:rPr>
      </w:pPr>
      <w:bookmarkStart w:id="570" w:name="_Toc165038823"/>
      <w:r>
        <w:rPr>
          <w:rFonts w:hint="eastAsia" w:ascii="黑体" w:hAnsi="黑体" w:eastAsia="黑体" w:cs="宋体"/>
          <w:b w:val="0"/>
          <w:szCs w:val="28"/>
        </w:rPr>
        <w:t>5.</w:t>
      </w:r>
      <w:r>
        <w:rPr>
          <w:rFonts w:ascii="黑体" w:hAnsi="黑体" w:eastAsia="黑体" w:cs="宋体"/>
          <w:b w:val="0"/>
          <w:szCs w:val="28"/>
        </w:rPr>
        <w:t>3</w:t>
      </w:r>
      <w:r>
        <w:rPr>
          <w:rFonts w:hint="eastAsia" w:ascii="黑体" w:hAnsi="黑体" w:eastAsia="黑体" w:cs="宋体"/>
          <w:b w:val="0"/>
          <w:szCs w:val="28"/>
        </w:rPr>
        <w:t>.3</w:t>
      </w:r>
      <w:bookmarkEnd w:id="570"/>
      <w:r>
        <w:rPr>
          <w:rFonts w:hint="eastAsia" w:ascii="黑体" w:hAnsi="黑体" w:eastAsia="黑体" w:cs="宋体"/>
          <w:b w:val="0"/>
          <w:szCs w:val="28"/>
        </w:rPr>
        <w:t>安全疏散通道</w:t>
      </w:r>
    </w:p>
    <w:p w14:paraId="68C716D2">
      <w:pPr>
        <w:spacing w:line="360" w:lineRule="auto"/>
        <w:ind w:firstLine="560" w:firstLineChars="200"/>
        <w:rPr>
          <w:rFonts w:ascii="宋体" w:hAnsi="宋体" w:cs="宋体"/>
          <w:b w:val="0"/>
          <w:bCs/>
          <w:spacing w:val="10"/>
          <w:kern w:val="24"/>
          <w:sz w:val="28"/>
          <w:szCs w:val="28"/>
        </w:rPr>
      </w:pPr>
      <w:r>
        <w:rPr>
          <w:rFonts w:hint="eastAsia"/>
          <w:b w:val="0"/>
          <w:bCs/>
          <w:sz w:val="28"/>
          <w:szCs w:val="28"/>
        </w:rPr>
        <w:t>该项目拟建</w:t>
      </w:r>
      <w:r>
        <w:rPr>
          <w:rFonts w:hint="eastAsia"/>
          <w:b w:val="0"/>
          <w:bCs/>
          <w:sz w:val="28"/>
          <w:szCs w:val="28"/>
          <w:lang w:val="en-GB"/>
        </w:rPr>
        <w:t>主、</w:t>
      </w:r>
      <w:r>
        <w:rPr>
          <w:rFonts w:hint="eastAsia"/>
          <w:b w:val="0"/>
          <w:bCs/>
          <w:sz w:val="28"/>
          <w:szCs w:val="28"/>
        </w:rPr>
        <w:t>次</w:t>
      </w:r>
      <w:r>
        <w:rPr>
          <w:rFonts w:hint="eastAsia"/>
          <w:b w:val="0"/>
          <w:bCs/>
          <w:sz w:val="28"/>
          <w:szCs w:val="28"/>
          <w:lang w:val="en-GB"/>
        </w:rPr>
        <w:t>道路</w:t>
      </w:r>
      <w:r>
        <w:rPr>
          <w:rFonts w:hint="eastAsia"/>
          <w:b w:val="0"/>
          <w:bCs/>
          <w:sz w:val="28"/>
          <w:szCs w:val="28"/>
        </w:rPr>
        <w:t>与原有道路连接，</w:t>
      </w:r>
      <w:r>
        <w:rPr>
          <w:rFonts w:hint="eastAsia"/>
          <w:b w:val="0"/>
          <w:bCs/>
          <w:sz w:val="28"/>
          <w:szCs w:val="28"/>
          <w:lang w:val="en-GB"/>
        </w:rPr>
        <w:t>厂内主次道路宽度、纵坡</w:t>
      </w:r>
      <w:r>
        <w:rPr>
          <w:rFonts w:hint="eastAsia"/>
          <w:b w:val="0"/>
          <w:bCs/>
          <w:sz w:val="28"/>
          <w:szCs w:val="28"/>
        </w:rPr>
        <w:t>应</w:t>
      </w:r>
      <w:r>
        <w:rPr>
          <w:rFonts w:hint="eastAsia"/>
          <w:b w:val="0"/>
          <w:bCs/>
          <w:sz w:val="28"/>
          <w:szCs w:val="28"/>
          <w:lang w:val="en-GB"/>
        </w:rPr>
        <w:t>符合疏散要求，工房（库房）内通道、外开门宽度</w:t>
      </w:r>
      <w:r>
        <w:rPr>
          <w:rFonts w:hint="eastAsia"/>
          <w:b w:val="0"/>
          <w:bCs/>
          <w:sz w:val="28"/>
          <w:szCs w:val="28"/>
        </w:rPr>
        <w:t>应</w:t>
      </w:r>
      <w:r>
        <w:rPr>
          <w:rFonts w:hint="eastAsia"/>
          <w:b w:val="0"/>
          <w:bCs/>
          <w:sz w:val="28"/>
          <w:szCs w:val="28"/>
          <w:lang w:val="en-GB"/>
        </w:rPr>
        <w:t>达标、畅通无阻，</w:t>
      </w:r>
      <w:r>
        <w:rPr>
          <w:rFonts w:hint="eastAsia"/>
          <w:b w:val="0"/>
          <w:bCs/>
          <w:sz w:val="28"/>
          <w:szCs w:val="28"/>
        </w:rPr>
        <w:t>并</w:t>
      </w:r>
      <w:r>
        <w:rPr>
          <w:rFonts w:hint="eastAsia"/>
          <w:b w:val="0"/>
          <w:bCs/>
          <w:sz w:val="28"/>
          <w:szCs w:val="28"/>
          <w:lang w:val="en-GB"/>
        </w:rPr>
        <w:t>满足人员安全疏散要求</w:t>
      </w:r>
      <w:r>
        <w:rPr>
          <w:rFonts w:hint="eastAsia" w:ascii="宋体" w:hAnsi="宋体" w:cs="宋体"/>
          <w:b w:val="0"/>
          <w:bCs/>
          <w:spacing w:val="10"/>
          <w:kern w:val="24"/>
          <w:sz w:val="28"/>
          <w:szCs w:val="28"/>
        </w:rPr>
        <w:t>。</w:t>
      </w:r>
    </w:p>
    <w:p w14:paraId="4E9BF309">
      <w:pPr>
        <w:pStyle w:val="5"/>
        <w:rPr>
          <w:rFonts w:ascii="黑体" w:hAnsi="黑体" w:eastAsia="黑体" w:cs="宋体"/>
          <w:b w:val="0"/>
          <w:szCs w:val="28"/>
        </w:rPr>
      </w:pPr>
      <w:bookmarkStart w:id="571" w:name="_Toc165038824"/>
      <w:r>
        <w:rPr>
          <w:rFonts w:hint="eastAsia" w:ascii="黑体" w:hAnsi="黑体" w:eastAsia="黑体" w:cs="宋体"/>
          <w:b w:val="0"/>
          <w:szCs w:val="28"/>
        </w:rPr>
        <w:t>5.</w:t>
      </w:r>
      <w:r>
        <w:rPr>
          <w:rFonts w:ascii="黑体" w:hAnsi="黑体" w:eastAsia="黑体" w:cs="宋体"/>
          <w:b w:val="0"/>
          <w:szCs w:val="28"/>
        </w:rPr>
        <w:t>3</w:t>
      </w:r>
      <w:r>
        <w:rPr>
          <w:rFonts w:hint="eastAsia" w:ascii="黑体" w:hAnsi="黑体" w:eastAsia="黑体" w:cs="宋体"/>
          <w:b w:val="0"/>
          <w:szCs w:val="28"/>
        </w:rPr>
        <w:t>.4</w:t>
      </w:r>
      <w:bookmarkEnd w:id="571"/>
      <w:r>
        <w:rPr>
          <w:rFonts w:hint="eastAsia" w:ascii="黑体" w:hAnsi="黑体" w:eastAsia="黑体" w:cs="宋体"/>
          <w:b w:val="0"/>
          <w:szCs w:val="28"/>
        </w:rPr>
        <w:t>风险预警与防控系统</w:t>
      </w:r>
    </w:p>
    <w:p w14:paraId="7B88B036">
      <w:pPr>
        <w:spacing w:line="360" w:lineRule="auto"/>
        <w:ind w:firstLine="560" w:firstLineChars="200"/>
        <w:rPr>
          <w:rFonts w:cs="宋体" w:asciiTheme="minorEastAsia" w:hAnsiTheme="minorEastAsia" w:eastAsiaTheme="minorEastAsia"/>
          <w:b w:val="0"/>
          <w:bCs/>
          <w:sz w:val="28"/>
          <w:szCs w:val="28"/>
        </w:rPr>
      </w:pPr>
      <w:bookmarkStart w:id="572" w:name="_Toc165038825"/>
      <w:r>
        <w:rPr>
          <w:rFonts w:hint="eastAsia" w:cs="宋体" w:asciiTheme="minorEastAsia" w:hAnsiTheme="minorEastAsia" w:eastAsiaTheme="minorEastAsia"/>
          <w:b w:val="0"/>
          <w:bCs/>
          <w:sz w:val="28"/>
          <w:szCs w:val="28"/>
        </w:rPr>
        <w:t>1.烟花爆竹行业风险监测预警系统是一种运用现代信息技术、数据处理与分析技术、传感器网络、智能监控设备等工具，针对烟花爆竹领域潜在风险因素进行实时监测、识别、评估与预警的综合性管理系统；主要包括视频监控系统、智能感知系统以及视频智能分析报警系统；组成该系统的主要设备有：摄像头、硬盘录像机、显示器、智能音箱、智能人体静电释放器、温湿度采集、视频智能分析主机等。</w:t>
      </w:r>
    </w:p>
    <w:p w14:paraId="673393E4">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2.风险检测预警系统应实现的基本功能</w:t>
      </w:r>
    </w:p>
    <w:p w14:paraId="59E07868">
      <w:pPr>
        <w:numPr>
          <w:ilvl w:val="0"/>
          <w:numId w:val="20"/>
        </w:numPr>
        <w:spacing w:line="360" w:lineRule="auto"/>
        <w:ind w:left="0"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超员生产行为识别上传。</w:t>
      </w:r>
    </w:p>
    <w:p w14:paraId="6557946D">
      <w:pPr>
        <w:numPr>
          <w:ilvl w:val="0"/>
          <w:numId w:val="20"/>
        </w:numPr>
        <w:spacing w:line="360" w:lineRule="auto"/>
        <w:ind w:left="0"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静电释放管控信息识别上传。</w:t>
      </w:r>
    </w:p>
    <w:p w14:paraId="2AA56415">
      <w:pPr>
        <w:numPr>
          <w:ilvl w:val="0"/>
          <w:numId w:val="20"/>
        </w:numPr>
        <w:spacing w:line="360" w:lineRule="auto"/>
        <w:ind w:left="0" w:firstLine="536" w:firstLineChars="200"/>
        <w:rPr>
          <w:rFonts w:cs="宋体" w:asciiTheme="minorEastAsia" w:hAnsiTheme="minorEastAsia" w:eastAsiaTheme="minorEastAsia"/>
          <w:b w:val="0"/>
          <w:bCs/>
          <w:spacing w:val="-6"/>
          <w:sz w:val="28"/>
          <w:szCs w:val="28"/>
        </w:rPr>
      </w:pPr>
      <w:r>
        <w:rPr>
          <w:rFonts w:hint="eastAsia" w:cs="宋体" w:asciiTheme="minorEastAsia" w:hAnsiTheme="minorEastAsia" w:eastAsiaTheme="minorEastAsia"/>
          <w:b w:val="0"/>
          <w:bCs/>
          <w:spacing w:val="-6"/>
          <w:sz w:val="28"/>
          <w:szCs w:val="28"/>
        </w:rPr>
        <w:t>入侵行为（机械进入、有药库房非法入侵等）行为识别上传。</w:t>
      </w:r>
    </w:p>
    <w:p w14:paraId="0F341DE7">
      <w:pPr>
        <w:numPr>
          <w:ilvl w:val="0"/>
          <w:numId w:val="20"/>
        </w:numPr>
        <w:spacing w:line="360" w:lineRule="auto"/>
        <w:ind w:left="0"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自动语音提醒。</w:t>
      </w:r>
    </w:p>
    <w:p w14:paraId="7C56C7E7">
      <w:pPr>
        <w:numPr>
          <w:ilvl w:val="0"/>
          <w:numId w:val="20"/>
        </w:numPr>
        <w:spacing w:line="360" w:lineRule="auto"/>
        <w:ind w:left="0"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远程监管喊话。</w:t>
      </w:r>
    </w:p>
    <w:p w14:paraId="091D11BE">
      <w:pPr>
        <w:numPr>
          <w:ilvl w:val="0"/>
          <w:numId w:val="20"/>
        </w:numPr>
        <w:spacing w:line="360" w:lineRule="auto"/>
        <w:ind w:left="0"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温度、湿度采集上传。</w:t>
      </w:r>
    </w:p>
    <w:p w14:paraId="292B2BD0">
      <w:pPr>
        <w:numPr>
          <w:ilvl w:val="0"/>
          <w:numId w:val="20"/>
        </w:numPr>
        <w:spacing w:line="360" w:lineRule="auto"/>
        <w:ind w:left="0"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违反停产指令作业行为识别上传。</w:t>
      </w:r>
    </w:p>
    <w:p w14:paraId="53E6AD98">
      <w:pPr>
        <w:numPr>
          <w:ilvl w:val="0"/>
          <w:numId w:val="20"/>
        </w:numPr>
        <w:spacing w:line="360" w:lineRule="auto"/>
        <w:ind w:left="0"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实时监控视频上传、在线回放。</w:t>
      </w:r>
    </w:p>
    <w:p w14:paraId="772E02AC">
      <w:pPr>
        <w:numPr>
          <w:ilvl w:val="0"/>
          <w:numId w:val="20"/>
        </w:numPr>
        <w:spacing w:line="360" w:lineRule="auto"/>
        <w:ind w:left="0"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涉药机械设备运行状态监控。</w:t>
      </w:r>
    </w:p>
    <w:p w14:paraId="5D225E37">
      <w:pPr>
        <w:numPr>
          <w:ilvl w:val="0"/>
          <w:numId w:val="20"/>
        </w:numPr>
        <w:spacing w:line="360" w:lineRule="auto"/>
        <w:ind w:left="0"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生产区出入口应实现人员识别、收集功能。</w:t>
      </w:r>
    </w:p>
    <w:p w14:paraId="4D205F84">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3.随着科学技术的不断更新发展，应不断完善风险监测预警系统的功能，支持和鼓励创新，应用新技术新手段，开发应用新功能，如：超温（超高温、超低温）作业识别上传，监控值守人员脱岗识别上传、人体综合电阻检测上传、改变作业流程识别上传、不良操作行为识别上传、超时长作业识别上传、擅自移动摄像头行为识别上传、擅自关闭预警系统识别上传、特种作业岗位人员识别及报警功能等。</w:t>
      </w:r>
    </w:p>
    <w:p w14:paraId="21CA7C7F">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4.风险监测预警系统的技术参数应当符合《关于2021年度烟花爆竹生产企业安全风险监测预警系统基本功能和相关要求的函》（2021年8月13日）、《烟花爆竹工程设计安全标准》（GB50161-2022）、《烟花爆竹企业安全监控系统通用技术条件》（AQ4101-2008）、《视频安防监控系统技术要求》（GA/T367-2001）等国家标准、行业标准的要求以及本规范明确的相关规定。</w:t>
      </w:r>
    </w:p>
    <w:p w14:paraId="3C2CAD02">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5.为记录现场语音情况，宜选用具有录音功能的摄像头；摄像头安装部位和数量应按如下规定确定：</w:t>
      </w:r>
    </w:p>
    <w:p w14:paraId="688F3662">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（1）</w:t>
      </w:r>
      <w:r>
        <w:rPr>
          <w:rFonts w:hint="eastAsia" w:cs="宋体" w:asciiTheme="minorEastAsia" w:hAnsiTheme="minorEastAsia" w:eastAsiaTheme="minorEastAsia"/>
          <w:b w:val="0"/>
          <w:bCs/>
          <w:spacing w:val="-10"/>
          <w:sz w:val="28"/>
          <w:szCs w:val="28"/>
        </w:rPr>
        <w:t>1.1</w:t>
      </w:r>
      <w:r>
        <w:rPr>
          <w:rFonts w:hint="eastAsia" w:cs="宋体" w:asciiTheme="minorEastAsia" w:hAnsiTheme="minorEastAsia" w:eastAsiaTheme="minorEastAsia"/>
          <w:b w:val="0"/>
          <w:bCs/>
          <w:spacing w:val="-10"/>
          <w:sz w:val="28"/>
          <w:szCs w:val="28"/>
          <w:vertAlign w:val="superscript"/>
        </w:rPr>
        <w:t>-1</w:t>
      </w:r>
      <w:r>
        <w:rPr>
          <w:rFonts w:hint="eastAsia" w:cs="宋体" w:asciiTheme="minorEastAsia" w:hAnsiTheme="minorEastAsia" w:eastAsiaTheme="minorEastAsia"/>
          <w:b w:val="0"/>
          <w:bCs/>
          <w:spacing w:val="-10"/>
          <w:sz w:val="28"/>
          <w:szCs w:val="28"/>
        </w:rPr>
        <w:t>级操作间每栋应安装不少于1个摄像头，1栋1间型的1.1</w:t>
      </w:r>
      <w:r>
        <w:rPr>
          <w:rFonts w:hint="eastAsia" w:cs="宋体" w:asciiTheme="minorEastAsia" w:hAnsiTheme="minorEastAsia" w:eastAsiaTheme="minorEastAsia"/>
          <w:b w:val="0"/>
          <w:bCs/>
          <w:spacing w:val="-10"/>
          <w:sz w:val="28"/>
          <w:szCs w:val="28"/>
          <w:vertAlign w:val="superscript"/>
        </w:rPr>
        <w:t>-2</w:t>
      </w:r>
      <w:r>
        <w:rPr>
          <w:rFonts w:hint="eastAsia" w:cs="宋体" w:asciiTheme="minorEastAsia" w:hAnsiTheme="minorEastAsia" w:eastAsiaTheme="minorEastAsia"/>
          <w:b w:val="0"/>
          <w:bCs/>
          <w:spacing w:val="-10"/>
          <w:sz w:val="28"/>
          <w:szCs w:val="28"/>
        </w:rPr>
        <w:t>级操作</w:t>
      </w:r>
      <w:r>
        <w:rPr>
          <w:rFonts w:hint="eastAsia" w:cs="宋体" w:asciiTheme="minorEastAsia" w:hAnsiTheme="minorEastAsia" w:eastAsiaTheme="minorEastAsia"/>
          <w:b w:val="0"/>
          <w:bCs/>
          <w:sz w:val="28"/>
          <w:szCs w:val="28"/>
        </w:rPr>
        <w:t>间每栋应安装不少于1个摄像头，1栋2间型的1.1</w:t>
      </w:r>
      <w:r>
        <w:rPr>
          <w:rFonts w:hint="eastAsia" w:cs="宋体" w:asciiTheme="minorEastAsia" w:hAnsiTheme="minorEastAsia" w:eastAsiaTheme="minorEastAsia"/>
          <w:b w:val="0"/>
          <w:bCs/>
          <w:sz w:val="28"/>
          <w:szCs w:val="28"/>
          <w:vertAlign w:val="superscript"/>
        </w:rPr>
        <w:t>-2</w:t>
      </w:r>
      <w:r>
        <w:rPr>
          <w:rFonts w:hint="eastAsia" w:cs="宋体" w:asciiTheme="minorEastAsia" w:hAnsiTheme="minorEastAsia" w:eastAsiaTheme="minorEastAsia"/>
          <w:b w:val="0"/>
          <w:bCs/>
          <w:sz w:val="28"/>
          <w:szCs w:val="28"/>
        </w:rPr>
        <w:t>级操作间应安装不少于2个摄像头，确保其操作区域在视频监控范围内；</w:t>
      </w:r>
    </w:p>
    <w:p w14:paraId="1E950C27">
      <w:pPr>
        <w:numPr>
          <w:ilvl w:val="0"/>
          <w:numId w:val="21"/>
        </w:num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药物总库区每栋库房应安装不少于1个摄像头，确保每栋库房的出入口在视频监控范围内；</w:t>
      </w:r>
    </w:p>
    <w:p w14:paraId="4A62F381">
      <w:pPr>
        <w:numPr>
          <w:ilvl w:val="0"/>
          <w:numId w:val="21"/>
        </w:num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药物总库区应在关键部位安装防入侵摄像头；</w:t>
      </w:r>
    </w:p>
    <w:p w14:paraId="2F6B45F9">
      <w:pPr>
        <w:numPr>
          <w:ilvl w:val="0"/>
          <w:numId w:val="21"/>
        </w:num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1.1级药物中转间、引火线中转间、半成品中转间、存药（引）洞每栋应安装不少于1个摄像头，确保每栋工房的出入口在视频监控范围内；</w:t>
      </w:r>
    </w:p>
    <w:p w14:paraId="222D4BEB">
      <w:pPr>
        <w:numPr>
          <w:ilvl w:val="0"/>
          <w:numId w:val="21"/>
        </w:num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涉药机械工房人员操作区域、机械区域、抗爆区域出入口均应安装摄像头，监控机械运行状况及人员操作和出入情况：</w:t>
      </w:r>
    </w:p>
    <w:p w14:paraId="18FAB626">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1）1.3级生产车间内至少应安装不少于1个摄像头，确保操作区域在视频监控范围内；</w:t>
      </w:r>
    </w:p>
    <w:p w14:paraId="23997BB6">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2）原材料间每栋应安装不少于1个摄像头，确保其区域在视频监控范围内；</w:t>
      </w:r>
    </w:p>
    <w:p w14:paraId="2CD845E3">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3）成品库每栋应安装不少于1个摄像头，确保库房的出入口在视频监控范围内；</w:t>
      </w:r>
    </w:p>
    <w:p w14:paraId="26684731">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4）专用药物运输道路上应安装多个摄像头，确保整个药物运输道路在视频监控范围内；</w:t>
      </w:r>
    </w:p>
    <w:p w14:paraId="59CFD5DB">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5）1.1级生产线通道上应安装多个摄像头，确保整个通道在视频监控范围内；</w:t>
      </w:r>
    </w:p>
    <w:p w14:paraId="4CB1EE18">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6）厂区出入口、库区出入口、生产区域重要路口，分别应安装不少于1个摄像头，确保其区域在视频监控范围内；</w:t>
      </w:r>
    </w:p>
    <w:p w14:paraId="4923CB6C">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7）涉药机械的控制室应安装摄像头，确保职工控制机械的操作行为在视频监控范围内；</w:t>
      </w:r>
    </w:p>
    <w:p w14:paraId="60EC4D30">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8）企业应设置与企业规模相匹配的风险监测预警控制室，且应安装不少于1个摄像头，确保控制室中的机柜、显示屏、人员值守区域在视频监控范围内；</w:t>
      </w:r>
    </w:p>
    <w:p w14:paraId="67C2F0FB">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9）其他操作工房、中转工房等危险作业场所，应根据实际情况确定摄像头安装数量，确保人员出入等情况在视频监控范围内。</w:t>
      </w:r>
    </w:p>
    <w:p w14:paraId="7434437D">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6.风险监测预警系统的施工应严格遵守《视频安防监控系统技术要求》（GA/T367-2001）、《安全防范工程技术标准》（GB50348-2018）的相关规定。为提高稳定性、可靠性、安全性、耐用性，应做好如下防范措施：</w:t>
      </w:r>
    </w:p>
    <w:p w14:paraId="2CE4BD40">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（1）应按如下要求做好防雷措施：</w:t>
      </w:r>
    </w:p>
    <w:p w14:paraId="42EF6CB8">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1）监控机房引入的电源应采取三级配电二级保护的措施。</w:t>
      </w:r>
    </w:p>
    <w:p w14:paraId="529A6E65">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2）机房内的视频智能分析主机、硬盘录像机、光纤收发器等设备应使用电源防雷插座。</w:t>
      </w:r>
    </w:p>
    <w:p w14:paraId="687A3AE5">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3）各分叉箱体处均应安装电涌保护器以泄放机房至分线盒处线路的雷电感应电流。</w:t>
      </w:r>
    </w:p>
    <w:p w14:paraId="79B77888">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4）机房内所有设备应进行等电位连接。</w:t>
      </w:r>
    </w:p>
    <w:p w14:paraId="70C92A2E">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5）机房处应设置接地地网，且接地阻值不大于4Ω，接地导线应选用截面积大于16平方毫米的铜芯线。</w:t>
      </w:r>
    </w:p>
    <w:p w14:paraId="13C10350">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6）架空铺设的光纤，加强芯在光纤分叉箱体处及机房处均应做接地处理。</w:t>
      </w:r>
    </w:p>
    <w:p w14:paraId="5BDBAF48">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7）室外摄像头、分叉箱体的金属立杆应深埋处理，尽量降低接地电阻。</w:t>
      </w:r>
    </w:p>
    <w:p w14:paraId="065E43CA">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8）前端及机房的防雷接地，宜共用厂区防感应雷地网，以提高接地的可靠性。</w:t>
      </w:r>
    </w:p>
    <w:p w14:paraId="0E7F647D">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9）风险监测预警系统的防雷系统，宜由专业人员设计安装，应按要求定期进行专业检测。</w:t>
      </w:r>
    </w:p>
    <w:p w14:paraId="5020285A">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（2）应按如下要求做好防爆措施：</w:t>
      </w:r>
    </w:p>
    <w:p w14:paraId="25358188">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1）安装在工房内或粉尘场所电气设备的防爆等级应符合《烟花爆竹工程设计安全标准》（GB50161-2022）第12.2节的规定。</w:t>
      </w:r>
    </w:p>
    <w:p w14:paraId="7BA0FCA7">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2）电气线路的选型与安装应符合《烟花爆竹工程设计安全标准》（GB50161-2022）第12.3节的规定，使其符合防爆要求。</w:t>
      </w:r>
    </w:p>
    <w:p w14:paraId="49F1A5EC">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（3）工程施工应特别注意如下要求：</w:t>
      </w:r>
    </w:p>
    <w:p w14:paraId="70777D6C">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1）前端摄像机和录像机之间应采用有线连接，严禁使用无线、微波等无线连接方式；前端摄像机宜安装在危险工房外，必须安装在工房内的，应做好防爆、绝缘、防雷、接地、防火等措施。</w:t>
      </w:r>
    </w:p>
    <w:p w14:paraId="4EB1FB89">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2）摄像头应根据实际距离，选择适合的焦距，确保图像清晰，比例适宜，摄像头的安装应对准关键部位（如操作间必须对准人员操作区域等），在选择安装位置时应综合考虑顺光逆光等多种影响图像质量的因素，确保图像质量清晰。</w:t>
      </w:r>
    </w:p>
    <w:p w14:paraId="5E6297AB">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3）摄像头不应采用POE供电，主电源应采用集中供电方式。</w:t>
      </w:r>
    </w:p>
    <w:p w14:paraId="1A032C5A">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4）220V 电源线不应敷设在1.1级工房墙体上；电源线不应与光纤、网线共用同一套管。</w:t>
      </w:r>
    </w:p>
    <w:p w14:paraId="13CF1568">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7.企业应做好风险监测预警系统的日常管理与维护保养工作。</w:t>
      </w:r>
    </w:p>
    <w:p w14:paraId="3D56D22F">
      <w:pPr>
        <w:spacing w:line="360" w:lineRule="auto"/>
        <w:ind w:firstLine="536" w:firstLineChars="200"/>
        <w:rPr>
          <w:rFonts w:cs="宋体" w:asciiTheme="minorEastAsia" w:hAnsiTheme="minorEastAsia" w:eastAsiaTheme="minorEastAsia"/>
          <w:b w:val="0"/>
          <w:bCs/>
          <w:spacing w:val="-6"/>
          <w:sz w:val="28"/>
          <w:szCs w:val="28"/>
        </w:rPr>
      </w:pPr>
      <w:r>
        <w:rPr>
          <w:rFonts w:hint="eastAsia" w:cs="宋体" w:asciiTheme="minorEastAsia" w:hAnsiTheme="minorEastAsia" w:eastAsiaTheme="minorEastAsia"/>
          <w:b w:val="0"/>
          <w:bCs/>
          <w:spacing w:val="-6"/>
          <w:sz w:val="28"/>
          <w:szCs w:val="28"/>
        </w:rPr>
        <w:t>1）应结合本企业实际情况，建立健全风险监测预警系统管理制度。</w:t>
      </w:r>
    </w:p>
    <w:p w14:paraId="55FFD58D">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2）应遵循“一主两备”的管理员配置原则，明确指定一名专职的风险监测预警系统管理员，并同步配备不少于两名具备同等专业能力和应急响应职责的备用管理员，从而确保在任何情况下，风险监测预警系统的运行与管理都能保持无缝衔接与高效值守，并确保生产与值守同步。</w:t>
      </w:r>
    </w:p>
    <w:p w14:paraId="25F72E7C">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3）应及时跟踪处理安全警报，对接收到的预警信息进行核查、跟踪和闭环管理，直至风险得到有效控制或解除。</w:t>
      </w:r>
    </w:p>
    <w:p w14:paraId="67E0F1FC">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4）应建立风险监测预警系统管理台账，如实记录风险处置情况。</w:t>
      </w:r>
    </w:p>
    <w:p w14:paraId="765CD8A2">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5）应及时检查系统设备的工作状况，当设备出现异常或故障，应在2小时内告知维保公司，并对维保工作进行跟踪，确保故障及时排除。</w:t>
      </w:r>
    </w:p>
    <w:p w14:paraId="7D41A24B">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 xml:space="preserve">  6）风险监测预警系统出现故障，其相应工房或生产线应及时停止生产，待修复后方可恢复生产。</w:t>
      </w:r>
    </w:p>
    <w:p w14:paraId="54C8814C">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8.火灾自动报警系统应符合下列规定</w:t>
      </w:r>
    </w:p>
    <w:p w14:paraId="40E93836">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1）仅需要报警，不需要联动雨淋系统时，宜采用区域报警系统；需要报警的同时需要联动消防雨淋系统时，应采用集中报警系统，并应设置消防控制室。火灾报警区域应按照单个危险品厂房划分。火灾探测区域应按照危险工作间划分，且探测区域的面积应覆盖生产工艺要求的保护面积。</w:t>
      </w:r>
    </w:p>
    <w:p w14:paraId="00B8A59D">
      <w:pPr>
        <w:spacing w:line="360" w:lineRule="auto"/>
        <w:ind w:firstLine="536" w:firstLineChars="200"/>
        <w:rPr>
          <w:rFonts w:cs="宋体" w:asciiTheme="minorEastAsia" w:hAnsiTheme="minorEastAsia" w:eastAsiaTheme="minorEastAsia"/>
          <w:b w:val="0"/>
          <w:bCs/>
          <w:spacing w:val="-6"/>
          <w:sz w:val="28"/>
          <w:szCs w:val="28"/>
        </w:rPr>
      </w:pPr>
      <w:r>
        <w:rPr>
          <w:rFonts w:hint="eastAsia" w:cs="宋体" w:asciiTheme="minorEastAsia" w:hAnsiTheme="minorEastAsia" w:eastAsiaTheme="minorEastAsia"/>
          <w:b w:val="0"/>
          <w:bCs/>
          <w:spacing w:val="-6"/>
          <w:sz w:val="28"/>
          <w:szCs w:val="28"/>
        </w:rPr>
        <w:t>2）火灾自动报警系统应选择响应时间不超过50ms的感应探测器。</w:t>
      </w:r>
    </w:p>
    <w:p w14:paraId="21A18F62">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3）每个防火分区应至少设置一只手动火灾报警按钮，从一个防火分区内的任何位置到最邻近的手动火灾报警按钮的步行距离不应大于30m。手动火灾报警按钮宜设置在出入口处外墙明显和便于操作的部位，当采用壁挂方式安装时，其底边距地高度宜为1.3m～1.5m，且应有明显标志。采用临时高压给水系统的厂房，其火灾报警信号应与压力开关等信号通过“或”逻辑组合方式启动消防水泵。</w:t>
      </w:r>
    </w:p>
    <w:p w14:paraId="09314920">
      <w:pPr>
        <w:spacing w:line="360" w:lineRule="auto"/>
        <w:ind w:firstLine="560" w:firstLineChars="200"/>
        <w:rPr>
          <w:rFonts w:cs="宋体" w:asciiTheme="minorEastAsia" w:hAnsiTheme="minorEastAsia" w:eastAsiaTheme="minorEastAsia"/>
          <w:b w:val="0"/>
          <w:bCs/>
          <w:sz w:val="28"/>
          <w:szCs w:val="28"/>
        </w:rPr>
      </w:pPr>
      <w:r>
        <w:rPr>
          <w:rFonts w:hint="eastAsia" w:cs="宋体" w:asciiTheme="minorEastAsia" w:hAnsiTheme="minorEastAsia" w:eastAsiaTheme="minorEastAsia"/>
          <w:b w:val="0"/>
          <w:bCs/>
          <w:sz w:val="28"/>
          <w:szCs w:val="28"/>
        </w:rPr>
        <w:t>4）各区域火灾报警控制器应设置在值班室或消防控制室内。</w:t>
      </w:r>
    </w:p>
    <w:p w14:paraId="38C2B772">
      <w:pPr>
        <w:spacing w:line="360" w:lineRule="auto"/>
        <w:ind w:firstLine="560" w:firstLineChars="200"/>
      </w:pPr>
      <w:r>
        <w:rPr>
          <w:rFonts w:hint="eastAsia" w:cs="宋体" w:asciiTheme="minorEastAsia" w:hAnsiTheme="minorEastAsia" w:eastAsiaTheme="minorEastAsia"/>
          <w:b w:val="0"/>
          <w:bCs/>
          <w:sz w:val="28"/>
          <w:szCs w:val="28"/>
        </w:rPr>
        <w:t>5）火灾报警系统设计除应符合本规定外，尚应符合现行国家标准《火灾自动报警系统设计规范》（GB50116-2013）的规定。</w:t>
      </w:r>
    </w:p>
    <w:p w14:paraId="37FA64DD">
      <w:pPr>
        <w:pStyle w:val="5"/>
        <w:rPr>
          <w:rFonts w:ascii="黑体" w:hAnsi="黑体" w:eastAsia="黑体" w:cs="宋体"/>
          <w:b w:val="0"/>
          <w:szCs w:val="28"/>
        </w:rPr>
      </w:pPr>
      <w:r>
        <w:rPr>
          <w:rFonts w:hint="eastAsia" w:ascii="黑体" w:hAnsi="黑体" w:eastAsia="黑体" w:cs="宋体"/>
          <w:b w:val="0"/>
          <w:szCs w:val="28"/>
        </w:rPr>
        <w:t>5.</w:t>
      </w:r>
      <w:r>
        <w:rPr>
          <w:rFonts w:ascii="黑体" w:hAnsi="黑体" w:eastAsia="黑体" w:cs="宋体"/>
          <w:b w:val="0"/>
          <w:szCs w:val="28"/>
        </w:rPr>
        <w:t>3</w:t>
      </w:r>
      <w:r>
        <w:rPr>
          <w:rFonts w:hint="eastAsia" w:ascii="黑体" w:hAnsi="黑体" w:eastAsia="黑体" w:cs="宋体"/>
          <w:b w:val="0"/>
          <w:szCs w:val="28"/>
        </w:rPr>
        <w:t>.5</w:t>
      </w:r>
      <w:bookmarkEnd w:id="572"/>
      <w:r>
        <w:rPr>
          <w:rFonts w:hint="eastAsia" w:ascii="黑体" w:hAnsi="黑体" w:eastAsia="黑体" w:cs="宋体"/>
          <w:b w:val="0"/>
          <w:szCs w:val="28"/>
        </w:rPr>
        <w:t>安全警示标识</w:t>
      </w:r>
    </w:p>
    <w:p w14:paraId="50E7FA59">
      <w:pPr>
        <w:spacing w:line="360" w:lineRule="auto"/>
        <w:ind w:firstLine="560" w:firstLineChars="200"/>
        <w:rPr>
          <w:rFonts w:ascii="宋体" w:hAnsi="宋体" w:cs="宋体"/>
          <w:b w:val="0"/>
          <w:bCs/>
          <w:spacing w:val="10"/>
          <w:kern w:val="24"/>
          <w:sz w:val="28"/>
          <w:szCs w:val="28"/>
        </w:rPr>
      </w:pPr>
      <w:r>
        <w:rPr>
          <w:rFonts w:hint="eastAsia"/>
          <w:b w:val="0"/>
          <w:bCs/>
          <w:sz w:val="28"/>
          <w:szCs w:val="28"/>
        </w:rPr>
        <w:t>该企业拟在新、改建工库房设立相应工房标识牌，在厂区原有的基础上增设</w:t>
      </w:r>
      <w:r>
        <w:rPr>
          <w:rFonts w:hint="eastAsia"/>
          <w:b w:val="0"/>
          <w:bCs/>
          <w:sz w:val="28"/>
          <w:szCs w:val="28"/>
          <w:lang w:val="en-GB"/>
        </w:rPr>
        <w:t>“消防重点单位”、“严禁超员”、“严禁超量”、“</w:t>
      </w:r>
      <w:r>
        <w:rPr>
          <w:rFonts w:hint="eastAsia"/>
          <w:b w:val="0"/>
          <w:bCs/>
          <w:sz w:val="28"/>
          <w:szCs w:val="28"/>
        </w:rPr>
        <w:t>禁止</w:t>
      </w:r>
      <w:r>
        <w:rPr>
          <w:rFonts w:hint="eastAsia"/>
          <w:b w:val="0"/>
          <w:bCs/>
          <w:sz w:val="28"/>
          <w:szCs w:val="28"/>
          <w:lang w:val="en-GB"/>
        </w:rPr>
        <w:t>烟火”、“</w:t>
      </w:r>
      <w:r>
        <w:rPr>
          <w:rFonts w:hint="eastAsia"/>
          <w:b w:val="0"/>
          <w:bCs/>
          <w:sz w:val="28"/>
          <w:szCs w:val="28"/>
        </w:rPr>
        <w:t>禁止吸烟</w:t>
      </w:r>
      <w:r>
        <w:rPr>
          <w:rFonts w:hint="eastAsia"/>
          <w:b w:val="0"/>
          <w:bCs/>
          <w:sz w:val="28"/>
          <w:szCs w:val="28"/>
          <w:lang w:val="en-GB"/>
        </w:rPr>
        <w:t>”、“</w:t>
      </w:r>
      <w:r>
        <w:rPr>
          <w:rFonts w:hint="eastAsia"/>
          <w:b w:val="0"/>
          <w:bCs/>
          <w:sz w:val="28"/>
          <w:szCs w:val="28"/>
        </w:rPr>
        <w:t>禁止带火种</w:t>
      </w:r>
      <w:r>
        <w:rPr>
          <w:rFonts w:hint="eastAsia"/>
          <w:b w:val="0"/>
          <w:bCs/>
          <w:sz w:val="28"/>
          <w:szCs w:val="28"/>
          <w:lang w:val="en-GB"/>
        </w:rPr>
        <w:t>”、“</w:t>
      </w:r>
      <w:r>
        <w:rPr>
          <w:rFonts w:hint="eastAsia"/>
          <w:b w:val="0"/>
          <w:bCs/>
          <w:sz w:val="28"/>
          <w:szCs w:val="28"/>
        </w:rPr>
        <w:t>注意安全</w:t>
      </w:r>
      <w:r>
        <w:rPr>
          <w:rFonts w:hint="eastAsia"/>
          <w:b w:val="0"/>
          <w:bCs/>
          <w:sz w:val="28"/>
          <w:szCs w:val="28"/>
          <w:lang w:val="en-GB"/>
        </w:rPr>
        <w:t>”、“</w:t>
      </w:r>
      <w:r>
        <w:rPr>
          <w:rFonts w:hint="eastAsia"/>
          <w:b w:val="0"/>
          <w:bCs/>
          <w:sz w:val="28"/>
          <w:szCs w:val="28"/>
        </w:rPr>
        <w:t>当心火灾</w:t>
      </w:r>
      <w:r>
        <w:rPr>
          <w:rFonts w:hint="eastAsia"/>
          <w:b w:val="0"/>
          <w:bCs/>
          <w:sz w:val="28"/>
          <w:szCs w:val="28"/>
          <w:lang w:val="en-GB"/>
        </w:rPr>
        <w:t>”、“</w:t>
      </w:r>
      <w:r>
        <w:rPr>
          <w:rFonts w:hint="eastAsia"/>
          <w:b w:val="0"/>
          <w:bCs/>
          <w:sz w:val="28"/>
          <w:szCs w:val="28"/>
        </w:rPr>
        <w:t>当心爆炸</w:t>
      </w:r>
      <w:r>
        <w:rPr>
          <w:rFonts w:hint="eastAsia"/>
          <w:b w:val="0"/>
          <w:bCs/>
          <w:sz w:val="28"/>
          <w:szCs w:val="28"/>
          <w:lang w:val="en-GB"/>
        </w:rPr>
        <w:t>”、“</w:t>
      </w:r>
      <w:r>
        <w:rPr>
          <w:rFonts w:hint="eastAsia"/>
          <w:b w:val="0"/>
          <w:bCs/>
          <w:sz w:val="28"/>
          <w:szCs w:val="28"/>
        </w:rPr>
        <w:t>当心触电</w:t>
      </w:r>
      <w:r>
        <w:rPr>
          <w:rFonts w:hint="eastAsia"/>
          <w:b w:val="0"/>
          <w:bCs/>
          <w:sz w:val="28"/>
          <w:szCs w:val="28"/>
          <w:lang w:val="en-GB"/>
        </w:rPr>
        <w:t>”等安全警示标志</w:t>
      </w:r>
      <w:r>
        <w:rPr>
          <w:rFonts w:hint="eastAsia" w:ascii="宋体" w:hAnsi="宋体" w:cs="宋体"/>
          <w:b w:val="0"/>
          <w:bCs/>
          <w:spacing w:val="10"/>
          <w:kern w:val="24"/>
          <w:sz w:val="28"/>
          <w:szCs w:val="28"/>
        </w:rPr>
        <w:t>。</w:t>
      </w:r>
    </w:p>
    <w:p w14:paraId="7EEB1AE6">
      <w:pPr>
        <w:pStyle w:val="5"/>
        <w:rPr>
          <w:rFonts w:ascii="黑体" w:hAnsi="黑体" w:eastAsia="黑体" w:cs="宋体"/>
          <w:b w:val="0"/>
          <w:szCs w:val="28"/>
        </w:rPr>
      </w:pPr>
      <w:bookmarkStart w:id="573" w:name="_Toc165038826"/>
      <w:r>
        <w:rPr>
          <w:rFonts w:hint="eastAsia" w:ascii="黑体" w:hAnsi="黑体" w:eastAsia="黑体" w:cs="宋体"/>
          <w:b w:val="0"/>
          <w:szCs w:val="28"/>
        </w:rPr>
        <w:t>5.</w:t>
      </w:r>
      <w:r>
        <w:rPr>
          <w:rFonts w:ascii="黑体" w:hAnsi="黑体" w:eastAsia="黑体" w:cs="宋体"/>
          <w:b w:val="0"/>
          <w:szCs w:val="28"/>
        </w:rPr>
        <w:t>3</w:t>
      </w:r>
      <w:r>
        <w:rPr>
          <w:rFonts w:hint="eastAsia" w:ascii="黑体" w:hAnsi="黑体" w:eastAsia="黑体" w:cs="宋体"/>
          <w:b w:val="0"/>
          <w:szCs w:val="28"/>
        </w:rPr>
        <w:t>.6</w:t>
      </w:r>
      <w:bookmarkEnd w:id="573"/>
      <w:r>
        <w:rPr>
          <w:rFonts w:hint="eastAsia" w:ascii="黑体" w:hAnsi="黑体" w:eastAsia="黑体" w:cs="宋体"/>
          <w:b w:val="0"/>
          <w:szCs w:val="28"/>
        </w:rPr>
        <w:t>运输工具、厂内道路</w:t>
      </w:r>
    </w:p>
    <w:p w14:paraId="25249572">
      <w:pPr>
        <w:spacing w:line="360" w:lineRule="auto"/>
        <w:ind w:firstLine="560" w:firstLineChars="200"/>
        <w:rPr>
          <w:rFonts w:ascii="宋体" w:hAnsi="宋体"/>
          <w:b w:val="0"/>
          <w:bCs/>
          <w:sz w:val="28"/>
          <w:szCs w:val="28"/>
        </w:rPr>
      </w:pPr>
      <w:r>
        <w:rPr>
          <w:rFonts w:hint="eastAsia" w:ascii="宋体" w:hAnsi="宋体"/>
          <w:b w:val="0"/>
          <w:bCs/>
          <w:sz w:val="28"/>
          <w:szCs w:val="28"/>
        </w:rPr>
        <w:t>该项目拟建主要运输道路宽度约4m，与各生产工库房的次要道路（宽度约2.5m）相连通。厂内运输拟采用电瓶车和人工运输，其中烟火药采用厢式防爆电瓶车运输，半成品采用装有护栏的电瓶车运输，在运输时应采取相应的运输方式和安全保护措施。</w:t>
      </w:r>
    </w:p>
    <w:p w14:paraId="78ED53A2">
      <w:pPr>
        <w:pStyle w:val="5"/>
        <w:rPr>
          <w:rFonts w:ascii="黑体" w:hAnsi="黑体" w:eastAsia="黑体" w:cs="宋体"/>
          <w:b w:val="0"/>
          <w:szCs w:val="28"/>
        </w:rPr>
      </w:pPr>
      <w:bookmarkStart w:id="574" w:name="_Toc165038827"/>
      <w:r>
        <w:rPr>
          <w:rFonts w:hint="eastAsia" w:ascii="黑体" w:hAnsi="黑体" w:eastAsia="黑体" w:cs="宋体"/>
          <w:b w:val="0"/>
          <w:szCs w:val="28"/>
        </w:rPr>
        <w:t>5.</w:t>
      </w:r>
      <w:r>
        <w:rPr>
          <w:rFonts w:ascii="黑体" w:hAnsi="黑体" w:eastAsia="黑体" w:cs="宋体"/>
          <w:b w:val="0"/>
          <w:szCs w:val="28"/>
        </w:rPr>
        <w:t>3</w:t>
      </w:r>
      <w:r>
        <w:rPr>
          <w:rFonts w:hint="eastAsia" w:ascii="黑体" w:hAnsi="黑体" w:eastAsia="黑体" w:cs="宋体"/>
          <w:b w:val="0"/>
          <w:szCs w:val="28"/>
        </w:rPr>
        <w:t>.7</w:t>
      </w:r>
      <w:bookmarkEnd w:id="574"/>
      <w:r>
        <w:rPr>
          <w:rFonts w:hint="eastAsia" w:ascii="黑体" w:hAnsi="黑体" w:eastAsia="黑体" w:cs="宋体"/>
          <w:b w:val="0"/>
          <w:szCs w:val="28"/>
        </w:rPr>
        <w:t>防护屏障</w:t>
      </w:r>
    </w:p>
    <w:p w14:paraId="2139FA5E">
      <w:pPr>
        <w:spacing w:line="360" w:lineRule="auto"/>
        <w:ind w:firstLine="560" w:firstLineChars="200"/>
        <w:rPr>
          <w:rFonts w:ascii="宋体" w:hAnsi="宋体"/>
          <w:b w:val="0"/>
          <w:bCs/>
          <w:sz w:val="28"/>
          <w:szCs w:val="28"/>
          <w:lang w:val="en-GB"/>
        </w:rPr>
      </w:pPr>
      <w:r>
        <w:rPr>
          <w:rFonts w:hint="eastAsia" w:ascii="宋体" w:hAnsi="宋体"/>
          <w:b w:val="0"/>
          <w:bCs/>
          <w:sz w:val="28"/>
          <w:szCs w:val="28"/>
        </w:rPr>
        <w:t>该企业1.1</w:t>
      </w:r>
      <w:r>
        <w:rPr>
          <w:rFonts w:hint="eastAsia" w:ascii="宋体" w:hAnsi="宋体"/>
          <w:b w:val="0"/>
          <w:bCs/>
          <w:sz w:val="28"/>
          <w:szCs w:val="28"/>
          <w:vertAlign w:val="superscript"/>
        </w:rPr>
        <w:t>-1</w:t>
      </w:r>
      <w:r>
        <w:rPr>
          <w:rFonts w:hint="eastAsia" w:ascii="宋体" w:hAnsi="宋体"/>
          <w:b w:val="0"/>
          <w:bCs/>
          <w:sz w:val="28"/>
          <w:szCs w:val="28"/>
        </w:rPr>
        <w:t>、</w:t>
      </w:r>
      <w:r>
        <w:rPr>
          <w:rFonts w:hint="eastAsia" w:ascii="宋体" w:hAnsi="宋体"/>
          <w:b w:val="0"/>
          <w:bCs/>
          <w:sz w:val="28"/>
          <w:szCs w:val="28"/>
          <w:lang w:val="en-GB"/>
        </w:rPr>
        <w:t>1.1</w:t>
      </w:r>
      <w:r>
        <w:rPr>
          <w:rFonts w:hint="eastAsia" w:ascii="宋体" w:hAnsi="宋体"/>
          <w:b w:val="0"/>
          <w:bCs/>
          <w:sz w:val="28"/>
          <w:szCs w:val="28"/>
          <w:vertAlign w:val="superscript"/>
          <w:lang w:val="en-GB"/>
        </w:rPr>
        <w:t xml:space="preserve">-2 </w:t>
      </w:r>
      <w:r>
        <w:rPr>
          <w:rFonts w:hint="eastAsia" w:ascii="宋体" w:hAnsi="宋体"/>
          <w:b w:val="0"/>
          <w:bCs/>
          <w:sz w:val="28"/>
          <w:szCs w:val="28"/>
          <w:lang w:val="en-GB"/>
        </w:rPr>
        <w:t>级工房应根据设计</w:t>
      </w:r>
      <w:r>
        <w:rPr>
          <w:rFonts w:hint="eastAsia" w:ascii="宋体" w:hAnsi="宋体"/>
          <w:b w:val="0"/>
          <w:bCs/>
          <w:sz w:val="28"/>
          <w:szCs w:val="28"/>
        </w:rPr>
        <w:t>和标准规范</w:t>
      </w:r>
      <w:r>
        <w:rPr>
          <w:rFonts w:hint="eastAsia" w:ascii="宋体" w:hAnsi="宋体"/>
          <w:b w:val="0"/>
          <w:bCs/>
          <w:sz w:val="28"/>
          <w:szCs w:val="28"/>
          <w:lang w:val="en-GB"/>
        </w:rPr>
        <w:t>要求修建防护屏障。</w:t>
      </w:r>
    </w:p>
    <w:p w14:paraId="325F2B6E">
      <w:pPr>
        <w:adjustRightInd w:val="0"/>
        <w:snapToGrid w:val="0"/>
        <w:spacing w:line="360" w:lineRule="auto"/>
        <w:ind w:firstLine="560" w:firstLineChars="200"/>
        <w:rPr>
          <w:rFonts w:ascii="宋体" w:hAnsi="宋体" w:cs="宋体"/>
          <w:b w:val="0"/>
          <w:bCs/>
          <w:sz w:val="28"/>
          <w:szCs w:val="28"/>
        </w:rPr>
      </w:pPr>
      <w:r>
        <w:rPr>
          <w:rFonts w:hint="eastAsia" w:ascii="宋体" w:hAnsi="宋体"/>
          <w:b w:val="0"/>
          <w:bCs/>
          <w:sz w:val="28"/>
          <w:szCs w:val="28"/>
          <w:lang w:val="en-GB"/>
        </w:rPr>
        <w:t>企业应定期对所有1.1级工房的防护屏障进行维护和修整，确保防护屏障符合标准要求</w:t>
      </w:r>
      <w:r>
        <w:rPr>
          <w:rFonts w:hint="eastAsia" w:ascii="宋体" w:hAnsi="宋体" w:cs="宋体"/>
          <w:b w:val="0"/>
          <w:bCs/>
          <w:sz w:val="28"/>
          <w:szCs w:val="28"/>
        </w:rPr>
        <w:t>。</w:t>
      </w:r>
    </w:p>
    <w:p w14:paraId="0E3CA2D9">
      <w:pPr>
        <w:pStyle w:val="5"/>
        <w:rPr>
          <w:rFonts w:ascii="黑体" w:hAnsi="黑体" w:eastAsia="黑体" w:cs="宋体"/>
          <w:b w:val="0"/>
          <w:szCs w:val="28"/>
        </w:rPr>
      </w:pPr>
      <w:r>
        <w:rPr>
          <w:rFonts w:hint="eastAsia" w:ascii="黑体" w:hAnsi="黑体" w:eastAsia="黑体" w:cs="宋体"/>
          <w:b w:val="0"/>
          <w:szCs w:val="28"/>
        </w:rPr>
        <w:t>5.</w:t>
      </w:r>
      <w:r>
        <w:rPr>
          <w:rFonts w:ascii="黑体" w:hAnsi="黑体" w:eastAsia="黑体" w:cs="宋体"/>
          <w:b w:val="0"/>
          <w:szCs w:val="28"/>
        </w:rPr>
        <w:t>3</w:t>
      </w:r>
      <w:r>
        <w:rPr>
          <w:rFonts w:hint="eastAsia" w:ascii="黑体" w:hAnsi="黑体" w:eastAsia="黑体" w:cs="宋体"/>
          <w:b w:val="0"/>
          <w:szCs w:val="28"/>
        </w:rPr>
        <w:t>.</w:t>
      </w:r>
      <w:r>
        <w:rPr>
          <w:rFonts w:ascii="黑体" w:hAnsi="黑体" w:eastAsia="黑体" w:cs="宋体"/>
          <w:b w:val="0"/>
          <w:szCs w:val="28"/>
        </w:rPr>
        <w:t>8</w:t>
      </w:r>
      <w:r>
        <w:rPr>
          <w:rFonts w:hint="eastAsia" w:ascii="黑体" w:hAnsi="黑体" w:eastAsia="黑体" w:cs="宋体"/>
          <w:b w:val="0"/>
          <w:szCs w:val="28"/>
        </w:rPr>
        <w:t>围墙</w:t>
      </w:r>
    </w:p>
    <w:p w14:paraId="7F91FD0A">
      <w:pPr>
        <w:spacing w:line="360" w:lineRule="auto"/>
        <w:ind w:firstLine="560" w:firstLineChars="200"/>
        <w:rPr>
          <w:rFonts w:ascii="宋体" w:hAnsi="宋体"/>
          <w:b w:val="0"/>
          <w:bCs/>
          <w:sz w:val="28"/>
          <w:szCs w:val="28"/>
        </w:rPr>
      </w:pPr>
      <w:r>
        <w:rPr>
          <w:rFonts w:hint="eastAsia" w:ascii="宋体" w:hAnsi="宋体"/>
          <w:b w:val="0"/>
          <w:bCs/>
          <w:sz w:val="28"/>
          <w:szCs w:val="28"/>
          <w:lang w:val="en-GB"/>
        </w:rPr>
        <w:t>依据《烟花爆竹工程设计安全标准》（GB50161-2022）的规定，该项目</w:t>
      </w:r>
      <w:r>
        <w:rPr>
          <w:rFonts w:hint="eastAsia" w:ascii="宋体" w:hAnsi="宋体"/>
          <w:b w:val="0"/>
          <w:bCs/>
          <w:sz w:val="28"/>
          <w:szCs w:val="28"/>
        </w:rPr>
        <w:t>拟设置全厂围墙（实体围墙+刺丝网围墙），并在人员易靠近的地方张贴醒目的警示标语等。</w:t>
      </w:r>
      <w:r>
        <w:rPr>
          <w:rFonts w:hint="eastAsia" w:ascii="宋体" w:hAnsi="宋体"/>
          <w:b w:val="0"/>
          <w:bCs/>
          <w:sz w:val="28"/>
          <w:szCs w:val="28"/>
          <w:lang w:val="en-GB"/>
        </w:rPr>
        <w:t>厂区入口处设置铁门控制无关人员进出，制定有加强日常巡查、人离落锁的相关制度</w:t>
      </w:r>
      <w:r>
        <w:rPr>
          <w:rFonts w:hint="eastAsia" w:ascii="宋体" w:hAnsi="宋体"/>
          <w:b w:val="0"/>
          <w:bCs/>
          <w:sz w:val="28"/>
          <w:szCs w:val="28"/>
        </w:rPr>
        <w:t>。</w:t>
      </w:r>
    </w:p>
    <w:p w14:paraId="2B0B6664">
      <w:pPr>
        <w:keepNext/>
        <w:keepLines/>
        <w:spacing w:before="120" w:beforeLines="50" w:line="360" w:lineRule="auto"/>
        <w:outlineLvl w:val="1"/>
        <w:rPr>
          <w:rFonts w:ascii="黑体" w:hAnsi="宋体" w:eastAsia="黑体"/>
          <w:b w:val="0"/>
          <w:bCs/>
          <w:snapToGrid w:val="0"/>
          <w:sz w:val="30"/>
          <w:szCs w:val="30"/>
        </w:rPr>
      </w:pPr>
      <w:bookmarkStart w:id="575" w:name="_Toc233449800"/>
      <w:bookmarkStart w:id="576" w:name="_Toc23551"/>
      <w:r>
        <w:rPr>
          <w:rFonts w:hint="eastAsia" w:ascii="黑体" w:hAnsi="宋体" w:eastAsia="黑体"/>
          <w:b w:val="0"/>
          <w:bCs/>
          <w:snapToGrid w:val="0"/>
          <w:sz w:val="30"/>
          <w:szCs w:val="30"/>
        </w:rPr>
        <w:t>5.</w:t>
      </w:r>
      <w:bookmarkEnd w:id="575"/>
      <w:r>
        <w:rPr>
          <w:rFonts w:ascii="黑体" w:hAnsi="宋体" w:eastAsia="黑体"/>
          <w:b w:val="0"/>
          <w:bCs/>
          <w:snapToGrid w:val="0"/>
          <w:sz w:val="30"/>
          <w:szCs w:val="30"/>
        </w:rPr>
        <w:t>4</w:t>
      </w:r>
      <w:r>
        <w:rPr>
          <w:rFonts w:hint="eastAsia" w:ascii="黑体" w:hAnsi="宋体" w:eastAsia="黑体"/>
          <w:b w:val="0"/>
          <w:bCs/>
          <w:snapToGrid w:val="0"/>
          <w:sz w:val="30"/>
          <w:szCs w:val="30"/>
        </w:rPr>
        <w:t>安全管理单元</w:t>
      </w:r>
      <w:bookmarkEnd w:id="576"/>
    </w:p>
    <w:p w14:paraId="705EE702">
      <w:pPr>
        <w:spacing w:line="360" w:lineRule="auto"/>
        <w:ind w:firstLine="560" w:firstLineChars="200"/>
        <w:rPr>
          <w:rFonts w:ascii="宋体" w:hAnsi="宋体" w:cs="宋体"/>
          <w:b w:val="0"/>
          <w:sz w:val="28"/>
          <w:szCs w:val="28"/>
        </w:rPr>
      </w:pPr>
      <w:r>
        <w:rPr>
          <w:rFonts w:hint="eastAsia" w:ascii="宋体" w:hAnsi="宋体" w:cs="宋体"/>
          <w:b w:val="0"/>
          <w:sz w:val="28"/>
          <w:szCs w:val="28"/>
        </w:rPr>
        <w:t>运用安全检查表法对本单元进行分析评价，具体见表5.</w:t>
      </w:r>
      <w:r>
        <w:rPr>
          <w:rFonts w:ascii="宋体" w:hAnsi="宋体" w:cs="宋体"/>
          <w:b w:val="0"/>
          <w:sz w:val="28"/>
          <w:szCs w:val="28"/>
        </w:rPr>
        <w:t>4</w:t>
      </w:r>
      <w:r>
        <w:rPr>
          <w:rFonts w:hint="eastAsia" w:ascii="宋体" w:hAnsi="宋体" w:cs="宋体"/>
          <w:b w:val="0"/>
          <w:sz w:val="28"/>
          <w:szCs w:val="28"/>
        </w:rPr>
        <w:t>-1。</w:t>
      </w:r>
    </w:p>
    <w:p w14:paraId="5ADCDB13">
      <w:pPr>
        <w:jc w:val="center"/>
        <w:rPr>
          <w:rFonts w:ascii="黑体" w:hAnsi="黑体" w:eastAsia="黑体" w:cs="Arial"/>
          <w:b w:val="0"/>
          <w:sz w:val="24"/>
        </w:rPr>
      </w:pPr>
      <w:r>
        <w:rPr>
          <w:rFonts w:ascii="黑体" w:hAnsi="黑体" w:eastAsia="黑体" w:cs="Arial"/>
          <w:b w:val="0"/>
          <w:sz w:val="24"/>
        </w:rPr>
        <w:t>表5.4</w:t>
      </w:r>
      <w:r>
        <w:rPr>
          <w:rFonts w:hint="eastAsia" w:ascii="黑体" w:hAnsi="黑体" w:eastAsia="黑体" w:cs="Arial"/>
          <w:b w:val="0"/>
          <w:sz w:val="24"/>
        </w:rPr>
        <w:t>-1</w:t>
      </w:r>
      <w:r>
        <w:rPr>
          <w:rFonts w:ascii="黑体" w:hAnsi="黑体" w:eastAsia="黑体" w:cs="Arial"/>
          <w:b w:val="0"/>
          <w:sz w:val="24"/>
        </w:rPr>
        <w:t xml:space="preserve">  </w:t>
      </w:r>
      <w:r>
        <w:rPr>
          <w:rFonts w:hint="eastAsia" w:ascii="黑体" w:hAnsi="黑体" w:eastAsia="黑体" w:cs="Arial"/>
          <w:b w:val="0"/>
          <w:sz w:val="24"/>
        </w:rPr>
        <w:t>安全管理单元评价</w:t>
      </w:r>
      <w:r>
        <w:rPr>
          <w:rFonts w:ascii="黑体" w:hAnsi="黑体" w:eastAsia="黑体" w:cs="Arial"/>
          <w:b w:val="0"/>
          <w:sz w:val="24"/>
        </w:rPr>
        <w:t>表</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57" w:type="dxa"/>
          <w:bottom w:w="0" w:type="dxa"/>
          <w:right w:w="57" w:type="dxa"/>
        </w:tblCellMar>
      </w:tblPr>
      <w:tblGrid>
        <w:gridCol w:w="524"/>
        <w:gridCol w:w="3599"/>
        <w:gridCol w:w="2074"/>
        <w:gridCol w:w="2396"/>
        <w:gridCol w:w="593"/>
      </w:tblGrid>
      <w:tr w14:paraId="17A497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tblHeader/>
          <w:jc w:val="center"/>
        </w:trPr>
        <w:tc>
          <w:tcPr>
            <w:tcW w:w="285" w:type="pct"/>
            <w:vAlign w:val="center"/>
          </w:tcPr>
          <w:p w14:paraId="2ECC151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Cs/>
                <w:szCs w:val="21"/>
              </w:rPr>
            </w:pPr>
            <w:r>
              <w:rPr>
                <w:rFonts w:hint="eastAsia" w:ascii="宋体" w:hAnsi="宋体"/>
                <w:bCs/>
                <w:szCs w:val="21"/>
              </w:rPr>
              <w:t>序号</w:t>
            </w:r>
          </w:p>
        </w:tc>
        <w:tc>
          <w:tcPr>
            <w:tcW w:w="1959" w:type="pct"/>
            <w:vAlign w:val="center"/>
          </w:tcPr>
          <w:p w14:paraId="5CD5E26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Cs/>
                <w:szCs w:val="21"/>
              </w:rPr>
            </w:pPr>
            <w:r>
              <w:rPr>
                <w:rFonts w:hint="eastAsia" w:ascii="宋体" w:hAnsi="宋体"/>
                <w:bCs/>
                <w:szCs w:val="21"/>
              </w:rPr>
              <w:t>检查内容</w:t>
            </w:r>
          </w:p>
        </w:tc>
        <w:tc>
          <w:tcPr>
            <w:tcW w:w="1129" w:type="pct"/>
            <w:vAlign w:val="center"/>
          </w:tcPr>
          <w:p w14:paraId="05A7E8C3">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Cs/>
                <w:szCs w:val="21"/>
              </w:rPr>
            </w:pPr>
            <w:r>
              <w:rPr>
                <w:rFonts w:hint="eastAsia" w:ascii="宋体" w:hAnsi="宋体"/>
                <w:bCs/>
                <w:szCs w:val="21"/>
              </w:rPr>
              <w:t>依据法规标准</w:t>
            </w:r>
          </w:p>
        </w:tc>
        <w:tc>
          <w:tcPr>
            <w:tcW w:w="1304" w:type="pct"/>
            <w:vAlign w:val="center"/>
          </w:tcPr>
          <w:p w14:paraId="1165F71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Cs/>
                <w:szCs w:val="21"/>
              </w:rPr>
            </w:pPr>
            <w:r>
              <w:rPr>
                <w:rFonts w:hint="eastAsia" w:ascii="宋体" w:hAnsi="宋体"/>
                <w:bCs/>
                <w:szCs w:val="21"/>
              </w:rPr>
              <w:t>实际情况</w:t>
            </w:r>
          </w:p>
        </w:tc>
        <w:tc>
          <w:tcPr>
            <w:tcW w:w="321" w:type="pct"/>
            <w:vAlign w:val="center"/>
          </w:tcPr>
          <w:p w14:paraId="60D2C77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Cs/>
                <w:szCs w:val="21"/>
              </w:rPr>
            </w:pPr>
            <w:r>
              <w:rPr>
                <w:rFonts w:hint="eastAsia" w:ascii="宋体" w:hAnsi="宋体"/>
                <w:bCs/>
                <w:szCs w:val="21"/>
              </w:rPr>
              <w:t>检查结论</w:t>
            </w:r>
          </w:p>
        </w:tc>
      </w:tr>
      <w:tr w14:paraId="0EA123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5000" w:type="pct"/>
            <w:gridSpan w:val="5"/>
            <w:vAlign w:val="center"/>
          </w:tcPr>
          <w:p w14:paraId="7D4C921B">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一、安全生产责任制与安全管理制度、安全规程</w:t>
            </w:r>
          </w:p>
        </w:tc>
      </w:tr>
      <w:tr w14:paraId="5FF743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85" w:type="pct"/>
            <w:vAlign w:val="center"/>
          </w:tcPr>
          <w:p w14:paraId="7216503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1</w:t>
            </w:r>
          </w:p>
        </w:tc>
        <w:tc>
          <w:tcPr>
            <w:tcW w:w="1959" w:type="pct"/>
            <w:vAlign w:val="center"/>
          </w:tcPr>
          <w:p w14:paraId="0E514F13">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烟花爆竹生产企业应当建立健全主要负责人、分管负责人、安全生产管理人员、职能部门、岗位的安全生产责任制</w:t>
            </w:r>
          </w:p>
        </w:tc>
        <w:tc>
          <w:tcPr>
            <w:tcW w:w="1129" w:type="pct"/>
            <w:vAlign w:val="center"/>
          </w:tcPr>
          <w:p w14:paraId="2E1ABB3E">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《烟花爆竹生产企业安全生产许可证实施办法》</w:t>
            </w:r>
          </w:p>
        </w:tc>
        <w:tc>
          <w:tcPr>
            <w:tcW w:w="1304" w:type="pct"/>
            <w:vAlign w:val="center"/>
          </w:tcPr>
          <w:p w14:paraId="3CFFAF5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制定有主要负责人、分管负责人、安全生产管理人员、各职能部门、岗位的安全生产责任制</w:t>
            </w:r>
          </w:p>
        </w:tc>
        <w:tc>
          <w:tcPr>
            <w:tcW w:w="321" w:type="pct"/>
            <w:vAlign w:val="center"/>
          </w:tcPr>
          <w:p w14:paraId="4C91FF1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4B30D5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85" w:type="pct"/>
            <w:vAlign w:val="center"/>
          </w:tcPr>
          <w:p w14:paraId="0D639D3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2</w:t>
            </w:r>
          </w:p>
        </w:tc>
        <w:tc>
          <w:tcPr>
            <w:tcW w:w="1959" w:type="pct"/>
            <w:vAlign w:val="center"/>
          </w:tcPr>
          <w:p w14:paraId="3323090E">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烟花爆竹生产企业应当制定从业人员的安全教育、培训、劳动防护用品（具），安全设施、设备，作业场所防火、防毒、防爆和职业卫生，安全检查、隐患整改、事故调查处理，安全生产奖惩等规章制度</w:t>
            </w:r>
          </w:p>
        </w:tc>
        <w:tc>
          <w:tcPr>
            <w:tcW w:w="1129" w:type="pct"/>
            <w:vAlign w:val="center"/>
          </w:tcPr>
          <w:p w14:paraId="1DE0A812">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《烟花爆竹生产企业安全生产许可证实施办法》</w:t>
            </w:r>
          </w:p>
        </w:tc>
        <w:tc>
          <w:tcPr>
            <w:tcW w:w="1304" w:type="pct"/>
            <w:vAlign w:val="center"/>
          </w:tcPr>
          <w:p w14:paraId="29A87850">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制订有安全生产管理制度、从业人员安全教育培训制度、安全生产奖惩制度、防火防爆管理制度、安全检查制度、安全隐患整改制度、事故报告处理制度、劳动防护与职业卫生管理制度、成品仓库安全管理制度、危险化学品运输管理制度、原材料仓库安全管理制度、生产车间安全管理制度、设备维护等制度及事故应急救援预案</w:t>
            </w:r>
          </w:p>
        </w:tc>
        <w:tc>
          <w:tcPr>
            <w:tcW w:w="321" w:type="pct"/>
            <w:vAlign w:val="center"/>
          </w:tcPr>
          <w:p w14:paraId="24D4197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151C65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85" w:type="pct"/>
            <w:vAlign w:val="center"/>
          </w:tcPr>
          <w:p w14:paraId="69ECFAB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3</w:t>
            </w:r>
          </w:p>
        </w:tc>
        <w:tc>
          <w:tcPr>
            <w:tcW w:w="1959" w:type="pct"/>
            <w:vAlign w:val="center"/>
          </w:tcPr>
          <w:p w14:paraId="13658A78">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用人单位必须建立、健全劳动安全卫生制度，严格执行国家对劳动安全卫生规定和标准，对劳动者进行劳动安全卫生教育，防止劳动过程中的事故，较少职业危害</w:t>
            </w:r>
          </w:p>
        </w:tc>
        <w:tc>
          <w:tcPr>
            <w:tcW w:w="1129" w:type="pct"/>
            <w:vAlign w:val="center"/>
          </w:tcPr>
          <w:p w14:paraId="4349528E">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《中华人民共和国职业病防治法》</w:t>
            </w:r>
          </w:p>
        </w:tc>
        <w:tc>
          <w:tcPr>
            <w:tcW w:w="1304" w:type="pct"/>
            <w:vAlign w:val="center"/>
          </w:tcPr>
          <w:p w14:paraId="53C0D35C">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有相关教育培训制度，并有相关的记录</w:t>
            </w:r>
          </w:p>
        </w:tc>
        <w:tc>
          <w:tcPr>
            <w:tcW w:w="321" w:type="pct"/>
            <w:vAlign w:val="center"/>
          </w:tcPr>
          <w:p w14:paraId="1D2408F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306AC9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624" w:hRule="atLeast"/>
          <w:jc w:val="center"/>
        </w:trPr>
        <w:tc>
          <w:tcPr>
            <w:tcW w:w="5000" w:type="pct"/>
            <w:gridSpan w:val="5"/>
            <w:vAlign w:val="center"/>
          </w:tcPr>
          <w:p w14:paraId="653618D5">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二、安全管理组织结构</w:t>
            </w:r>
          </w:p>
        </w:tc>
      </w:tr>
      <w:tr w14:paraId="015972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85" w:type="pct"/>
            <w:vAlign w:val="center"/>
          </w:tcPr>
          <w:p w14:paraId="649F679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1</w:t>
            </w:r>
          </w:p>
        </w:tc>
        <w:tc>
          <w:tcPr>
            <w:tcW w:w="1959" w:type="pct"/>
            <w:vAlign w:val="center"/>
          </w:tcPr>
          <w:p w14:paraId="121E316F">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烟花爆竹生产企业应当设置安全生产管理机构，配备专职安全管理人员</w:t>
            </w:r>
          </w:p>
        </w:tc>
        <w:tc>
          <w:tcPr>
            <w:tcW w:w="1129" w:type="pct"/>
            <w:vAlign w:val="center"/>
          </w:tcPr>
          <w:p w14:paraId="1342D8CC">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《烟花爆竹生产企业安全生产许可证实施办法》</w:t>
            </w:r>
          </w:p>
        </w:tc>
        <w:tc>
          <w:tcPr>
            <w:tcW w:w="1304" w:type="pct"/>
            <w:vAlign w:val="center"/>
          </w:tcPr>
          <w:p w14:paraId="3389038B">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设立了安全生产领导小组，配备了安全生产管理人员</w:t>
            </w:r>
          </w:p>
        </w:tc>
        <w:tc>
          <w:tcPr>
            <w:tcW w:w="321" w:type="pct"/>
            <w:vAlign w:val="center"/>
          </w:tcPr>
          <w:p w14:paraId="31423133">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523625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800" w:hRule="atLeast"/>
          <w:jc w:val="center"/>
        </w:trPr>
        <w:tc>
          <w:tcPr>
            <w:tcW w:w="285" w:type="pct"/>
            <w:vAlign w:val="center"/>
          </w:tcPr>
          <w:p w14:paraId="6BDC98F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2</w:t>
            </w:r>
          </w:p>
        </w:tc>
        <w:tc>
          <w:tcPr>
            <w:tcW w:w="1959" w:type="pct"/>
            <w:vAlign w:val="center"/>
          </w:tcPr>
          <w:p w14:paraId="4395D522">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企业可以根据需要建立职工组成义务消防队</w:t>
            </w:r>
          </w:p>
        </w:tc>
        <w:tc>
          <w:tcPr>
            <w:tcW w:w="1129" w:type="pct"/>
            <w:vAlign w:val="center"/>
          </w:tcPr>
          <w:p w14:paraId="076900D9">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《中华人民共和国消防法》</w:t>
            </w:r>
          </w:p>
        </w:tc>
        <w:tc>
          <w:tcPr>
            <w:tcW w:w="1304" w:type="pct"/>
            <w:vAlign w:val="center"/>
          </w:tcPr>
          <w:p w14:paraId="4601D7D6">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成立了义务消防队</w:t>
            </w:r>
          </w:p>
        </w:tc>
        <w:tc>
          <w:tcPr>
            <w:tcW w:w="321" w:type="pct"/>
            <w:vAlign w:val="center"/>
          </w:tcPr>
          <w:p w14:paraId="5A07FDE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5DCFA1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654" w:hRule="atLeast"/>
          <w:jc w:val="center"/>
        </w:trPr>
        <w:tc>
          <w:tcPr>
            <w:tcW w:w="5000" w:type="pct"/>
            <w:gridSpan w:val="5"/>
            <w:vAlign w:val="center"/>
          </w:tcPr>
          <w:p w14:paraId="16FC8B76">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三、从业人员</w:t>
            </w:r>
          </w:p>
        </w:tc>
      </w:tr>
      <w:tr w14:paraId="5DE1F2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85" w:type="pct"/>
            <w:vAlign w:val="center"/>
          </w:tcPr>
          <w:p w14:paraId="634D32F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1</w:t>
            </w:r>
          </w:p>
        </w:tc>
        <w:tc>
          <w:tcPr>
            <w:tcW w:w="1959" w:type="pct"/>
            <w:vAlign w:val="center"/>
          </w:tcPr>
          <w:p w14:paraId="2B6453E3">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烟花爆竹生产企业主要负责人、安全生产管理人员的安全生产知识和管理能力应当经考核合格</w:t>
            </w:r>
          </w:p>
        </w:tc>
        <w:tc>
          <w:tcPr>
            <w:tcW w:w="1129" w:type="pct"/>
            <w:vAlign w:val="center"/>
          </w:tcPr>
          <w:p w14:paraId="26BA5F2F">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《烟花爆竹生产企业安全生产许可证实施办法》</w:t>
            </w:r>
          </w:p>
        </w:tc>
        <w:tc>
          <w:tcPr>
            <w:tcW w:w="1304" w:type="pct"/>
            <w:vAlign w:val="center"/>
          </w:tcPr>
          <w:p w14:paraId="4D63B94C">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ascii="宋体" w:hAnsi="宋体"/>
                <w:b w:val="0"/>
                <w:szCs w:val="21"/>
              </w:rPr>
            </w:pPr>
            <w:r>
              <w:rPr>
                <w:rFonts w:hint="eastAsia" w:ascii="宋体" w:hAnsi="宋体"/>
                <w:b w:val="0"/>
                <w:szCs w:val="21"/>
              </w:rPr>
              <w:t>主要负责人、安全生产管理人员经培训持有安全资格证书或安全资格培训证明</w:t>
            </w:r>
          </w:p>
        </w:tc>
        <w:tc>
          <w:tcPr>
            <w:tcW w:w="321" w:type="pct"/>
            <w:vAlign w:val="center"/>
          </w:tcPr>
          <w:p w14:paraId="4C6EFA1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1ABE05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85" w:type="pct"/>
            <w:vAlign w:val="center"/>
          </w:tcPr>
          <w:p w14:paraId="36B1D71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2</w:t>
            </w:r>
          </w:p>
        </w:tc>
        <w:tc>
          <w:tcPr>
            <w:tcW w:w="1959" w:type="pct"/>
            <w:vAlign w:val="center"/>
          </w:tcPr>
          <w:p w14:paraId="21E9748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特种作业人员应当经有关业务主管部门考核合格，取得特种作业操作资格证书</w:t>
            </w:r>
          </w:p>
        </w:tc>
        <w:tc>
          <w:tcPr>
            <w:tcW w:w="1129" w:type="pct"/>
            <w:vAlign w:val="center"/>
          </w:tcPr>
          <w:p w14:paraId="2FCBF7E2">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《烟花爆竹生产企业安全生产许可证实施办法》</w:t>
            </w:r>
          </w:p>
        </w:tc>
        <w:tc>
          <w:tcPr>
            <w:tcW w:w="1304" w:type="pct"/>
            <w:vAlign w:val="center"/>
          </w:tcPr>
          <w:p w14:paraId="6F3B8E7F">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特种作业人员均持证上岗</w:t>
            </w:r>
          </w:p>
        </w:tc>
        <w:tc>
          <w:tcPr>
            <w:tcW w:w="321" w:type="pct"/>
            <w:vAlign w:val="center"/>
          </w:tcPr>
          <w:p w14:paraId="06C573F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6126EB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85" w:type="pct"/>
            <w:vAlign w:val="center"/>
          </w:tcPr>
          <w:p w14:paraId="7813F4B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3</w:t>
            </w:r>
          </w:p>
        </w:tc>
        <w:tc>
          <w:tcPr>
            <w:tcW w:w="1959" w:type="pct"/>
            <w:vAlign w:val="center"/>
          </w:tcPr>
          <w:p w14:paraId="3F59A1F7">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生产经营单位应当对从业人员进行安全生产教育和培训，保证从业人员具备必要的安全生产知识，熟悉有关的安全生产规章制度和安全操作规程，掌握本岗位的安全操作技能。未经安全生产教育和培训合格的从业人员，不得上岗作业。</w:t>
            </w:r>
          </w:p>
        </w:tc>
        <w:tc>
          <w:tcPr>
            <w:tcW w:w="1129" w:type="pct"/>
            <w:vAlign w:val="center"/>
          </w:tcPr>
          <w:p w14:paraId="6FA6DE5B">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《中华人民共和国安全生产法》</w:t>
            </w:r>
          </w:p>
        </w:tc>
        <w:tc>
          <w:tcPr>
            <w:tcW w:w="1304" w:type="pct"/>
            <w:vAlign w:val="center"/>
          </w:tcPr>
          <w:p w14:paraId="4227DDD0">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pacing w:val="-4"/>
                <w:szCs w:val="21"/>
              </w:rPr>
            </w:pPr>
            <w:r>
              <w:rPr>
                <w:rFonts w:hint="eastAsia" w:ascii="宋体" w:hAnsi="宋体"/>
                <w:b w:val="0"/>
                <w:spacing w:val="-4"/>
                <w:szCs w:val="21"/>
              </w:rPr>
              <w:t>有安全培训制度和相关记录</w:t>
            </w:r>
          </w:p>
        </w:tc>
        <w:tc>
          <w:tcPr>
            <w:tcW w:w="321" w:type="pct"/>
            <w:vAlign w:val="center"/>
          </w:tcPr>
          <w:p w14:paraId="67FE1181">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617246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85" w:type="pct"/>
            <w:vAlign w:val="center"/>
          </w:tcPr>
          <w:p w14:paraId="5FAED72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4</w:t>
            </w:r>
          </w:p>
        </w:tc>
        <w:tc>
          <w:tcPr>
            <w:tcW w:w="1959" w:type="pct"/>
            <w:vAlign w:val="center"/>
          </w:tcPr>
          <w:p w14:paraId="486E1DBC">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生产经营单位采用新工艺、新技术、新材料或者使用新设备，必须了解、掌握其安全技术特性，采取有效的安全防护措施，并对从业人员进行专门的安全生产教育和培训</w:t>
            </w:r>
          </w:p>
        </w:tc>
        <w:tc>
          <w:tcPr>
            <w:tcW w:w="1129" w:type="pct"/>
            <w:vAlign w:val="center"/>
          </w:tcPr>
          <w:p w14:paraId="308D98C9">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《中华人民共和国安全生产法》</w:t>
            </w:r>
          </w:p>
        </w:tc>
        <w:tc>
          <w:tcPr>
            <w:tcW w:w="1304" w:type="pct"/>
            <w:vAlign w:val="center"/>
          </w:tcPr>
          <w:p w14:paraId="0C386FCC">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项目在开工投产前，对生产设备及其安全装置进行检测与检查，对从业人员进行了安全生产教育和培训</w:t>
            </w:r>
          </w:p>
        </w:tc>
        <w:tc>
          <w:tcPr>
            <w:tcW w:w="321" w:type="pct"/>
            <w:vAlign w:val="center"/>
          </w:tcPr>
          <w:p w14:paraId="1FEDEEF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54D76D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5000" w:type="pct"/>
            <w:gridSpan w:val="5"/>
            <w:vAlign w:val="center"/>
          </w:tcPr>
          <w:p w14:paraId="28A79EC2">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四、安全管理落实情况</w:t>
            </w:r>
          </w:p>
        </w:tc>
      </w:tr>
      <w:tr w14:paraId="2B6480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85" w:type="pct"/>
            <w:vAlign w:val="center"/>
          </w:tcPr>
          <w:p w14:paraId="2805133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1</w:t>
            </w:r>
          </w:p>
        </w:tc>
        <w:tc>
          <w:tcPr>
            <w:tcW w:w="1959" w:type="pct"/>
            <w:vAlign w:val="center"/>
          </w:tcPr>
          <w:p w14:paraId="6D67C31A">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生产经营单位新建、改建、扩建工程项目的安全设施，必须与主体工程同时设计、同时设计、同时施工、同时投入生产和使用。安全设施投资应当纳入建设项目概算。</w:t>
            </w:r>
          </w:p>
        </w:tc>
        <w:tc>
          <w:tcPr>
            <w:tcW w:w="1129" w:type="pct"/>
            <w:vAlign w:val="center"/>
          </w:tcPr>
          <w:p w14:paraId="20215E4E">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《中华人民共和国安全生产法》</w:t>
            </w:r>
          </w:p>
        </w:tc>
        <w:tc>
          <w:tcPr>
            <w:tcW w:w="1304" w:type="pct"/>
            <w:vAlign w:val="center"/>
          </w:tcPr>
          <w:p w14:paraId="443AAD1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符合要求</w:t>
            </w:r>
          </w:p>
        </w:tc>
        <w:tc>
          <w:tcPr>
            <w:tcW w:w="321" w:type="pct"/>
            <w:vAlign w:val="center"/>
          </w:tcPr>
          <w:p w14:paraId="4C60E75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6483D1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85" w:type="pct"/>
            <w:vAlign w:val="center"/>
          </w:tcPr>
          <w:p w14:paraId="48B7895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2</w:t>
            </w:r>
          </w:p>
        </w:tc>
        <w:tc>
          <w:tcPr>
            <w:tcW w:w="1959" w:type="pct"/>
            <w:vAlign w:val="center"/>
          </w:tcPr>
          <w:p w14:paraId="5FDB2855">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生产经营单位应当具备安全生产条件所必需的资金投入，生产经营单位的主要负责人应保证本单位安全生产投入的有效实施</w:t>
            </w:r>
          </w:p>
        </w:tc>
        <w:tc>
          <w:tcPr>
            <w:tcW w:w="1129" w:type="pct"/>
            <w:vAlign w:val="center"/>
          </w:tcPr>
          <w:p w14:paraId="16373FBC">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《中华人民共和国安全生产法》</w:t>
            </w:r>
          </w:p>
        </w:tc>
        <w:tc>
          <w:tcPr>
            <w:tcW w:w="1304" w:type="pct"/>
            <w:vAlign w:val="center"/>
          </w:tcPr>
          <w:p w14:paraId="12E83D5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符合要求</w:t>
            </w:r>
          </w:p>
        </w:tc>
        <w:tc>
          <w:tcPr>
            <w:tcW w:w="321" w:type="pct"/>
            <w:vAlign w:val="center"/>
          </w:tcPr>
          <w:p w14:paraId="79C4CB7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340AD7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85" w:type="pct"/>
            <w:vAlign w:val="center"/>
          </w:tcPr>
          <w:p w14:paraId="73E343B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3</w:t>
            </w:r>
          </w:p>
        </w:tc>
        <w:tc>
          <w:tcPr>
            <w:tcW w:w="1959" w:type="pct"/>
            <w:vAlign w:val="center"/>
          </w:tcPr>
          <w:p w14:paraId="4C9A5032">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生产经营单位应当安排用于配备劳动防护用品、进行安全生产培训的经费</w:t>
            </w:r>
          </w:p>
        </w:tc>
        <w:tc>
          <w:tcPr>
            <w:tcW w:w="1129" w:type="pct"/>
            <w:vAlign w:val="center"/>
          </w:tcPr>
          <w:p w14:paraId="75874AA6">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《中华人民共和国安全生产法》</w:t>
            </w:r>
          </w:p>
        </w:tc>
        <w:tc>
          <w:tcPr>
            <w:tcW w:w="1304" w:type="pct"/>
            <w:vAlign w:val="center"/>
          </w:tcPr>
          <w:p w14:paraId="5EF7BA82">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为员工配备了劳动防护用品</w:t>
            </w:r>
          </w:p>
        </w:tc>
        <w:tc>
          <w:tcPr>
            <w:tcW w:w="321" w:type="pct"/>
            <w:vAlign w:val="center"/>
          </w:tcPr>
          <w:p w14:paraId="52423C1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44A4DE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85" w:type="pct"/>
            <w:vAlign w:val="center"/>
          </w:tcPr>
          <w:p w14:paraId="28111FD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4</w:t>
            </w:r>
          </w:p>
        </w:tc>
        <w:tc>
          <w:tcPr>
            <w:tcW w:w="1959" w:type="pct"/>
            <w:vAlign w:val="center"/>
          </w:tcPr>
          <w:p w14:paraId="2A75A3C8">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厂房、作业场所和安全设施、设备、工艺符合有关法律、法规、规章和标准的规定</w:t>
            </w:r>
          </w:p>
        </w:tc>
        <w:tc>
          <w:tcPr>
            <w:tcW w:w="1129" w:type="pct"/>
            <w:vAlign w:val="center"/>
          </w:tcPr>
          <w:p w14:paraId="1ACD473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《中华人民共和国安全生产法》</w:t>
            </w:r>
          </w:p>
        </w:tc>
        <w:tc>
          <w:tcPr>
            <w:tcW w:w="1304" w:type="pct"/>
            <w:vAlign w:val="center"/>
          </w:tcPr>
          <w:p w14:paraId="075A8672">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厂房、作业场所和安全设施、设备、工艺设计基本符合有关法律、法规、规章和标准的规定</w:t>
            </w:r>
          </w:p>
        </w:tc>
        <w:tc>
          <w:tcPr>
            <w:tcW w:w="321" w:type="pct"/>
            <w:vAlign w:val="center"/>
          </w:tcPr>
          <w:p w14:paraId="3BBF6C1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1AE694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85" w:type="pct"/>
            <w:vAlign w:val="center"/>
          </w:tcPr>
          <w:p w14:paraId="011B07C3">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5</w:t>
            </w:r>
          </w:p>
        </w:tc>
        <w:tc>
          <w:tcPr>
            <w:tcW w:w="1959" w:type="pct"/>
            <w:vAlign w:val="center"/>
          </w:tcPr>
          <w:p w14:paraId="718CC1C7">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生产经营单位不得使用国家明令淘汰、禁止使用的危及生产安全的工艺、设备</w:t>
            </w:r>
          </w:p>
        </w:tc>
        <w:tc>
          <w:tcPr>
            <w:tcW w:w="1129" w:type="pct"/>
            <w:vAlign w:val="center"/>
          </w:tcPr>
          <w:p w14:paraId="473DF06D">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ascii="宋体" w:hAnsi="宋体"/>
                <w:b w:val="0"/>
                <w:szCs w:val="21"/>
              </w:rPr>
            </w:pPr>
            <w:r>
              <w:rPr>
                <w:rFonts w:hint="eastAsia" w:ascii="宋体" w:hAnsi="宋体"/>
                <w:b w:val="0"/>
                <w:szCs w:val="21"/>
              </w:rPr>
              <w:t>《中华人民共和国安全生产法》</w:t>
            </w:r>
          </w:p>
        </w:tc>
        <w:tc>
          <w:tcPr>
            <w:tcW w:w="1304" w:type="pct"/>
            <w:vAlign w:val="center"/>
          </w:tcPr>
          <w:p w14:paraId="7FA5005B">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没有使用国家明令淘汰、禁止使用的危及生产安全的工艺、设备</w:t>
            </w:r>
          </w:p>
        </w:tc>
        <w:tc>
          <w:tcPr>
            <w:tcW w:w="321" w:type="pct"/>
            <w:vAlign w:val="center"/>
          </w:tcPr>
          <w:p w14:paraId="20ACAC0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4F1371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85" w:type="pct"/>
            <w:vAlign w:val="center"/>
          </w:tcPr>
          <w:p w14:paraId="1A7B146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6</w:t>
            </w:r>
          </w:p>
        </w:tc>
        <w:tc>
          <w:tcPr>
            <w:tcW w:w="1959" w:type="pct"/>
            <w:vAlign w:val="center"/>
          </w:tcPr>
          <w:p w14:paraId="024BF705">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对安全检查的隐患是否及时进行整改</w:t>
            </w:r>
          </w:p>
        </w:tc>
        <w:tc>
          <w:tcPr>
            <w:tcW w:w="1129" w:type="pct"/>
            <w:vAlign w:val="center"/>
          </w:tcPr>
          <w:p w14:paraId="3A58D9EB">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ascii="宋体" w:hAnsi="宋体"/>
                <w:b w:val="0"/>
                <w:szCs w:val="21"/>
              </w:rPr>
            </w:pPr>
            <w:r>
              <w:rPr>
                <w:rFonts w:hint="eastAsia" w:ascii="宋体" w:hAnsi="宋体"/>
                <w:b w:val="0"/>
                <w:szCs w:val="21"/>
              </w:rPr>
              <w:t>《中华人民共和国安全生产法》</w:t>
            </w:r>
          </w:p>
        </w:tc>
        <w:tc>
          <w:tcPr>
            <w:tcW w:w="1304" w:type="pct"/>
            <w:vAlign w:val="center"/>
          </w:tcPr>
          <w:p w14:paraId="38A410A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安全检查制度中明确：查出的隐患及时进行整改</w:t>
            </w:r>
          </w:p>
        </w:tc>
        <w:tc>
          <w:tcPr>
            <w:tcW w:w="321" w:type="pct"/>
            <w:vAlign w:val="center"/>
          </w:tcPr>
          <w:p w14:paraId="7972771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286DBF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85" w:type="pct"/>
            <w:vAlign w:val="center"/>
          </w:tcPr>
          <w:p w14:paraId="1DD1E01F">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7</w:t>
            </w:r>
          </w:p>
        </w:tc>
        <w:tc>
          <w:tcPr>
            <w:tcW w:w="1959" w:type="pct"/>
            <w:vAlign w:val="center"/>
          </w:tcPr>
          <w:p w14:paraId="32D6DFF7">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消防安全重点单位建立防火档案，确定消防安全重点部位，设置防火标志，实行严格管理</w:t>
            </w:r>
          </w:p>
        </w:tc>
        <w:tc>
          <w:tcPr>
            <w:tcW w:w="1129" w:type="pct"/>
            <w:vAlign w:val="center"/>
          </w:tcPr>
          <w:p w14:paraId="3DAAABB5">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ascii="宋体" w:hAnsi="宋体"/>
                <w:b w:val="0"/>
                <w:szCs w:val="21"/>
              </w:rPr>
            </w:pPr>
            <w:r>
              <w:rPr>
                <w:rFonts w:hint="eastAsia" w:ascii="宋体" w:hAnsi="宋体"/>
                <w:b w:val="0"/>
                <w:szCs w:val="21"/>
              </w:rPr>
              <w:t>《中华人民共和国消防法》</w:t>
            </w:r>
          </w:p>
        </w:tc>
        <w:tc>
          <w:tcPr>
            <w:tcW w:w="1304" w:type="pct"/>
            <w:vAlign w:val="center"/>
          </w:tcPr>
          <w:p w14:paraId="2466BF85">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已明确消防重点部位，并设置防火标志</w:t>
            </w:r>
          </w:p>
        </w:tc>
        <w:tc>
          <w:tcPr>
            <w:tcW w:w="321" w:type="pct"/>
            <w:vAlign w:val="center"/>
          </w:tcPr>
          <w:p w14:paraId="0D3A2003">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7A5C9D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85" w:type="pct"/>
            <w:vAlign w:val="center"/>
          </w:tcPr>
          <w:p w14:paraId="72308F2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8</w:t>
            </w:r>
          </w:p>
        </w:tc>
        <w:tc>
          <w:tcPr>
            <w:tcW w:w="1959" w:type="pct"/>
            <w:vAlign w:val="center"/>
          </w:tcPr>
          <w:p w14:paraId="4008DF3B">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生产、储存、运输、销售或者使用易燃易爆危险物品的单位，对产品应当附有燃点、闪点、爆炸极限等数据的说明书，并且注明防火防爆注意事项。对独立的易燃易爆危险物品应当附危险品标签</w:t>
            </w:r>
          </w:p>
        </w:tc>
        <w:tc>
          <w:tcPr>
            <w:tcW w:w="1129" w:type="pct"/>
            <w:vAlign w:val="center"/>
          </w:tcPr>
          <w:p w14:paraId="4A98EDC3">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ascii="宋体" w:hAnsi="宋体"/>
                <w:b w:val="0"/>
                <w:szCs w:val="21"/>
              </w:rPr>
            </w:pPr>
            <w:r>
              <w:rPr>
                <w:rFonts w:hint="eastAsia" w:ascii="宋体" w:hAnsi="宋体"/>
                <w:b w:val="0"/>
                <w:szCs w:val="21"/>
              </w:rPr>
              <w:t>《中华人民共和国消防法》</w:t>
            </w:r>
          </w:p>
        </w:tc>
        <w:tc>
          <w:tcPr>
            <w:tcW w:w="1304" w:type="pct"/>
            <w:vAlign w:val="center"/>
          </w:tcPr>
          <w:p w14:paraId="51EB461F">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有安全技术说明书和危险品标签</w:t>
            </w:r>
          </w:p>
        </w:tc>
        <w:tc>
          <w:tcPr>
            <w:tcW w:w="321" w:type="pct"/>
            <w:vAlign w:val="center"/>
          </w:tcPr>
          <w:p w14:paraId="37EB9EA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0474DD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85" w:type="pct"/>
            <w:vAlign w:val="center"/>
          </w:tcPr>
          <w:p w14:paraId="5E70241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9</w:t>
            </w:r>
          </w:p>
        </w:tc>
        <w:tc>
          <w:tcPr>
            <w:tcW w:w="1959" w:type="pct"/>
            <w:vAlign w:val="center"/>
          </w:tcPr>
          <w:p w14:paraId="5AFFA9E6">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事故调查处理应当按照实事求是、尊重科学的原则，及时、准确地查清事故原因，查明事故性质和责任，总结事故教训，提出整改措施，并对事故责任者提出处理意见</w:t>
            </w:r>
          </w:p>
        </w:tc>
        <w:tc>
          <w:tcPr>
            <w:tcW w:w="1129" w:type="pct"/>
            <w:vAlign w:val="center"/>
          </w:tcPr>
          <w:p w14:paraId="0BABF1B8">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《中华人民共和国安全生产法》</w:t>
            </w:r>
          </w:p>
        </w:tc>
        <w:tc>
          <w:tcPr>
            <w:tcW w:w="1304" w:type="pct"/>
            <w:vAlign w:val="center"/>
          </w:tcPr>
          <w:p w14:paraId="07CD42A8">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制定有《事故报告处理制度》等相关安全管理制度</w:t>
            </w:r>
          </w:p>
        </w:tc>
        <w:tc>
          <w:tcPr>
            <w:tcW w:w="321" w:type="pct"/>
            <w:vAlign w:val="center"/>
          </w:tcPr>
          <w:p w14:paraId="10A3C29C">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68971D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85" w:type="pct"/>
            <w:vAlign w:val="center"/>
          </w:tcPr>
          <w:p w14:paraId="261BB0EF">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10</w:t>
            </w:r>
          </w:p>
        </w:tc>
        <w:tc>
          <w:tcPr>
            <w:tcW w:w="1959" w:type="pct"/>
            <w:vAlign w:val="center"/>
          </w:tcPr>
          <w:p w14:paraId="17B0EDB7">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生产经营单位必须为从业人员提供符合国家标准或行业标准的劳动防护用品，并监督、教育从业人员</w:t>
            </w:r>
          </w:p>
        </w:tc>
        <w:tc>
          <w:tcPr>
            <w:tcW w:w="1129" w:type="pct"/>
            <w:vAlign w:val="center"/>
          </w:tcPr>
          <w:p w14:paraId="625F2A58">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《中华人民共和国安全生产法》</w:t>
            </w:r>
          </w:p>
        </w:tc>
        <w:tc>
          <w:tcPr>
            <w:tcW w:w="1304" w:type="pct"/>
            <w:vAlign w:val="center"/>
          </w:tcPr>
          <w:p w14:paraId="125C6C81">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为从业人员提供工作服、防尘口罩和手套等防护用品，现场检查按照使用规则佩戴、使用</w:t>
            </w:r>
          </w:p>
        </w:tc>
        <w:tc>
          <w:tcPr>
            <w:tcW w:w="321" w:type="pct"/>
            <w:vAlign w:val="center"/>
          </w:tcPr>
          <w:p w14:paraId="6DE978E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50CDBA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85" w:type="pct"/>
            <w:vAlign w:val="center"/>
          </w:tcPr>
          <w:p w14:paraId="606934BC">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11</w:t>
            </w:r>
          </w:p>
        </w:tc>
        <w:tc>
          <w:tcPr>
            <w:tcW w:w="1959" w:type="pct"/>
            <w:vAlign w:val="center"/>
          </w:tcPr>
          <w:p w14:paraId="722323C5">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从业人员在作业过程中，应当严格遵守本单位的安全生产规章制度和操作规程，服从管理，正确佩戴和使用劳动防护用品</w:t>
            </w:r>
          </w:p>
        </w:tc>
        <w:tc>
          <w:tcPr>
            <w:tcW w:w="1129" w:type="pct"/>
            <w:vAlign w:val="center"/>
          </w:tcPr>
          <w:p w14:paraId="6D1B3707">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《中华人民共和国安全生产法》</w:t>
            </w:r>
          </w:p>
        </w:tc>
        <w:tc>
          <w:tcPr>
            <w:tcW w:w="1304" w:type="pct"/>
            <w:vAlign w:val="center"/>
          </w:tcPr>
          <w:p w14:paraId="4A6C6F4C">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符合要求</w:t>
            </w:r>
          </w:p>
        </w:tc>
        <w:tc>
          <w:tcPr>
            <w:tcW w:w="321" w:type="pct"/>
            <w:vAlign w:val="center"/>
          </w:tcPr>
          <w:p w14:paraId="5481EF0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339733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85" w:type="pct"/>
            <w:vAlign w:val="center"/>
          </w:tcPr>
          <w:p w14:paraId="05B4CF2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12</w:t>
            </w:r>
          </w:p>
        </w:tc>
        <w:tc>
          <w:tcPr>
            <w:tcW w:w="1959" w:type="pct"/>
            <w:vAlign w:val="center"/>
          </w:tcPr>
          <w:p w14:paraId="09372D93">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对劳动者进行上网前的职业卫生培训，普及职业卫生知识，督促劳动者遵守职业病防治法律、法规、规章和操作规程，指导劳动者正确使用职业病防护设备和个人使用的职业病防护用品</w:t>
            </w:r>
          </w:p>
        </w:tc>
        <w:tc>
          <w:tcPr>
            <w:tcW w:w="1129" w:type="pct"/>
            <w:vAlign w:val="center"/>
          </w:tcPr>
          <w:p w14:paraId="0F82E3D3">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《中华人民共和国职业病防治法》</w:t>
            </w:r>
          </w:p>
        </w:tc>
        <w:tc>
          <w:tcPr>
            <w:tcW w:w="1304" w:type="pct"/>
            <w:vAlign w:val="center"/>
          </w:tcPr>
          <w:p w14:paraId="66C98DF4">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ascii="宋体" w:hAnsi="宋体"/>
                <w:b w:val="0"/>
                <w:szCs w:val="21"/>
              </w:rPr>
            </w:pPr>
            <w:r>
              <w:rPr>
                <w:rFonts w:hint="eastAsia" w:ascii="宋体" w:hAnsi="宋体"/>
                <w:b w:val="0"/>
                <w:szCs w:val="21"/>
              </w:rPr>
              <w:t>上岗前和在岗期间已进行职业卫生培训，现场检查操作者能正确使用职业病防护设备和个人使用的职业病防护用品</w:t>
            </w:r>
          </w:p>
        </w:tc>
        <w:tc>
          <w:tcPr>
            <w:tcW w:w="321" w:type="pct"/>
            <w:vAlign w:val="center"/>
          </w:tcPr>
          <w:p w14:paraId="3F69D1A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5FDA39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85" w:type="pct"/>
            <w:vAlign w:val="center"/>
          </w:tcPr>
          <w:p w14:paraId="2251D99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13</w:t>
            </w:r>
          </w:p>
        </w:tc>
        <w:tc>
          <w:tcPr>
            <w:tcW w:w="1959" w:type="pct"/>
            <w:vAlign w:val="center"/>
          </w:tcPr>
          <w:p w14:paraId="79BA325B">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不得安排未成年人从事接触职业病危害的作业，不得安排孕期、哺乳期的女职工从事对本人和胎儿、婴儿有危害的作业</w:t>
            </w:r>
          </w:p>
        </w:tc>
        <w:tc>
          <w:tcPr>
            <w:tcW w:w="1129" w:type="pct"/>
            <w:vAlign w:val="center"/>
          </w:tcPr>
          <w:p w14:paraId="39733A81">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《中华人民共和国职业病防治法》</w:t>
            </w:r>
          </w:p>
        </w:tc>
        <w:tc>
          <w:tcPr>
            <w:tcW w:w="1304" w:type="pct"/>
            <w:vAlign w:val="center"/>
          </w:tcPr>
          <w:p w14:paraId="05FF31FC">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符合要求</w:t>
            </w:r>
          </w:p>
        </w:tc>
        <w:tc>
          <w:tcPr>
            <w:tcW w:w="321" w:type="pct"/>
            <w:vAlign w:val="center"/>
          </w:tcPr>
          <w:p w14:paraId="1D33A5E1">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62D2C6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5000" w:type="pct"/>
            <w:gridSpan w:val="5"/>
            <w:vAlign w:val="center"/>
          </w:tcPr>
          <w:p w14:paraId="653EA73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五、重大危险源与事故应急救援预案</w:t>
            </w:r>
          </w:p>
        </w:tc>
      </w:tr>
      <w:tr w14:paraId="6BA72F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85" w:type="pct"/>
            <w:vAlign w:val="center"/>
          </w:tcPr>
          <w:p w14:paraId="2E831EA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1</w:t>
            </w:r>
          </w:p>
        </w:tc>
        <w:tc>
          <w:tcPr>
            <w:tcW w:w="1959" w:type="pct"/>
            <w:vAlign w:val="center"/>
          </w:tcPr>
          <w:p w14:paraId="648A33B7">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按照国家有关标准，辨识、确定本企业的重大危险源</w:t>
            </w:r>
          </w:p>
        </w:tc>
        <w:tc>
          <w:tcPr>
            <w:tcW w:w="1129" w:type="pct"/>
            <w:vAlign w:val="center"/>
          </w:tcPr>
          <w:p w14:paraId="5E49AD60">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《烟花爆竹生产企业安全生产许可证实施办法》</w:t>
            </w:r>
          </w:p>
        </w:tc>
        <w:tc>
          <w:tcPr>
            <w:tcW w:w="1304" w:type="pct"/>
            <w:vAlign w:val="center"/>
          </w:tcPr>
          <w:p w14:paraId="6EB5FA80">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ascii="宋体" w:hAnsi="宋体"/>
                <w:b w:val="0"/>
                <w:szCs w:val="21"/>
              </w:rPr>
            </w:pPr>
            <w:r>
              <w:rPr>
                <w:rFonts w:hint="eastAsia" w:ascii="宋体" w:hAnsi="宋体"/>
                <w:b w:val="0"/>
                <w:szCs w:val="21"/>
              </w:rPr>
              <w:t>经辨识，该企业药物库暴多单元已构成四级重大危险源，企业按重大危险源管理规定进行管理。</w:t>
            </w:r>
          </w:p>
        </w:tc>
        <w:tc>
          <w:tcPr>
            <w:tcW w:w="321" w:type="pct"/>
            <w:vAlign w:val="center"/>
          </w:tcPr>
          <w:p w14:paraId="4A41865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7E674D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85" w:type="pct"/>
            <w:vAlign w:val="center"/>
          </w:tcPr>
          <w:p w14:paraId="0FA2E30C">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2</w:t>
            </w:r>
          </w:p>
        </w:tc>
        <w:tc>
          <w:tcPr>
            <w:tcW w:w="1959" w:type="pct"/>
            <w:vAlign w:val="center"/>
          </w:tcPr>
          <w:p w14:paraId="72CA8CFA">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对已确定的重大危险源，有无符合国家有关法律、法规、规章和标准规定的检测、评估和监控措施，定期检测、检查和建立重大危险源检测、检查档案</w:t>
            </w:r>
          </w:p>
        </w:tc>
        <w:tc>
          <w:tcPr>
            <w:tcW w:w="1129" w:type="pct"/>
            <w:vAlign w:val="center"/>
          </w:tcPr>
          <w:p w14:paraId="60AA7278">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《烟花爆竹生产企业安全生产许可证实施办法》</w:t>
            </w:r>
          </w:p>
        </w:tc>
        <w:tc>
          <w:tcPr>
            <w:tcW w:w="1304" w:type="pct"/>
            <w:vAlign w:val="center"/>
          </w:tcPr>
          <w:p w14:paraId="1E8247E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经烟花爆竹重大危险源辨识，该企业药物库区已构成四级重大危险源。企业按重大危险原进行监管。</w:t>
            </w:r>
          </w:p>
        </w:tc>
        <w:tc>
          <w:tcPr>
            <w:tcW w:w="321" w:type="pct"/>
            <w:vAlign w:val="center"/>
          </w:tcPr>
          <w:p w14:paraId="5808CFB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263195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846" w:hRule="atLeast"/>
          <w:jc w:val="center"/>
        </w:trPr>
        <w:tc>
          <w:tcPr>
            <w:tcW w:w="285" w:type="pct"/>
            <w:vAlign w:val="center"/>
          </w:tcPr>
          <w:p w14:paraId="47AF216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3</w:t>
            </w:r>
          </w:p>
        </w:tc>
        <w:tc>
          <w:tcPr>
            <w:tcW w:w="1959" w:type="pct"/>
            <w:vAlign w:val="center"/>
          </w:tcPr>
          <w:p w14:paraId="2D348621">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对其可能发生的生产安全事故，按照国家有关规定编制危险化学品事故和其他安全事故应急救援预案</w:t>
            </w:r>
          </w:p>
        </w:tc>
        <w:tc>
          <w:tcPr>
            <w:tcW w:w="1129" w:type="pct"/>
            <w:vAlign w:val="center"/>
          </w:tcPr>
          <w:p w14:paraId="75941AAD">
            <w:pPr>
              <w:keepNext w:val="0"/>
              <w:keepLines w:val="0"/>
              <w:pageBreakBefore w:val="0"/>
              <w:widowControl w:val="0"/>
              <w:kinsoku/>
              <w:wordWrap/>
              <w:overflowPunct/>
              <w:topLinePunct w:val="0"/>
              <w:autoSpaceDE/>
              <w:autoSpaceDN/>
              <w:bidi w:val="0"/>
              <w:spacing w:line="300" w:lineRule="exact"/>
              <w:textAlignment w:val="auto"/>
              <w:rPr>
                <w:rFonts w:ascii="宋体" w:hAnsi="宋体"/>
                <w:b w:val="0"/>
                <w:szCs w:val="21"/>
              </w:rPr>
            </w:pPr>
            <w:r>
              <w:rPr>
                <w:rFonts w:hint="eastAsia" w:ascii="宋体" w:hAnsi="宋体"/>
                <w:b w:val="0"/>
                <w:szCs w:val="21"/>
              </w:rPr>
              <w:t>《烟花爆竹生产企业安全生产许可证实施办法》</w:t>
            </w:r>
          </w:p>
        </w:tc>
        <w:tc>
          <w:tcPr>
            <w:tcW w:w="1304" w:type="pct"/>
            <w:vAlign w:val="center"/>
          </w:tcPr>
          <w:p w14:paraId="59E249AB">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制定有《浏阳市太平复兴花炮厂（个人独资）事故应急救援预案》</w:t>
            </w:r>
          </w:p>
        </w:tc>
        <w:tc>
          <w:tcPr>
            <w:tcW w:w="321" w:type="pct"/>
            <w:vAlign w:val="center"/>
          </w:tcPr>
          <w:p w14:paraId="5ECFEDC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580EB6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045" w:hRule="atLeast"/>
          <w:jc w:val="center"/>
        </w:trPr>
        <w:tc>
          <w:tcPr>
            <w:tcW w:w="285" w:type="pct"/>
            <w:vAlign w:val="center"/>
          </w:tcPr>
          <w:p w14:paraId="6A94902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4</w:t>
            </w:r>
          </w:p>
        </w:tc>
        <w:tc>
          <w:tcPr>
            <w:tcW w:w="1959" w:type="pct"/>
            <w:vAlign w:val="center"/>
          </w:tcPr>
          <w:p w14:paraId="35D1D707">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对其可能发生的生产安全事故，有应急救援组织或应急救援人员</w:t>
            </w:r>
          </w:p>
        </w:tc>
        <w:tc>
          <w:tcPr>
            <w:tcW w:w="1129" w:type="pct"/>
            <w:vAlign w:val="center"/>
          </w:tcPr>
          <w:p w14:paraId="1D9B133B">
            <w:pPr>
              <w:keepNext w:val="0"/>
              <w:keepLines w:val="0"/>
              <w:pageBreakBefore w:val="0"/>
              <w:widowControl w:val="0"/>
              <w:kinsoku/>
              <w:wordWrap/>
              <w:overflowPunct/>
              <w:topLinePunct w:val="0"/>
              <w:autoSpaceDE/>
              <w:autoSpaceDN/>
              <w:bidi w:val="0"/>
              <w:spacing w:line="300" w:lineRule="exact"/>
              <w:textAlignment w:val="auto"/>
              <w:rPr>
                <w:rFonts w:ascii="宋体" w:hAnsi="宋体"/>
                <w:b w:val="0"/>
                <w:szCs w:val="21"/>
              </w:rPr>
            </w:pPr>
            <w:r>
              <w:rPr>
                <w:rFonts w:hint="eastAsia" w:ascii="宋体" w:hAnsi="宋体"/>
                <w:b w:val="0"/>
                <w:szCs w:val="21"/>
              </w:rPr>
              <w:t>《烟花爆竹生产企业安全生产许可证实施办法》</w:t>
            </w:r>
          </w:p>
        </w:tc>
        <w:tc>
          <w:tcPr>
            <w:tcW w:w="1304" w:type="pct"/>
            <w:vAlign w:val="center"/>
          </w:tcPr>
          <w:p w14:paraId="7CA5B0C5">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制定有《浏阳市太平复兴花炮厂（个人独资）事故应急救援预案》，并在预案中均有明确</w:t>
            </w:r>
          </w:p>
        </w:tc>
        <w:tc>
          <w:tcPr>
            <w:tcW w:w="321" w:type="pct"/>
            <w:vAlign w:val="center"/>
          </w:tcPr>
          <w:p w14:paraId="528886A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2B1270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086" w:hRule="atLeast"/>
          <w:jc w:val="center"/>
        </w:trPr>
        <w:tc>
          <w:tcPr>
            <w:tcW w:w="285" w:type="pct"/>
            <w:vAlign w:val="center"/>
          </w:tcPr>
          <w:p w14:paraId="45C6DA4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5</w:t>
            </w:r>
          </w:p>
        </w:tc>
        <w:tc>
          <w:tcPr>
            <w:tcW w:w="1959" w:type="pct"/>
            <w:vAlign w:val="center"/>
          </w:tcPr>
          <w:p w14:paraId="3D985848">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大型易燃、易爆化学品生产企业和距离当地消防队较远的大型危险化学品生产企业有专职消防队，其他危险化学品生产企业根据实际需要有义务消防队</w:t>
            </w:r>
          </w:p>
        </w:tc>
        <w:tc>
          <w:tcPr>
            <w:tcW w:w="1129" w:type="pct"/>
            <w:vAlign w:val="center"/>
          </w:tcPr>
          <w:p w14:paraId="2FED43DE">
            <w:pPr>
              <w:keepNext w:val="0"/>
              <w:keepLines w:val="0"/>
              <w:pageBreakBefore w:val="0"/>
              <w:widowControl w:val="0"/>
              <w:kinsoku/>
              <w:wordWrap/>
              <w:overflowPunct/>
              <w:topLinePunct w:val="0"/>
              <w:autoSpaceDE/>
              <w:autoSpaceDN/>
              <w:bidi w:val="0"/>
              <w:spacing w:line="300" w:lineRule="exact"/>
              <w:textAlignment w:val="auto"/>
              <w:rPr>
                <w:rFonts w:ascii="宋体" w:hAnsi="宋体"/>
                <w:b w:val="0"/>
                <w:szCs w:val="21"/>
              </w:rPr>
            </w:pPr>
            <w:r>
              <w:rPr>
                <w:rFonts w:hint="eastAsia" w:ascii="宋体" w:hAnsi="宋体"/>
                <w:b w:val="0"/>
                <w:szCs w:val="21"/>
              </w:rPr>
              <w:t>《烟花爆竹生产企业安全生产许可证实施办法》</w:t>
            </w:r>
          </w:p>
        </w:tc>
        <w:tc>
          <w:tcPr>
            <w:tcW w:w="1304" w:type="pct"/>
            <w:vAlign w:val="center"/>
          </w:tcPr>
          <w:p w14:paraId="09AE7A2E">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根据本单位的实际需要已建立由员工组成义务消防队</w:t>
            </w:r>
          </w:p>
        </w:tc>
        <w:tc>
          <w:tcPr>
            <w:tcW w:w="321" w:type="pct"/>
            <w:vAlign w:val="center"/>
          </w:tcPr>
          <w:p w14:paraId="1222A3B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r w14:paraId="3EB869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843" w:hRule="atLeast"/>
          <w:jc w:val="center"/>
        </w:trPr>
        <w:tc>
          <w:tcPr>
            <w:tcW w:w="285" w:type="pct"/>
            <w:vAlign w:val="center"/>
          </w:tcPr>
          <w:p w14:paraId="122D5B0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6</w:t>
            </w:r>
          </w:p>
        </w:tc>
        <w:tc>
          <w:tcPr>
            <w:tcW w:w="1959" w:type="pct"/>
            <w:vAlign w:val="center"/>
          </w:tcPr>
          <w:p w14:paraId="3D881F62">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对其可能发生的生产安全事故，配备必要的应急救援器材、设备</w:t>
            </w:r>
          </w:p>
        </w:tc>
        <w:tc>
          <w:tcPr>
            <w:tcW w:w="1129" w:type="pct"/>
            <w:vAlign w:val="center"/>
          </w:tcPr>
          <w:p w14:paraId="5023185C">
            <w:pPr>
              <w:keepNext w:val="0"/>
              <w:keepLines w:val="0"/>
              <w:pageBreakBefore w:val="0"/>
              <w:widowControl w:val="0"/>
              <w:kinsoku/>
              <w:wordWrap/>
              <w:overflowPunct/>
              <w:topLinePunct w:val="0"/>
              <w:autoSpaceDE/>
              <w:autoSpaceDN/>
              <w:bidi w:val="0"/>
              <w:spacing w:line="300" w:lineRule="exact"/>
              <w:textAlignment w:val="auto"/>
              <w:rPr>
                <w:rFonts w:ascii="宋体" w:hAnsi="宋体"/>
                <w:b w:val="0"/>
                <w:szCs w:val="21"/>
              </w:rPr>
            </w:pPr>
            <w:r>
              <w:rPr>
                <w:rFonts w:hint="eastAsia" w:ascii="宋体" w:hAnsi="宋体"/>
                <w:b w:val="0"/>
                <w:szCs w:val="21"/>
              </w:rPr>
              <w:t>《烟花爆竹生产企业安全生产许可证实施办法》</w:t>
            </w:r>
          </w:p>
        </w:tc>
        <w:tc>
          <w:tcPr>
            <w:tcW w:w="1304" w:type="pct"/>
            <w:vAlign w:val="center"/>
          </w:tcPr>
          <w:p w14:paraId="4EBD50F7">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ascii="宋体" w:hAnsi="宋体"/>
                <w:b w:val="0"/>
                <w:szCs w:val="21"/>
              </w:rPr>
            </w:pPr>
            <w:r>
              <w:rPr>
                <w:rFonts w:hint="eastAsia" w:ascii="宋体" w:hAnsi="宋体"/>
                <w:b w:val="0"/>
                <w:szCs w:val="21"/>
              </w:rPr>
              <w:t>设计配置有灭火器、消防水池、防护用品、抢修器具等</w:t>
            </w:r>
          </w:p>
        </w:tc>
        <w:tc>
          <w:tcPr>
            <w:tcW w:w="321" w:type="pct"/>
            <w:vAlign w:val="center"/>
          </w:tcPr>
          <w:p w14:paraId="0649042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宋体" w:hAnsi="宋体"/>
                <w:b w:val="0"/>
                <w:szCs w:val="21"/>
              </w:rPr>
            </w:pPr>
            <w:r>
              <w:rPr>
                <w:rFonts w:hint="eastAsia" w:ascii="宋体" w:hAnsi="宋体"/>
                <w:b w:val="0"/>
                <w:szCs w:val="21"/>
              </w:rPr>
              <w:t>符合要求</w:t>
            </w:r>
          </w:p>
        </w:tc>
      </w:tr>
    </w:tbl>
    <w:p w14:paraId="3075E01A">
      <w:pPr>
        <w:spacing w:line="520" w:lineRule="exact"/>
        <w:ind w:firstLine="560" w:firstLineChars="200"/>
        <w:rPr>
          <w:rFonts w:ascii="宋体" w:hAnsi="宋体"/>
          <w:b w:val="0"/>
          <w:bCs/>
          <w:sz w:val="28"/>
          <w:szCs w:val="28"/>
        </w:rPr>
      </w:pPr>
      <w:bookmarkStart w:id="577" w:name="_Toc233449803"/>
      <w:r>
        <w:rPr>
          <w:rFonts w:hint="eastAsia" w:ascii="宋体" w:hAnsi="宋体"/>
          <w:b w:val="0"/>
          <w:bCs/>
          <w:sz w:val="28"/>
          <w:szCs w:val="28"/>
        </w:rPr>
        <w:t>综上所述，该企业组织机构基本健全，建立以主要负责人为首的安全管理组织机构和应急救援机构；各生产线（工序）配备了符合要求的专（兼）职安全管理人员；企业重视人员培训，已制定了详细且可行的三级安全培训计划，建立各级人员安全生产责任制、安全管理制度、安全操作规程及应急救援预案等。企业应根据厂内安全生产条件的变更对应急救援预案进行修订，及时去相关部门备案登记，并定期进行演练。</w:t>
      </w:r>
    </w:p>
    <w:p w14:paraId="1E788215">
      <w:pPr>
        <w:keepNext/>
        <w:keepLines/>
        <w:spacing w:before="120" w:beforeLines="50" w:line="360" w:lineRule="auto"/>
        <w:outlineLvl w:val="1"/>
        <w:rPr>
          <w:rFonts w:ascii="黑体" w:hAnsi="宋体" w:eastAsia="黑体"/>
          <w:b w:val="0"/>
          <w:bCs/>
          <w:snapToGrid w:val="0"/>
          <w:sz w:val="30"/>
          <w:szCs w:val="30"/>
        </w:rPr>
      </w:pPr>
      <w:bookmarkStart w:id="578" w:name="_Toc10712"/>
      <w:bookmarkStart w:id="579" w:name="_Toc12295"/>
      <w:bookmarkStart w:id="580" w:name="_Toc30455"/>
      <w:bookmarkStart w:id="581" w:name="_Toc17089"/>
      <w:bookmarkStart w:id="582" w:name="_Toc305855980"/>
      <w:bookmarkStart w:id="583" w:name="_Toc24985"/>
      <w:bookmarkStart w:id="584" w:name="_Toc6980"/>
      <w:bookmarkStart w:id="585" w:name="_Toc15802"/>
      <w:bookmarkStart w:id="586" w:name="_Toc22335"/>
      <w:r>
        <w:rPr>
          <w:rFonts w:hint="eastAsia" w:ascii="黑体" w:hAnsi="宋体" w:eastAsia="黑体"/>
          <w:b w:val="0"/>
          <w:bCs/>
          <w:snapToGrid w:val="0"/>
          <w:sz w:val="30"/>
          <w:szCs w:val="30"/>
        </w:rPr>
        <w:t>5.5生产过程</w:t>
      </w:r>
      <w:bookmarkEnd w:id="578"/>
      <w:bookmarkEnd w:id="579"/>
      <w:bookmarkEnd w:id="580"/>
      <w:bookmarkEnd w:id="581"/>
      <w:bookmarkEnd w:id="582"/>
      <w:bookmarkEnd w:id="583"/>
      <w:bookmarkEnd w:id="584"/>
      <w:r>
        <w:rPr>
          <w:rFonts w:hint="eastAsia" w:ascii="黑体" w:hAnsi="宋体" w:eastAsia="黑体"/>
          <w:b w:val="0"/>
          <w:bCs/>
          <w:snapToGrid w:val="0"/>
          <w:sz w:val="30"/>
          <w:szCs w:val="30"/>
        </w:rPr>
        <w:t>单元</w:t>
      </w:r>
      <w:bookmarkEnd w:id="585"/>
      <w:bookmarkEnd w:id="586"/>
    </w:p>
    <w:p w14:paraId="7D8C515E">
      <w:pPr>
        <w:spacing w:line="360" w:lineRule="auto"/>
        <w:ind w:firstLine="560" w:firstLineChars="200"/>
        <w:rPr>
          <w:rFonts w:ascii="宋体" w:hAnsi="宋体"/>
          <w:b w:val="0"/>
          <w:sz w:val="28"/>
          <w:szCs w:val="28"/>
        </w:rPr>
      </w:pPr>
      <w:r>
        <w:rPr>
          <w:rFonts w:hint="eastAsia" w:ascii="宋体" w:hAnsi="宋体"/>
          <w:b w:val="0"/>
          <w:sz w:val="28"/>
          <w:szCs w:val="28"/>
        </w:rPr>
        <w:t>采用预先危险性分析法对本单元进行评价。</w:t>
      </w:r>
    </w:p>
    <w:p w14:paraId="0E95146C">
      <w:pPr>
        <w:pStyle w:val="87"/>
        <w:ind w:firstLine="560"/>
        <w:rPr>
          <w:rFonts w:ascii="宋体" w:hAnsi="宋体" w:eastAsia="宋体"/>
          <w:b w:val="0"/>
          <w:color w:val="FF0000"/>
          <w:kern w:val="2"/>
          <w:szCs w:val="24"/>
          <w:lang w:val="en-GB"/>
        </w:rPr>
      </w:pPr>
      <w:r>
        <w:rPr>
          <w:rFonts w:hint="eastAsia" w:ascii="宋体" w:hAnsi="宋体" w:eastAsia="宋体"/>
          <w:b w:val="0"/>
          <w:kern w:val="2"/>
          <w:szCs w:val="24"/>
          <w:lang w:val="en-GB"/>
        </w:rPr>
        <w:t>对该项目生产过程安全性用预先危险性分析评价，可大体识别工艺过程的主要危险，鉴别产生危险的原因，预测事故类别，并判定已识别的危险性等级，提出消除或控制危险性的措施。</w:t>
      </w:r>
      <w:r>
        <w:rPr>
          <w:rFonts w:hint="eastAsia" w:ascii="宋体" w:hAnsi="宋体" w:eastAsia="宋体"/>
          <w:b w:val="0"/>
          <w:kern w:val="2"/>
          <w:szCs w:val="24"/>
        </w:rPr>
        <w:t>对该项目的烟火药生产进行预测性分析，见表5.5-1</w:t>
      </w:r>
      <w:r>
        <w:rPr>
          <w:rFonts w:hint="eastAsia" w:ascii="宋体" w:hAnsi="宋体" w:eastAsia="宋体"/>
          <w:b w:val="0"/>
          <w:kern w:val="2"/>
          <w:szCs w:val="24"/>
          <w:lang w:val="en-GB"/>
        </w:rPr>
        <w:t>。</w:t>
      </w:r>
    </w:p>
    <w:p w14:paraId="4C3C604E">
      <w:pPr>
        <w:pStyle w:val="87"/>
        <w:spacing w:line="240" w:lineRule="auto"/>
        <w:ind w:firstLine="0" w:firstLineChars="0"/>
        <w:jc w:val="center"/>
        <w:rPr>
          <w:rFonts w:ascii="黑体" w:hAnsi="黑体" w:eastAsia="黑体"/>
          <w:b w:val="0"/>
          <w:sz w:val="24"/>
          <w:szCs w:val="24"/>
        </w:rPr>
      </w:pPr>
      <w:r>
        <w:rPr>
          <w:rFonts w:hint="eastAsia" w:ascii="黑体" w:hAnsi="黑体" w:eastAsia="黑体"/>
          <w:b w:val="0"/>
          <w:sz w:val="24"/>
          <w:szCs w:val="24"/>
        </w:rPr>
        <w:t>表5.5-1 工艺预先危险性分析表</w:t>
      </w:r>
    </w:p>
    <w:tbl>
      <w:tblPr>
        <w:tblStyle w:val="88"/>
        <w:tblW w:w="4972"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31"/>
        <w:gridCol w:w="839"/>
        <w:gridCol w:w="2652"/>
        <w:gridCol w:w="1351"/>
        <w:gridCol w:w="645"/>
        <w:gridCol w:w="3318"/>
      </w:tblGrid>
      <w:tr w14:paraId="2FD869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tblHeader/>
        </w:trPr>
        <w:tc>
          <w:tcPr>
            <w:tcW w:w="233" w:type="pct"/>
            <w:vAlign w:val="center"/>
          </w:tcPr>
          <w:p w14:paraId="38D026AC">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szCs w:val="21"/>
              </w:rPr>
            </w:pPr>
            <w:r>
              <w:rPr>
                <w:rFonts w:hint="eastAsia" w:ascii="宋体" w:hAnsi="宋体"/>
                <w:szCs w:val="21"/>
              </w:rPr>
              <w:t>序号</w:t>
            </w:r>
          </w:p>
        </w:tc>
        <w:tc>
          <w:tcPr>
            <w:tcW w:w="454" w:type="pct"/>
            <w:vAlign w:val="center"/>
          </w:tcPr>
          <w:p w14:paraId="54451FF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szCs w:val="21"/>
              </w:rPr>
            </w:pPr>
            <w:r>
              <w:rPr>
                <w:rFonts w:hint="eastAsia" w:ascii="宋体" w:hAnsi="宋体"/>
                <w:szCs w:val="21"/>
              </w:rPr>
              <w:t>工序</w:t>
            </w:r>
          </w:p>
          <w:p w14:paraId="20244DE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szCs w:val="21"/>
              </w:rPr>
            </w:pPr>
            <w:r>
              <w:rPr>
                <w:rFonts w:hint="eastAsia" w:ascii="宋体" w:hAnsi="宋体"/>
                <w:szCs w:val="21"/>
              </w:rPr>
              <w:t>名称</w:t>
            </w:r>
          </w:p>
        </w:tc>
        <w:tc>
          <w:tcPr>
            <w:tcW w:w="1435" w:type="pct"/>
            <w:vAlign w:val="center"/>
          </w:tcPr>
          <w:p w14:paraId="22A04F5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szCs w:val="21"/>
              </w:rPr>
            </w:pPr>
            <w:r>
              <w:rPr>
                <w:rFonts w:hint="eastAsia" w:ascii="宋体" w:hAnsi="宋体"/>
                <w:szCs w:val="21"/>
              </w:rPr>
              <w:t>触发条件</w:t>
            </w:r>
          </w:p>
        </w:tc>
        <w:tc>
          <w:tcPr>
            <w:tcW w:w="731" w:type="pct"/>
            <w:vAlign w:val="center"/>
          </w:tcPr>
          <w:p w14:paraId="71A20F3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szCs w:val="21"/>
              </w:rPr>
            </w:pPr>
            <w:r>
              <w:rPr>
                <w:rFonts w:hint="eastAsia" w:ascii="宋体" w:hAnsi="宋体"/>
                <w:szCs w:val="21"/>
              </w:rPr>
              <w:t>事故类型</w:t>
            </w:r>
          </w:p>
        </w:tc>
        <w:tc>
          <w:tcPr>
            <w:tcW w:w="349" w:type="pct"/>
            <w:vAlign w:val="center"/>
          </w:tcPr>
          <w:p w14:paraId="1FEAB9C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szCs w:val="21"/>
              </w:rPr>
            </w:pPr>
            <w:r>
              <w:rPr>
                <w:rFonts w:hint="eastAsia" w:ascii="宋体" w:hAnsi="宋体"/>
                <w:szCs w:val="21"/>
              </w:rPr>
              <w:t>危险等级</w:t>
            </w:r>
          </w:p>
        </w:tc>
        <w:tc>
          <w:tcPr>
            <w:tcW w:w="1795" w:type="pct"/>
            <w:vAlign w:val="center"/>
          </w:tcPr>
          <w:p w14:paraId="77F4D6A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szCs w:val="21"/>
              </w:rPr>
            </w:pPr>
            <w:r>
              <w:rPr>
                <w:rFonts w:hint="eastAsia" w:ascii="宋体" w:hAnsi="宋体"/>
                <w:szCs w:val="21"/>
              </w:rPr>
              <w:t>预防措施</w:t>
            </w:r>
          </w:p>
        </w:tc>
      </w:tr>
      <w:tr w14:paraId="40468E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3" w:type="pct"/>
            <w:vMerge w:val="restart"/>
            <w:vAlign w:val="center"/>
          </w:tcPr>
          <w:p w14:paraId="7B72A71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b w:val="0"/>
                <w:bCs/>
                <w:szCs w:val="21"/>
              </w:rPr>
              <w:t>1</w:t>
            </w:r>
          </w:p>
        </w:tc>
        <w:tc>
          <w:tcPr>
            <w:tcW w:w="454" w:type="pct"/>
            <w:vMerge w:val="restart"/>
            <w:vAlign w:val="center"/>
          </w:tcPr>
          <w:p w14:paraId="39CE566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b w:val="0"/>
                <w:bCs/>
                <w:szCs w:val="21"/>
              </w:rPr>
              <w:t>原材料准备、称料</w:t>
            </w:r>
          </w:p>
        </w:tc>
        <w:tc>
          <w:tcPr>
            <w:tcW w:w="1435" w:type="pct"/>
            <w:vAlign w:val="center"/>
          </w:tcPr>
          <w:p w14:paraId="3785FEF5">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原材料含水超标或混有增加药物感度的物质</w:t>
            </w:r>
          </w:p>
        </w:tc>
        <w:tc>
          <w:tcPr>
            <w:tcW w:w="731" w:type="pct"/>
            <w:vAlign w:val="center"/>
          </w:tcPr>
          <w:p w14:paraId="30962F1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7AB1B3C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Ⅱ</w:t>
            </w:r>
          </w:p>
        </w:tc>
        <w:tc>
          <w:tcPr>
            <w:tcW w:w="1795" w:type="pct"/>
            <w:vAlign w:val="center"/>
          </w:tcPr>
          <w:p w14:paraId="3EB75653">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使用经检验合格的原材料</w:t>
            </w:r>
          </w:p>
        </w:tc>
      </w:tr>
      <w:tr w14:paraId="23C0AE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233" w:type="pct"/>
            <w:vMerge w:val="continue"/>
            <w:vAlign w:val="center"/>
          </w:tcPr>
          <w:p w14:paraId="4D712F7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59B512A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3690C964">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使用铁质等黑色金属工具</w:t>
            </w:r>
          </w:p>
        </w:tc>
        <w:tc>
          <w:tcPr>
            <w:tcW w:w="731" w:type="pct"/>
            <w:vAlign w:val="center"/>
          </w:tcPr>
          <w:p w14:paraId="4BA3F70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27D6210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Ⅱ</w:t>
            </w:r>
          </w:p>
        </w:tc>
        <w:tc>
          <w:tcPr>
            <w:tcW w:w="1795" w:type="pct"/>
            <w:vAlign w:val="center"/>
          </w:tcPr>
          <w:p w14:paraId="4AA80819">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保持通风，禁止使用黑色金属工具</w:t>
            </w:r>
          </w:p>
        </w:tc>
      </w:tr>
      <w:tr w14:paraId="5000C1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3" w:type="pct"/>
            <w:vMerge w:val="continue"/>
            <w:vAlign w:val="center"/>
          </w:tcPr>
          <w:p w14:paraId="5B300D3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79B150C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2F4A875E">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使用塑料、尼龙等易产生静电材料制作的工器具</w:t>
            </w:r>
          </w:p>
        </w:tc>
        <w:tc>
          <w:tcPr>
            <w:tcW w:w="731" w:type="pct"/>
            <w:vAlign w:val="center"/>
          </w:tcPr>
          <w:p w14:paraId="2B431BF0">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72ADB2F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Ⅱ</w:t>
            </w:r>
          </w:p>
        </w:tc>
        <w:tc>
          <w:tcPr>
            <w:tcW w:w="1795" w:type="pct"/>
            <w:vAlign w:val="center"/>
          </w:tcPr>
          <w:p w14:paraId="0BD3612E">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使用铜、铝、木、竹材质制作的操作工器具</w:t>
            </w:r>
          </w:p>
        </w:tc>
      </w:tr>
      <w:tr w14:paraId="10A47E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3" w:type="pct"/>
            <w:vMerge w:val="continue"/>
            <w:vAlign w:val="center"/>
          </w:tcPr>
          <w:p w14:paraId="007F419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736B42D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2BB5A7F8">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无个体防护用品或个体防护用品使用不当</w:t>
            </w:r>
          </w:p>
        </w:tc>
        <w:tc>
          <w:tcPr>
            <w:tcW w:w="731" w:type="pct"/>
            <w:vAlign w:val="center"/>
          </w:tcPr>
          <w:p w14:paraId="383E9D8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健康伤害</w:t>
            </w:r>
          </w:p>
        </w:tc>
        <w:tc>
          <w:tcPr>
            <w:tcW w:w="349" w:type="pct"/>
            <w:vAlign w:val="center"/>
          </w:tcPr>
          <w:p w14:paraId="5C6C845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Ⅱ</w:t>
            </w:r>
          </w:p>
        </w:tc>
        <w:tc>
          <w:tcPr>
            <w:tcW w:w="1795" w:type="pct"/>
            <w:vAlign w:val="center"/>
          </w:tcPr>
          <w:p w14:paraId="3301F23E">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按规定穿戴好口罩、工作服等个人防护用品</w:t>
            </w:r>
          </w:p>
        </w:tc>
      </w:tr>
      <w:tr w14:paraId="7C3C7E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233" w:type="pct"/>
            <w:vMerge w:val="restart"/>
            <w:vAlign w:val="center"/>
          </w:tcPr>
          <w:p w14:paraId="570C081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b w:val="0"/>
                <w:bCs/>
                <w:szCs w:val="21"/>
              </w:rPr>
              <w:t>2</w:t>
            </w:r>
          </w:p>
        </w:tc>
        <w:tc>
          <w:tcPr>
            <w:tcW w:w="454" w:type="pct"/>
            <w:vMerge w:val="restart"/>
            <w:vAlign w:val="center"/>
          </w:tcPr>
          <w:p w14:paraId="2DBDC89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b w:val="0"/>
                <w:bCs/>
                <w:szCs w:val="21"/>
              </w:rPr>
              <w:t>机械药混合</w:t>
            </w:r>
          </w:p>
        </w:tc>
        <w:tc>
          <w:tcPr>
            <w:tcW w:w="1435" w:type="pct"/>
            <w:vAlign w:val="center"/>
          </w:tcPr>
          <w:p w14:paraId="6121433C">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操作时用力过大</w:t>
            </w:r>
          </w:p>
        </w:tc>
        <w:tc>
          <w:tcPr>
            <w:tcW w:w="731" w:type="pct"/>
            <w:vAlign w:val="center"/>
          </w:tcPr>
          <w:p w14:paraId="265CC8D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1A5E700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706C19B7">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 xml:space="preserve">轻缓、小心操作 </w:t>
            </w:r>
          </w:p>
        </w:tc>
      </w:tr>
      <w:tr w14:paraId="10DF23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233" w:type="pct"/>
            <w:vMerge w:val="continue"/>
            <w:vAlign w:val="center"/>
          </w:tcPr>
          <w:p w14:paraId="51F9443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68BB1CF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25ECF754">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药物中混入机械杂质</w:t>
            </w:r>
          </w:p>
        </w:tc>
        <w:tc>
          <w:tcPr>
            <w:tcW w:w="731" w:type="pct"/>
            <w:vAlign w:val="center"/>
          </w:tcPr>
          <w:p w14:paraId="46A2168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129B407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2B836BE6">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按规程操作，防止杂质混入</w:t>
            </w:r>
          </w:p>
        </w:tc>
      </w:tr>
      <w:tr w14:paraId="5391BD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3" w:type="pct"/>
            <w:vMerge w:val="continue"/>
            <w:vAlign w:val="center"/>
          </w:tcPr>
          <w:p w14:paraId="4518400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2DA2224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0A2A1F83">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烟火药自动混合机使用铁质等黑色金属制作</w:t>
            </w:r>
          </w:p>
        </w:tc>
        <w:tc>
          <w:tcPr>
            <w:tcW w:w="731" w:type="pct"/>
            <w:vAlign w:val="center"/>
          </w:tcPr>
          <w:p w14:paraId="67D9998A">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179C7EE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5D1C07AE">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禁止使用黑色金属工器具</w:t>
            </w:r>
          </w:p>
        </w:tc>
      </w:tr>
      <w:tr w14:paraId="31D706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3" w:type="pct"/>
            <w:vMerge w:val="continue"/>
            <w:vAlign w:val="center"/>
          </w:tcPr>
          <w:p w14:paraId="6020B65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0A47C3A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7F055C90">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使用塑料、尼龙等易产生静电的材料制作的工器具</w:t>
            </w:r>
          </w:p>
        </w:tc>
        <w:tc>
          <w:tcPr>
            <w:tcW w:w="731" w:type="pct"/>
            <w:vAlign w:val="center"/>
          </w:tcPr>
          <w:p w14:paraId="0F215F6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74C738A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76651A3E">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使用铜、铝、木、竹质工器具和导电橡胶或木质工作台</w:t>
            </w:r>
          </w:p>
        </w:tc>
      </w:tr>
      <w:tr w14:paraId="0F461C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3" w:type="pct"/>
            <w:vMerge w:val="continue"/>
            <w:vAlign w:val="center"/>
          </w:tcPr>
          <w:p w14:paraId="6D160C2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79AA7D6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645B9E6B">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人体带静电</w:t>
            </w:r>
          </w:p>
        </w:tc>
        <w:tc>
          <w:tcPr>
            <w:tcW w:w="731" w:type="pct"/>
            <w:vAlign w:val="center"/>
          </w:tcPr>
          <w:p w14:paraId="1D9E10B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04AED47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07F92B26">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穿戴防静电劳保用品并在进入工房前消除人体静电</w:t>
            </w:r>
          </w:p>
        </w:tc>
      </w:tr>
      <w:tr w14:paraId="0A3F88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233" w:type="pct"/>
            <w:vMerge w:val="continue"/>
            <w:vAlign w:val="center"/>
          </w:tcPr>
          <w:p w14:paraId="383C474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67A3536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37A6592F">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地面有洒落药粉</w:t>
            </w:r>
          </w:p>
        </w:tc>
        <w:tc>
          <w:tcPr>
            <w:tcW w:w="731" w:type="pct"/>
            <w:vAlign w:val="center"/>
          </w:tcPr>
          <w:p w14:paraId="200259D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1C06878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2A60BB91">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及时清洗地面</w:t>
            </w:r>
          </w:p>
        </w:tc>
      </w:tr>
      <w:tr w14:paraId="236088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233" w:type="pct"/>
            <w:vMerge w:val="continue"/>
            <w:vAlign w:val="center"/>
          </w:tcPr>
          <w:p w14:paraId="7C50A14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21F895E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4A8E9024">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电气线路因破损、过载、短路等故障导致的高温、电火花</w:t>
            </w:r>
          </w:p>
        </w:tc>
        <w:tc>
          <w:tcPr>
            <w:tcW w:w="731" w:type="pct"/>
            <w:vAlign w:val="center"/>
          </w:tcPr>
          <w:p w14:paraId="79B007E7">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794AC89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1126E313">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线路穿管保护，设置过载保护装置</w:t>
            </w:r>
          </w:p>
        </w:tc>
      </w:tr>
      <w:tr w14:paraId="3DF7BA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3" w:type="pct"/>
            <w:vMerge w:val="continue"/>
            <w:vAlign w:val="center"/>
          </w:tcPr>
          <w:p w14:paraId="2A55D5A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41FE230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0B9DF73A">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烟火药自动混合机无接地或接地不良</w:t>
            </w:r>
          </w:p>
        </w:tc>
        <w:tc>
          <w:tcPr>
            <w:tcW w:w="731" w:type="pct"/>
            <w:vAlign w:val="center"/>
          </w:tcPr>
          <w:p w14:paraId="44F90CA0">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66BA2B0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7D948C6A">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烟火药自动混合机须妥善接地，并定期检测</w:t>
            </w:r>
          </w:p>
        </w:tc>
      </w:tr>
      <w:tr w14:paraId="335145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3" w:type="pct"/>
            <w:vMerge w:val="continue"/>
            <w:vAlign w:val="center"/>
          </w:tcPr>
          <w:p w14:paraId="3B27F87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4B4A3FC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369F51F8">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超药物限量操作或没有及时中转</w:t>
            </w:r>
          </w:p>
        </w:tc>
        <w:tc>
          <w:tcPr>
            <w:tcW w:w="731" w:type="pct"/>
            <w:vAlign w:val="center"/>
          </w:tcPr>
          <w:p w14:paraId="4929943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4EFA2B7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5060780F">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严禁超量生产，混合好的药物及时中转</w:t>
            </w:r>
          </w:p>
        </w:tc>
      </w:tr>
      <w:tr w14:paraId="77E78B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233" w:type="pct"/>
            <w:vMerge w:val="continue"/>
            <w:vAlign w:val="center"/>
          </w:tcPr>
          <w:p w14:paraId="20933E2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450B108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6687E86E">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操作错误、失误</w:t>
            </w:r>
          </w:p>
        </w:tc>
        <w:tc>
          <w:tcPr>
            <w:tcW w:w="731" w:type="pct"/>
            <w:vAlign w:val="center"/>
          </w:tcPr>
          <w:p w14:paraId="64596910">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机械伤害</w:t>
            </w:r>
          </w:p>
        </w:tc>
        <w:tc>
          <w:tcPr>
            <w:tcW w:w="349" w:type="pct"/>
            <w:vAlign w:val="center"/>
          </w:tcPr>
          <w:p w14:paraId="7BB66F4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Ⅱ</w:t>
            </w:r>
          </w:p>
        </w:tc>
        <w:tc>
          <w:tcPr>
            <w:tcW w:w="1795" w:type="pct"/>
            <w:vAlign w:val="center"/>
          </w:tcPr>
          <w:p w14:paraId="6B92AABB">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严格按操作规程操作</w:t>
            </w:r>
          </w:p>
        </w:tc>
      </w:tr>
      <w:tr w14:paraId="0E2B16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3" w:type="pct"/>
            <w:vMerge w:val="continue"/>
            <w:vAlign w:val="center"/>
          </w:tcPr>
          <w:p w14:paraId="05F7463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5FDB81E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052F9F84">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操作工无个体防护用品或个体防护用品使用不当</w:t>
            </w:r>
          </w:p>
        </w:tc>
        <w:tc>
          <w:tcPr>
            <w:tcW w:w="731" w:type="pct"/>
            <w:vAlign w:val="center"/>
          </w:tcPr>
          <w:p w14:paraId="63156810">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健康伤害</w:t>
            </w:r>
          </w:p>
        </w:tc>
        <w:tc>
          <w:tcPr>
            <w:tcW w:w="349" w:type="pct"/>
            <w:vAlign w:val="center"/>
          </w:tcPr>
          <w:p w14:paraId="3A31375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459B3FDC">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按规定穿戴好口罩、工作服等个人防护用品</w:t>
            </w:r>
          </w:p>
        </w:tc>
      </w:tr>
      <w:tr w14:paraId="06C36F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233" w:type="pct"/>
            <w:vMerge w:val="restart"/>
            <w:vAlign w:val="center"/>
          </w:tcPr>
          <w:p w14:paraId="1C86CC5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b w:val="0"/>
                <w:bCs/>
                <w:szCs w:val="21"/>
              </w:rPr>
              <w:t>3</w:t>
            </w:r>
          </w:p>
        </w:tc>
        <w:tc>
          <w:tcPr>
            <w:tcW w:w="454" w:type="pct"/>
            <w:vMerge w:val="restart"/>
            <w:vAlign w:val="center"/>
          </w:tcPr>
          <w:p w14:paraId="4AAE449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b w:val="0"/>
                <w:bCs/>
                <w:szCs w:val="21"/>
              </w:rPr>
              <w:t>造粒</w:t>
            </w:r>
          </w:p>
        </w:tc>
        <w:tc>
          <w:tcPr>
            <w:tcW w:w="1435" w:type="pct"/>
            <w:vAlign w:val="center"/>
          </w:tcPr>
          <w:p w14:paraId="6DDB4703">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操作时用力过大</w:t>
            </w:r>
          </w:p>
        </w:tc>
        <w:tc>
          <w:tcPr>
            <w:tcW w:w="731" w:type="pct"/>
            <w:vAlign w:val="center"/>
          </w:tcPr>
          <w:p w14:paraId="4E5D892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1DE08F3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0AC41924">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 xml:space="preserve">轻缓、小心操作 </w:t>
            </w:r>
          </w:p>
        </w:tc>
      </w:tr>
      <w:tr w14:paraId="19A1EB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233" w:type="pct"/>
            <w:vMerge w:val="continue"/>
            <w:vAlign w:val="center"/>
          </w:tcPr>
          <w:p w14:paraId="3927729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74EEB78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0A4C26EA">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药物中混入机械杂质</w:t>
            </w:r>
          </w:p>
        </w:tc>
        <w:tc>
          <w:tcPr>
            <w:tcW w:w="731" w:type="pct"/>
            <w:vAlign w:val="center"/>
          </w:tcPr>
          <w:p w14:paraId="0E99C912">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0B41E07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40522C21">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按规程操作，防止杂质混入</w:t>
            </w:r>
          </w:p>
        </w:tc>
      </w:tr>
      <w:tr w14:paraId="3E718B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3" w:type="pct"/>
            <w:vMerge w:val="continue"/>
            <w:vAlign w:val="center"/>
          </w:tcPr>
          <w:p w14:paraId="24DE728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6065FD6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69484A55">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造粒机使用铁质等黑色金属制作</w:t>
            </w:r>
          </w:p>
        </w:tc>
        <w:tc>
          <w:tcPr>
            <w:tcW w:w="731" w:type="pct"/>
            <w:vAlign w:val="center"/>
          </w:tcPr>
          <w:p w14:paraId="06BF35F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4BA9EB8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74BB17C9">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禁止使用黑色金属工器具</w:t>
            </w:r>
          </w:p>
        </w:tc>
      </w:tr>
      <w:tr w14:paraId="064748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3" w:type="pct"/>
            <w:vMerge w:val="continue"/>
            <w:vAlign w:val="center"/>
          </w:tcPr>
          <w:p w14:paraId="2D5ADAC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1451150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13601377">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使用塑料、尼龙等易产生静电的材料制作的工器具</w:t>
            </w:r>
          </w:p>
        </w:tc>
        <w:tc>
          <w:tcPr>
            <w:tcW w:w="731" w:type="pct"/>
            <w:vAlign w:val="center"/>
          </w:tcPr>
          <w:p w14:paraId="63939E30">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1BF7E73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5706060C">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使用铜、铝、木、竹质工器具和导电橡胶或木质工作台</w:t>
            </w:r>
          </w:p>
        </w:tc>
      </w:tr>
      <w:tr w14:paraId="54FEAE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3" w:type="pct"/>
            <w:vMerge w:val="continue"/>
            <w:vAlign w:val="center"/>
          </w:tcPr>
          <w:p w14:paraId="4DFAAFC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64BCE5C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72E27DA1">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人体带静电</w:t>
            </w:r>
          </w:p>
        </w:tc>
        <w:tc>
          <w:tcPr>
            <w:tcW w:w="731" w:type="pct"/>
            <w:vAlign w:val="center"/>
          </w:tcPr>
          <w:p w14:paraId="2EFB8BFA">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122EC8B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0F31C6FC">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穿戴防静电劳保用品并在进入工房前消除人体静电</w:t>
            </w:r>
          </w:p>
        </w:tc>
      </w:tr>
      <w:tr w14:paraId="3833FF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233" w:type="pct"/>
            <w:vMerge w:val="continue"/>
            <w:vAlign w:val="center"/>
          </w:tcPr>
          <w:p w14:paraId="7298478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4259E5F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4F360E9D">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地面有洒落药粉</w:t>
            </w:r>
          </w:p>
        </w:tc>
        <w:tc>
          <w:tcPr>
            <w:tcW w:w="731" w:type="pct"/>
            <w:vAlign w:val="center"/>
          </w:tcPr>
          <w:p w14:paraId="708C898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25873B7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5E46B8FB">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及时清洗地面</w:t>
            </w:r>
          </w:p>
        </w:tc>
      </w:tr>
      <w:tr w14:paraId="4266D6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233" w:type="pct"/>
            <w:vMerge w:val="continue"/>
            <w:vAlign w:val="center"/>
          </w:tcPr>
          <w:p w14:paraId="03BF874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2E934F3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54AE8E94">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电气线路因破损、过载、短路等故障导致的高温、电火花</w:t>
            </w:r>
          </w:p>
        </w:tc>
        <w:tc>
          <w:tcPr>
            <w:tcW w:w="731" w:type="pct"/>
            <w:vAlign w:val="center"/>
          </w:tcPr>
          <w:p w14:paraId="6F28D091">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4FE8EBA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2F1A8CB9">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线路穿管保护，设置过载保护装置</w:t>
            </w:r>
          </w:p>
        </w:tc>
      </w:tr>
      <w:tr w14:paraId="187728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233" w:type="pct"/>
            <w:vMerge w:val="continue"/>
            <w:vAlign w:val="center"/>
          </w:tcPr>
          <w:p w14:paraId="03D0C0E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37ECE4E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32248E58">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造粒机无接地或接地不良。</w:t>
            </w:r>
          </w:p>
        </w:tc>
        <w:tc>
          <w:tcPr>
            <w:tcW w:w="731" w:type="pct"/>
            <w:vAlign w:val="center"/>
          </w:tcPr>
          <w:p w14:paraId="77671D0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417B685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054F4BCA">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造粒机须妥善接地，并定期检测。</w:t>
            </w:r>
          </w:p>
        </w:tc>
      </w:tr>
      <w:tr w14:paraId="5F946D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3" w:type="pct"/>
            <w:vMerge w:val="continue"/>
            <w:vAlign w:val="center"/>
          </w:tcPr>
          <w:p w14:paraId="6738C69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1A794D8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2D30C004">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超药物限量操作或没有及时中转</w:t>
            </w:r>
          </w:p>
        </w:tc>
        <w:tc>
          <w:tcPr>
            <w:tcW w:w="731" w:type="pct"/>
            <w:vAlign w:val="center"/>
          </w:tcPr>
          <w:p w14:paraId="6454B472">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3CE6D51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46AA215C">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严禁超量生产，生产好的亮珠及时中转</w:t>
            </w:r>
          </w:p>
        </w:tc>
      </w:tr>
      <w:tr w14:paraId="63A820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233" w:type="pct"/>
            <w:vMerge w:val="continue"/>
            <w:vAlign w:val="center"/>
          </w:tcPr>
          <w:p w14:paraId="4166406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5F6DF0F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79275B0E">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操作错误、失误</w:t>
            </w:r>
          </w:p>
        </w:tc>
        <w:tc>
          <w:tcPr>
            <w:tcW w:w="731" w:type="pct"/>
            <w:vAlign w:val="center"/>
          </w:tcPr>
          <w:p w14:paraId="32E0905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机械伤害</w:t>
            </w:r>
          </w:p>
        </w:tc>
        <w:tc>
          <w:tcPr>
            <w:tcW w:w="349" w:type="pct"/>
            <w:vAlign w:val="center"/>
          </w:tcPr>
          <w:p w14:paraId="5A2DEEB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Ⅱ</w:t>
            </w:r>
          </w:p>
        </w:tc>
        <w:tc>
          <w:tcPr>
            <w:tcW w:w="1795" w:type="pct"/>
            <w:vAlign w:val="center"/>
          </w:tcPr>
          <w:p w14:paraId="118CA17A">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严格按操作规程操作</w:t>
            </w:r>
          </w:p>
        </w:tc>
      </w:tr>
      <w:tr w14:paraId="02A06A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3" w:type="pct"/>
            <w:vMerge w:val="continue"/>
            <w:vAlign w:val="center"/>
          </w:tcPr>
          <w:p w14:paraId="6912306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3038B43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78E5E34C">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操作工无个体防护用品或个体防护用品使用不当</w:t>
            </w:r>
          </w:p>
        </w:tc>
        <w:tc>
          <w:tcPr>
            <w:tcW w:w="731" w:type="pct"/>
            <w:vAlign w:val="center"/>
          </w:tcPr>
          <w:p w14:paraId="0342AD8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健康伤害</w:t>
            </w:r>
          </w:p>
        </w:tc>
        <w:tc>
          <w:tcPr>
            <w:tcW w:w="349" w:type="pct"/>
            <w:vAlign w:val="center"/>
          </w:tcPr>
          <w:p w14:paraId="59BFC88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4DB35216">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按规定穿戴好口罩、工作服等个人防护用品</w:t>
            </w:r>
          </w:p>
        </w:tc>
      </w:tr>
      <w:tr w14:paraId="2E12AD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233" w:type="pct"/>
            <w:vMerge w:val="restart"/>
            <w:vAlign w:val="center"/>
          </w:tcPr>
          <w:p w14:paraId="2BED126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b w:val="0"/>
                <w:bCs/>
                <w:szCs w:val="21"/>
              </w:rPr>
              <w:t>4</w:t>
            </w:r>
          </w:p>
        </w:tc>
        <w:tc>
          <w:tcPr>
            <w:tcW w:w="454" w:type="pct"/>
            <w:vMerge w:val="restart"/>
            <w:vAlign w:val="center"/>
          </w:tcPr>
          <w:p w14:paraId="0605367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b w:val="0"/>
                <w:bCs/>
                <w:szCs w:val="21"/>
              </w:rPr>
              <w:t>筛选</w:t>
            </w:r>
          </w:p>
        </w:tc>
        <w:tc>
          <w:tcPr>
            <w:tcW w:w="1435" w:type="pct"/>
            <w:vAlign w:val="center"/>
          </w:tcPr>
          <w:p w14:paraId="6E63D14B">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操作过程中用力过大或操作失误，产生较强摩擦、撞击</w:t>
            </w:r>
          </w:p>
        </w:tc>
        <w:tc>
          <w:tcPr>
            <w:tcW w:w="731" w:type="pct"/>
            <w:vAlign w:val="center"/>
          </w:tcPr>
          <w:p w14:paraId="1CC11FB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711523C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1D2675AE">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 xml:space="preserve">轻缓、小心操作 </w:t>
            </w:r>
          </w:p>
        </w:tc>
      </w:tr>
      <w:tr w14:paraId="76BEF6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233" w:type="pct"/>
            <w:vMerge w:val="continue"/>
            <w:vAlign w:val="center"/>
          </w:tcPr>
          <w:p w14:paraId="5B76AB6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5D9F2C2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261FF4D2">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地面有洒落药粉</w:t>
            </w:r>
          </w:p>
        </w:tc>
        <w:tc>
          <w:tcPr>
            <w:tcW w:w="731" w:type="pct"/>
            <w:vAlign w:val="center"/>
          </w:tcPr>
          <w:p w14:paraId="108D980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2CC415F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7E13E4FC">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及时清扫、清洗地面</w:t>
            </w:r>
          </w:p>
        </w:tc>
      </w:tr>
      <w:tr w14:paraId="73F0BE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3" w:type="pct"/>
            <w:vMerge w:val="continue"/>
            <w:vAlign w:val="center"/>
          </w:tcPr>
          <w:p w14:paraId="190159C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139932D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32AA8A67">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使用易产生静电的材料制作的工器具</w:t>
            </w:r>
          </w:p>
        </w:tc>
        <w:tc>
          <w:tcPr>
            <w:tcW w:w="731" w:type="pct"/>
            <w:vAlign w:val="center"/>
          </w:tcPr>
          <w:p w14:paraId="16C9E4A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4FD8A4C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5433CBC5">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使用铜、铝、木、竹质工器具和导电橡胶或木质工作台</w:t>
            </w:r>
          </w:p>
        </w:tc>
      </w:tr>
      <w:tr w14:paraId="29F1FE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3" w:type="pct"/>
            <w:vMerge w:val="continue"/>
            <w:vAlign w:val="center"/>
          </w:tcPr>
          <w:p w14:paraId="690DD86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4AADEB8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2932E073">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人体带静电</w:t>
            </w:r>
          </w:p>
        </w:tc>
        <w:tc>
          <w:tcPr>
            <w:tcW w:w="731" w:type="pct"/>
            <w:vAlign w:val="center"/>
          </w:tcPr>
          <w:p w14:paraId="27963D7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01AC3C0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03F383C6">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穿戴防静电劳保用品并在进入工房前消除人体静电</w:t>
            </w:r>
          </w:p>
        </w:tc>
      </w:tr>
      <w:tr w14:paraId="3ED136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3" w:type="pct"/>
            <w:vMerge w:val="continue"/>
            <w:vAlign w:val="center"/>
          </w:tcPr>
          <w:p w14:paraId="09AFD60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69BC1A8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32CED365">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超药物限量操作或没有及时中转</w:t>
            </w:r>
          </w:p>
        </w:tc>
        <w:tc>
          <w:tcPr>
            <w:tcW w:w="731" w:type="pct"/>
            <w:vAlign w:val="center"/>
          </w:tcPr>
          <w:p w14:paraId="6D72112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6F85C10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51B16FA7">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严禁超量生产，生产好的亮珠及时中转</w:t>
            </w:r>
          </w:p>
        </w:tc>
      </w:tr>
      <w:tr w14:paraId="72E7D0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3" w:type="pct"/>
            <w:vMerge w:val="continue"/>
            <w:vAlign w:val="center"/>
          </w:tcPr>
          <w:p w14:paraId="674AD08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p w14:paraId="7206DD90">
            <w:pPr>
              <w:pStyle w:val="34"/>
              <w:keepNext w:val="0"/>
              <w:keepLines w:val="0"/>
              <w:pageBreakBefore w:val="0"/>
              <w:widowControl w:val="0"/>
              <w:kinsoku/>
              <w:wordWrap/>
              <w:overflowPunct/>
              <w:topLinePunct w:val="0"/>
              <w:autoSpaceDE/>
              <w:autoSpaceDN/>
              <w:bidi w:val="0"/>
              <w:adjustRightInd/>
              <w:snapToGrid/>
              <w:spacing w:line="360" w:lineRule="exact"/>
              <w:ind w:firstLine="560"/>
              <w:textAlignment w:val="auto"/>
              <w:rPr>
                <w:bCs/>
              </w:rPr>
            </w:pPr>
          </w:p>
        </w:tc>
        <w:tc>
          <w:tcPr>
            <w:tcW w:w="454" w:type="pct"/>
            <w:vMerge w:val="continue"/>
            <w:vAlign w:val="center"/>
          </w:tcPr>
          <w:p w14:paraId="3E9F3A2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649C21E5">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操作工无个体防护用品或个体防护用品使用不当</w:t>
            </w:r>
          </w:p>
        </w:tc>
        <w:tc>
          <w:tcPr>
            <w:tcW w:w="731" w:type="pct"/>
            <w:vAlign w:val="center"/>
          </w:tcPr>
          <w:p w14:paraId="1C5B138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健康伤害</w:t>
            </w:r>
          </w:p>
        </w:tc>
        <w:tc>
          <w:tcPr>
            <w:tcW w:w="349" w:type="pct"/>
            <w:vAlign w:val="center"/>
          </w:tcPr>
          <w:p w14:paraId="4A6BDFD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Ⅱ</w:t>
            </w:r>
          </w:p>
        </w:tc>
        <w:tc>
          <w:tcPr>
            <w:tcW w:w="1795" w:type="pct"/>
            <w:vAlign w:val="center"/>
          </w:tcPr>
          <w:p w14:paraId="5849A56B">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按规定穿戴好口罩、工作服等个人防护用品</w:t>
            </w:r>
          </w:p>
        </w:tc>
      </w:tr>
      <w:tr w14:paraId="3A3C51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233" w:type="pct"/>
            <w:vMerge w:val="restart"/>
            <w:vAlign w:val="center"/>
          </w:tcPr>
          <w:p w14:paraId="2B10B55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b w:val="0"/>
                <w:bCs/>
                <w:szCs w:val="21"/>
              </w:rPr>
              <w:t>5</w:t>
            </w:r>
          </w:p>
        </w:tc>
        <w:tc>
          <w:tcPr>
            <w:tcW w:w="454" w:type="pct"/>
            <w:vMerge w:val="restart"/>
            <w:vAlign w:val="center"/>
          </w:tcPr>
          <w:p w14:paraId="365DCD5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b w:val="0"/>
                <w:bCs/>
                <w:szCs w:val="21"/>
              </w:rPr>
              <w:t>干燥/散热</w:t>
            </w:r>
          </w:p>
        </w:tc>
        <w:tc>
          <w:tcPr>
            <w:tcW w:w="1435" w:type="pct"/>
            <w:vAlign w:val="center"/>
          </w:tcPr>
          <w:p w14:paraId="39A85A28">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用力过大或操作失误</w:t>
            </w:r>
          </w:p>
        </w:tc>
        <w:tc>
          <w:tcPr>
            <w:tcW w:w="731" w:type="pct"/>
            <w:vAlign w:val="center"/>
          </w:tcPr>
          <w:p w14:paraId="48629A21">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658326D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07A38BDA">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 xml:space="preserve">轻缓、小心操作 </w:t>
            </w:r>
          </w:p>
        </w:tc>
      </w:tr>
      <w:tr w14:paraId="75F1B8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233" w:type="pct"/>
            <w:vMerge w:val="continue"/>
            <w:vAlign w:val="center"/>
          </w:tcPr>
          <w:p w14:paraId="394D253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648B741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67366C93">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电气线路因破损、过载、短路等故障导致的高温、电火花</w:t>
            </w:r>
          </w:p>
        </w:tc>
        <w:tc>
          <w:tcPr>
            <w:tcW w:w="731" w:type="pct"/>
            <w:vAlign w:val="center"/>
          </w:tcPr>
          <w:p w14:paraId="783919A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46E430A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0AE14F57">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线路穿管保护，设置过载保护装置</w:t>
            </w:r>
          </w:p>
        </w:tc>
      </w:tr>
      <w:tr w14:paraId="4E9DD7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233" w:type="pct"/>
            <w:vMerge w:val="continue"/>
            <w:vAlign w:val="center"/>
          </w:tcPr>
          <w:p w14:paraId="5D58390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47A8E22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06C4F083">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焙房温度过高</w:t>
            </w:r>
          </w:p>
        </w:tc>
        <w:tc>
          <w:tcPr>
            <w:tcW w:w="731" w:type="pct"/>
            <w:vAlign w:val="center"/>
          </w:tcPr>
          <w:p w14:paraId="411D78F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083CCF2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55DDBE55">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严格控制温度</w:t>
            </w:r>
          </w:p>
        </w:tc>
      </w:tr>
      <w:tr w14:paraId="606782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233" w:type="pct"/>
            <w:vMerge w:val="continue"/>
            <w:vAlign w:val="center"/>
          </w:tcPr>
          <w:p w14:paraId="3D599C1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41A0668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511177F6">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干燥过程中翻动</w:t>
            </w:r>
          </w:p>
        </w:tc>
        <w:tc>
          <w:tcPr>
            <w:tcW w:w="731" w:type="pct"/>
            <w:vAlign w:val="center"/>
          </w:tcPr>
          <w:p w14:paraId="3D55DC8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560AA44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21122136">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干燥过程严禁翻动</w:t>
            </w:r>
          </w:p>
        </w:tc>
      </w:tr>
      <w:tr w14:paraId="49BDDE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233" w:type="pct"/>
            <w:vMerge w:val="continue"/>
            <w:vAlign w:val="center"/>
          </w:tcPr>
          <w:p w14:paraId="43A0C38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38C9417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6E065527">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地面有洒落药粉</w:t>
            </w:r>
          </w:p>
        </w:tc>
        <w:tc>
          <w:tcPr>
            <w:tcW w:w="731" w:type="pct"/>
            <w:vAlign w:val="center"/>
          </w:tcPr>
          <w:p w14:paraId="7C4E2AD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3A9A97D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490AC0C7">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及时清扫、清洗地面</w:t>
            </w:r>
          </w:p>
        </w:tc>
      </w:tr>
      <w:tr w14:paraId="29F129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233" w:type="pct"/>
            <w:vMerge w:val="restart"/>
            <w:vAlign w:val="center"/>
          </w:tcPr>
          <w:p w14:paraId="53797C0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b w:val="0"/>
                <w:bCs/>
                <w:szCs w:val="21"/>
              </w:rPr>
              <w:t>6</w:t>
            </w:r>
          </w:p>
        </w:tc>
        <w:tc>
          <w:tcPr>
            <w:tcW w:w="454" w:type="pct"/>
            <w:vMerge w:val="restart"/>
            <w:vAlign w:val="center"/>
          </w:tcPr>
          <w:p w14:paraId="287B198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b w:val="0"/>
                <w:bCs/>
                <w:szCs w:val="21"/>
              </w:rPr>
              <w:t>中转</w:t>
            </w:r>
          </w:p>
        </w:tc>
        <w:tc>
          <w:tcPr>
            <w:tcW w:w="1435" w:type="pct"/>
            <w:vAlign w:val="center"/>
          </w:tcPr>
          <w:p w14:paraId="6627B95E">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搬运时用力过大</w:t>
            </w:r>
          </w:p>
        </w:tc>
        <w:tc>
          <w:tcPr>
            <w:tcW w:w="731" w:type="pct"/>
            <w:vAlign w:val="center"/>
          </w:tcPr>
          <w:p w14:paraId="3B53442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0E841DA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7B346042">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 xml:space="preserve">轻缓、小心操作 </w:t>
            </w:r>
          </w:p>
        </w:tc>
      </w:tr>
      <w:tr w14:paraId="2F44BC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 w:type="pct"/>
            <w:vMerge w:val="continue"/>
            <w:vAlign w:val="center"/>
          </w:tcPr>
          <w:p w14:paraId="475FEE1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537F1AD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4C079238">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使用铁质等黑色金属工具</w:t>
            </w:r>
          </w:p>
        </w:tc>
        <w:tc>
          <w:tcPr>
            <w:tcW w:w="731" w:type="pct"/>
            <w:vAlign w:val="center"/>
          </w:tcPr>
          <w:p w14:paraId="7403DB5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284F511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2FFBDF75">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禁止使用黑色金属工具</w:t>
            </w:r>
          </w:p>
        </w:tc>
      </w:tr>
      <w:tr w14:paraId="0EE0B5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233" w:type="pct"/>
            <w:vMerge w:val="continue"/>
            <w:vAlign w:val="center"/>
          </w:tcPr>
          <w:p w14:paraId="198BEA0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0A65809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5000C674">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使用塑料、尼龙等易产生静电的材料制作的工器具</w:t>
            </w:r>
          </w:p>
        </w:tc>
        <w:tc>
          <w:tcPr>
            <w:tcW w:w="731" w:type="pct"/>
            <w:vAlign w:val="center"/>
          </w:tcPr>
          <w:p w14:paraId="223CB26A">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2FF07C6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369E6F1C">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使用铜、铝、木、竹质工器具和导电橡胶或木质工作台</w:t>
            </w:r>
          </w:p>
        </w:tc>
      </w:tr>
      <w:tr w14:paraId="0D6687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233" w:type="pct"/>
            <w:vMerge w:val="continue"/>
            <w:vAlign w:val="center"/>
          </w:tcPr>
          <w:p w14:paraId="7B3C9A0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2892213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2CDDE069">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人体带静电</w:t>
            </w:r>
          </w:p>
        </w:tc>
        <w:tc>
          <w:tcPr>
            <w:tcW w:w="731" w:type="pct"/>
            <w:vAlign w:val="center"/>
          </w:tcPr>
          <w:p w14:paraId="1378BC2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50AB081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49BE1A8B">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穿戴防静电劳保用品并在进入库房前消除人体静电</w:t>
            </w:r>
          </w:p>
        </w:tc>
      </w:tr>
      <w:tr w14:paraId="20487A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233" w:type="pct"/>
            <w:vMerge w:val="continue"/>
            <w:vAlign w:val="center"/>
          </w:tcPr>
          <w:p w14:paraId="67AF5F0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73D38AD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32164393">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地面有洒落药粉</w:t>
            </w:r>
          </w:p>
        </w:tc>
        <w:tc>
          <w:tcPr>
            <w:tcW w:w="731" w:type="pct"/>
            <w:vAlign w:val="center"/>
          </w:tcPr>
          <w:p w14:paraId="374D576F">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069CA89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56ADBA40">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及时清洗地面</w:t>
            </w:r>
          </w:p>
        </w:tc>
      </w:tr>
      <w:tr w14:paraId="288EB9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233" w:type="pct"/>
            <w:vMerge w:val="continue"/>
            <w:vAlign w:val="center"/>
          </w:tcPr>
          <w:p w14:paraId="43A7F92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5F745B3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6D3A5683">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操作工无个体防护用品或个体防护用品使用不当</w:t>
            </w:r>
          </w:p>
        </w:tc>
        <w:tc>
          <w:tcPr>
            <w:tcW w:w="731" w:type="pct"/>
            <w:vAlign w:val="center"/>
          </w:tcPr>
          <w:p w14:paraId="7805B93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健康伤害</w:t>
            </w:r>
          </w:p>
        </w:tc>
        <w:tc>
          <w:tcPr>
            <w:tcW w:w="349" w:type="pct"/>
            <w:vAlign w:val="center"/>
          </w:tcPr>
          <w:p w14:paraId="4841636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Ⅱ</w:t>
            </w:r>
          </w:p>
        </w:tc>
        <w:tc>
          <w:tcPr>
            <w:tcW w:w="1795" w:type="pct"/>
            <w:vAlign w:val="center"/>
          </w:tcPr>
          <w:p w14:paraId="797FD225">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按照规定穿戴好口罩、工作服等个人防护用品</w:t>
            </w:r>
          </w:p>
        </w:tc>
      </w:tr>
      <w:tr w14:paraId="31BCD5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233" w:type="pct"/>
            <w:vMerge w:val="restart"/>
            <w:vAlign w:val="center"/>
          </w:tcPr>
          <w:p w14:paraId="39AC673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b w:val="0"/>
                <w:bCs/>
                <w:szCs w:val="21"/>
              </w:rPr>
              <w:t>7</w:t>
            </w:r>
          </w:p>
        </w:tc>
        <w:tc>
          <w:tcPr>
            <w:tcW w:w="454" w:type="pct"/>
            <w:vMerge w:val="restart"/>
            <w:vAlign w:val="center"/>
          </w:tcPr>
          <w:p w14:paraId="7FB01DF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b w:val="0"/>
                <w:bCs/>
                <w:szCs w:val="21"/>
              </w:rPr>
              <w:t>包装</w:t>
            </w:r>
          </w:p>
        </w:tc>
        <w:tc>
          <w:tcPr>
            <w:tcW w:w="1435" w:type="pct"/>
            <w:vAlign w:val="center"/>
          </w:tcPr>
          <w:p w14:paraId="63475F47">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操作过程中用力过大或操作失误，产生较强摩擦、撞击</w:t>
            </w:r>
          </w:p>
        </w:tc>
        <w:tc>
          <w:tcPr>
            <w:tcW w:w="731" w:type="pct"/>
            <w:vAlign w:val="center"/>
          </w:tcPr>
          <w:p w14:paraId="74DFABA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71DD8EC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16B19878">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轻缓、小心操作</w:t>
            </w:r>
          </w:p>
        </w:tc>
      </w:tr>
      <w:tr w14:paraId="599FFE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233" w:type="pct"/>
            <w:vMerge w:val="continue"/>
            <w:vAlign w:val="center"/>
          </w:tcPr>
          <w:p w14:paraId="0FB3B40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25B5732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07CFF9B1">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地面有掉落药粉</w:t>
            </w:r>
          </w:p>
        </w:tc>
        <w:tc>
          <w:tcPr>
            <w:tcW w:w="731" w:type="pct"/>
            <w:vAlign w:val="center"/>
          </w:tcPr>
          <w:p w14:paraId="763FF42A">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137C468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6E946627">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及时清扫地面</w:t>
            </w:r>
          </w:p>
        </w:tc>
      </w:tr>
      <w:tr w14:paraId="15C1F7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233" w:type="pct"/>
            <w:vMerge w:val="continue"/>
            <w:vAlign w:val="center"/>
          </w:tcPr>
          <w:p w14:paraId="496A6F2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76F6177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7FC3E01A">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使用塑料、尼龙等易产生静电的材料制作的工器具及包装袋</w:t>
            </w:r>
          </w:p>
        </w:tc>
        <w:tc>
          <w:tcPr>
            <w:tcW w:w="731" w:type="pct"/>
            <w:vAlign w:val="center"/>
          </w:tcPr>
          <w:p w14:paraId="76BDF21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0C86EAF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725604C7">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使用铜、铝、木、竹质工器具</w:t>
            </w:r>
          </w:p>
        </w:tc>
      </w:tr>
      <w:tr w14:paraId="3BDC8F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33" w:type="pct"/>
            <w:vMerge w:val="continue"/>
            <w:vAlign w:val="center"/>
          </w:tcPr>
          <w:p w14:paraId="21E7135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7DBB7BB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4898C388">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人体带静电</w:t>
            </w:r>
          </w:p>
        </w:tc>
        <w:tc>
          <w:tcPr>
            <w:tcW w:w="731" w:type="pct"/>
            <w:vAlign w:val="center"/>
          </w:tcPr>
          <w:p w14:paraId="4A3B022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4BBAF96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2D06A91D">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穿戴防静电劳保用品并在进入工房前消除人体静电</w:t>
            </w:r>
          </w:p>
        </w:tc>
      </w:tr>
      <w:tr w14:paraId="407FDB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233" w:type="pct"/>
            <w:vMerge w:val="continue"/>
            <w:vAlign w:val="center"/>
          </w:tcPr>
          <w:p w14:paraId="27B460F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454" w:type="pct"/>
            <w:vMerge w:val="continue"/>
            <w:vAlign w:val="center"/>
          </w:tcPr>
          <w:p w14:paraId="62D2267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p>
        </w:tc>
        <w:tc>
          <w:tcPr>
            <w:tcW w:w="1435" w:type="pct"/>
            <w:vAlign w:val="center"/>
          </w:tcPr>
          <w:p w14:paraId="6EBABC70">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超药物限量操作或没有及时中转</w:t>
            </w:r>
          </w:p>
        </w:tc>
        <w:tc>
          <w:tcPr>
            <w:tcW w:w="731" w:type="pct"/>
            <w:vAlign w:val="center"/>
          </w:tcPr>
          <w:p w14:paraId="679DC7E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b w:val="0"/>
                <w:bCs/>
                <w:szCs w:val="21"/>
              </w:rPr>
              <w:t>火灾、爆炸</w:t>
            </w:r>
          </w:p>
        </w:tc>
        <w:tc>
          <w:tcPr>
            <w:tcW w:w="349" w:type="pct"/>
            <w:vAlign w:val="center"/>
          </w:tcPr>
          <w:p w14:paraId="15367DC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b w:val="0"/>
                <w:bCs/>
                <w:szCs w:val="21"/>
              </w:rPr>
            </w:pPr>
            <w:r>
              <w:rPr>
                <w:rFonts w:hint="eastAsia" w:ascii="宋体" w:hAnsi="宋体" w:cs="宋体"/>
                <w:b w:val="0"/>
                <w:bCs/>
                <w:szCs w:val="21"/>
              </w:rPr>
              <w:t>Ⅲ</w:t>
            </w:r>
          </w:p>
        </w:tc>
        <w:tc>
          <w:tcPr>
            <w:tcW w:w="1795" w:type="pct"/>
            <w:vAlign w:val="center"/>
          </w:tcPr>
          <w:p w14:paraId="100550D4">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b w:val="0"/>
                <w:bCs/>
                <w:szCs w:val="21"/>
              </w:rPr>
            </w:pPr>
            <w:r>
              <w:rPr>
                <w:rFonts w:hint="eastAsia" w:ascii="宋体" w:hAnsi="宋体"/>
                <w:b w:val="0"/>
                <w:bCs/>
                <w:szCs w:val="21"/>
              </w:rPr>
              <w:t>严禁超量生产，生产好的亮珠、药柱及时中转</w:t>
            </w:r>
          </w:p>
        </w:tc>
      </w:tr>
    </w:tbl>
    <w:p w14:paraId="4D75BDF3">
      <w:pPr>
        <w:spacing w:line="360" w:lineRule="auto"/>
        <w:ind w:firstLine="560" w:firstLineChars="200"/>
        <w:rPr>
          <w:rFonts w:ascii="宋体" w:hAnsi="宋体"/>
          <w:b w:val="0"/>
          <w:bCs/>
          <w:sz w:val="28"/>
          <w:szCs w:val="28"/>
        </w:rPr>
      </w:pPr>
      <w:r>
        <w:rPr>
          <w:rFonts w:hint="eastAsia" w:ascii="宋体" w:hAnsi="宋体"/>
          <w:b w:val="0"/>
          <w:bCs/>
          <w:sz w:val="28"/>
          <w:szCs w:val="28"/>
        </w:rPr>
        <w:t>根据以上分析判定，该项目工艺过程各工序都存在危险有害因素，事故类型主要为火灾、爆炸。危险级别主要为Ⅲ级，明确了发生事故的触发条件并确定了应采取的相应工艺安全对策措施</w:t>
      </w:r>
      <w:r>
        <w:rPr>
          <w:rFonts w:hint="eastAsia" w:ascii="宋体" w:hAnsi="宋体"/>
          <w:b w:val="0"/>
          <w:bCs/>
          <w:sz w:val="28"/>
          <w:szCs w:val="28"/>
          <w:lang w:val="en-GB"/>
        </w:rPr>
        <w:t>。</w:t>
      </w:r>
    </w:p>
    <w:p w14:paraId="6DB762C8">
      <w:pPr>
        <w:keepNext/>
        <w:keepLines/>
        <w:spacing w:before="120" w:beforeLines="50" w:line="360" w:lineRule="auto"/>
        <w:outlineLvl w:val="1"/>
        <w:rPr>
          <w:rFonts w:ascii="黑体" w:hAnsi="宋体" w:eastAsia="黑体"/>
          <w:b w:val="0"/>
          <w:bCs/>
          <w:snapToGrid w:val="0"/>
          <w:sz w:val="30"/>
          <w:szCs w:val="30"/>
        </w:rPr>
      </w:pPr>
      <w:bookmarkStart w:id="587" w:name="_Toc17558"/>
      <w:r>
        <w:rPr>
          <w:rFonts w:hint="eastAsia" w:ascii="黑体" w:hAnsi="宋体" w:eastAsia="黑体"/>
          <w:b w:val="0"/>
          <w:bCs/>
          <w:snapToGrid w:val="0"/>
          <w:sz w:val="30"/>
          <w:szCs w:val="30"/>
        </w:rPr>
        <w:t>5.6建筑施工单元</w:t>
      </w:r>
      <w:bookmarkEnd w:id="587"/>
    </w:p>
    <w:p w14:paraId="0E766E2D">
      <w:pPr>
        <w:spacing w:line="360" w:lineRule="auto"/>
        <w:ind w:firstLine="560" w:firstLineChars="200"/>
        <w:rPr>
          <w:rFonts w:ascii="宋体" w:hAnsi="宋体"/>
          <w:b w:val="0"/>
          <w:bCs/>
          <w:sz w:val="28"/>
          <w:szCs w:val="28"/>
        </w:rPr>
      </w:pPr>
      <w:r>
        <w:rPr>
          <w:rFonts w:hint="eastAsia" w:ascii="宋体" w:hAnsi="宋体"/>
          <w:b w:val="0"/>
          <w:bCs/>
          <w:sz w:val="28"/>
          <w:szCs w:val="28"/>
        </w:rPr>
        <w:t>采用预先危险性分析法对本单元进行评价。</w:t>
      </w:r>
    </w:p>
    <w:p w14:paraId="4C7A4D53">
      <w:pPr>
        <w:spacing w:line="360" w:lineRule="auto"/>
        <w:ind w:firstLine="536" w:firstLineChars="200"/>
        <w:rPr>
          <w:rFonts w:ascii="宋体" w:hAnsi="宋体"/>
          <w:b w:val="0"/>
          <w:bCs/>
          <w:spacing w:val="-6"/>
          <w:sz w:val="28"/>
          <w:szCs w:val="28"/>
        </w:rPr>
      </w:pPr>
      <w:r>
        <w:rPr>
          <w:rFonts w:hint="eastAsia" w:ascii="宋体" w:hAnsi="宋体"/>
          <w:b w:val="0"/>
          <w:bCs/>
          <w:spacing w:val="-6"/>
          <w:sz w:val="28"/>
          <w:szCs w:val="28"/>
        </w:rPr>
        <w:t>改建需要进行建筑施工。建筑施工阶段存在的潜在的主要危险有害因素有：高处坠落、物体打击、起重致害、机械致害、厂（场）内车辆致害和道路（轨道）车辆致害、火灾、触电</w:t>
      </w:r>
      <w:r>
        <w:rPr>
          <w:rFonts w:hint="eastAsia" w:ascii="宋体" w:hAnsi="宋体"/>
          <w:b w:val="0"/>
          <w:bCs/>
          <w:spacing w:val="-6"/>
          <w:sz w:val="28"/>
          <w:szCs w:val="28"/>
          <w:lang w:val="en-GB"/>
        </w:rPr>
        <w:t>和</w:t>
      </w:r>
      <w:r>
        <w:rPr>
          <w:rFonts w:hint="eastAsia" w:ascii="宋体" w:hAnsi="宋体"/>
          <w:b w:val="0"/>
          <w:bCs/>
          <w:spacing w:val="-6"/>
          <w:sz w:val="28"/>
          <w:szCs w:val="28"/>
        </w:rPr>
        <w:t>坍塌等，其危险有害程度见下表</w:t>
      </w:r>
      <w:r>
        <w:rPr>
          <w:rFonts w:ascii="宋体" w:hAnsi="宋体"/>
          <w:b w:val="0"/>
          <w:bCs/>
          <w:spacing w:val="-6"/>
          <w:sz w:val="28"/>
          <w:szCs w:val="28"/>
        </w:rPr>
        <w:t>5.</w:t>
      </w:r>
      <w:r>
        <w:rPr>
          <w:rFonts w:hint="eastAsia" w:ascii="宋体" w:hAnsi="宋体"/>
          <w:b w:val="0"/>
          <w:bCs/>
          <w:spacing w:val="-6"/>
          <w:sz w:val="28"/>
          <w:szCs w:val="28"/>
        </w:rPr>
        <w:t>6</w:t>
      </w:r>
      <w:r>
        <w:rPr>
          <w:rFonts w:ascii="宋体" w:hAnsi="宋体"/>
          <w:b w:val="0"/>
          <w:bCs/>
          <w:spacing w:val="-6"/>
          <w:sz w:val="28"/>
          <w:szCs w:val="28"/>
        </w:rPr>
        <w:t>-1</w:t>
      </w:r>
      <w:r>
        <w:rPr>
          <w:rFonts w:hint="eastAsia" w:ascii="宋体" w:hAnsi="宋体"/>
          <w:b w:val="0"/>
          <w:bCs/>
          <w:spacing w:val="-6"/>
          <w:sz w:val="28"/>
          <w:szCs w:val="28"/>
        </w:rPr>
        <w:t>：</w:t>
      </w:r>
    </w:p>
    <w:p w14:paraId="162BC247">
      <w:pPr>
        <w:jc w:val="center"/>
        <w:rPr>
          <w:rFonts w:ascii="黑体" w:hAnsi="黑体" w:eastAsia="黑体"/>
          <w:b w:val="0"/>
          <w:bCs/>
          <w:sz w:val="24"/>
        </w:rPr>
      </w:pPr>
      <w:r>
        <w:rPr>
          <w:rFonts w:hint="eastAsia" w:ascii="黑体" w:hAnsi="黑体" w:eastAsia="黑体"/>
          <w:b w:val="0"/>
          <w:bCs/>
          <w:sz w:val="24"/>
        </w:rPr>
        <w:t>表5.6-1 建筑施工阶段的危险有害程度</w:t>
      </w:r>
    </w:p>
    <w:tbl>
      <w:tblPr>
        <w:tblStyle w:val="88"/>
        <w:tblW w:w="952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57" w:type="dxa"/>
        </w:tblCellMar>
      </w:tblPr>
      <w:tblGrid>
        <w:gridCol w:w="874"/>
        <w:gridCol w:w="2329"/>
        <w:gridCol w:w="1867"/>
        <w:gridCol w:w="623"/>
        <w:gridCol w:w="567"/>
        <w:gridCol w:w="567"/>
        <w:gridCol w:w="2694"/>
      </w:tblGrid>
      <w:tr w14:paraId="5778D5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blHeader/>
          <w:jc w:val="center"/>
        </w:trPr>
        <w:tc>
          <w:tcPr>
            <w:tcW w:w="874" w:type="dxa"/>
            <w:vAlign w:val="center"/>
          </w:tcPr>
          <w:p w14:paraId="745A9443">
            <w:pPr>
              <w:wordWrap w:val="0"/>
              <w:adjustRightInd w:val="0"/>
              <w:snapToGrid w:val="0"/>
              <w:jc w:val="center"/>
              <w:rPr>
                <w:rFonts w:ascii="宋体" w:hAnsi="宋体" w:cs="宋体"/>
                <w:b w:val="0"/>
                <w:bCs/>
                <w:color w:val="000000"/>
                <w:szCs w:val="21"/>
              </w:rPr>
            </w:pPr>
            <w:bookmarkStart w:id="588" w:name="_Toc216179940"/>
            <w:bookmarkStart w:id="589" w:name="_Toc246908236"/>
            <w:r>
              <w:rPr>
                <w:rFonts w:hint="eastAsia" w:ascii="宋体" w:hAnsi="宋体" w:cs="宋体"/>
                <w:b w:val="0"/>
                <w:bCs/>
                <w:color w:val="000000"/>
                <w:szCs w:val="21"/>
              </w:rPr>
              <w:t>危险有害因素</w:t>
            </w:r>
          </w:p>
        </w:tc>
        <w:tc>
          <w:tcPr>
            <w:tcW w:w="2329" w:type="dxa"/>
            <w:vAlign w:val="center"/>
          </w:tcPr>
          <w:p w14:paraId="29EA5D2B">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触发事件</w:t>
            </w:r>
          </w:p>
        </w:tc>
        <w:tc>
          <w:tcPr>
            <w:tcW w:w="1867" w:type="dxa"/>
            <w:vAlign w:val="center"/>
          </w:tcPr>
          <w:p w14:paraId="68ECE1D3">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原因事件</w:t>
            </w:r>
          </w:p>
        </w:tc>
        <w:tc>
          <w:tcPr>
            <w:tcW w:w="623" w:type="dxa"/>
            <w:vAlign w:val="center"/>
          </w:tcPr>
          <w:p w14:paraId="2D9EE640">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事故后果</w:t>
            </w:r>
          </w:p>
        </w:tc>
        <w:tc>
          <w:tcPr>
            <w:tcW w:w="567" w:type="dxa"/>
            <w:vAlign w:val="center"/>
          </w:tcPr>
          <w:p w14:paraId="788AEE62">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危险等级</w:t>
            </w:r>
          </w:p>
        </w:tc>
        <w:tc>
          <w:tcPr>
            <w:tcW w:w="567" w:type="dxa"/>
            <w:vAlign w:val="center"/>
          </w:tcPr>
          <w:p w14:paraId="5C9F0857">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危险程度</w:t>
            </w:r>
          </w:p>
        </w:tc>
        <w:tc>
          <w:tcPr>
            <w:tcW w:w="2694" w:type="dxa"/>
            <w:vAlign w:val="center"/>
          </w:tcPr>
          <w:p w14:paraId="13A284B7">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防范措施</w:t>
            </w:r>
          </w:p>
        </w:tc>
      </w:tr>
      <w:tr w14:paraId="35FFDD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874" w:type="dxa"/>
            <w:vAlign w:val="center"/>
          </w:tcPr>
          <w:p w14:paraId="057CEF1D">
            <w:pPr>
              <w:adjustRightInd w:val="0"/>
              <w:snapToGrid w:val="0"/>
              <w:jc w:val="center"/>
              <w:rPr>
                <w:rFonts w:ascii="宋体" w:hAnsi="宋体" w:cs="宋体"/>
                <w:b w:val="0"/>
                <w:bCs/>
                <w:color w:val="000000"/>
                <w:szCs w:val="21"/>
              </w:rPr>
            </w:pPr>
            <w:r>
              <w:rPr>
                <w:rFonts w:hint="eastAsia" w:ascii="宋体" w:hAnsi="宋体" w:cs="宋体"/>
                <w:b w:val="0"/>
                <w:bCs/>
                <w:color w:val="000000"/>
                <w:szCs w:val="21"/>
              </w:rPr>
              <w:t>高处</w:t>
            </w:r>
          </w:p>
          <w:p w14:paraId="30AD81AA">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坠落</w:t>
            </w:r>
          </w:p>
        </w:tc>
        <w:tc>
          <w:tcPr>
            <w:tcW w:w="2329" w:type="dxa"/>
            <w:vAlign w:val="center"/>
          </w:tcPr>
          <w:p w14:paraId="7F65EBDC">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1）高处作业、临边无栏，不小心坠落；</w:t>
            </w:r>
          </w:p>
          <w:p w14:paraId="333A5582">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2）无脚手架、板或脚手架、板固定不牢，造成高处坠落；</w:t>
            </w:r>
          </w:p>
          <w:p w14:paraId="513426C6">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3）梯子无防滑措施，或强度不够、固定不牢造成跌落；</w:t>
            </w:r>
          </w:p>
          <w:p w14:paraId="241E3BA3">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4）高处行道、管线架桥及护栏锈蚀，或强度不够造成坠落；</w:t>
            </w:r>
          </w:p>
          <w:p w14:paraId="1426F4BD">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5）未穿防滑鞋或防护用品穿戴不当，造成滑跌坠落；</w:t>
            </w:r>
          </w:p>
          <w:p w14:paraId="63CBCB9C">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6）在大风、暴雨、雷电、霜冻、积雪的条件下登高作业，不慎坠落；</w:t>
            </w:r>
          </w:p>
          <w:p w14:paraId="0F3900C3">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7）身体不适造成坠落；</w:t>
            </w:r>
          </w:p>
          <w:p w14:paraId="6DDD7500">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8）作业时嬉笑打闹。</w:t>
            </w:r>
          </w:p>
        </w:tc>
        <w:tc>
          <w:tcPr>
            <w:tcW w:w="1867" w:type="dxa"/>
            <w:vAlign w:val="center"/>
          </w:tcPr>
          <w:p w14:paraId="0BC705C6">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1）无脚手架和防滑防坠落措施，踩空或支撑物倒塌；</w:t>
            </w:r>
          </w:p>
          <w:p w14:paraId="7B6E3A2F">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2）高处作业时未系安全带，或安全带挂系不牢；</w:t>
            </w:r>
          </w:p>
          <w:p w14:paraId="77F69E04">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3）安全带不合格、脚手架固定不牢或强度不够；</w:t>
            </w:r>
          </w:p>
          <w:p w14:paraId="7266097F">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4）违反“十不登高”制度；</w:t>
            </w:r>
          </w:p>
          <w:p w14:paraId="5C3983E8">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5）未穿防滑鞋、紧身工作服；</w:t>
            </w:r>
          </w:p>
          <w:p w14:paraId="1FC484C1">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6）违章作业、违章指挥、违反劳动纪律；</w:t>
            </w:r>
          </w:p>
          <w:p w14:paraId="27D9351B">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7）情绪不稳定，疲劳作业，身体有疾病、工作时精力不集中。</w:t>
            </w:r>
          </w:p>
        </w:tc>
        <w:tc>
          <w:tcPr>
            <w:tcW w:w="623" w:type="dxa"/>
            <w:vAlign w:val="center"/>
          </w:tcPr>
          <w:p w14:paraId="64981147">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人员伤害</w:t>
            </w:r>
          </w:p>
        </w:tc>
        <w:tc>
          <w:tcPr>
            <w:tcW w:w="567" w:type="dxa"/>
            <w:vAlign w:val="center"/>
          </w:tcPr>
          <w:p w14:paraId="14266D4C">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Ⅱ</w:t>
            </w:r>
          </w:p>
        </w:tc>
        <w:tc>
          <w:tcPr>
            <w:tcW w:w="567" w:type="dxa"/>
            <w:vAlign w:val="center"/>
          </w:tcPr>
          <w:p w14:paraId="197267F5">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临界的</w:t>
            </w:r>
          </w:p>
        </w:tc>
        <w:tc>
          <w:tcPr>
            <w:tcW w:w="2694" w:type="dxa"/>
            <w:vAlign w:val="center"/>
          </w:tcPr>
          <w:p w14:paraId="72DCEF2F">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1）登高作业人员必须在身心健康状态下登高作业，必须严格执行“十不登高”；2）登高作业人员必须穿戴防滑鞋、紧身工作服、安全帽，系好安全带；</w:t>
            </w:r>
          </w:p>
          <w:p w14:paraId="73EE516F">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3）事先搭设脚手架等安全设施；</w:t>
            </w:r>
          </w:p>
          <w:p w14:paraId="5B2EEDE1">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4）在屋顶等高处作业顶设防护栏杆、安全网；</w:t>
            </w:r>
          </w:p>
          <w:p w14:paraId="736AAF46">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5）安全带安全网、栏杆、护墙要定期检查确保完好；</w:t>
            </w:r>
          </w:p>
          <w:p w14:paraId="6D046933">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6）六级以上大风、暴雨、雷电、霜冻、大雾、积雪等恶劣气候条件下尽可能避免高处作业；</w:t>
            </w:r>
          </w:p>
          <w:p w14:paraId="039D6ED2">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7）可以在地面做的作业，尽量不要安排在高处做，即"尽可能高处作业平地做；</w:t>
            </w:r>
          </w:p>
          <w:p w14:paraId="43B84323">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8）加强对登高作业人员的安全教育、</w:t>
            </w:r>
            <w:r>
              <w:fldChar w:fldCharType="begin"/>
            </w:r>
            <w:r>
              <w:instrText xml:space="preserve"> HYPERLINK "http://www.aqpx.cn/" \t "_blank" </w:instrText>
            </w:r>
            <w:r>
              <w:fldChar w:fldCharType="separate"/>
            </w:r>
            <w:r>
              <w:rPr>
                <w:rFonts w:hint="eastAsia" w:ascii="宋体" w:hAnsi="宋体" w:cs="宋体"/>
                <w:b w:val="0"/>
                <w:bCs/>
                <w:color w:val="000000"/>
                <w:szCs w:val="21"/>
              </w:rPr>
              <w:t>培训</w:t>
            </w:r>
            <w:r>
              <w:rPr>
                <w:rFonts w:hint="eastAsia" w:ascii="宋体" w:hAnsi="宋体" w:cs="宋体"/>
                <w:b w:val="0"/>
                <w:bCs/>
                <w:color w:val="000000"/>
                <w:szCs w:val="21"/>
              </w:rPr>
              <w:fldChar w:fldCharType="end"/>
            </w:r>
            <w:r>
              <w:rPr>
                <w:rFonts w:hint="eastAsia" w:ascii="宋体" w:hAnsi="宋体" w:cs="宋体"/>
                <w:b w:val="0"/>
                <w:bCs/>
                <w:color w:val="000000"/>
                <w:szCs w:val="21"/>
              </w:rPr>
              <w:t>、考核工作；</w:t>
            </w:r>
          </w:p>
          <w:p w14:paraId="4F12561E">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8）坚决杜绝登高作业中的"三违"。</w:t>
            </w:r>
          </w:p>
        </w:tc>
      </w:tr>
      <w:tr w14:paraId="40D687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328" w:hRule="atLeast"/>
          <w:jc w:val="center"/>
        </w:trPr>
        <w:tc>
          <w:tcPr>
            <w:tcW w:w="874" w:type="dxa"/>
            <w:vAlign w:val="center"/>
          </w:tcPr>
          <w:p w14:paraId="50527030">
            <w:pPr>
              <w:adjustRightInd w:val="0"/>
              <w:snapToGrid w:val="0"/>
              <w:jc w:val="center"/>
              <w:rPr>
                <w:rFonts w:ascii="宋体" w:hAnsi="宋体" w:cs="宋体"/>
                <w:b w:val="0"/>
                <w:bCs/>
                <w:color w:val="000000"/>
                <w:szCs w:val="21"/>
              </w:rPr>
            </w:pPr>
            <w:r>
              <w:rPr>
                <w:rFonts w:hint="eastAsia" w:ascii="宋体" w:hAnsi="宋体" w:cs="宋体"/>
                <w:b w:val="0"/>
                <w:bCs/>
                <w:color w:val="000000"/>
                <w:szCs w:val="21"/>
              </w:rPr>
              <w:t>物体</w:t>
            </w:r>
          </w:p>
          <w:p w14:paraId="3920AF47">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打击</w:t>
            </w:r>
          </w:p>
        </w:tc>
        <w:tc>
          <w:tcPr>
            <w:tcW w:w="2329" w:type="dxa"/>
            <w:vAlign w:val="center"/>
          </w:tcPr>
          <w:p w14:paraId="00CCC68B">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1）高处有未被固定的物体被碰撞或风吹等坠落；</w:t>
            </w:r>
          </w:p>
          <w:p w14:paraId="5EBD4DC5">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2）工具、器具等抛掷；</w:t>
            </w:r>
          </w:p>
          <w:p w14:paraId="6462CA2B">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3）违章作业、违章指挥、违法操作规范</w:t>
            </w:r>
          </w:p>
          <w:p w14:paraId="533019D6">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4）设施坍塌；</w:t>
            </w:r>
          </w:p>
          <w:p w14:paraId="08C3E39A">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5）碎片抛掷、飞溅；</w:t>
            </w:r>
          </w:p>
          <w:p w14:paraId="03FCF435">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6）防护用品和工具质量缺陷或使用不当。</w:t>
            </w:r>
          </w:p>
        </w:tc>
        <w:tc>
          <w:tcPr>
            <w:tcW w:w="1867" w:type="dxa"/>
            <w:vAlign w:val="center"/>
          </w:tcPr>
          <w:p w14:paraId="166BFF39">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1）未戴安全帽；</w:t>
            </w:r>
          </w:p>
          <w:p w14:paraId="65D00ACC">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2）在起重或高处作业区域行进、停留；</w:t>
            </w:r>
          </w:p>
          <w:p w14:paraId="29557A5F">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3）堆垛不稳，叉车操作发生失误；</w:t>
            </w:r>
          </w:p>
          <w:p w14:paraId="20612F08">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4）燃爆事故波及。</w:t>
            </w:r>
          </w:p>
        </w:tc>
        <w:tc>
          <w:tcPr>
            <w:tcW w:w="623" w:type="dxa"/>
            <w:vMerge w:val="restart"/>
            <w:vAlign w:val="center"/>
          </w:tcPr>
          <w:p w14:paraId="31051D3D">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人员伤亡财产损失</w:t>
            </w:r>
          </w:p>
        </w:tc>
        <w:tc>
          <w:tcPr>
            <w:tcW w:w="567" w:type="dxa"/>
            <w:vMerge w:val="restart"/>
            <w:vAlign w:val="center"/>
          </w:tcPr>
          <w:p w14:paraId="0B148251">
            <w:pPr>
              <w:adjustRightInd w:val="0"/>
              <w:snapToGrid w:val="0"/>
              <w:jc w:val="center"/>
              <w:rPr>
                <w:rFonts w:ascii="宋体" w:hAnsi="宋体" w:cs="宋体"/>
                <w:b w:val="0"/>
                <w:bCs/>
                <w:color w:val="000000"/>
                <w:szCs w:val="21"/>
              </w:rPr>
            </w:pPr>
            <w:r>
              <w:rPr>
                <w:rFonts w:hint="eastAsia" w:ascii="宋体" w:hAnsi="宋体" w:cs="宋体"/>
                <w:b w:val="0"/>
                <w:bCs/>
                <w:color w:val="000000"/>
                <w:szCs w:val="21"/>
              </w:rPr>
              <w:t>Ⅱ</w:t>
            </w:r>
          </w:p>
        </w:tc>
        <w:tc>
          <w:tcPr>
            <w:tcW w:w="567" w:type="dxa"/>
            <w:vMerge w:val="restart"/>
            <w:vAlign w:val="center"/>
          </w:tcPr>
          <w:p w14:paraId="30DDE1B9">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临界的</w:t>
            </w:r>
          </w:p>
        </w:tc>
        <w:tc>
          <w:tcPr>
            <w:tcW w:w="2694" w:type="dxa"/>
            <w:vMerge w:val="restart"/>
            <w:vAlign w:val="center"/>
          </w:tcPr>
          <w:p w14:paraId="026B02AA">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1）起重设备按规定进行检查、检测、保持完好状态；</w:t>
            </w:r>
          </w:p>
          <w:p w14:paraId="6DC1BBD1">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2）起重作业人员持证上岗，严格遵守"十不吊"；</w:t>
            </w:r>
          </w:p>
          <w:p w14:paraId="51AE2C51">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3）高处作业要严格遵守"十不登高"；</w:t>
            </w:r>
          </w:p>
          <w:p w14:paraId="12565FCC">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4）避免起重、高处作业区和其它有规范危险区域行进和停留；</w:t>
            </w:r>
          </w:p>
          <w:p w14:paraId="7759C14B">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5）高处需要的物件必须合理摆放并固定牢靠；</w:t>
            </w:r>
          </w:p>
          <w:p w14:paraId="570D3181">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6）及时清除、加固可能倒塌的设施；</w:t>
            </w:r>
          </w:p>
          <w:p w14:paraId="379CDF4F">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7）堆垛要齐、稳、牢，常检查铲车，不能故障运行；8）加强对员工的安全意识教育，杜绝"三违"；</w:t>
            </w:r>
          </w:p>
          <w:p w14:paraId="2465177B">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9）加强防止物体打击的检查和安全管理工作；</w:t>
            </w:r>
          </w:p>
          <w:p w14:paraId="179D9B6B">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10）作业人员、进入现场的其他人员都应穿戴必要的防护用品，特别是安全帽。</w:t>
            </w:r>
          </w:p>
        </w:tc>
      </w:tr>
      <w:tr w14:paraId="620A66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jc w:val="center"/>
        </w:trPr>
        <w:tc>
          <w:tcPr>
            <w:tcW w:w="874" w:type="dxa"/>
            <w:vAlign w:val="center"/>
          </w:tcPr>
          <w:p w14:paraId="7A7DC85C">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起重</w:t>
            </w:r>
          </w:p>
          <w:p w14:paraId="116CB3EF">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致害</w:t>
            </w:r>
          </w:p>
        </w:tc>
        <w:tc>
          <w:tcPr>
            <w:tcW w:w="2329" w:type="dxa"/>
            <w:vAlign w:val="center"/>
          </w:tcPr>
          <w:p w14:paraId="681AEF01">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1）起重作业，因捆扎不牢或有浮物、吊具强度不足、斜吊斜拉致使物体倾斜；</w:t>
            </w:r>
          </w:p>
          <w:p w14:paraId="5A793545">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2）吊装作业时物品坠落。</w:t>
            </w:r>
          </w:p>
        </w:tc>
        <w:tc>
          <w:tcPr>
            <w:tcW w:w="1867" w:type="dxa"/>
            <w:vAlign w:val="center"/>
          </w:tcPr>
          <w:p w14:paraId="04F0637A">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1）吊装作业存在疏忽、吊具存在缺陷而未进行检查</w:t>
            </w:r>
          </w:p>
          <w:p w14:paraId="50A63228">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2）违法“十不吊”制度。</w:t>
            </w:r>
          </w:p>
        </w:tc>
        <w:tc>
          <w:tcPr>
            <w:tcW w:w="623" w:type="dxa"/>
            <w:vMerge w:val="continue"/>
            <w:vAlign w:val="center"/>
          </w:tcPr>
          <w:p w14:paraId="104641E3">
            <w:pPr>
              <w:wordWrap w:val="0"/>
              <w:adjustRightInd w:val="0"/>
              <w:snapToGrid w:val="0"/>
              <w:jc w:val="center"/>
              <w:rPr>
                <w:rFonts w:ascii="宋体" w:hAnsi="宋体" w:cs="宋体"/>
                <w:b w:val="0"/>
                <w:bCs/>
                <w:color w:val="000000"/>
                <w:szCs w:val="21"/>
              </w:rPr>
            </w:pPr>
          </w:p>
        </w:tc>
        <w:tc>
          <w:tcPr>
            <w:tcW w:w="567" w:type="dxa"/>
            <w:vMerge w:val="continue"/>
            <w:vAlign w:val="center"/>
          </w:tcPr>
          <w:p w14:paraId="11B33D9B">
            <w:pPr>
              <w:wordWrap w:val="0"/>
              <w:adjustRightInd w:val="0"/>
              <w:snapToGrid w:val="0"/>
              <w:jc w:val="center"/>
              <w:rPr>
                <w:rFonts w:ascii="宋体" w:hAnsi="宋体" w:cs="宋体"/>
                <w:b w:val="0"/>
                <w:bCs/>
                <w:color w:val="000000"/>
                <w:szCs w:val="21"/>
              </w:rPr>
            </w:pPr>
          </w:p>
        </w:tc>
        <w:tc>
          <w:tcPr>
            <w:tcW w:w="567" w:type="dxa"/>
            <w:vMerge w:val="continue"/>
            <w:vAlign w:val="center"/>
          </w:tcPr>
          <w:p w14:paraId="2E4BCEDF">
            <w:pPr>
              <w:wordWrap w:val="0"/>
              <w:adjustRightInd w:val="0"/>
              <w:snapToGrid w:val="0"/>
              <w:jc w:val="center"/>
              <w:rPr>
                <w:rFonts w:ascii="宋体" w:hAnsi="宋体" w:cs="宋体"/>
                <w:b w:val="0"/>
                <w:bCs/>
                <w:color w:val="000000"/>
                <w:szCs w:val="21"/>
              </w:rPr>
            </w:pPr>
          </w:p>
        </w:tc>
        <w:tc>
          <w:tcPr>
            <w:tcW w:w="2694" w:type="dxa"/>
            <w:vMerge w:val="continue"/>
            <w:vAlign w:val="center"/>
          </w:tcPr>
          <w:p w14:paraId="5585A90E">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p>
        </w:tc>
      </w:tr>
      <w:tr w14:paraId="0EA94C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874" w:type="dxa"/>
            <w:vAlign w:val="center"/>
          </w:tcPr>
          <w:p w14:paraId="1275AE7B">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机械</w:t>
            </w:r>
          </w:p>
          <w:p w14:paraId="55F73E87">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致害</w:t>
            </w:r>
          </w:p>
        </w:tc>
        <w:tc>
          <w:tcPr>
            <w:tcW w:w="2329" w:type="dxa"/>
            <w:vAlign w:val="center"/>
          </w:tcPr>
          <w:p w14:paraId="22A872C7">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1）在土建施工、设备安装时，不注意而被碰、割、砸；</w:t>
            </w:r>
          </w:p>
          <w:p w14:paraId="3F53BB76">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2）衣物等被绞入转动设备；</w:t>
            </w:r>
          </w:p>
          <w:p w14:paraId="2CE510FE">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3）旋转、往复、滑动设备、物体撞击伤人；</w:t>
            </w:r>
          </w:p>
          <w:p w14:paraId="545D3344">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4）切割刀具、突出的机械部分、毛坯及工具设备边缘毛刺或锋利处碰伤；</w:t>
            </w:r>
          </w:p>
          <w:p w14:paraId="550B4FAE">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5）运转设备或部件发生意外损坏飞溅伤人。</w:t>
            </w:r>
          </w:p>
        </w:tc>
        <w:tc>
          <w:tcPr>
            <w:tcW w:w="1867" w:type="dxa"/>
            <w:vAlign w:val="center"/>
          </w:tcPr>
          <w:p w14:paraId="237A1BC4">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1）工作中注意力不集中；</w:t>
            </w:r>
          </w:p>
          <w:p w14:paraId="05B26B78">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2）劳动防护用品未正确穿戴；</w:t>
            </w:r>
          </w:p>
          <w:p w14:paraId="44EF1B86">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3）违章作业；</w:t>
            </w:r>
          </w:p>
          <w:p w14:paraId="53437B3B">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4）设备或部件存在故障、缺陷。</w:t>
            </w:r>
          </w:p>
        </w:tc>
        <w:tc>
          <w:tcPr>
            <w:tcW w:w="623" w:type="dxa"/>
            <w:vAlign w:val="center"/>
          </w:tcPr>
          <w:p w14:paraId="3B25C7AC">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人体伤害</w:t>
            </w:r>
          </w:p>
        </w:tc>
        <w:tc>
          <w:tcPr>
            <w:tcW w:w="567" w:type="dxa"/>
            <w:vAlign w:val="center"/>
          </w:tcPr>
          <w:p w14:paraId="35CA11A9">
            <w:pPr>
              <w:adjustRightInd w:val="0"/>
              <w:snapToGrid w:val="0"/>
              <w:jc w:val="center"/>
              <w:rPr>
                <w:rFonts w:ascii="宋体" w:hAnsi="宋体" w:cs="宋体"/>
                <w:b w:val="0"/>
                <w:bCs/>
                <w:color w:val="000000"/>
                <w:szCs w:val="21"/>
              </w:rPr>
            </w:pPr>
            <w:r>
              <w:rPr>
                <w:rFonts w:hint="eastAsia" w:ascii="宋体" w:hAnsi="宋体" w:cs="宋体"/>
                <w:b w:val="0"/>
                <w:bCs/>
                <w:color w:val="000000"/>
                <w:szCs w:val="21"/>
              </w:rPr>
              <w:t>Ⅱ</w:t>
            </w:r>
          </w:p>
        </w:tc>
        <w:tc>
          <w:tcPr>
            <w:tcW w:w="567" w:type="dxa"/>
            <w:vAlign w:val="center"/>
          </w:tcPr>
          <w:p w14:paraId="0DA75352">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临界的</w:t>
            </w:r>
          </w:p>
        </w:tc>
        <w:tc>
          <w:tcPr>
            <w:tcW w:w="2694" w:type="dxa"/>
            <w:vAlign w:val="center"/>
          </w:tcPr>
          <w:p w14:paraId="16EA02BC">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1）工作时注意力要集中，要注意观察；</w:t>
            </w:r>
          </w:p>
          <w:p w14:paraId="614CBCD6">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2）正确穿戴好劳动防护用品；</w:t>
            </w:r>
          </w:p>
          <w:p w14:paraId="0DD6A6FA">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3）作业过程中严格遵守操作规程；</w:t>
            </w:r>
          </w:p>
          <w:p w14:paraId="3BBCF113">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4）设备转动部分设置防护罩（如外露轴等）；</w:t>
            </w:r>
          </w:p>
          <w:p w14:paraId="506B754B">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5）危险运动部位的周围应设置防护栅栏；</w:t>
            </w:r>
          </w:p>
          <w:p w14:paraId="17DFDD8E">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6）机器设备要定期检查、检修，保证其完好状态。</w:t>
            </w:r>
          </w:p>
        </w:tc>
      </w:tr>
      <w:tr w14:paraId="1232AC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jc w:val="center"/>
        </w:trPr>
        <w:tc>
          <w:tcPr>
            <w:tcW w:w="874" w:type="dxa"/>
            <w:vAlign w:val="center"/>
          </w:tcPr>
          <w:p w14:paraId="2D991C63">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厂(场)内车辆致害</w:t>
            </w:r>
          </w:p>
        </w:tc>
        <w:tc>
          <w:tcPr>
            <w:tcW w:w="2329" w:type="dxa"/>
            <w:vAlign w:val="center"/>
          </w:tcPr>
          <w:p w14:paraId="4630AD68">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1）车辆有故障，如刹车、阻火器不灵、无效等；</w:t>
            </w:r>
          </w:p>
          <w:p w14:paraId="57D5E4AA">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2）车速太快；</w:t>
            </w:r>
          </w:p>
          <w:p w14:paraId="75A7772F">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3）路面不好，如有缺陷、障碍物、冰雪等；</w:t>
            </w:r>
          </w:p>
          <w:p w14:paraId="62C01C40">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4）超载驾驶。</w:t>
            </w:r>
          </w:p>
        </w:tc>
        <w:tc>
          <w:tcPr>
            <w:tcW w:w="1867" w:type="dxa"/>
            <w:vAlign w:val="center"/>
          </w:tcPr>
          <w:p w14:paraId="026B77AC">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1）驾驶员违章行驶；</w:t>
            </w:r>
          </w:p>
          <w:p w14:paraId="667E7815">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2）驾驶员精力不集中；</w:t>
            </w:r>
          </w:p>
          <w:p w14:paraId="2B65C5E0">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3）酒后驾车；</w:t>
            </w:r>
          </w:p>
          <w:p w14:paraId="0BE72161">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4）疲劳驾车；</w:t>
            </w:r>
          </w:p>
          <w:p w14:paraId="35B3534A">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5）驾驶员心境差，激情驾驶等。</w:t>
            </w:r>
          </w:p>
        </w:tc>
        <w:tc>
          <w:tcPr>
            <w:tcW w:w="623" w:type="dxa"/>
            <w:vAlign w:val="center"/>
          </w:tcPr>
          <w:p w14:paraId="50EB08D8">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人员伤害撞坏管线设备等，造成泄漏引发二次事故</w:t>
            </w:r>
          </w:p>
        </w:tc>
        <w:tc>
          <w:tcPr>
            <w:tcW w:w="567" w:type="dxa"/>
            <w:vAlign w:val="center"/>
          </w:tcPr>
          <w:p w14:paraId="0884F163">
            <w:pPr>
              <w:adjustRightInd w:val="0"/>
              <w:snapToGrid w:val="0"/>
              <w:jc w:val="center"/>
              <w:rPr>
                <w:rFonts w:ascii="宋体" w:hAnsi="宋体" w:cs="宋体"/>
                <w:b w:val="0"/>
                <w:bCs/>
                <w:color w:val="000000"/>
                <w:szCs w:val="21"/>
              </w:rPr>
            </w:pPr>
            <w:r>
              <w:rPr>
                <w:rFonts w:hint="eastAsia" w:ascii="宋体" w:hAnsi="宋体" w:cs="宋体"/>
                <w:b w:val="0"/>
                <w:bCs/>
                <w:color w:val="000000"/>
                <w:szCs w:val="21"/>
              </w:rPr>
              <w:t>Ⅱ</w:t>
            </w:r>
          </w:p>
        </w:tc>
        <w:tc>
          <w:tcPr>
            <w:tcW w:w="567" w:type="dxa"/>
            <w:vAlign w:val="center"/>
          </w:tcPr>
          <w:p w14:paraId="21CE0FC8">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临界的</w:t>
            </w:r>
          </w:p>
        </w:tc>
        <w:tc>
          <w:tcPr>
            <w:tcW w:w="2694" w:type="dxa"/>
            <w:vAlign w:val="center"/>
          </w:tcPr>
          <w:p w14:paraId="5FF3869D">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1）增设交通标志（特别是限速行驶标志）；</w:t>
            </w:r>
          </w:p>
          <w:p w14:paraId="676F9154">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2）保持路面状态良好；</w:t>
            </w:r>
          </w:p>
          <w:p w14:paraId="5EDF1A18">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3）管线等不设在紧靠路边；</w:t>
            </w:r>
          </w:p>
          <w:p w14:paraId="32C2B1E9">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4）驾驶员遵守交通规则，道路行驶不违章；</w:t>
            </w:r>
          </w:p>
          <w:p w14:paraId="6510CE91">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5）加强驾驶员的教育、培训和管理（如要求行驶时不吸烟、不谈话、不疲劳驾驶、不酒后驾驶、不激情加速，行驶时注意观察、集中注意力等）；</w:t>
            </w:r>
          </w:p>
          <w:p w14:paraId="569D253C">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6）行驶车辆无故障，保持完好状态；</w:t>
            </w:r>
          </w:p>
          <w:p w14:paraId="4FE73DC3">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7）车辆不超载、不超速行驶。</w:t>
            </w:r>
          </w:p>
        </w:tc>
      </w:tr>
      <w:tr w14:paraId="45B306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jc w:val="center"/>
        </w:trPr>
        <w:tc>
          <w:tcPr>
            <w:tcW w:w="874" w:type="dxa"/>
            <w:vAlign w:val="center"/>
          </w:tcPr>
          <w:p w14:paraId="23CD6B6F">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道路（轨道）车辆致害</w:t>
            </w:r>
          </w:p>
        </w:tc>
        <w:tc>
          <w:tcPr>
            <w:tcW w:w="2329" w:type="dxa"/>
            <w:vAlign w:val="center"/>
          </w:tcPr>
          <w:p w14:paraId="3C5A23A0">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1）施工场内道路狭窄、人车混行，车辆碰撞施工人员；</w:t>
            </w:r>
            <w:r>
              <w:rPr>
                <w:rFonts w:ascii="宋体" w:hAnsi="宋体" w:cs="宋体"/>
                <w:b w:val="0"/>
                <w:bCs/>
                <w:color w:val="000000"/>
                <w:szCs w:val="21"/>
              </w:rPr>
              <w:br w:type="textWrapping"/>
            </w:r>
            <w:r>
              <w:rPr>
                <w:rFonts w:ascii="宋体" w:hAnsi="宋体" w:cs="宋体"/>
                <w:b w:val="0"/>
                <w:bCs/>
                <w:color w:val="000000"/>
                <w:szCs w:val="21"/>
              </w:rPr>
              <w:t>2）轨道车辆运行失控、脱轨或信号失误；</w:t>
            </w:r>
            <w:r>
              <w:rPr>
                <w:rFonts w:ascii="宋体" w:hAnsi="宋体" w:cs="宋体"/>
                <w:b w:val="0"/>
                <w:bCs/>
                <w:color w:val="000000"/>
                <w:szCs w:val="21"/>
              </w:rPr>
              <w:br w:type="textWrapping"/>
            </w:r>
            <w:r>
              <w:rPr>
                <w:rFonts w:ascii="宋体" w:hAnsi="宋体" w:cs="宋体"/>
                <w:b w:val="0"/>
                <w:bCs/>
                <w:color w:val="000000"/>
                <w:szCs w:val="21"/>
              </w:rPr>
              <w:t>3）车辆倒车、调头时视野盲区未设专人指挥</w:t>
            </w:r>
          </w:p>
        </w:tc>
        <w:tc>
          <w:tcPr>
            <w:tcW w:w="1867" w:type="dxa"/>
            <w:vAlign w:val="center"/>
          </w:tcPr>
          <w:p w14:paraId="23D13E09">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1）未设置人车分流通道或警示标志；</w:t>
            </w:r>
            <w:r>
              <w:rPr>
                <w:rFonts w:ascii="宋体" w:hAnsi="宋体" w:cs="宋体"/>
                <w:b w:val="0"/>
                <w:bCs/>
                <w:color w:val="000000"/>
                <w:szCs w:val="21"/>
              </w:rPr>
              <w:br w:type="textWrapping"/>
            </w:r>
            <w:r>
              <w:rPr>
                <w:rFonts w:ascii="宋体" w:hAnsi="宋体" w:cs="宋体"/>
                <w:b w:val="0"/>
                <w:bCs/>
                <w:color w:val="000000"/>
                <w:szCs w:val="21"/>
              </w:rPr>
              <w:t>2）车辆制动系统、转向系统故障或维护不到位；</w:t>
            </w:r>
            <w:r>
              <w:rPr>
                <w:rFonts w:ascii="宋体" w:hAnsi="宋体" w:cs="宋体"/>
                <w:b w:val="0"/>
                <w:bCs/>
                <w:color w:val="000000"/>
                <w:szCs w:val="21"/>
              </w:rPr>
              <w:br w:type="textWrapping"/>
            </w:r>
            <w:r>
              <w:rPr>
                <w:rFonts w:ascii="宋体" w:hAnsi="宋体" w:cs="宋体"/>
                <w:b w:val="0"/>
                <w:bCs/>
                <w:color w:val="000000"/>
                <w:szCs w:val="21"/>
              </w:rPr>
              <w:t>3）驾驶员疲劳、违规操作或未经培训上岗；</w:t>
            </w:r>
            <w:r>
              <w:rPr>
                <w:rFonts w:ascii="宋体" w:hAnsi="宋体" w:cs="宋体"/>
                <w:b w:val="0"/>
                <w:bCs/>
                <w:color w:val="000000"/>
                <w:szCs w:val="21"/>
              </w:rPr>
              <w:br w:type="textWrapping"/>
            </w:r>
            <w:r>
              <w:rPr>
                <w:rFonts w:ascii="宋体" w:hAnsi="宋体" w:cs="宋体"/>
                <w:b w:val="0"/>
                <w:bCs/>
                <w:color w:val="000000"/>
                <w:szCs w:val="21"/>
              </w:rPr>
              <w:t>4）轨道铺设不平整、固定不牢，导致车辆倾覆</w:t>
            </w:r>
          </w:p>
        </w:tc>
        <w:tc>
          <w:tcPr>
            <w:tcW w:w="623" w:type="dxa"/>
            <w:vAlign w:val="center"/>
          </w:tcPr>
          <w:p w14:paraId="2A0860B0">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人员伤亡、设备损坏、工期延误</w:t>
            </w:r>
          </w:p>
        </w:tc>
        <w:tc>
          <w:tcPr>
            <w:tcW w:w="567" w:type="dxa"/>
            <w:shd w:val="clear" w:color="auto" w:fill="auto"/>
            <w:vAlign w:val="center"/>
          </w:tcPr>
          <w:p w14:paraId="092E1E4A">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Ⅲ</w:t>
            </w:r>
          </w:p>
        </w:tc>
        <w:tc>
          <w:tcPr>
            <w:tcW w:w="567" w:type="dxa"/>
            <w:shd w:val="clear" w:color="auto" w:fill="auto"/>
            <w:vAlign w:val="center"/>
          </w:tcPr>
          <w:p w14:paraId="574C7F1F">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危险的</w:t>
            </w:r>
          </w:p>
        </w:tc>
        <w:tc>
          <w:tcPr>
            <w:tcW w:w="2694" w:type="dxa"/>
            <w:vAlign w:val="center"/>
          </w:tcPr>
          <w:p w14:paraId="3C721282">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1）施工现场应设置专用人行通道和车辆行驶路线，实行人车分流；</w:t>
            </w:r>
            <w:r>
              <w:rPr>
                <w:rFonts w:ascii="宋体" w:hAnsi="宋体" w:cs="宋体"/>
                <w:b w:val="0"/>
                <w:bCs/>
                <w:color w:val="000000"/>
                <w:szCs w:val="21"/>
              </w:rPr>
              <w:br w:type="textWrapping"/>
            </w:r>
            <w:r>
              <w:rPr>
                <w:rFonts w:ascii="宋体" w:hAnsi="宋体" w:cs="宋体"/>
                <w:b w:val="0"/>
                <w:bCs/>
                <w:color w:val="000000"/>
                <w:szCs w:val="21"/>
              </w:rPr>
              <w:t>2）车辆必须定期检查制动、转向、灯光、信号系统，确保完好；</w:t>
            </w:r>
            <w:r>
              <w:rPr>
                <w:rFonts w:ascii="宋体" w:hAnsi="宋体" w:cs="宋体"/>
                <w:b w:val="0"/>
                <w:bCs/>
                <w:color w:val="000000"/>
                <w:szCs w:val="21"/>
              </w:rPr>
              <w:br w:type="textWrapping"/>
            </w:r>
            <w:r>
              <w:rPr>
                <w:rFonts w:ascii="宋体" w:hAnsi="宋体" w:cs="宋体"/>
                <w:b w:val="0"/>
                <w:bCs/>
                <w:color w:val="000000"/>
                <w:szCs w:val="21"/>
              </w:rPr>
              <w:t>3）驾驶员须持证上岗，严禁疲劳驾驶、超速、超载；</w:t>
            </w:r>
            <w:r>
              <w:rPr>
                <w:rFonts w:ascii="宋体" w:hAnsi="宋体" w:cs="宋体"/>
                <w:b w:val="0"/>
                <w:bCs/>
                <w:color w:val="000000"/>
                <w:szCs w:val="21"/>
              </w:rPr>
              <w:br w:type="textWrapping"/>
            </w:r>
            <w:r>
              <w:rPr>
                <w:rFonts w:ascii="宋体" w:hAnsi="宋体" w:cs="宋体"/>
                <w:b w:val="0"/>
                <w:bCs/>
                <w:color w:val="000000"/>
                <w:szCs w:val="21"/>
              </w:rPr>
              <w:t>4）轨道车辆应设置限位装置、声光报警装置，并保持轨道平整牢固；</w:t>
            </w:r>
            <w:r>
              <w:rPr>
                <w:rFonts w:ascii="宋体" w:hAnsi="宋体" w:cs="宋体"/>
                <w:b w:val="0"/>
                <w:bCs/>
                <w:color w:val="000000"/>
                <w:szCs w:val="21"/>
              </w:rPr>
              <w:br w:type="textWrapping"/>
            </w:r>
            <w:r>
              <w:rPr>
                <w:rFonts w:ascii="宋体" w:hAnsi="宋体" w:cs="宋体"/>
                <w:b w:val="0"/>
                <w:bCs/>
                <w:color w:val="000000"/>
                <w:szCs w:val="21"/>
              </w:rPr>
              <w:t>5）倒车、调头等操作必须设专人指挥，并设置反光锥桶或警戒线；</w:t>
            </w:r>
            <w:r>
              <w:rPr>
                <w:rFonts w:ascii="宋体" w:hAnsi="宋体" w:cs="宋体"/>
                <w:b w:val="0"/>
                <w:bCs/>
                <w:color w:val="000000"/>
                <w:szCs w:val="21"/>
              </w:rPr>
              <w:br w:type="textWrapping"/>
            </w:r>
            <w:r>
              <w:rPr>
                <w:rFonts w:ascii="宋体" w:hAnsi="宋体" w:cs="宋体"/>
                <w:b w:val="0"/>
                <w:bCs/>
                <w:color w:val="000000"/>
                <w:szCs w:val="21"/>
              </w:rPr>
              <w:t>6）作业区域应设置明显的交通标志和夜间照明设施</w:t>
            </w:r>
          </w:p>
        </w:tc>
      </w:tr>
      <w:tr w14:paraId="58C0BE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jc w:val="center"/>
        </w:trPr>
        <w:tc>
          <w:tcPr>
            <w:tcW w:w="874" w:type="dxa"/>
            <w:vAlign w:val="center"/>
          </w:tcPr>
          <w:p w14:paraId="7DDA23A6">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火灾</w:t>
            </w:r>
          </w:p>
        </w:tc>
        <w:tc>
          <w:tcPr>
            <w:tcW w:w="2329" w:type="dxa"/>
            <w:vAlign w:val="center"/>
          </w:tcPr>
          <w:p w14:paraId="6799B721">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明火、火花</w:t>
            </w:r>
          </w:p>
        </w:tc>
        <w:tc>
          <w:tcPr>
            <w:tcW w:w="1867" w:type="dxa"/>
            <w:vAlign w:val="center"/>
          </w:tcPr>
          <w:p w14:paraId="42F73A11">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1）电火花；</w:t>
            </w:r>
          </w:p>
          <w:p w14:paraId="67BE3DEF">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2）吸烟；</w:t>
            </w:r>
          </w:p>
          <w:p w14:paraId="37040719">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3）使用明火。</w:t>
            </w:r>
          </w:p>
        </w:tc>
        <w:tc>
          <w:tcPr>
            <w:tcW w:w="623" w:type="dxa"/>
            <w:vAlign w:val="center"/>
          </w:tcPr>
          <w:p w14:paraId="570A85CC">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人员伤亡造成严重经济损失</w:t>
            </w:r>
          </w:p>
        </w:tc>
        <w:tc>
          <w:tcPr>
            <w:tcW w:w="567" w:type="dxa"/>
            <w:vAlign w:val="center"/>
          </w:tcPr>
          <w:p w14:paraId="6C4F1741">
            <w:pPr>
              <w:adjustRightInd w:val="0"/>
              <w:snapToGrid w:val="0"/>
              <w:jc w:val="center"/>
              <w:rPr>
                <w:rFonts w:ascii="宋体" w:hAnsi="宋体" w:cs="宋体"/>
                <w:b w:val="0"/>
                <w:bCs/>
                <w:color w:val="000000"/>
                <w:szCs w:val="21"/>
              </w:rPr>
            </w:pPr>
            <w:r>
              <w:rPr>
                <w:rFonts w:hint="eastAsia" w:ascii="宋体" w:hAnsi="宋体" w:cs="宋体"/>
                <w:b w:val="0"/>
                <w:bCs/>
                <w:color w:val="000000"/>
                <w:szCs w:val="21"/>
              </w:rPr>
              <w:t>Ⅲ</w:t>
            </w:r>
          </w:p>
        </w:tc>
        <w:tc>
          <w:tcPr>
            <w:tcW w:w="567" w:type="dxa"/>
            <w:vAlign w:val="center"/>
          </w:tcPr>
          <w:p w14:paraId="48047836">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危险的</w:t>
            </w:r>
          </w:p>
        </w:tc>
        <w:tc>
          <w:tcPr>
            <w:tcW w:w="2694" w:type="dxa"/>
            <w:vAlign w:val="center"/>
          </w:tcPr>
          <w:p w14:paraId="5506082F">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1）控制与消除火源：电焊、氧割、切割不设在易燃物料区；</w:t>
            </w:r>
          </w:p>
          <w:p w14:paraId="6219D4D8">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2）加强用电安全管理，临时线路安装符合规范要求；3）加强巡回检查，发现问题及时处理；</w:t>
            </w:r>
          </w:p>
          <w:p w14:paraId="3C5CE333">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4）严格执行动火作业票制度；</w:t>
            </w:r>
          </w:p>
          <w:p w14:paraId="02542DB7">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5）杜绝“三违”（违章作业、违章指挥、违反劳动纪律）；</w:t>
            </w:r>
          </w:p>
          <w:p w14:paraId="117C6456">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6）严防车辆撞坏管线；</w:t>
            </w:r>
          </w:p>
          <w:p w14:paraId="5B28B7EF">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7）易燃易爆物料区域严禁烟火；</w:t>
            </w:r>
          </w:p>
          <w:p w14:paraId="208739DC">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8）制定应急处置措施，做好消防演练和应急救援工作。</w:t>
            </w:r>
          </w:p>
        </w:tc>
      </w:tr>
      <w:tr w14:paraId="77065C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jc w:val="center"/>
        </w:trPr>
        <w:tc>
          <w:tcPr>
            <w:tcW w:w="874" w:type="dxa"/>
            <w:vAlign w:val="center"/>
          </w:tcPr>
          <w:p w14:paraId="2178ED50">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触电</w:t>
            </w:r>
          </w:p>
        </w:tc>
        <w:tc>
          <w:tcPr>
            <w:tcW w:w="2329" w:type="dxa"/>
            <w:vAlign w:val="center"/>
          </w:tcPr>
          <w:p w14:paraId="15FB3204">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1）电气设备、临时电源漏电；</w:t>
            </w:r>
          </w:p>
          <w:p w14:paraId="49BBCF29">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2）安全距离不够；</w:t>
            </w:r>
          </w:p>
          <w:p w14:paraId="5C4A2825">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3）绝缘损坏、老化；</w:t>
            </w:r>
          </w:p>
          <w:p w14:paraId="389024F0">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4）保护接地、接零不当；</w:t>
            </w:r>
          </w:p>
          <w:p w14:paraId="29C48E21">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5）防护用品和工具质量缺陷或使用不当；</w:t>
            </w:r>
          </w:p>
          <w:p w14:paraId="34F2F5F8">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6）手动电动工具类别选择不当或使用不当，疏于管理；</w:t>
            </w:r>
          </w:p>
          <w:p w14:paraId="268B021F">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7）雷击。</w:t>
            </w:r>
          </w:p>
        </w:tc>
        <w:tc>
          <w:tcPr>
            <w:tcW w:w="1867" w:type="dxa"/>
            <w:vAlign w:val="center"/>
          </w:tcPr>
          <w:p w14:paraId="1D63E5C4">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1）手及人体其它部位、随身金属物品触及带电体，或因空气潮湿，安全距离不够，造成电击穿；</w:t>
            </w:r>
          </w:p>
          <w:p w14:paraId="3AD8B104">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2）电气设备漏电、绝缘损坏，接地不良；</w:t>
            </w:r>
          </w:p>
          <w:p w14:paraId="4F8B0FB7">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3）防护用品、电动工具有缺陷，使用方法违反规程、规定；</w:t>
            </w:r>
          </w:p>
          <w:p w14:paraId="28EAEF0F">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4）电工违章作业或非电工违章操作；</w:t>
            </w:r>
          </w:p>
          <w:p w14:paraId="5023E6B2">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5）雷击。</w:t>
            </w:r>
          </w:p>
        </w:tc>
        <w:tc>
          <w:tcPr>
            <w:tcW w:w="623" w:type="dxa"/>
            <w:vAlign w:val="center"/>
          </w:tcPr>
          <w:p w14:paraId="793B4503">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人员伤亡引发二次事故</w:t>
            </w:r>
          </w:p>
        </w:tc>
        <w:tc>
          <w:tcPr>
            <w:tcW w:w="567" w:type="dxa"/>
            <w:vAlign w:val="center"/>
          </w:tcPr>
          <w:p w14:paraId="1AE82210">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Ⅱ</w:t>
            </w:r>
          </w:p>
        </w:tc>
        <w:tc>
          <w:tcPr>
            <w:tcW w:w="567" w:type="dxa"/>
            <w:vAlign w:val="center"/>
          </w:tcPr>
          <w:p w14:paraId="4EAD92CC">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临界的</w:t>
            </w:r>
          </w:p>
        </w:tc>
        <w:tc>
          <w:tcPr>
            <w:tcW w:w="2694" w:type="dxa"/>
            <w:vAlign w:val="center"/>
          </w:tcPr>
          <w:p w14:paraId="0E1218AE">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1）电气绝缘等级要与使用电压、环境动作条件相符，并定期检查、检测、维护、维修、保持完好状态；</w:t>
            </w:r>
          </w:p>
          <w:p w14:paraId="23BA148C">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2）采用遮拦、护罩、箱匣等防护措施，防止人体接触带电体；</w:t>
            </w:r>
          </w:p>
          <w:p w14:paraId="5CF89C23">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3）临时架空、室内线、所有漏电设备及其检修作业要有安全距离；</w:t>
            </w:r>
          </w:p>
          <w:p w14:paraId="282E8603">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4）严格按标准要求对电气设备做好保护接地和接零保护；</w:t>
            </w:r>
          </w:p>
          <w:p w14:paraId="4BD8D4FA">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5）电焊机绝缘完好、接线不裸露，定期检测漏电，电焊作业者穿戴防护用品，注意夏季防触电，有监护和应急措施；</w:t>
            </w:r>
          </w:p>
          <w:p w14:paraId="0B2B9243">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6）根据作业场所特点正确选择Ⅰ、Ⅱ、Ⅲ类手持电动工具，确保安全可靠，并根据要求严格执行安全操作规程；</w:t>
            </w:r>
          </w:p>
          <w:p w14:paraId="6921D712">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7）建立、健全并严格执行电气安全规章制度和电气操作规程；</w:t>
            </w:r>
          </w:p>
          <w:p w14:paraId="70849615">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8）坚持对员工的电气安全操作和急救方法的培训、教育；</w:t>
            </w:r>
          </w:p>
          <w:p w14:paraId="4A42518D">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9）定期进行电气安全检查，严禁"三违"；</w:t>
            </w:r>
          </w:p>
          <w:p w14:paraId="27988DC2">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10）特种气设备执行培训、持证上岗，专人使用制度；</w:t>
            </w:r>
          </w:p>
          <w:p w14:paraId="70539766">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11）按制度对强电线路加强管理、巡查、检修。</w:t>
            </w:r>
          </w:p>
        </w:tc>
      </w:tr>
      <w:tr w14:paraId="34D550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jc w:val="center"/>
        </w:trPr>
        <w:tc>
          <w:tcPr>
            <w:tcW w:w="874" w:type="dxa"/>
            <w:vAlign w:val="center"/>
          </w:tcPr>
          <w:p w14:paraId="68B3208B">
            <w:pPr>
              <w:adjustRightInd w:val="0"/>
              <w:snapToGrid w:val="0"/>
              <w:jc w:val="center"/>
              <w:rPr>
                <w:rFonts w:ascii="宋体" w:hAnsi="宋体" w:cs="宋体"/>
                <w:b w:val="0"/>
                <w:bCs/>
                <w:color w:val="000000"/>
                <w:szCs w:val="21"/>
              </w:rPr>
            </w:pPr>
            <w:r>
              <w:rPr>
                <w:rFonts w:hint="eastAsia" w:ascii="宋体" w:hAnsi="宋体" w:cs="宋体"/>
                <w:b w:val="0"/>
                <w:bCs/>
                <w:color w:val="000000"/>
                <w:szCs w:val="21"/>
              </w:rPr>
              <w:t>坍塌</w:t>
            </w:r>
          </w:p>
        </w:tc>
        <w:tc>
          <w:tcPr>
            <w:tcW w:w="2329" w:type="dxa"/>
            <w:vAlign w:val="center"/>
          </w:tcPr>
          <w:p w14:paraId="3AE4965F">
            <w:pPr>
              <w:wordWrap w:val="0"/>
              <w:adjustRightInd w:val="0"/>
              <w:snapToGrid w:val="0"/>
              <w:jc w:val="center"/>
              <w:rPr>
                <w:rFonts w:ascii="宋体" w:hAnsi="宋体" w:cs="宋体"/>
                <w:b w:val="0"/>
                <w:bCs/>
                <w:color w:val="000000"/>
                <w:szCs w:val="21"/>
              </w:rPr>
            </w:pPr>
            <w:r>
              <w:rPr>
                <w:rFonts w:hint="eastAsia" w:ascii="宋体" w:hAnsi="宋体" w:cs="宋体"/>
                <w:b w:val="0"/>
                <w:bCs/>
                <w:color w:val="000000"/>
                <w:szCs w:val="21"/>
              </w:rPr>
              <w:t>房屋坍塌</w:t>
            </w:r>
          </w:p>
        </w:tc>
        <w:tc>
          <w:tcPr>
            <w:tcW w:w="1867" w:type="dxa"/>
            <w:vAlign w:val="center"/>
          </w:tcPr>
          <w:p w14:paraId="788B3521">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拆除工房时得不到有效支撑。</w:t>
            </w:r>
          </w:p>
        </w:tc>
        <w:tc>
          <w:tcPr>
            <w:tcW w:w="623" w:type="dxa"/>
            <w:vAlign w:val="center"/>
          </w:tcPr>
          <w:p w14:paraId="56EE2B37">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人员伤亡财产损失</w:t>
            </w:r>
          </w:p>
        </w:tc>
        <w:tc>
          <w:tcPr>
            <w:tcW w:w="567" w:type="dxa"/>
            <w:vAlign w:val="center"/>
          </w:tcPr>
          <w:p w14:paraId="7737F67D">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Ⅱ</w:t>
            </w:r>
          </w:p>
        </w:tc>
        <w:tc>
          <w:tcPr>
            <w:tcW w:w="567" w:type="dxa"/>
            <w:vAlign w:val="center"/>
          </w:tcPr>
          <w:p w14:paraId="423F2C72">
            <w:pPr>
              <w:wordWrap w:val="0"/>
              <w:adjustRightInd w:val="0"/>
              <w:snapToGrid w:val="0"/>
              <w:jc w:val="left"/>
              <w:rPr>
                <w:rFonts w:ascii="宋体" w:hAnsi="宋体" w:cs="宋体"/>
                <w:b w:val="0"/>
                <w:bCs/>
                <w:color w:val="000000"/>
                <w:szCs w:val="21"/>
              </w:rPr>
            </w:pPr>
            <w:r>
              <w:rPr>
                <w:rFonts w:hint="eastAsia" w:ascii="宋体" w:hAnsi="宋体" w:cs="宋体"/>
                <w:b w:val="0"/>
                <w:bCs/>
                <w:color w:val="000000"/>
                <w:szCs w:val="21"/>
              </w:rPr>
              <w:t>临界的</w:t>
            </w:r>
          </w:p>
        </w:tc>
        <w:tc>
          <w:tcPr>
            <w:tcW w:w="2694" w:type="dxa"/>
            <w:vAlign w:val="center"/>
          </w:tcPr>
          <w:p w14:paraId="5DD84028">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1）增设安全标识、加强安全监管，无关人员不得进入作业现场；</w:t>
            </w:r>
          </w:p>
          <w:p w14:paraId="0DC102F1">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2）作业时应有专人看护、确保作业时工房内无人员；</w:t>
            </w:r>
          </w:p>
          <w:p w14:paraId="3CA98A4C">
            <w:pPr>
              <w:keepNext w:val="0"/>
              <w:keepLines w:val="0"/>
              <w:pageBreakBefore w:val="0"/>
              <w:widowControl w:val="0"/>
              <w:kinsoku/>
              <w:wordWrap w:val="0"/>
              <w:overflowPunct/>
              <w:topLinePunct w:val="0"/>
              <w:autoSpaceDE/>
              <w:autoSpaceDN/>
              <w:bidi w:val="0"/>
              <w:adjustRightInd w:val="0"/>
              <w:snapToGrid w:val="0"/>
              <w:spacing w:line="240" w:lineRule="exact"/>
              <w:jc w:val="left"/>
              <w:textAlignment w:val="auto"/>
              <w:rPr>
                <w:rFonts w:ascii="宋体" w:hAnsi="宋体" w:cs="宋体"/>
                <w:b w:val="0"/>
                <w:bCs/>
                <w:color w:val="000000"/>
                <w:szCs w:val="21"/>
              </w:rPr>
            </w:pPr>
            <w:r>
              <w:rPr>
                <w:rFonts w:hint="eastAsia" w:ascii="宋体" w:hAnsi="宋体" w:cs="宋体"/>
                <w:b w:val="0"/>
                <w:bCs/>
                <w:color w:val="000000"/>
                <w:szCs w:val="21"/>
              </w:rPr>
              <w:t>3）作业过程中严格遵守操作规程。</w:t>
            </w:r>
          </w:p>
        </w:tc>
      </w:tr>
    </w:tbl>
    <w:p w14:paraId="729DD6DC">
      <w:pPr>
        <w:spacing w:before="120" w:beforeLines="50" w:line="360" w:lineRule="auto"/>
        <w:ind w:firstLine="560" w:firstLineChars="200"/>
        <w:rPr>
          <w:rFonts w:ascii="宋体" w:hAnsi="宋体"/>
          <w:b w:val="0"/>
          <w:bCs/>
          <w:sz w:val="28"/>
          <w:szCs w:val="28"/>
        </w:rPr>
      </w:pPr>
      <w:r>
        <w:rPr>
          <w:rFonts w:hint="eastAsia" w:ascii="宋体" w:hAnsi="宋体"/>
          <w:b w:val="0"/>
          <w:bCs/>
          <w:sz w:val="28"/>
          <w:szCs w:val="28"/>
        </w:rPr>
        <w:t>由上述可知，建筑施工阶段存在的潜在的主要危险有害因素有：高处坠落、物体打击、起重致害、机械致害、厂（场）内车辆致害和道路（轨道）车辆致害、火灾、触电，其风险可以接受。施工过程中，部分中转房需要改建，其内还存有少量药物或半成品，故施工时应将其内的药物或半成品先转移到安全距离外的其他建筑物内再安全施工。采取安全措施后其风险可以接受。</w:t>
      </w:r>
    </w:p>
    <w:p w14:paraId="26870268">
      <w:pPr>
        <w:keepNext/>
        <w:keepLines/>
        <w:spacing w:before="120" w:beforeLines="50" w:line="360" w:lineRule="auto"/>
        <w:outlineLvl w:val="1"/>
        <w:rPr>
          <w:rFonts w:ascii="黑体" w:hAnsi="宋体" w:eastAsia="黑体"/>
          <w:b w:val="0"/>
          <w:bCs/>
          <w:snapToGrid w:val="0"/>
          <w:sz w:val="30"/>
          <w:szCs w:val="30"/>
        </w:rPr>
      </w:pPr>
      <w:bookmarkStart w:id="590" w:name="_Toc5499"/>
      <w:r>
        <w:rPr>
          <w:rFonts w:hint="eastAsia" w:ascii="黑体" w:hAnsi="宋体" w:eastAsia="黑体"/>
          <w:b w:val="0"/>
          <w:bCs/>
          <w:snapToGrid w:val="0"/>
          <w:sz w:val="30"/>
          <w:szCs w:val="30"/>
        </w:rPr>
        <w:t>5.7事故后果模拟分析（定量评价）</w:t>
      </w:r>
      <w:bookmarkEnd w:id="590"/>
    </w:p>
    <w:p w14:paraId="52EF383B">
      <w:pPr>
        <w:spacing w:line="360" w:lineRule="auto"/>
        <w:ind w:firstLine="560" w:firstLineChars="200"/>
        <w:rPr>
          <w:rFonts w:ascii="宋体" w:hAnsi="宋体"/>
          <w:b w:val="0"/>
          <w:bCs/>
          <w:sz w:val="28"/>
          <w:szCs w:val="28"/>
        </w:rPr>
      </w:pPr>
      <w:r>
        <w:rPr>
          <w:rFonts w:hint="eastAsia" w:ascii="宋体" w:hAnsi="宋体"/>
          <w:b w:val="0"/>
          <w:bCs/>
          <w:sz w:val="28"/>
          <w:szCs w:val="28"/>
        </w:rPr>
        <w:t>事故后果模拟分析，也称为伤害、破坏范围分析，是根据事故的数学模型，应用计算数学方法，求取事故对人的伤害范围或对物体的破坏范围。液体泄漏模型、气体泄漏模型、气体绝热扩散模型、火球爆炸伤害模型、爆炸冲击波超压伤害模型、毒物泄漏扩散模型等都是事故后果模拟分析中常用的计算模型。该分析方法结果直观、可靠，可用于危险性分区、计算伤害区域内的人员及其人员的伤害程度、计算破坏范围内物体损坏的程度和直接经济损失等。</w:t>
      </w:r>
    </w:p>
    <w:p w14:paraId="7718D358">
      <w:pPr>
        <w:spacing w:line="360" w:lineRule="auto"/>
        <w:ind w:firstLine="560" w:firstLineChars="200"/>
        <w:rPr>
          <w:rFonts w:ascii="宋体" w:hAnsi="宋体"/>
          <w:b w:val="0"/>
          <w:bCs/>
          <w:sz w:val="28"/>
          <w:szCs w:val="28"/>
        </w:rPr>
      </w:pPr>
      <w:r>
        <w:rPr>
          <w:rFonts w:hint="eastAsia" w:ascii="宋体" w:hAnsi="宋体"/>
          <w:b w:val="0"/>
          <w:bCs/>
          <w:sz w:val="28"/>
          <w:szCs w:val="28"/>
        </w:rPr>
        <w:t>该项目存在的主要事故为火灾、爆炸，其中爆炸事故后果最为严重，因此选用爆炸冲击波超压伤害模型作为事故后果模拟分析计算模型，对模拟爆炸点应用爆炸冲击波超压计算公式，用TNT当量法计算出一定量烟火药爆炸所产生的冲击波超压值，依据该冲击波超压值对人员产生伤害的程度和对建筑物产生破坏的程度，对事故造成的后果进行分析。</w:t>
      </w:r>
    </w:p>
    <w:p w14:paraId="1BFDBDFE">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1.模拟爆炸点的选定</w:t>
      </w:r>
    </w:p>
    <w:p w14:paraId="1CDEEAAB">
      <w:pPr>
        <w:spacing w:line="360" w:lineRule="auto"/>
        <w:ind w:firstLine="560" w:firstLineChars="200"/>
        <w:rPr>
          <w:rFonts w:ascii="宋体" w:hAnsi="宋体"/>
          <w:b w:val="0"/>
          <w:bCs/>
          <w:sz w:val="28"/>
          <w:szCs w:val="28"/>
        </w:rPr>
      </w:pPr>
      <w:r>
        <w:rPr>
          <w:rFonts w:hint="eastAsia" w:ascii="宋体" w:hAnsi="宋体"/>
          <w:b w:val="0"/>
          <w:bCs/>
          <w:sz w:val="28"/>
          <w:szCs w:val="28"/>
        </w:rPr>
        <w:t>本报告选择该企业危险性相对较大的</w:t>
      </w:r>
      <w:bookmarkStart w:id="591" w:name="OLE_LINK201"/>
      <w:bookmarkStart w:id="592" w:name="OLE_LINK198"/>
      <w:r>
        <w:rPr>
          <w:rFonts w:hint="eastAsia" w:ascii="宋体" w:hAnsi="宋体" w:cs="宋体"/>
          <w:b w:val="0"/>
          <w:bCs/>
          <w:sz w:val="28"/>
          <w:szCs w:val="28"/>
        </w:rPr>
        <w:t>67#电烘房/散热（计算药量500kg）</w:t>
      </w:r>
      <w:bookmarkEnd w:id="591"/>
      <w:bookmarkEnd w:id="592"/>
      <w:r>
        <w:rPr>
          <w:rFonts w:hint="eastAsia" w:ascii="宋体" w:hAnsi="宋体"/>
          <w:b w:val="0"/>
          <w:bCs/>
          <w:sz w:val="28"/>
          <w:szCs w:val="28"/>
        </w:rPr>
        <w:t>进行事故后果（爆炸）模拟计算，并根据计算结果进行后果分析。</w:t>
      </w:r>
    </w:p>
    <w:p w14:paraId="1334A2D2">
      <w:pPr>
        <w:spacing w:line="360" w:lineRule="auto"/>
        <w:ind w:firstLine="560" w:firstLineChars="200"/>
        <w:jc w:val="left"/>
        <w:rPr>
          <w:rFonts w:ascii="宋体" w:hAnsi="宋体"/>
          <w:b w:val="0"/>
          <w:bCs/>
          <w:snapToGrid w:val="0"/>
          <w:sz w:val="28"/>
          <w:szCs w:val="28"/>
        </w:rPr>
      </w:pPr>
      <w:r>
        <w:rPr>
          <w:rFonts w:hint="eastAsia" w:ascii="宋体" w:hAnsi="宋体"/>
          <w:b w:val="0"/>
          <w:bCs/>
          <w:snapToGrid w:val="0"/>
          <w:sz w:val="28"/>
          <w:szCs w:val="28"/>
        </w:rPr>
        <w:t>（1）冲击波超压对人体的伤害</w:t>
      </w:r>
    </w:p>
    <w:p w14:paraId="74D3D4BB">
      <w:pPr>
        <w:snapToGrid w:val="0"/>
        <w:spacing w:line="360" w:lineRule="auto"/>
        <w:ind w:firstLine="560" w:firstLineChars="200"/>
        <w:jc w:val="left"/>
        <w:rPr>
          <w:rFonts w:ascii="宋体" w:hAnsi="宋体"/>
          <w:b w:val="0"/>
          <w:bCs/>
          <w:sz w:val="28"/>
          <w:szCs w:val="28"/>
        </w:rPr>
      </w:pPr>
      <w:r>
        <w:rPr>
          <w:rFonts w:hint="eastAsia" w:ascii="宋体" w:hAnsi="宋体"/>
          <w:b w:val="0"/>
          <w:bCs/>
          <w:sz w:val="28"/>
          <w:szCs w:val="28"/>
        </w:rPr>
        <w:t>冲击波超压对人体的伤害程度见表5</w:t>
      </w:r>
      <w:r>
        <w:rPr>
          <w:rFonts w:ascii="宋体" w:hAnsi="宋体"/>
          <w:b w:val="0"/>
          <w:bCs/>
          <w:sz w:val="28"/>
          <w:szCs w:val="28"/>
        </w:rPr>
        <w:t>.7</w:t>
      </w:r>
      <w:r>
        <w:rPr>
          <w:rFonts w:hint="eastAsia" w:ascii="宋体" w:hAnsi="宋体"/>
          <w:b w:val="0"/>
          <w:bCs/>
          <w:sz w:val="28"/>
          <w:szCs w:val="28"/>
        </w:rPr>
        <w:t>-</w:t>
      </w:r>
      <w:r>
        <w:rPr>
          <w:rFonts w:ascii="宋体" w:hAnsi="宋体"/>
          <w:b w:val="0"/>
          <w:bCs/>
          <w:sz w:val="28"/>
          <w:szCs w:val="28"/>
        </w:rPr>
        <w:t>1</w:t>
      </w:r>
      <w:r>
        <w:rPr>
          <w:rFonts w:hint="eastAsia" w:ascii="宋体" w:hAnsi="宋体"/>
          <w:b w:val="0"/>
          <w:bCs/>
          <w:sz w:val="28"/>
          <w:szCs w:val="28"/>
        </w:rPr>
        <w:t>。</w:t>
      </w:r>
    </w:p>
    <w:p w14:paraId="28B89F58">
      <w:pPr>
        <w:snapToGrid w:val="0"/>
        <w:spacing w:line="360" w:lineRule="auto"/>
        <w:ind w:firstLine="480" w:firstLineChars="200"/>
        <w:jc w:val="center"/>
        <w:rPr>
          <w:rFonts w:ascii="黑体" w:hAnsi="黑体" w:eastAsia="黑体"/>
          <w:b w:val="0"/>
          <w:bCs/>
          <w:sz w:val="24"/>
        </w:rPr>
      </w:pPr>
      <w:r>
        <w:rPr>
          <w:rFonts w:hint="eastAsia" w:ascii="黑体" w:hAnsi="黑体" w:eastAsia="黑体"/>
          <w:b w:val="0"/>
          <w:bCs/>
          <w:sz w:val="24"/>
        </w:rPr>
        <w:t>表5</w:t>
      </w:r>
      <w:r>
        <w:rPr>
          <w:rFonts w:ascii="黑体" w:hAnsi="黑体" w:eastAsia="黑体"/>
          <w:b w:val="0"/>
          <w:bCs/>
          <w:sz w:val="24"/>
        </w:rPr>
        <w:t>.7</w:t>
      </w:r>
      <w:r>
        <w:rPr>
          <w:rFonts w:hint="eastAsia" w:ascii="黑体" w:hAnsi="黑体" w:eastAsia="黑体"/>
          <w:b w:val="0"/>
          <w:bCs/>
          <w:sz w:val="24"/>
        </w:rPr>
        <w:t>-</w:t>
      </w:r>
      <w:r>
        <w:rPr>
          <w:rFonts w:ascii="黑体" w:hAnsi="黑体" w:eastAsia="黑体"/>
          <w:b w:val="0"/>
          <w:bCs/>
          <w:sz w:val="24"/>
        </w:rPr>
        <w:t>1</w:t>
      </w:r>
      <w:r>
        <w:rPr>
          <w:rFonts w:hint="eastAsia" w:ascii="黑体" w:hAnsi="黑体" w:eastAsia="黑体"/>
          <w:b w:val="0"/>
          <w:bCs/>
          <w:sz w:val="24"/>
        </w:rPr>
        <w:t xml:space="preserve">  冲击波超压对人体的伤害程度</w:t>
      </w:r>
    </w:p>
    <w:tbl>
      <w:tblPr>
        <w:tblStyle w:val="88"/>
        <w:tblW w:w="5038"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607"/>
        <w:gridCol w:w="4752"/>
      </w:tblGrid>
      <w:tr w14:paraId="7B29E6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tblHeader/>
          <w:jc w:val="center"/>
        </w:trPr>
        <w:tc>
          <w:tcPr>
            <w:tcW w:w="2461" w:type="pct"/>
            <w:tcBorders>
              <w:top w:val="single" w:color="auto" w:sz="12" w:space="0"/>
              <w:left w:val="single" w:color="auto" w:sz="12" w:space="0"/>
              <w:bottom w:val="single" w:color="auto" w:sz="6" w:space="0"/>
              <w:right w:val="single" w:color="auto" w:sz="6" w:space="0"/>
            </w:tcBorders>
            <w:vAlign w:val="center"/>
          </w:tcPr>
          <w:p w14:paraId="7A8092C2">
            <w:pPr>
              <w:spacing w:line="400" w:lineRule="exact"/>
              <w:jc w:val="center"/>
              <w:rPr>
                <w:rFonts w:ascii="宋体" w:hAnsi="宋体"/>
                <w:bCs/>
                <w:szCs w:val="21"/>
              </w:rPr>
            </w:pPr>
            <w:r>
              <w:rPr>
                <w:rFonts w:hint="eastAsia" w:ascii="宋体" w:hAnsi="宋体"/>
                <w:bCs/>
                <w:szCs w:val="21"/>
              </w:rPr>
              <w:t>超压ΔP/10</w:t>
            </w:r>
            <w:r>
              <w:rPr>
                <w:rFonts w:hint="eastAsia" w:ascii="宋体" w:hAnsi="宋体"/>
                <w:bCs/>
                <w:szCs w:val="21"/>
                <w:vertAlign w:val="superscript"/>
              </w:rPr>
              <w:t>5</w:t>
            </w:r>
            <w:r>
              <w:rPr>
                <w:rFonts w:hint="eastAsia" w:ascii="宋体" w:hAnsi="宋体"/>
                <w:bCs/>
                <w:szCs w:val="21"/>
              </w:rPr>
              <w:t>Pa</w:t>
            </w:r>
          </w:p>
        </w:tc>
        <w:tc>
          <w:tcPr>
            <w:tcW w:w="2538" w:type="pct"/>
            <w:tcBorders>
              <w:top w:val="single" w:color="auto" w:sz="12" w:space="0"/>
              <w:left w:val="single" w:color="auto" w:sz="6" w:space="0"/>
              <w:bottom w:val="single" w:color="auto" w:sz="6" w:space="0"/>
              <w:right w:val="single" w:color="auto" w:sz="12" w:space="0"/>
            </w:tcBorders>
            <w:vAlign w:val="center"/>
          </w:tcPr>
          <w:p w14:paraId="4433B2B4">
            <w:pPr>
              <w:spacing w:line="400" w:lineRule="exact"/>
              <w:jc w:val="center"/>
              <w:rPr>
                <w:rFonts w:ascii="宋体" w:hAnsi="宋体"/>
                <w:bCs/>
                <w:szCs w:val="21"/>
              </w:rPr>
            </w:pPr>
            <w:r>
              <w:rPr>
                <w:rFonts w:hint="eastAsia" w:ascii="宋体" w:hAnsi="宋体"/>
                <w:bCs/>
                <w:szCs w:val="21"/>
              </w:rPr>
              <w:t>伤害程度</w:t>
            </w:r>
          </w:p>
        </w:tc>
      </w:tr>
      <w:tr w14:paraId="6F0DE8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2" w:hRule="atLeast"/>
          <w:jc w:val="center"/>
        </w:trPr>
        <w:tc>
          <w:tcPr>
            <w:tcW w:w="2461" w:type="pct"/>
            <w:tcBorders>
              <w:top w:val="single" w:color="auto" w:sz="6" w:space="0"/>
              <w:left w:val="single" w:color="auto" w:sz="12" w:space="0"/>
              <w:bottom w:val="single" w:color="auto" w:sz="6" w:space="0"/>
              <w:right w:val="single" w:color="auto" w:sz="6" w:space="0"/>
            </w:tcBorders>
            <w:vAlign w:val="center"/>
          </w:tcPr>
          <w:p w14:paraId="04B0C787">
            <w:pPr>
              <w:spacing w:line="400" w:lineRule="exact"/>
              <w:jc w:val="center"/>
              <w:rPr>
                <w:rFonts w:ascii="宋体" w:hAnsi="宋体"/>
                <w:b w:val="0"/>
                <w:szCs w:val="21"/>
              </w:rPr>
            </w:pPr>
            <w:r>
              <w:rPr>
                <w:rFonts w:hint="eastAsia" w:ascii="宋体" w:hAnsi="宋体"/>
                <w:b w:val="0"/>
                <w:szCs w:val="21"/>
              </w:rPr>
              <w:t>＜ 0.2</w:t>
            </w:r>
          </w:p>
        </w:tc>
        <w:tc>
          <w:tcPr>
            <w:tcW w:w="2538" w:type="pct"/>
            <w:tcBorders>
              <w:top w:val="single" w:color="auto" w:sz="6" w:space="0"/>
              <w:left w:val="single" w:color="auto" w:sz="6" w:space="0"/>
              <w:bottom w:val="single" w:color="auto" w:sz="6" w:space="0"/>
              <w:right w:val="single" w:color="auto" w:sz="12" w:space="0"/>
            </w:tcBorders>
            <w:vAlign w:val="center"/>
          </w:tcPr>
          <w:p w14:paraId="5278D986">
            <w:pPr>
              <w:spacing w:line="400" w:lineRule="exact"/>
              <w:jc w:val="center"/>
              <w:rPr>
                <w:rFonts w:ascii="宋体" w:hAnsi="宋体"/>
                <w:b w:val="0"/>
                <w:szCs w:val="21"/>
              </w:rPr>
            </w:pPr>
            <w:r>
              <w:rPr>
                <w:rFonts w:hint="eastAsia" w:ascii="宋体" w:hAnsi="宋体"/>
                <w:b w:val="0"/>
                <w:szCs w:val="21"/>
              </w:rPr>
              <w:t>无伤但被吓一跳</w:t>
            </w:r>
          </w:p>
        </w:tc>
      </w:tr>
      <w:tr w14:paraId="199A9E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2" w:hRule="atLeast"/>
          <w:jc w:val="center"/>
        </w:trPr>
        <w:tc>
          <w:tcPr>
            <w:tcW w:w="2461" w:type="pct"/>
            <w:tcBorders>
              <w:top w:val="single" w:color="auto" w:sz="6" w:space="0"/>
              <w:left w:val="single" w:color="auto" w:sz="12" w:space="0"/>
              <w:bottom w:val="single" w:color="auto" w:sz="6" w:space="0"/>
              <w:right w:val="single" w:color="auto" w:sz="6" w:space="0"/>
            </w:tcBorders>
            <w:vAlign w:val="center"/>
          </w:tcPr>
          <w:p w14:paraId="05435AE4">
            <w:pPr>
              <w:spacing w:line="400" w:lineRule="exact"/>
              <w:jc w:val="center"/>
              <w:rPr>
                <w:rFonts w:ascii="宋体" w:hAnsi="宋体"/>
                <w:b w:val="0"/>
                <w:szCs w:val="21"/>
              </w:rPr>
            </w:pPr>
            <w:r>
              <w:rPr>
                <w:rFonts w:hint="eastAsia" w:ascii="宋体" w:hAnsi="宋体"/>
                <w:b w:val="0"/>
                <w:szCs w:val="21"/>
              </w:rPr>
              <w:t>0.2～0.3</w:t>
            </w:r>
          </w:p>
        </w:tc>
        <w:tc>
          <w:tcPr>
            <w:tcW w:w="2538" w:type="pct"/>
            <w:tcBorders>
              <w:top w:val="single" w:color="auto" w:sz="6" w:space="0"/>
              <w:left w:val="single" w:color="auto" w:sz="6" w:space="0"/>
              <w:bottom w:val="single" w:color="auto" w:sz="6" w:space="0"/>
              <w:right w:val="single" w:color="auto" w:sz="12" w:space="0"/>
            </w:tcBorders>
            <w:vAlign w:val="center"/>
          </w:tcPr>
          <w:p w14:paraId="20A65B1D">
            <w:pPr>
              <w:spacing w:line="400" w:lineRule="exact"/>
              <w:jc w:val="center"/>
              <w:rPr>
                <w:rFonts w:ascii="宋体" w:hAnsi="宋体"/>
                <w:b w:val="0"/>
                <w:szCs w:val="21"/>
              </w:rPr>
            </w:pPr>
            <w:r>
              <w:rPr>
                <w:rFonts w:hint="eastAsia" w:ascii="宋体" w:hAnsi="宋体"/>
                <w:b w:val="0"/>
                <w:szCs w:val="21"/>
              </w:rPr>
              <w:t>轻微伤害</w:t>
            </w:r>
          </w:p>
        </w:tc>
      </w:tr>
      <w:tr w14:paraId="736E7F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2" w:hRule="atLeast"/>
          <w:jc w:val="center"/>
        </w:trPr>
        <w:tc>
          <w:tcPr>
            <w:tcW w:w="2461" w:type="pct"/>
            <w:tcBorders>
              <w:top w:val="single" w:color="auto" w:sz="6" w:space="0"/>
              <w:left w:val="single" w:color="auto" w:sz="12" w:space="0"/>
              <w:bottom w:val="single" w:color="auto" w:sz="6" w:space="0"/>
              <w:right w:val="single" w:color="auto" w:sz="6" w:space="0"/>
            </w:tcBorders>
            <w:vAlign w:val="center"/>
          </w:tcPr>
          <w:p w14:paraId="41F718CC">
            <w:pPr>
              <w:spacing w:line="400" w:lineRule="exact"/>
              <w:jc w:val="center"/>
              <w:rPr>
                <w:rFonts w:ascii="宋体" w:hAnsi="宋体"/>
                <w:b w:val="0"/>
                <w:szCs w:val="21"/>
              </w:rPr>
            </w:pPr>
            <w:r>
              <w:rPr>
                <w:rFonts w:hint="eastAsia" w:ascii="宋体" w:hAnsi="宋体"/>
                <w:b w:val="0"/>
                <w:szCs w:val="21"/>
              </w:rPr>
              <w:t>0.3～0.5</w:t>
            </w:r>
          </w:p>
        </w:tc>
        <w:tc>
          <w:tcPr>
            <w:tcW w:w="2538" w:type="pct"/>
            <w:tcBorders>
              <w:top w:val="single" w:color="auto" w:sz="6" w:space="0"/>
              <w:left w:val="single" w:color="auto" w:sz="6" w:space="0"/>
              <w:bottom w:val="single" w:color="auto" w:sz="6" w:space="0"/>
              <w:right w:val="single" w:color="auto" w:sz="12" w:space="0"/>
            </w:tcBorders>
            <w:vAlign w:val="center"/>
          </w:tcPr>
          <w:p w14:paraId="6CD61F0C">
            <w:pPr>
              <w:spacing w:line="400" w:lineRule="exact"/>
              <w:jc w:val="center"/>
              <w:rPr>
                <w:rFonts w:ascii="宋体" w:hAnsi="宋体"/>
                <w:b w:val="0"/>
                <w:szCs w:val="21"/>
              </w:rPr>
            </w:pPr>
            <w:r>
              <w:rPr>
                <w:rFonts w:hint="eastAsia" w:ascii="宋体" w:hAnsi="宋体"/>
                <w:b w:val="0"/>
                <w:szCs w:val="21"/>
              </w:rPr>
              <w:t>听觉器官损伤或骨折</w:t>
            </w:r>
          </w:p>
        </w:tc>
      </w:tr>
      <w:tr w14:paraId="7CB073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2" w:hRule="atLeast"/>
          <w:jc w:val="center"/>
        </w:trPr>
        <w:tc>
          <w:tcPr>
            <w:tcW w:w="2461" w:type="pct"/>
            <w:tcBorders>
              <w:top w:val="single" w:color="auto" w:sz="6" w:space="0"/>
              <w:left w:val="single" w:color="auto" w:sz="12" w:space="0"/>
              <w:bottom w:val="single" w:color="auto" w:sz="6" w:space="0"/>
              <w:right w:val="single" w:color="auto" w:sz="6" w:space="0"/>
            </w:tcBorders>
            <w:vAlign w:val="center"/>
          </w:tcPr>
          <w:p w14:paraId="7E7102E5">
            <w:pPr>
              <w:spacing w:line="400" w:lineRule="exact"/>
              <w:jc w:val="center"/>
              <w:rPr>
                <w:rFonts w:ascii="宋体" w:hAnsi="宋体"/>
                <w:b w:val="0"/>
                <w:szCs w:val="21"/>
              </w:rPr>
            </w:pPr>
            <w:r>
              <w:rPr>
                <w:rFonts w:hint="eastAsia" w:ascii="宋体" w:hAnsi="宋体"/>
                <w:b w:val="0"/>
                <w:szCs w:val="21"/>
              </w:rPr>
              <w:t>0.5～1.0</w:t>
            </w:r>
          </w:p>
        </w:tc>
        <w:tc>
          <w:tcPr>
            <w:tcW w:w="2538" w:type="pct"/>
            <w:tcBorders>
              <w:top w:val="single" w:color="auto" w:sz="6" w:space="0"/>
              <w:left w:val="single" w:color="auto" w:sz="6" w:space="0"/>
              <w:bottom w:val="single" w:color="auto" w:sz="6" w:space="0"/>
              <w:right w:val="single" w:color="auto" w:sz="12" w:space="0"/>
            </w:tcBorders>
            <w:vAlign w:val="center"/>
          </w:tcPr>
          <w:p w14:paraId="017DEC6C">
            <w:pPr>
              <w:spacing w:line="400" w:lineRule="exact"/>
              <w:jc w:val="center"/>
              <w:rPr>
                <w:rFonts w:ascii="宋体" w:hAnsi="宋体"/>
                <w:b w:val="0"/>
                <w:szCs w:val="21"/>
              </w:rPr>
            </w:pPr>
            <w:r>
              <w:rPr>
                <w:rFonts w:hint="eastAsia" w:ascii="宋体" w:hAnsi="宋体"/>
                <w:b w:val="0"/>
                <w:szCs w:val="21"/>
              </w:rPr>
              <w:t>内脏严重损伤或死亡</w:t>
            </w:r>
          </w:p>
        </w:tc>
      </w:tr>
      <w:tr w14:paraId="7ECA11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8" w:hRule="atLeast"/>
          <w:jc w:val="center"/>
        </w:trPr>
        <w:tc>
          <w:tcPr>
            <w:tcW w:w="2461" w:type="pct"/>
            <w:tcBorders>
              <w:top w:val="single" w:color="auto" w:sz="6" w:space="0"/>
              <w:left w:val="single" w:color="auto" w:sz="12" w:space="0"/>
              <w:bottom w:val="single" w:color="auto" w:sz="12" w:space="0"/>
              <w:right w:val="single" w:color="auto" w:sz="6" w:space="0"/>
            </w:tcBorders>
            <w:vAlign w:val="center"/>
          </w:tcPr>
          <w:p w14:paraId="67DA4CA1">
            <w:pPr>
              <w:spacing w:line="400" w:lineRule="exact"/>
              <w:jc w:val="center"/>
              <w:rPr>
                <w:rFonts w:ascii="宋体" w:hAnsi="宋体"/>
                <w:b w:val="0"/>
                <w:szCs w:val="21"/>
              </w:rPr>
            </w:pPr>
            <w:r>
              <w:rPr>
                <w:rFonts w:hint="eastAsia" w:ascii="宋体" w:hAnsi="宋体"/>
                <w:b w:val="0"/>
                <w:szCs w:val="21"/>
              </w:rPr>
              <w:t>＞1.0</w:t>
            </w:r>
          </w:p>
        </w:tc>
        <w:tc>
          <w:tcPr>
            <w:tcW w:w="2538" w:type="pct"/>
            <w:tcBorders>
              <w:top w:val="single" w:color="auto" w:sz="6" w:space="0"/>
              <w:left w:val="single" w:color="auto" w:sz="6" w:space="0"/>
              <w:bottom w:val="single" w:color="auto" w:sz="12" w:space="0"/>
              <w:right w:val="single" w:color="auto" w:sz="12" w:space="0"/>
            </w:tcBorders>
            <w:vAlign w:val="center"/>
          </w:tcPr>
          <w:p w14:paraId="28292DC1">
            <w:pPr>
              <w:spacing w:line="400" w:lineRule="exact"/>
              <w:jc w:val="center"/>
              <w:rPr>
                <w:rFonts w:ascii="宋体" w:hAnsi="宋体"/>
                <w:b w:val="0"/>
                <w:szCs w:val="21"/>
              </w:rPr>
            </w:pPr>
            <w:r>
              <w:rPr>
                <w:rFonts w:hint="eastAsia" w:ascii="宋体" w:hAnsi="宋体"/>
                <w:b w:val="0"/>
                <w:szCs w:val="21"/>
              </w:rPr>
              <w:t>大部分人员死亡</w:t>
            </w:r>
          </w:p>
        </w:tc>
      </w:tr>
    </w:tbl>
    <w:p w14:paraId="0D4241C7">
      <w:pPr>
        <w:spacing w:before="120" w:beforeLines="50" w:line="360" w:lineRule="auto"/>
        <w:ind w:firstLine="560" w:firstLineChars="200"/>
        <w:rPr>
          <w:rFonts w:ascii="宋体" w:hAnsi="宋体"/>
          <w:b w:val="0"/>
          <w:snapToGrid w:val="0"/>
          <w:sz w:val="28"/>
          <w:szCs w:val="28"/>
        </w:rPr>
      </w:pPr>
      <w:r>
        <w:rPr>
          <w:rFonts w:hint="eastAsia" w:ascii="宋体" w:hAnsi="宋体"/>
          <w:b w:val="0"/>
          <w:snapToGrid w:val="0"/>
          <w:sz w:val="28"/>
          <w:szCs w:val="28"/>
        </w:rPr>
        <w:t>（2）冲击波超压对建筑物的破坏</w:t>
      </w:r>
    </w:p>
    <w:p w14:paraId="14131F29">
      <w:pPr>
        <w:spacing w:line="360" w:lineRule="auto"/>
        <w:ind w:firstLine="560" w:firstLineChars="200"/>
        <w:jc w:val="left"/>
        <w:rPr>
          <w:rFonts w:ascii="黑体" w:hAnsi="黑体" w:eastAsia="黑体"/>
          <w:b w:val="0"/>
          <w:bCs/>
          <w:sz w:val="24"/>
        </w:rPr>
      </w:pPr>
      <w:r>
        <w:rPr>
          <w:rFonts w:hint="eastAsia" w:ascii="宋体" w:hAnsi="宋体"/>
          <w:b w:val="0"/>
          <w:sz w:val="28"/>
          <w:szCs w:val="28"/>
        </w:rPr>
        <w:t>冲击波超压对建筑物的破坏等级及对应的破坏程度见表5</w:t>
      </w:r>
      <w:r>
        <w:rPr>
          <w:rFonts w:ascii="宋体" w:hAnsi="宋体"/>
          <w:b w:val="0"/>
          <w:sz w:val="28"/>
          <w:szCs w:val="28"/>
        </w:rPr>
        <w:t>.7-2</w:t>
      </w:r>
      <w:r>
        <w:rPr>
          <w:rFonts w:hint="eastAsia" w:ascii="宋体" w:hAnsi="宋体"/>
          <w:b w:val="0"/>
          <w:sz w:val="28"/>
          <w:szCs w:val="28"/>
        </w:rPr>
        <w:t>。</w:t>
      </w:r>
    </w:p>
    <w:p w14:paraId="6D812BFA">
      <w:pPr>
        <w:snapToGrid w:val="0"/>
        <w:spacing w:line="360" w:lineRule="auto"/>
        <w:ind w:firstLine="480" w:firstLineChars="200"/>
        <w:jc w:val="center"/>
        <w:rPr>
          <w:rFonts w:ascii="黑体" w:hAnsi="黑体" w:eastAsia="黑体"/>
          <w:b w:val="0"/>
          <w:bCs/>
          <w:sz w:val="24"/>
        </w:rPr>
      </w:pPr>
      <w:r>
        <w:rPr>
          <w:rFonts w:hint="eastAsia" w:ascii="黑体" w:hAnsi="黑体" w:eastAsia="黑体"/>
          <w:b w:val="0"/>
          <w:bCs/>
          <w:sz w:val="24"/>
        </w:rPr>
        <w:t>表5</w:t>
      </w:r>
      <w:r>
        <w:rPr>
          <w:rFonts w:ascii="黑体" w:hAnsi="黑体" w:eastAsia="黑体"/>
          <w:b w:val="0"/>
          <w:bCs/>
          <w:sz w:val="24"/>
        </w:rPr>
        <w:t>.7-2</w:t>
      </w:r>
      <w:r>
        <w:rPr>
          <w:rFonts w:hint="eastAsia" w:ascii="黑体" w:hAnsi="黑体" w:eastAsia="黑体"/>
          <w:b w:val="0"/>
          <w:bCs/>
          <w:sz w:val="24"/>
        </w:rPr>
        <w:t xml:space="preserve">  建筑物破坏等级与冲击波峰值超压关系表</w:t>
      </w:r>
    </w:p>
    <w:tbl>
      <w:tblPr>
        <w:tblStyle w:val="88"/>
        <w:tblW w:w="4913"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28" w:type="dxa"/>
          <w:bottom w:w="0" w:type="dxa"/>
          <w:right w:w="28" w:type="dxa"/>
        </w:tblCellMar>
      </w:tblPr>
      <w:tblGrid>
        <w:gridCol w:w="565"/>
        <w:gridCol w:w="615"/>
        <w:gridCol w:w="655"/>
        <w:gridCol w:w="651"/>
        <w:gridCol w:w="1048"/>
        <w:gridCol w:w="786"/>
        <w:gridCol w:w="913"/>
        <w:gridCol w:w="653"/>
        <w:gridCol w:w="615"/>
        <w:gridCol w:w="560"/>
        <w:gridCol w:w="759"/>
        <w:gridCol w:w="1149"/>
      </w:tblGrid>
      <w:tr w14:paraId="4CC04BD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494" w:hRule="atLeast"/>
          <w:tblHeader/>
          <w:jc w:val="center"/>
        </w:trPr>
        <w:tc>
          <w:tcPr>
            <w:tcW w:w="315" w:type="pct"/>
            <w:vMerge w:val="restart"/>
            <w:tcBorders>
              <w:top w:val="single" w:color="000000" w:sz="12" w:space="0"/>
              <w:left w:val="single" w:color="000000" w:sz="12" w:space="0"/>
              <w:bottom w:val="single" w:color="000000" w:sz="4" w:space="0"/>
              <w:right w:val="single" w:color="000000" w:sz="4" w:space="0"/>
            </w:tcBorders>
            <w:vAlign w:val="center"/>
          </w:tcPr>
          <w:p w14:paraId="2D80769A">
            <w:pPr>
              <w:spacing w:line="240" w:lineRule="exact"/>
              <w:jc w:val="center"/>
              <w:rPr>
                <w:rFonts w:ascii="宋体" w:hAnsi="宋体"/>
                <w:spacing w:val="-4"/>
                <w:szCs w:val="21"/>
              </w:rPr>
            </w:pPr>
            <w:r>
              <w:rPr>
                <w:rFonts w:hint="eastAsia" w:ascii="宋体" w:hAnsi="宋体"/>
                <w:spacing w:val="-4"/>
                <w:szCs w:val="21"/>
              </w:rPr>
              <w:t>破坏等级</w:t>
            </w:r>
          </w:p>
        </w:tc>
        <w:tc>
          <w:tcPr>
            <w:tcW w:w="343" w:type="pct"/>
            <w:vMerge w:val="restart"/>
            <w:tcBorders>
              <w:top w:val="single" w:color="000000" w:sz="12" w:space="0"/>
              <w:left w:val="single" w:color="000000" w:sz="4" w:space="0"/>
              <w:bottom w:val="single" w:color="000000" w:sz="4" w:space="0"/>
              <w:right w:val="single" w:color="000000" w:sz="4" w:space="0"/>
            </w:tcBorders>
            <w:vAlign w:val="center"/>
          </w:tcPr>
          <w:p w14:paraId="185DF6F1">
            <w:pPr>
              <w:spacing w:line="240" w:lineRule="exact"/>
              <w:jc w:val="center"/>
              <w:rPr>
                <w:rFonts w:ascii="宋体" w:hAnsi="宋体"/>
                <w:spacing w:val="-4"/>
                <w:szCs w:val="21"/>
              </w:rPr>
            </w:pPr>
            <w:r>
              <w:rPr>
                <w:rFonts w:hint="eastAsia" w:ascii="宋体" w:hAnsi="宋体"/>
                <w:spacing w:val="-4"/>
                <w:szCs w:val="21"/>
              </w:rPr>
              <w:t>等级名称</w:t>
            </w:r>
          </w:p>
        </w:tc>
        <w:tc>
          <w:tcPr>
            <w:tcW w:w="3701" w:type="pct"/>
            <w:gridSpan w:val="9"/>
            <w:tcBorders>
              <w:top w:val="single" w:color="000000" w:sz="12" w:space="0"/>
              <w:left w:val="single" w:color="000000" w:sz="4" w:space="0"/>
              <w:bottom w:val="single" w:color="000000" w:sz="4" w:space="0"/>
              <w:right w:val="single" w:color="000000" w:sz="4" w:space="0"/>
            </w:tcBorders>
            <w:vAlign w:val="center"/>
          </w:tcPr>
          <w:p w14:paraId="6F11E896">
            <w:pPr>
              <w:spacing w:line="240" w:lineRule="exact"/>
              <w:jc w:val="center"/>
              <w:rPr>
                <w:rFonts w:ascii="宋体" w:hAnsi="宋体"/>
                <w:spacing w:val="-4"/>
                <w:szCs w:val="21"/>
              </w:rPr>
            </w:pPr>
            <w:r>
              <w:rPr>
                <w:rFonts w:hint="eastAsia" w:ascii="宋体" w:hAnsi="宋体"/>
                <w:spacing w:val="-4"/>
                <w:szCs w:val="21"/>
              </w:rPr>
              <w:t>破坏特征描述</w:t>
            </w:r>
          </w:p>
        </w:tc>
        <w:tc>
          <w:tcPr>
            <w:tcW w:w="640" w:type="pct"/>
            <w:vMerge w:val="restart"/>
            <w:tcBorders>
              <w:top w:val="single" w:color="000000" w:sz="12" w:space="0"/>
              <w:left w:val="single" w:color="000000" w:sz="4" w:space="0"/>
              <w:bottom w:val="single" w:color="000000" w:sz="4" w:space="0"/>
              <w:right w:val="single" w:color="000000" w:sz="12" w:space="0"/>
            </w:tcBorders>
            <w:vAlign w:val="center"/>
          </w:tcPr>
          <w:p w14:paraId="245DF556">
            <w:pPr>
              <w:spacing w:line="240" w:lineRule="exact"/>
              <w:jc w:val="center"/>
              <w:rPr>
                <w:rFonts w:ascii="宋体" w:hAnsi="宋体"/>
                <w:b w:val="0"/>
                <w:bCs/>
                <w:spacing w:val="-4"/>
                <w:szCs w:val="21"/>
              </w:rPr>
            </w:pPr>
            <w:r>
              <w:rPr>
                <w:rFonts w:hint="eastAsia" w:ascii="宋体" w:hAnsi="宋体"/>
                <w:spacing w:val="-4"/>
                <w:szCs w:val="21"/>
              </w:rPr>
              <w:t>冲击波峰值超压（</w:t>
            </w:r>
            <w:r>
              <w:rPr>
                <w:rFonts w:hint="eastAsia" w:ascii="宋体" w:hAnsi="宋体"/>
                <w:szCs w:val="21"/>
              </w:rPr>
              <w:t>ΔP/10</w:t>
            </w:r>
            <w:r>
              <w:rPr>
                <w:rFonts w:hint="eastAsia" w:ascii="宋体" w:hAnsi="宋体"/>
                <w:szCs w:val="21"/>
                <w:vertAlign w:val="superscript"/>
              </w:rPr>
              <w:t>5</w:t>
            </w:r>
            <w:r>
              <w:rPr>
                <w:rFonts w:hint="eastAsia" w:ascii="宋体" w:hAnsi="宋体"/>
                <w:szCs w:val="21"/>
              </w:rPr>
              <w:t>Pa</w:t>
            </w:r>
            <w:r>
              <w:rPr>
                <w:rFonts w:hint="eastAsia" w:ascii="宋体" w:hAnsi="宋体"/>
                <w:b w:val="0"/>
                <w:bCs/>
                <w:szCs w:val="21"/>
              </w:rPr>
              <w:t>）</w:t>
            </w:r>
          </w:p>
        </w:tc>
      </w:tr>
      <w:tr w14:paraId="3DBF91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767" w:hRule="atLeast"/>
          <w:tblHeader/>
          <w:jc w:val="center"/>
        </w:trPr>
        <w:tc>
          <w:tcPr>
            <w:tcW w:w="0" w:type="auto"/>
            <w:vMerge w:val="continue"/>
            <w:tcBorders>
              <w:top w:val="single" w:color="000000" w:sz="12" w:space="0"/>
              <w:left w:val="single" w:color="000000" w:sz="12" w:space="0"/>
              <w:bottom w:val="single" w:color="000000" w:sz="4" w:space="0"/>
              <w:right w:val="single" w:color="000000" w:sz="4" w:space="0"/>
            </w:tcBorders>
            <w:vAlign w:val="center"/>
          </w:tcPr>
          <w:p w14:paraId="53C68971">
            <w:pPr>
              <w:widowControl/>
              <w:spacing w:line="240" w:lineRule="exact"/>
              <w:jc w:val="left"/>
              <w:rPr>
                <w:rFonts w:ascii="宋体" w:hAnsi="宋体"/>
                <w:spacing w:val="-4"/>
                <w:szCs w:val="21"/>
              </w:rPr>
            </w:pPr>
          </w:p>
        </w:tc>
        <w:tc>
          <w:tcPr>
            <w:tcW w:w="0" w:type="auto"/>
            <w:vMerge w:val="continue"/>
            <w:tcBorders>
              <w:top w:val="single" w:color="000000" w:sz="12" w:space="0"/>
              <w:left w:val="single" w:color="000000" w:sz="4" w:space="0"/>
              <w:bottom w:val="single" w:color="000000" w:sz="4" w:space="0"/>
              <w:right w:val="single" w:color="000000" w:sz="4" w:space="0"/>
            </w:tcBorders>
            <w:vAlign w:val="center"/>
          </w:tcPr>
          <w:p w14:paraId="5C3BF1F8">
            <w:pPr>
              <w:widowControl/>
              <w:spacing w:line="240" w:lineRule="exact"/>
              <w:jc w:val="left"/>
              <w:rPr>
                <w:rFonts w:ascii="宋体" w:hAnsi="宋体"/>
                <w:spacing w:val="-4"/>
                <w:szCs w:val="21"/>
              </w:rPr>
            </w:pPr>
          </w:p>
        </w:tc>
        <w:tc>
          <w:tcPr>
            <w:tcW w:w="365" w:type="pct"/>
            <w:tcBorders>
              <w:top w:val="single" w:color="000000" w:sz="4" w:space="0"/>
              <w:left w:val="single" w:color="000000" w:sz="4" w:space="0"/>
              <w:bottom w:val="single" w:color="000000" w:sz="4" w:space="0"/>
              <w:right w:val="single" w:color="000000" w:sz="4" w:space="0"/>
            </w:tcBorders>
            <w:vAlign w:val="center"/>
          </w:tcPr>
          <w:p w14:paraId="16727745">
            <w:pPr>
              <w:spacing w:line="240" w:lineRule="exact"/>
              <w:jc w:val="center"/>
              <w:rPr>
                <w:rFonts w:ascii="宋体" w:hAnsi="宋体"/>
                <w:spacing w:val="-4"/>
                <w:szCs w:val="21"/>
              </w:rPr>
            </w:pPr>
            <w:r>
              <w:rPr>
                <w:rFonts w:hint="eastAsia" w:ascii="宋体" w:hAnsi="宋体"/>
                <w:spacing w:val="-4"/>
                <w:szCs w:val="21"/>
              </w:rPr>
              <w:t>玻璃</w:t>
            </w:r>
          </w:p>
        </w:tc>
        <w:tc>
          <w:tcPr>
            <w:tcW w:w="363" w:type="pct"/>
            <w:tcBorders>
              <w:top w:val="single" w:color="000000" w:sz="4" w:space="0"/>
              <w:left w:val="single" w:color="000000" w:sz="4" w:space="0"/>
              <w:bottom w:val="single" w:color="000000" w:sz="4" w:space="0"/>
              <w:right w:val="single" w:color="000000" w:sz="4" w:space="0"/>
            </w:tcBorders>
            <w:vAlign w:val="center"/>
          </w:tcPr>
          <w:p w14:paraId="16EC2994">
            <w:pPr>
              <w:spacing w:line="240" w:lineRule="exact"/>
              <w:jc w:val="center"/>
              <w:rPr>
                <w:rFonts w:ascii="宋体" w:hAnsi="宋体"/>
                <w:spacing w:val="-4"/>
                <w:szCs w:val="21"/>
              </w:rPr>
            </w:pPr>
            <w:r>
              <w:rPr>
                <w:rFonts w:hint="eastAsia" w:ascii="宋体" w:hAnsi="宋体"/>
                <w:spacing w:val="-4"/>
                <w:szCs w:val="21"/>
              </w:rPr>
              <w:t>木门窗</w:t>
            </w:r>
          </w:p>
        </w:tc>
        <w:tc>
          <w:tcPr>
            <w:tcW w:w="584" w:type="pct"/>
            <w:tcBorders>
              <w:top w:val="single" w:color="000000" w:sz="4" w:space="0"/>
              <w:left w:val="single" w:color="000000" w:sz="4" w:space="0"/>
              <w:bottom w:val="single" w:color="000000" w:sz="4" w:space="0"/>
              <w:right w:val="single" w:color="000000" w:sz="4" w:space="0"/>
            </w:tcBorders>
            <w:vAlign w:val="center"/>
          </w:tcPr>
          <w:p w14:paraId="7619EBB9">
            <w:pPr>
              <w:spacing w:line="240" w:lineRule="exact"/>
              <w:jc w:val="center"/>
              <w:rPr>
                <w:rFonts w:ascii="宋体" w:hAnsi="宋体"/>
                <w:spacing w:val="-4"/>
                <w:szCs w:val="21"/>
              </w:rPr>
            </w:pPr>
            <w:r>
              <w:rPr>
                <w:rFonts w:hint="eastAsia" w:ascii="宋体" w:hAnsi="宋体"/>
                <w:spacing w:val="-4"/>
                <w:szCs w:val="21"/>
              </w:rPr>
              <w:t>砖外墙</w:t>
            </w:r>
          </w:p>
        </w:tc>
        <w:tc>
          <w:tcPr>
            <w:tcW w:w="438" w:type="pct"/>
            <w:tcBorders>
              <w:top w:val="single" w:color="000000" w:sz="4" w:space="0"/>
              <w:left w:val="single" w:color="000000" w:sz="4" w:space="0"/>
              <w:bottom w:val="single" w:color="000000" w:sz="4" w:space="0"/>
              <w:right w:val="single" w:color="000000" w:sz="4" w:space="0"/>
            </w:tcBorders>
            <w:vAlign w:val="center"/>
          </w:tcPr>
          <w:p w14:paraId="1582CA5F">
            <w:pPr>
              <w:spacing w:line="240" w:lineRule="exact"/>
              <w:jc w:val="center"/>
              <w:rPr>
                <w:rFonts w:ascii="宋体" w:hAnsi="宋体"/>
                <w:spacing w:val="-4"/>
                <w:szCs w:val="21"/>
              </w:rPr>
            </w:pPr>
            <w:r>
              <w:rPr>
                <w:rFonts w:hint="eastAsia" w:ascii="宋体" w:hAnsi="宋体"/>
                <w:spacing w:val="-4"/>
                <w:szCs w:val="21"/>
              </w:rPr>
              <w:t>木屋盖</w:t>
            </w:r>
          </w:p>
        </w:tc>
        <w:tc>
          <w:tcPr>
            <w:tcW w:w="509" w:type="pct"/>
            <w:tcBorders>
              <w:top w:val="single" w:color="000000" w:sz="4" w:space="0"/>
              <w:left w:val="single" w:color="000000" w:sz="4" w:space="0"/>
              <w:bottom w:val="single" w:color="000000" w:sz="4" w:space="0"/>
              <w:right w:val="single" w:color="000000" w:sz="4" w:space="0"/>
            </w:tcBorders>
            <w:vAlign w:val="center"/>
          </w:tcPr>
          <w:p w14:paraId="57E0DEF0">
            <w:pPr>
              <w:spacing w:line="240" w:lineRule="exact"/>
              <w:jc w:val="center"/>
              <w:rPr>
                <w:rFonts w:ascii="宋体" w:hAnsi="宋体"/>
                <w:spacing w:val="-4"/>
                <w:szCs w:val="21"/>
              </w:rPr>
            </w:pPr>
            <w:r>
              <w:rPr>
                <w:rFonts w:hint="eastAsia" w:ascii="宋体" w:hAnsi="宋体"/>
                <w:spacing w:val="-4"/>
                <w:szCs w:val="21"/>
              </w:rPr>
              <w:t>钢筋混凝土屋盖</w:t>
            </w:r>
          </w:p>
        </w:tc>
        <w:tc>
          <w:tcPr>
            <w:tcW w:w="364" w:type="pct"/>
            <w:tcBorders>
              <w:top w:val="single" w:color="000000" w:sz="4" w:space="0"/>
              <w:left w:val="single" w:color="000000" w:sz="4" w:space="0"/>
              <w:bottom w:val="single" w:color="000000" w:sz="4" w:space="0"/>
              <w:right w:val="single" w:color="000000" w:sz="4" w:space="0"/>
            </w:tcBorders>
            <w:vAlign w:val="center"/>
          </w:tcPr>
          <w:p w14:paraId="64E8F760">
            <w:pPr>
              <w:spacing w:line="240" w:lineRule="exact"/>
              <w:jc w:val="center"/>
              <w:rPr>
                <w:rFonts w:ascii="宋体" w:hAnsi="宋体"/>
                <w:spacing w:val="-4"/>
                <w:szCs w:val="21"/>
              </w:rPr>
            </w:pPr>
            <w:r>
              <w:rPr>
                <w:rFonts w:hint="eastAsia" w:ascii="宋体" w:hAnsi="宋体"/>
                <w:spacing w:val="-4"/>
                <w:szCs w:val="21"/>
              </w:rPr>
              <w:t>瓦屋面</w:t>
            </w:r>
          </w:p>
        </w:tc>
        <w:tc>
          <w:tcPr>
            <w:tcW w:w="343" w:type="pct"/>
            <w:tcBorders>
              <w:top w:val="single" w:color="000000" w:sz="4" w:space="0"/>
              <w:left w:val="single" w:color="000000" w:sz="4" w:space="0"/>
              <w:bottom w:val="single" w:color="000000" w:sz="4" w:space="0"/>
              <w:right w:val="single" w:color="000000" w:sz="4" w:space="0"/>
            </w:tcBorders>
            <w:vAlign w:val="center"/>
          </w:tcPr>
          <w:p w14:paraId="0234029E">
            <w:pPr>
              <w:spacing w:line="240" w:lineRule="exact"/>
              <w:jc w:val="center"/>
              <w:rPr>
                <w:rFonts w:ascii="宋体" w:hAnsi="宋体"/>
                <w:spacing w:val="-4"/>
                <w:szCs w:val="21"/>
              </w:rPr>
            </w:pPr>
            <w:r>
              <w:rPr>
                <w:rFonts w:hint="eastAsia" w:ascii="宋体" w:hAnsi="宋体"/>
                <w:spacing w:val="-4"/>
                <w:szCs w:val="21"/>
              </w:rPr>
              <w:t>顶棚</w:t>
            </w:r>
          </w:p>
        </w:tc>
        <w:tc>
          <w:tcPr>
            <w:tcW w:w="312" w:type="pct"/>
            <w:tcBorders>
              <w:top w:val="single" w:color="000000" w:sz="4" w:space="0"/>
              <w:left w:val="single" w:color="000000" w:sz="4" w:space="0"/>
              <w:bottom w:val="single" w:color="000000" w:sz="4" w:space="0"/>
              <w:right w:val="single" w:color="000000" w:sz="4" w:space="0"/>
            </w:tcBorders>
            <w:vAlign w:val="center"/>
          </w:tcPr>
          <w:p w14:paraId="3DFF594A">
            <w:pPr>
              <w:spacing w:line="240" w:lineRule="exact"/>
              <w:jc w:val="center"/>
              <w:rPr>
                <w:rFonts w:ascii="宋体" w:hAnsi="宋体"/>
                <w:spacing w:val="-4"/>
                <w:szCs w:val="21"/>
              </w:rPr>
            </w:pPr>
            <w:r>
              <w:rPr>
                <w:rFonts w:hint="eastAsia" w:ascii="宋体" w:hAnsi="宋体"/>
                <w:spacing w:val="-4"/>
                <w:szCs w:val="21"/>
              </w:rPr>
              <w:t>内墙</w:t>
            </w:r>
          </w:p>
        </w:tc>
        <w:tc>
          <w:tcPr>
            <w:tcW w:w="417" w:type="pct"/>
            <w:tcBorders>
              <w:top w:val="single" w:color="000000" w:sz="4" w:space="0"/>
              <w:left w:val="single" w:color="000000" w:sz="4" w:space="0"/>
              <w:bottom w:val="single" w:color="000000" w:sz="4" w:space="0"/>
              <w:right w:val="single" w:color="000000" w:sz="4" w:space="0"/>
            </w:tcBorders>
            <w:vAlign w:val="center"/>
          </w:tcPr>
          <w:p w14:paraId="2C3C60D0">
            <w:pPr>
              <w:spacing w:line="240" w:lineRule="exact"/>
              <w:jc w:val="center"/>
              <w:rPr>
                <w:rFonts w:ascii="宋体" w:hAnsi="宋体"/>
                <w:spacing w:val="-4"/>
                <w:szCs w:val="21"/>
              </w:rPr>
            </w:pPr>
            <w:r>
              <w:rPr>
                <w:rFonts w:hint="eastAsia" w:ascii="宋体" w:hAnsi="宋体"/>
                <w:spacing w:val="-4"/>
                <w:szCs w:val="21"/>
              </w:rPr>
              <w:t>钢混凝土柱</w:t>
            </w:r>
          </w:p>
        </w:tc>
        <w:tc>
          <w:tcPr>
            <w:tcW w:w="0" w:type="auto"/>
            <w:vMerge w:val="continue"/>
            <w:tcBorders>
              <w:top w:val="single" w:color="000000" w:sz="12" w:space="0"/>
              <w:left w:val="single" w:color="000000" w:sz="4" w:space="0"/>
              <w:bottom w:val="single" w:color="000000" w:sz="4" w:space="0"/>
              <w:right w:val="single" w:color="000000" w:sz="12" w:space="0"/>
            </w:tcBorders>
            <w:vAlign w:val="center"/>
          </w:tcPr>
          <w:p w14:paraId="636DB58E">
            <w:pPr>
              <w:widowControl/>
              <w:spacing w:line="240" w:lineRule="exact"/>
              <w:jc w:val="left"/>
              <w:rPr>
                <w:rFonts w:ascii="宋体" w:hAnsi="宋体"/>
                <w:b w:val="0"/>
                <w:bCs/>
                <w:spacing w:val="-4"/>
                <w:szCs w:val="21"/>
              </w:rPr>
            </w:pPr>
          </w:p>
        </w:tc>
      </w:tr>
      <w:tr w14:paraId="04178F3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746" w:hRule="atLeast"/>
          <w:jc w:val="center"/>
        </w:trPr>
        <w:tc>
          <w:tcPr>
            <w:tcW w:w="315" w:type="pct"/>
            <w:tcBorders>
              <w:top w:val="single" w:color="000000" w:sz="4" w:space="0"/>
              <w:left w:val="single" w:color="000000" w:sz="12" w:space="0"/>
              <w:bottom w:val="single" w:color="000000" w:sz="4" w:space="0"/>
              <w:right w:val="single" w:color="000000" w:sz="4" w:space="0"/>
            </w:tcBorders>
            <w:vAlign w:val="center"/>
          </w:tcPr>
          <w:p w14:paraId="75AFE61C">
            <w:pPr>
              <w:spacing w:line="240" w:lineRule="exact"/>
              <w:jc w:val="center"/>
              <w:rPr>
                <w:rFonts w:ascii="宋体" w:hAnsi="宋体"/>
                <w:b w:val="0"/>
                <w:bCs/>
                <w:spacing w:val="-4"/>
                <w:szCs w:val="21"/>
              </w:rPr>
            </w:pPr>
            <w:r>
              <w:rPr>
                <w:rFonts w:hint="eastAsia" w:ascii="宋体" w:hAnsi="宋体"/>
                <w:b w:val="0"/>
                <w:bCs/>
                <w:spacing w:val="-4"/>
                <w:szCs w:val="21"/>
              </w:rPr>
              <w:t>一</w:t>
            </w:r>
          </w:p>
        </w:tc>
        <w:tc>
          <w:tcPr>
            <w:tcW w:w="343" w:type="pct"/>
            <w:tcBorders>
              <w:top w:val="single" w:color="000000" w:sz="4" w:space="0"/>
              <w:left w:val="single" w:color="000000" w:sz="4" w:space="0"/>
              <w:bottom w:val="single" w:color="000000" w:sz="4" w:space="0"/>
              <w:right w:val="single" w:color="000000" w:sz="4" w:space="0"/>
            </w:tcBorders>
            <w:vAlign w:val="center"/>
          </w:tcPr>
          <w:p w14:paraId="4C2419A4">
            <w:pPr>
              <w:spacing w:line="240" w:lineRule="exact"/>
              <w:jc w:val="center"/>
              <w:rPr>
                <w:rFonts w:ascii="宋体" w:hAnsi="宋体"/>
                <w:b w:val="0"/>
                <w:bCs/>
                <w:spacing w:val="-4"/>
                <w:szCs w:val="21"/>
              </w:rPr>
            </w:pPr>
            <w:r>
              <w:rPr>
                <w:rFonts w:hint="eastAsia" w:ascii="宋体" w:hAnsi="宋体"/>
                <w:b w:val="0"/>
                <w:bCs/>
                <w:spacing w:val="-4"/>
                <w:szCs w:val="21"/>
              </w:rPr>
              <w:t>基本无破坏</w:t>
            </w:r>
          </w:p>
        </w:tc>
        <w:tc>
          <w:tcPr>
            <w:tcW w:w="365" w:type="pct"/>
            <w:tcBorders>
              <w:top w:val="single" w:color="000000" w:sz="4" w:space="0"/>
              <w:left w:val="single" w:color="000000" w:sz="4" w:space="0"/>
              <w:bottom w:val="single" w:color="000000" w:sz="4" w:space="0"/>
              <w:right w:val="single" w:color="000000" w:sz="4" w:space="0"/>
            </w:tcBorders>
            <w:vAlign w:val="center"/>
          </w:tcPr>
          <w:p w14:paraId="4DDDC674">
            <w:pPr>
              <w:spacing w:line="240" w:lineRule="exact"/>
              <w:jc w:val="center"/>
              <w:rPr>
                <w:rFonts w:ascii="宋体" w:hAnsi="宋体"/>
                <w:b w:val="0"/>
                <w:bCs/>
                <w:spacing w:val="-4"/>
                <w:szCs w:val="21"/>
              </w:rPr>
            </w:pPr>
            <w:r>
              <w:rPr>
                <w:rFonts w:hint="eastAsia" w:ascii="宋体" w:hAnsi="宋体"/>
                <w:b w:val="0"/>
                <w:bCs/>
                <w:spacing w:val="-4"/>
                <w:szCs w:val="21"/>
              </w:rPr>
              <w:t>偶然破坏</w:t>
            </w:r>
          </w:p>
        </w:tc>
        <w:tc>
          <w:tcPr>
            <w:tcW w:w="363" w:type="pct"/>
            <w:tcBorders>
              <w:top w:val="single" w:color="000000" w:sz="4" w:space="0"/>
              <w:left w:val="single" w:color="000000" w:sz="4" w:space="0"/>
              <w:bottom w:val="single" w:color="000000" w:sz="4" w:space="0"/>
              <w:right w:val="single" w:color="000000" w:sz="4" w:space="0"/>
            </w:tcBorders>
            <w:vAlign w:val="center"/>
          </w:tcPr>
          <w:p w14:paraId="649D64C7">
            <w:pPr>
              <w:spacing w:line="240" w:lineRule="exact"/>
              <w:jc w:val="center"/>
              <w:rPr>
                <w:rFonts w:ascii="宋体" w:hAnsi="宋体"/>
                <w:b w:val="0"/>
                <w:bCs/>
                <w:spacing w:val="-4"/>
                <w:szCs w:val="21"/>
              </w:rPr>
            </w:pPr>
            <w:r>
              <w:rPr>
                <w:rFonts w:hint="eastAsia" w:ascii="宋体" w:hAnsi="宋体"/>
                <w:b w:val="0"/>
                <w:bCs/>
                <w:spacing w:val="-4"/>
                <w:szCs w:val="21"/>
              </w:rPr>
              <w:t>无损坏</w:t>
            </w:r>
          </w:p>
        </w:tc>
        <w:tc>
          <w:tcPr>
            <w:tcW w:w="584" w:type="pct"/>
            <w:tcBorders>
              <w:top w:val="single" w:color="000000" w:sz="4" w:space="0"/>
              <w:left w:val="single" w:color="000000" w:sz="4" w:space="0"/>
              <w:bottom w:val="single" w:color="000000" w:sz="4" w:space="0"/>
              <w:right w:val="single" w:color="000000" w:sz="4" w:space="0"/>
            </w:tcBorders>
            <w:vAlign w:val="center"/>
          </w:tcPr>
          <w:p w14:paraId="28C68B2C">
            <w:pPr>
              <w:spacing w:line="240" w:lineRule="exact"/>
              <w:jc w:val="center"/>
              <w:rPr>
                <w:rFonts w:ascii="宋体" w:hAnsi="宋体"/>
                <w:b w:val="0"/>
                <w:bCs/>
                <w:spacing w:val="-4"/>
                <w:szCs w:val="21"/>
              </w:rPr>
            </w:pPr>
            <w:r>
              <w:rPr>
                <w:rFonts w:hint="eastAsia" w:ascii="宋体" w:hAnsi="宋体"/>
                <w:b w:val="0"/>
                <w:bCs/>
                <w:spacing w:val="-4"/>
                <w:szCs w:val="21"/>
              </w:rPr>
              <w:t>无损坏</w:t>
            </w:r>
          </w:p>
        </w:tc>
        <w:tc>
          <w:tcPr>
            <w:tcW w:w="438" w:type="pct"/>
            <w:tcBorders>
              <w:top w:val="single" w:color="000000" w:sz="4" w:space="0"/>
              <w:left w:val="single" w:color="000000" w:sz="4" w:space="0"/>
              <w:bottom w:val="single" w:color="000000" w:sz="4" w:space="0"/>
              <w:right w:val="single" w:color="000000" w:sz="4" w:space="0"/>
            </w:tcBorders>
            <w:vAlign w:val="center"/>
          </w:tcPr>
          <w:p w14:paraId="038FB0AC">
            <w:pPr>
              <w:spacing w:line="240" w:lineRule="exact"/>
              <w:jc w:val="center"/>
              <w:rPr>
                <w:rFonts w:ascii="宋体" w:hAnsi="宋体"/>
                <w:b w:val="0"/>
                <w:bCs/>
                <w:spacing w:val="-4"/>
                <w:szCs w:val="21"/>
              </w:rPr>
            </w:pPr>
            <w:r>
              <w:rPr>
                <w:rFonts w:hint="eastAsia" w:ascii="宋体" w:hAnsi="宋体"/>
                <w:b w:val="0"/>
                <w:bCs/>
                <w:spacing w:val="-4"/>
                <w:szCs w:val="21"/>
              </w:rPr>
              <w:t>无损坏</w:t>
            </w:r>
          </w:p>
        </w:tc>
        <w:tc>
          <w:tcPr>
            <w:tcW w:w="509" w:type="pct"/>
            <w:tcBorders>
              <w:top w:val="single" w:color="000000" w:sz="4" w:space="0"/>
              <w:left w:val="single" w:color="000000" w:sz="4" w:space="0"/>
              <w:bottom w:val="single" w:color="000000" w:sz="4" w:space="0"/>
              <w:right w:val="single" w:color="000000" w:sz="4" w:space="0"/>
            </w:tcBorders>
            <w:vAlign w:val="center"/>
          </w:tcPr>
          <w:p w14:paraId="49603AA1">
            <w:pPr>
              <w:spacing w:line="240" w:lineRule="exact"/>
              <w:jc w:val="center"/>
              <w:rPr>
                <w:rFonts w:ascii="宋体" w:hAnsi="宋体"/>
                <w:b w:val="0"/>
                <w:bCs/>
                <w:spacing w:val="-4"/>
                <w:szCs w:val="21"/>
              </w:rPr>
            </w:pPr>
            <w:r>
              <w:rPr>
                <w:rFonts w:hint="eastAsia" w:ascii="宋体" w:hAnsi="宋体"/>
                <w:b w:val="0"/>
                <w:bCs/>
                <w:spacing w:val="-4"/>
                <w:szCs w:val="21"/>
              </w:rPr>
              <w:t>无损坏</w:t>
            </w:r>
          </w:p>
        </w:tc>
        <w:tc>
          <w:tcPr>
            <w:tcW w:w="364" w:type="pct"/>
            <w:tcBorders>
              <w:top w:val="single" w:color="000000" w:sz="4" w:space="0"/>
              <w:left w:val="single" w:color="000000" w:sz="4" w:space="0"/>
              <w:bottom w:val="single" w:color="000000" w:sz="4" w:space="0"/>
              <w:right w:val="single" w:color="000000" w:sz="4" w:space="0"/>
            </w:tcBorders>
            <w:vAlign w:val="center"/>
          </w:tcPr>
          <w:p w14:paraId="7EDBEF03">
            <w:pPr>
              <w:spacing w:line="240" w:lineRule="exact"/>
              <w:jc w:val="center"/>
              <w:rPr>
                <w:rFonts w:ascii="宋体" w:hAnsi="宋体"/>
                <w:b w:val="0"/>
                <w:bCs/>
                <w:spacing w:val="-4"/>
                <w:szCs w:val="21"/>
              </w:rPr>
            </w:pPr>
            <w:r>
              <w:rPr>
                <w:rFonts w:hint="eastAsia" w:ascii="宋体" w:hAnsi="宋体"/>
                <w:b w:val="0"/>
                <w:bCs/>
                <w:spacing w:val="-4"/>
                <w:szCs w:val="21"/>
              </w:rPr>
              <w:t>无损坏</w:t>
            </w:r>
          </w:p>
        </w:tc>
        <w:tc>
          <w:tcPr>
            <w:tcW w:w="343" w:type="pct"/>
            <w:tcBorders>
              <w:top w:val="single" w:color="000000" w:sz="4" w:space="0"/>
              <w:left w:val="single" w:color="000000" w:sz="4" w:space="0"/>
              <w:bottom w:val="single" w:color="000000" w:sz="4" w:space="0"/>
              <w:right w:val="single" w:color="000000" w:sz="4" w:space="0"/>
            </w:tcBorders>
            <w:vAlign w:val="center"/>
          </w:tcPr>
          <w:p w14:paraId="45046A11">
            <w:pPr>
              <w:spacing w:line="240" w:lineRule="exact"/>
              <w:jc w:val="center"/>
              <w:rPr>
                <w:rFonts w:ascii="宋体" w:hAnsi="宋体"/>
                <w:b w:val="0"/>
                <w:bCs/>
                <w:spacing w:val="-4"/>
                <w:szCs w:val="21"/>
              </w:rPr>
            </w:pPr>
            <w:r>
              <w:rPr>
                <w:rFonts w:hint="eastAsia" w:ascii="宋体" w:hAnsi="宋体"/>
                <w:b w:val="0"/>
                <w:bCs/>
                <w:spacing w:val="-4"/>
                <w:szCs w:val="21"/>
              </w:rPr>
              <w:t>无损坏</w:t>
            </w:r>
          </w:p>
        </w:tc>
        <w:tc>
          <w:tcPr>
            <w:tcW w:w="312" w:type="pct"/>
            <w:tcBorders>
              <w:top w:val="single" w:color="000000" w:sz="4" w:space="0"/>
              <w:left w:val="single" w:color="000000" w:sz="4" w:space="0"/>
              <w:bottom w:val="single" w:color="000000" w:sz="4" w:space="0"/>
              <w:right w:val="single" w:color="000000" w:sz="4" w:space="0"/>
            </w:tcBorders>
            <w:vAlign w:val="center"/>
          </w:tcPr>
          <w:p w14:paraId="71505E11">
            <w:pPr>
              <w:spacing w:line="240" w:lineRule="exact"/>
              <w:jc w:val="center"/>
              <w:rPr>
                <w:rFonts w:ascii="宋体" w:hAnsi="宋体"/>
                <w:b w:val="0"/>
                <w:bCs/>
                <w:spacing w:val="-4"/>
                <w:szCs w:val="21"/>
              </w:rPr>
            </w:pPr>
            <w:r>
              <w:rPr>
                <w:rFonts w:hint="eastAsia" w:ascii="宋体" w:hAnsi="宋体"/>
                <w:b w:val="0"/>
                <w:bCs/>
                <w:spacing w:val="-4"/>
                <w:szCs w:val="21"/>
              </w:rPr>
              <w:t>无损坏</w:t>
            </w:r>
          </w:p>
        </w:tc>
        <w:tc>
          <w:tcPr>
            <w:tcW w:w="417" w:type="pct"/>
            <w:tcBorders>
              <w:top w:val="single" w:color="000000" w:sz="4" w:space="0"/>
              <w:left w:val="single" w:color="000000" w:sz="4" w:space="0"/>
              <w:bottom w:val="single" w:color="000000" w:sz="4" w:space="0"/>
              <w:right w:val="single" w:color="000000" w:sz="4" w:space="0"/>
            </w:tcBorders>
            <w:vAlign w:val="center"/>
          </w:tcPr>
          <w:p w14:paraId="0FF90513">
            <w:pPr>
              <w:spacing w:line="240" w:lineRule="exact"/>
              <w:jc w:val="center"/>
              <w:rPr>
                <w:rFonts w:ascii="宋体" w:hAnsi="宋体"/>
                <w:b w:val="0"/>
                <w:bCs/>
                <w:spacing w:val="-4"/>
                <w:szCs w:val="21"/>
              </w:rPr>
            </w:pPr>
            <w:r>
              <w:rPr>
                <w:rFonts w:hint="eastAsia" w:ascii="宋体" w:hAnsi="宋体"/>
                <w:b w:val="0"/>
                <w:bCs/>
                <w:spacing w:val="-4"/>
                <w:szCs w:val="21"/>
              </w:rPr>
              <w:t>无损坏</w:t>
            </w:r>
          </w:p>
        </w:tc>
        <w:tc>
          <w:tcPr>
            <w:tcW w:w="640" w:type="pct"/>
            <w:tcBorders>
              <w:top w:val="single" w:color="000000" w:sz="4" w:space="0"/>
              <w:left w:val="single" w:color="000000" w:sz="4" w:space="0"/>
              <w:bottom w:val="single" w:color="000000" w:sz="4" w:space="0"/>
              <w:right w:val="single" w:color="000000" w:sz="12" w:space="0"/>
            </w:tcBorders>
            <w:vAlign w:val="center"/>
          </w:tcPr>
          <w:p w14:paraId="1F2BA9C8">
            <w:pPr>
              <w:spacing w:line="240" w:lineRule="exact"/>
              <w:jc w:val="center"/>
              <w:rPr>
                <w:rFonts w:ascii="宋体" w:hAnsi="宋体"/>
                <w:b w:val="0"/>
                <w:bCs/>
                <w:spacing w:val="-4"/>
                <w:szCs w:val="21"/>
              </w:rPr>
            </w:pPr>
            <w:r>
              <w:rPr>
                <w:rFonts w:hint="eastAsia" w:ascii="宋体" w:hAnsi="宋体"/>
                <w:b w:val="0"/>
                <w:bCs/>
                <w:szCs w:val="21"/>
              </w:rPr>
              <w:t>＜</w:t>
            </w:r>
            <w:r>
              <w:rPr>
                <w:rFonts w:hint="eastAsia" w:ascii="宋体" w:hAnsi="宋体"/>
                <w:b w:val="0"/>
                <w:bCs/>
                <w:spacing w:val="-4"/>
                <w:szCs w:val="21"/>
              </w:rPr>
              <w:t>0.02</w:t>
            </w:r>
          </w:p>
        </w:tc>
      </w:tr>
      <w:tr w14:paraId="15A7CC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482" w:hRule="atLeast"/>
          <w:jc w:val="center"/>
        </w:trPr>
        <w:tc>
          <w:tcPr>
            <w:tcW w:w="315" w:type="pct"/>
            <w:tcBorders>
              <w:top w:val="single" w:color="000000" w:sz="4" w:space="0"/>
              <w:left w:val="single" w:color="000000" w:sz="12" w:space="0"/>
              <w:bottom w:val="single" w:color="000000" w:sz="4" w:space="0"/>
              <w:right w:val="single" w:color="000000" w:sz="4" w:space="0"/>
            </w:tcBorders>
            <w:vAlign w:val="center"/>
          </w:tcPr>
          <w:p w14:paraId="184ED663">
            <w:pPr>
              <w:spacing w:line="240" w:lineRule="exact"/>
              <w:jc w:val="center"/>
              <w:rPr>
                <w:rFonts w:ascii="宋体" w:hAnsi="宋体"/>
                <w:b w:val="0"/>
                <w:bCs/>
                <w:spacing w:val="-4"/>
                <w:szCs w:val="21"/>
              </w:rPr>
            </w:pPr>
            <w:r>
              <w:rPr>
                <w:rFonts w:hint="eastAsia" w:ascii="宋体" w:hAnsi="宋体"/>
                <w:b w:val="0"/>
                <w:bCs/>
                <w:spacing w:val="-4"/>
                <w:szCs w:val="21"/>
              </w:rPr>
              <w:t>二</w:t>
            </w:r>
          </w:p>
        </w:tc>
        <w:tc>
          <w:tcPr>
            <w:tcW w:w="343" w:type="pct"/>
            <w:tcBorders>
              <w:top w:val="single" w:color="000000" w:sz="4" w:space="0"/>
              <w:left w:val="single" w:color="000000" w:sz="4" w:space="0"/>
              <w:bottom w:val="single" w:color="000000" w:sz="4" w:space="0"/>
              <w:right w:val="single" w:color="000000" w:sz="4" w:space="0"/>
            </w:tcBorders>
            <w:vAlign w:val="center"/>
          </w:tcPr>
          <w:p w14:paraId="529C0727">
            <w:pPr>
              <w:spacing w:line="240" w:lineRule="exact"/>
              <w:jc w:val="center"/>
              <w:rPr>
                <w:rFonts w:ascii="宋体" w:hAnsi="宋体"/>
                <w:b w:val="0"/>
                <w:bCs/>
                <w:spacing w:val="-4"/>
                <w:szCs w:val="21"/>
              </w:rPr>
            </w:pPr>
            <w:r>
              <w:rPr>
                <w:rFonts w:hint="eastAsia" w:ascii="宋体" w:hAnsi="宋体"/>
                <w:b w:val="0"/>
                <w:bCs/>
                <w:spacing w:val="-4"/>
                <w:szCs w:val="21"/>
              </w:rPr>
              <w:t>次轻度破坏</w:t>
            </w:r>
          </w:p>
        </w:tc>
        <w:tc>
          <w:tcPr>
            <w:tcW w:w="365" w:type="pct"/>
            <w:tcBorders>
              <w:top w:val="single" w:color="000000" w:sz="4" w:space="0"/>
              <w:left w:val="single" w:color="000000" w:sz="4" w:space="0"/>
              <w:bottom w:val="single" w:color="000000" w:sz="4" w:space="0"/>
              <w:right w:val="single" w:color="000000" w:sz="4" w:space="0"/>
            </w:tcBorders>
            <w:vAlign w:val="center"/>
          </w:tcPr>
          <w:p w14:paraId="76858890">
            <w:pPr>
              <w:spacing w:line="240" w:lineRule="exact"/>
              <w:jc w:val="center"/>
              <w:rPr>
                <w:rFonts w:ascii="宋体" w:hAnsi="宋体"/>
                <w:b w:val="0"/>
                <w:bCs/>
                <w:spacing w:val="-4"/>
                <w:szCs w:val="21"/>
              </w:rPr>
            </w:pPr>
            <w:r>
              <w:rPr>
                <w:rFonts w:hint="eastAsia" w:ascii="宋体" w:hAnsi="宋体"/>
                <w:b w:val="0"/>
                <w:bCs/>
                <w:spacing w:val="-4"/>
                <w:szCs w:val="21"/>
              </w:rPr>
              <w:t>少部分到大部分块状破坏</w:t>
            </w:r>
          </w:p>
        </w:tc>
        <w:tc>
          <w:tcPr>
            <w:tcW w:w="363" w:type="pct"/>
            <w:tcBorders>
              <w:top w:val="single" w:color="000000" w:sz="4" w:space="0"/>
              <w:left w:val="single" w:color="000000" w:sz="4" w:space="0"/>
              <w:bottom w:val="single" w:color="000000" w:sz="4" w:space="0"/>
              <w:right w:val="single" w:color="000000" w:sz="4" w:space="0"/>
            </w:tcBorders>
            <w:vAlign w:val="center"/>
          </w:tcPr>
          <w:p w14:paraId="4A7DD5A1">
            <w:pPr>
              <w:spacing w:line="240" w:lineRule="exact"/>
              <w:jc w:val="center"/>
              <w:rPr>
                <w:rFonts w:ascii="宋体" w:hAnsi="宋体"/>
                <w:b w:val="0"/>
                <w:bCs/>
                <w:spacing w:val="-4"/>
                <w:szCs w:val="21"/>
              </w:rPr>
            </w:pPr>
            <w:r>
              <w:rPr>
                <w:rFonts w:hint="eastAsia" w:ascii="宋体" w:hAnsi="宋体"/>
                <w:b w:val="0"/>
                <w:bCs/>
                <w:spacing w:val="-4"/>
                <w:szCs w:val="21"/>
              </w:rPr>
              <w:t>窗扇少量破坏</w:t>
            </w:r>
          </w:p>
        </w:tc>
        <w:tc>
          <w:tcPr>
            <w:tcW w:w="584" w:type="pct"/>
            <w:tcBorders>
              <w:top w:val="single" w:color="000000" w:sz="4" w:space="0"/>
              <w:left w:val="single" w:color="000000" w:sz="4" w:space="0"/>
              <w:bottom w:val="single" w:color="000000" w:sz="4" w:space="0"/>
              <w:right w:val="single" w:color="000000" w:sz="4" w:space="0"/>
            </w:tcBorders>
            <w:vAlign w:val="center"/>
          </w:tcPr>
          <w:p w14:paraId="2C9C24B3">
            <w:pPr>
              <w:spacing w:line="240" w:lineRule="exact"/>
              <w:jc w:val="center"/>
              <w:rPr>
                <w:rFonts w:ascii="宋体" w:hAnsi="宋体"/>
                <w:b w:val="0"/>
                <w:bCs/>
                <w:spacing w:val="-4"/>
                <w:szCs w:val="21"/>
              </w:rPr>
            </w:pPr>
            <w:r>
              <w:rPr>
                <w:rFonts w:hint="eastAsia" w:ascii="宋体" w:hAnsi="宋体"/>
                <w:b w:val="0"/>
                <w:bCs/>
                <w:spacing w:val="-4"/>
                <w:szCs w:val="21"/>
              </w:rPr>
              <w:t>无损坏</w:t>
            </w:r>
          </w:p>
        </w:tc>
        <w:tc>
          <w:tcPr>
            <w:tcW w:w="438" w:type="pct"/>
            <w:tcBorders>
              <w:top w:val="single" w:color="000000" w:sz="4" w:space="0"/>
              <w:left w:val="single" w:color="000000" w:sz="4" w:space="0"/>
              <w:bottom w:val="single" w:color="000000" w:sz="4" w:space="0"/>
              <w:right w:val="single" w:color="000000" w:sz="4" w:space="0"/>
            </w:tcBorders>
            <w:vAlign w:val="center"/>
          </w:tcPr>
          <w:p w14:paraId="76D77F24">
            <w:pPr>
              <w:spacing w:line="240" w:lineRule="exact"/>
              <w:jc w:val="center"/>
              <w:rPr>
                <w:rFonts w:ascii="宋体" w:hAnsi="宋体"/>
                <w:b w:val="0"/>
                <w:bCs/>
                <w:spacing w:val="-4"/>
                <w:szCs w:val="21"/>
              </w:rPr>
            </w:pPr>
            <w:r>
              <w:rPr>
                <w:rFonts w:hint="eastAsia" w:ascii="宋体" w:hAnsi="宋体"/>
                <w:b w:val="0"/>
                <w:bCs/>
                <w:spacing w:val="-4"/>
                <w:szCs w:val="21"/>
              </w:rPr>
              <w:t>无损坏</w:t>
            </w:r>
          </w:p>
        </w:tc>
        <w:tc>
          <w:tcPr>
            <w:tcW w:w="509" w:type="pct"/>
            <w:tcBorders>
              <w:top w:val="single" w:color="000000" w:sz="4" w:space="0"/>
              <w:left w:val="single" w:color="000000" w:sz="4" w:space="0"/>
              <w:bottom w:val="single" w:color="000000" w:sz="4" w:space="0"/>
              <w:right w:val="single" w:color="000000" w:sz="4" w:space="0"/>
            </w:tcBorders>
            <w:vAlign w:val="center"/>
          </w:tcPr>
          <w:p w14:paraId="61CAA86C">
            <w:pPr>
              <w:spacing w:line="240" w:lineRule="exact"/>
              <w:jc w:val="center"/>
              <w:rPr>
                <w:rFonts w:ascii="宋体" w:hAnsi="宋体"/>
                <w:b w:val="0"/>
                <w:bCs/>
                <w:spacing w:val="-4"/>
                <w:szCs w:val="21"/>
              </w:rPr>
            </w:pPr>
            <w:r>
              <w:rPr>
                <w:rFonts w:hint="eastAsia" w:ascii="宋体" w:hAnsi="宋体"/>
                <w:b w:val="0"/>
                <w:bCs/>
                <w:spacing w:val="-4"/>
                <w:szCs w:val="21"/>
              </w:rPr>
              <w:t>无损坏</w:t>
            </w:r>
          </w:p>
        </w:tc>
        <w:tc>
          <w:tcPr>
            <w:tcW w:w="364" w:type="pct"/>
            <w:tcBorders>
              <w:top w:val="single" w:color="000000" w:sz="4" w:space="0"/>
              <w:left w:val="single" w:color="000000" w:sz="4" w:space="0"/>
              <w:bottom w:val="single" w:color="000000" w:sz="4" w:space="0"/>
              <w:right w:val="single" w:color="000000" w:sz="4" w:space="0"/>
            </w:tcBorders>
            <w:vAlign w:val="center"/>
          </w:tcPr>
          <w:p w14:paraId="1DB1E90E">
            <w:pPr>
              <w:spacing w:line="240" w:lineRule="exact"/>
              <w:jc w:val="center"/>
              <w:rPr>
                <w:rFonts w:ascii="宋体" w:hAnsi="宋体"/>
                <w:b w:val="0"/>
                <w:bCs/>
                <w:spacing w:val="-4"/>
                <w:szCs w:val="21"/>
              </w:rPr>
            </w:pPr>
            <w:r>
              <w:rPr>
                <w:rFonts w:hint="eastAsia" w:ascii="宋体" w:hAnsi="宋体"/>
                <w:b w:val="0"/>
                <w:bCs/>
                <w:spacing w:val="-4"/>
                <w:szCs w:val="21"/>
              </w:rPr>
              <w:t>无损坏</w:t>
            </w:r>
          </w:p>
        </w:tc>
        <w:tc>
          <w:tcPr>
            <w:tcW w:w="343" w:type="pct"/>
            <w:tcBorders>
              <w:top w:val="single" w:color="000000" w:sz="4" w:space="0"/>
              <w:left w:val="single" w:color="000000" w:sz="4" w:space="0"/>
              <w:bottom w:val="single" w:color="000000" w:sz="4" w:space="0"/>
              <w:right w:val="single" w:color="000000" w:sz="4" w:space="0"/>
            </w:tcBorders>
            <w:vAlign w:val="center"/>
          </w:tcPr>
          <w:p w14:paraId="0ACAFBEE">
            <w:pPr>
              <w:spacing w:line="240" w:lineRule="exact"/>
              <w:jc w:val="center"/>
              <w:rPr>
                <w:rFonts w:ascii="宋体" w:hAnsi="宋体"/>
                <w:b w:val="0"/>
                <w:bCs/>
                <w:spacing w:val="-4"/>
                <w:szCs w:val="21"/>
              </w:rPr>
            </w:pPr>
            <w:r>
              <w:rPr>
                <w:rFonts w:hint="eastAsia" w:ascii="宋体" w:hAnsi="宋体"/>
                <w:b w:val="0"/>
                <w:bCs/>
                <w:spacing w:val="-4"/>
                <w:szCs w:val="21"/>
              </w:rPr>
              <w:t>无损坏</w:t>
            </w:r>
          </w:p>
        </w:tc>
        <w:tc>
          <w:tcPr>
            <w:tcW w:w="312" w:type="pct"/>
            <w:tcBorders>
              <w:top w:val="single" w:color="000000" w:sz="4" w:space="0"/>
              <w:left w:val="single" w:color="000000" w:sz="4" w:space="0"/>
              <w:bottom w:val="single" w:color="000000" w:sz="4" w:space="0"/>
              <w:right w:val="single" w:color="000000" w:sz="4" w:space="0"/>
            </w:tcBorders>
            <w:vAlign w:val="center"/>
          </w:tcPr>
          <w:p w14:paraId="51983457">
            <w:pPr>
              <w:spacing w:line="240" w:lineRule="exact"/>
              <w:jc w:val="center"/>
              <w:rPr>
                <w:rFonts w:ascii="宋体" w:hAnsi="宋体"/>
                <w:b w:val="0"/>
                <w:bCs/>
                <w:spacing w:val="-4"/>
                <w:szCs w:val="21"/>
              </w:rPr>
            </w:pPr>
            <w:r>
              <w:rPr>
                <w:rFonts w:hint="eastAsia" w:ascii="宋体" w:hAnsi="宋体"/>
                <w:b w:val="0"/>
                <w:bCs/>
                <w:spacing w:val="-4"/>
                <w:szCs w:val="21"/>
              </w:rPr>
              <w:t>无损坏</w:t>
            </w:r>
          </w:p>
        </w:tc>
        <w:tc>
          <w:tcPr>
            <w:tcW w:w="417" w:type="pct"/>
            <w:tcBorders>
              <w:top w:val="single" w:color="000000" w:sz="4" w:space="0"/>
              <w:left w:val="single" w:color="000000" w:sz="4" w:space="0"/>
              <w:bottom w:val="single" w:color="000000" w:sz="4" w:space="0"/>
              <w:right w:val="single" w:color="000000" w:sz="4" w:space="0"/>
            </w:tcBorders>
            <w:vAlign w:val="center"/>
          </w:tcPr>
          <w:p w14:paraId="32D86CB8">
            <w:pPr>
              <w:spacing w:line="240" w:lineRule="exact"/>
              <w:jc w:val="center"/>
              <w:rPr>
                <w:rFonts w:ascii="宋体" w:hAnsi="宋体"/>
                <w:b w:val="0"/>
                <w:bCs/>
                <w:spacing w:val="-4"/>
                <w:szCs w:val="21"/>
              </w:rPr>
            </w:pPr>
            <w:r>
              <w:rPr>
                <w:rFonts w:hint="eastAsia" w:ascii="宋体" w:hAnsi="宋体"/>
                <w:b w:val="0"/>
                <w:bCs/>
                <w:spacing w:val="-4"/>
                <w:szCs w:val="21"/>
              </w:rPr>
              <w:t>无损坏</w:t>
            </w:r>
          </w:p>
        </w:tc>
        <w:tc>
          <w:tcPr>
            <w:tcW w:w="640" w:type="pct"/>
            <w:tcBorders>
              <w:top w:val="single" w:color="000000" w:sz="4" w:space="0"/>
              <w:left w:val="single" w:color="000000" w:sz="4" w:space="0"/>
              <w:bottom w:val="single" w:color="000000" w:sz="4" w:space="0"/>
              <w:right w:val="single" w:color="000000" w:sz="12" w:space="0"/>
            </w:tcBorders>
            <w:vAlign w:val="center"/>
          </w:tcPr>
          <w:p w14:paraId="4E3AAA4F">
            <w:pPr>
              <w:spacing w:line="240" w:lineRule="exact"/>
              <w:jc w:val="center"/>
              <w:rPr>
                <w:rFonts w:ascii="宋体" w:hAnsi="宋体"/>
                <w:b w:val="0"/>
                <w:bCs/>
                <w:spacing w:val="-4"/>
                <w:szCs w:val="21"/>
              </w:rPr>
            </w:pPr>
            <w:r>
              <w:rPr>
                <w:rFonts w:hint="eastAsia" w:ascii="宋体" w:hAnsi="宋体"/>
                <w:b w:val="0"/>
                <w:bCs/>
                <w:spacing w:val="-4"/>
                <w:szCs w:val="21"/>
              </w:rPr>
              <w:t>0.09～0.02</w:t>
            </w:r>
          </w:p>
        </w:tc>
      </w:tr>
      <w:tr w14:paraId="2FE7EA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482" w:hRule="atLeast"/>
          <w:jc w:val="center"/>
        </w:trPr>
        <w:tc>
          <w:tcPr>
            <w:tcW w:w="315" w:type="pct"/>
            <w:tcBorders>
              <w:top w:val="single" w:color="000000" w:sz="4" w:space="0"/>
              <w:left w:val="single" w:color="000000" w:sz="12" w:space="0"/>
              <w:bottom w:val="single" w:color="000000" w:sz="4" w:space="0"/>
              <w:right w:val="single" w:color="000000" w:sz="4" w:space="0"/>
            </w:tcBorders>
            <w:vAlign w:val="center"/>
          </w:tcPr>
          <w:p w14:paraId="014DF9A0">
            <w:pPr>
              <w:spacing w:line="240" w:lineRule="exact"/>
              <w:jc w:val="center"/>
              <w:rPr>
                <w:rFonts w:ascii="宋体" w:hAnsi="宋体"/>
                <w:b w:val="0"/>
                <w:bCs/>
                <w:spacing w:val="-4"/>
                <w:szCs w:val="21"/>
              </w:rPr>
            </w:pPr>
            <w:r>
              <w:rPr>
                <w:rFonts w:hint="eastAsia" w:ascii="宋体" w:hAnsi="宋体"/>
                <w:b w:val="0"/>
                <w:bCs/>
                <w:spacing w:val="-4"/>
                <w:szCs w:val="21"/>
              </w:rPr>
              <w:t>三</w:t>
            </w:r>
          </w:p>
        </w:tc>
        <w:tc>
          <w:tcPr>
            <w:tcW w:w="343" w:type="pct"/>
            <w:tcBorders>
              <w:top w:val="single" w:color="000000" w:sz="4" w:space="0"/>
              <w:left w:val="single" w:color="000000" w:sz="4" w:space="0"/>
              <w:bottom w:val="single" w:color="000000" w:sz="4" w:space="0"/>
              <w:right w:val="single" w:color="000000" w:sz="4" w:space="0"/>
            </w:tcBorders>
            <w:vAlign w:val="center"/>
          </w:tcPr>
          <w:p w14:paraId="7DE366EC">
            <w:pPr>
              <w:spacing w:line="240" w:lineRule="exact"/>
              <w:jc w:val="center"/>
              <w:rPr>
                <w:rFonts w:ascii="宋体" w:hAnsi="宋体"/>
                <w:b w:val="0"/>
                <w:bCs/>
                <w:spacing w:val="-4"/>
                <w:szCs w:val="21"/>
              </w:rPr>
            </w:pPr>
            <w:r>
              <w:rPr>
                <w:rFonts w:hint="eastAsia" w:ascii="宋体" w:hAnsi="宋体"/>
                <w:b w:val="0"/>
                <w:bCs/>
                <w:spacing w:val="-4"/>
                <w:szCs w:val="21"/>
              </w:rPr>
              <w:t>轻度破坏</w:t>
            </w:r>
          </w:p>
        </w:tc>
        <w:tc>
          <w:tcPr>
            <w:tcW w:w="365" w:type="pct"/>
            <w:tcBorders>
              <w:top w:val="single" w:color="000000" w:sz="4" w:space="0"/>
              <w:left w:val="single" w:color="000000" w:sz="4" w:space="0"/>
              <w:bottom w:val="single" w:color="000000" w:sz="4" w:space="0"/>
              <w:right w:val="single" w:color="000000" w:sz="4" w:space="0"/>
            </w:tcBorders>
            <w:vAlign w:val="center"/>
          </w:tcPr>
          <w:p w14:paraId="5DE05315">
            <w:pPr>
              <w:spacing w:line="240" w:lineRule="exact"/>
              <w:jc w:val="center"/>
              <w:rPr>
                <w:rFonts w:ascii="宋体" w:hAnsi="宋体"/>
                <w:b w:val="0"/>
                <w:bCs/>
                <w:spacing w:val="-4"/>
                <w:szCs w:val="21"/>
              </w:rPr>
            </w:pPr>
            <w:r>
              <w:rPr>
                <w:rFonts w:hint="eastAsia" w:ascii="宋体" w:hAnsi="宋体"/>
                <w:b w:val="0"/>
                <w:bCs/>
                <w:spacing w:val="-4"/>
                <w:szCs w:val="21"/>
              </w:rPr>
              <w:t>大部分被震碎</w:t>
            </w:r>
          </w:p>
        </w:tc>
        <w:tc>
          <w:tcPr>
            <w:tcW w:w="363" w:type="pct"/>
            <w:tcBorders>
              <w:top w:val="single" w:color="000000" w:sz="4" w:space="0"/>
              <w:left w:val="single" w:color="000000" w:sz="4" w:space="0"/>
              <w:bottom w:val="single" w:color="000000" w:sz="4" w:space="0"/>
              <w:right w:val="single" w:color="000000" w:sz="4" w:space="0"/>
            </w:tcBorders>
            <w:vAlign w:val="center"/>
          </w:tcPr>
          <w:p w14:paraId="4A6D894C">
            <w:pPr>
              <w:spacing w:line="240" w:lineRule="exact"/>
              <w:jc w:val="center"/>
              <w:rPr>
                <w:rFonts w:ascii="宋体" w:hAnsi="宋体"/>
                <w:b w:val="0"/>
                <w:bCs/>
                <w:spacing w:val="-4"/>
                <w:szCs w:val="21"/>
              </w:rPr>
            </w:pPr>
            <w:r>
              <w:rPr>
                <w:rFonts w:hint="eastAsia" w:ascii="宋体" w:hAnsi="宋体"/>
                <w:b w:val="0"/>
                <w:bCs/>
                <w:spacing w:val="-4"/>
                <w:szCs w:val="21"/>
              </w:rPr>
              <w:t>窗扇大量破坏、窗框门扇破坏</w:t>
            </w:r>
          </w:p>
        </w:tc>
        <w:tc>
          <w:tcPr>
            <w:tcW w:w="584" w:type="pct"/>
            <w:tcBorders>
              <w:top w:val="single" w:color="000000" w:sz="4" w:space="0"/>
              <w:left w:val="single" w:color="000000" w:sz="4" w:space="0"/>
              <w:bottom w:val="single" w:color="000000" w:sz="4" w:space="0"/>
              <w:right w:val="single" w:color="000000" w:sz="4" w:space="0"/>
            </w:tcBorders>
            <w:vAlign w:val="center"/>
          </w:tcPr>
          <w:p w14:paraId="73406832">
            <w:pPr>
              <w:spacing w:line="240" w:lineRule="exact"/>
              <w:jc w:val="center"/>
              <w:rPr>
                <w:rFonts w:ascii="宋体" w:hAnsi="宋体"/>
                <w:b w:val="0"/>
                <w:bCs/>
                <w:spacing w:val="-4"/>
                <w:szCs w:val="21"/>
              </w:rPr>
            </w:pPr>
            <w:r>
              <w:rPr>
                <w:rFonts w:hint="eastAsia" w:ascii="宋体" w:hAnsi="宋体"/>
                <w:b w:val="0"/>
                <w:bCs/>
                <w:spacing w:val="-4"/>
                <w:szCs w:val="21"/>
              </w:rPr>
              <w:t>出现较小裂缝、最大宽度小于5mm，稍有倾斜</w:t>
            </w:r>
          </w:p>
        </w:tc>
        <w:tc>
          <w:tcPr>
            <w:tcW w:w="438" w:type="pct"/>
            <w:tcBorders>
              <w:top w:val="single" w:color="000000" w:sz="4" w:space="0"/>
              <w:left w:val="single" w:color="000000" w:sz="4" w:space="0"/>
              <w:bottom w:val="single" w:color="000000" w:sz="4" w:space="0"/>
              <w:right w:val="single" w:color="000000" w:sz="4" w:space="0"/>
            </w:tcBorders>
            <w:vAlign w:val="center"/>
          </w:tcPr>
          <w:p w14:paraId="0751E2EB">
            <w:pPr>
              <w:spacing w:line="240" w:lineRule="exact"/>
              <w:jc w:val="center"/>
              <w:rPr>
                <w:rFonts w:ascii="宋体" w:hAnsi="宋体"/>
                <w:b w:val="0"/>
                <w:bCs/>
                <w:spacing w:val="-4"/>
                <w:szCs w:val="21"/>
              </w:rPr>
            </w:pPr>
            <w:r>
              <w:rPr>
                <w:rFonts w:hint="eastAsia" w:ascii="宋体" w:hAnsi="宋体"/>
                <w:b w:val="0"/>
                <w:bCs/>
                <w:spacing w:val="-4"/>
                <w:szCs w:val="21"/>
              </w:rPr>
              <w:t>木屋面板变形，偶然折裂</w:t>
            </w:r>
          </w:p>
        </w:tc>
        <w:tc>
          <w:tcPr>
            <w:tcW w:w="509" w:type="pct"/>
            <w:tcBorders>
              <w:top w:val="single" w:color="000000" w:sz="4" w:space="0"/>
              <w:left w:val="single" w:color="000000" w:sz="4" w:space="0"/>
              <w:bottom w:val="single" w:color="000000" w:sz="4" w:space="0"/>
              <w:right w:val="single" w:color="000000" w:sz="4" w:space="0"/>
            </w:tcBorders>
            <w:vAlign w:val="center"/>
          </w:tcPr>
          <w:p w14:paraId="68512514">
            <w:pPr>
              <w:spacing w:line="240" w:lineRule="exact"/>
              <w:jc w:val="center"/>
              <w:rPr>
                <w:rFonts w:ascii="宋体" w:hAnsi="宋体"/>
                <w:b w:val="0"/>
                <w:bCs/>
                <w:spacing w:val="-4"/>
                <w:szCs w:val="21"/>
              </w:rPr>
            </w:pPr>
            <w:r>
              <w:rPr>
                <w:rFonts w:hint="eastAsia" w:ascii="宋体" w:hAnsi="宋体"/>
                <w:b w:val="0"/>
                <w:bCs/>
                <w:spacing w:val="-4"/>
                <w:szCs w:val="21"/>
              </w:rPr>
              <w:t>无损坏</w:t>
            </w:r>
          </w:p>
        </w:tc>
        <w:tc>
          <w:tcPr>
            <w:tcW w:w="364" w:type="pct"/>
            <w:tcBorders>
              <w:top w:val="single" w:color="000000" w:sz="4" w:space="0"/>
              <w:left w:val="single" w:color="000000" w:sz="4" w:space="0"/>
              <w:bottom w:val="single" w:color="000000" w:sz="4" w:space="0"/>
              <w:right w:val="single" w:color="000000" w:sz="4" w:space="0"/>
            </w:tcBorders>
            <w:vAlign w:val="center"/>
          </w:tcPr>
          <w:p w14:paraId="18AC9040">
            <w:pPr>
              <w:spacing w:line="240" w:lineRule="exact"/>
              <w:jc w:val="center"/>
              <w:rPr>
                <w:rFonts w:ascii="宋体" w:hAnsi="宋体"/>
                <w:b w:val="0"/>
                <w:bCs/>
                <w:spacing w:val="-4"/>
                <w:szCs w:val="21"/>
              </w:rPr>
            </w:pPr>
            <w:r>
              <w:rPr>
                <w:rFonts w:hint="eastAsia" w:ascii="宋体" w:hAnsi="宋体"/>
                <w:b w:val="0"/>
                <w:bCs/>
                <w:spacing w:val="-4"/>
                <w:szCs w:val="21"/>
              </w:rPr>
              <w:t>大量移动</w:t>
            </w:r>
          </w:p>
        </w:tc>
        <w:tc>
          <w:tcPr>
            <w:tcW w:w="343" w:type="pct"/>
            <w:tcBorders>
              <w:top w:val="single" w:color="000000" w:sz="4" w:space="0"/>
              <w:left w:val="single" w:color="000000" w:sz="4" w:space="0"/>
              <w:bottom w:val="single" w:color="000000" w:sz="4" w:space="0"/>
              <w:right w:val="single" w:color="000000" w:sz="4" w:space="0"/>
            </w:tcBorders>
            <w:vAlign w:val="center"/>
          </w:tcPr>
          <w:p w14:paraId="3E6E814F">
            <w:pPr>
              <w:spacing w:line="240" w:lineRule="exact"/>
              <w:jc w:val="center"/>
              <w:rPr>
                <w:rFonts w:ascii="宋体" w:hAnsi="宋体"/>
                <w:b w:val="0"/>
                <w:bCs/>
                <w:spacing w:val="-4"/>
                <w:szCs w:val="21"/>
              </w:rPr>
            </w:pPr>
            <w:r>
              <w:rPr>
                <w:rFonts w:hint="eastAsia" w:ascii="宋体" w:hAnsi="宋体"/>
                <w:b w:val="0"/>
                <w:bCs/>
                <w:spacing w:val="-4"/>
                <w:szCs w:val="21"/>
              </w:rPr>
              <w:t>抹灰大量掉落</w:t>
            </w:r>
          </w:p>
        </w:tc>
        <w:tc>
          <w:tcPr>
            <w:tcW w:w="312" w:type="pct"/>
            <w:tcBorders>
              <w:top w:val="single" w:color="000000" w:sz="4" w:space="0"/>
              <w:left w:val="single" w:color="000000" w:sz="4" w:space="0"/>
              <w:bottom w:val="single" w:color="000000" w:sz="4" w:space="0"/>
              <w:right w:val="single" w:color="000000" w:sz="4" w:space="0"/>
            </w:tcBorders>
            <w:vAlign w:val="center"/>
          </w:tcPr>
          <w:p w14:paraId="6958F48C">
            <w:pPr>
              <w:spacing w:line="240" w:lineRule="exact"/>
              <w:jc w:val="center"/>
              <w:rPr>
                <w:rFonts w:ascii="宋体" w:hAnsi="宋体"/>
                <w:b w:val="0"/>
                <w:bCs/>
                <w:spacing w:val="-4"/>
                <w:szCs w:val="21"/>
              </w:rPr>
            </w:pPr>
            <w:r>
              <w:rPr>
                <w:rFonts w:hint="eastAsia" w:ascii="宋体" w:hAnsi="宋体"/>
                <w:b w:val="0"/>
                <w:bCs/>
                <w:spacing w:val="-4"/>
                <w:szCs w:val="21"/>
              </w:rPr>
              <w:t>板条墙抹灰大量掉落</w:t>
            </w:r>
          </w:p>
        </w:tc>
        <w:tc>
          <w:tcPr>
            <w:tcW w:w="417" w:type="pct"/>
            <w:tcBorders>
              <w:top w:val="single" w:color="000000" w:sz="4" w:space="0"/>
              <w:left w:val="single" w:color="000000" w:sz="4" w:space="0"/>
              <w:bottom w:val="single" w:color="000000" w:sz="4" w:space="0"/>
              <w:right w:val="single" w:color="000000" w:sz="4" w:space="0"/>
            </w:tcBorders>
            <w:vAlign w:val="center"/>
          </w:tcPr>
          <w:p w14:paraId="727F3AFA">
            <w:pPr>
              <w:spacing w:line="240" w:lineRule="exact"/>
              <w:jc w:val="center"/>
              <w:rPr>
                <w:rFonts w:ascii="宋体" w:hAnsi="宋体"/>
                <w:b w:val="0"/>
                <w:bCs/>
                <w:spacing w:val="-4"/>
                <w:szCs w:val="21"/>
              </w:rPr>
            </w:pPr>
            <w:r>
              <w:rPr>
                <w:rFonts w:hint="eastAsia" w:ascii="宋体" w:hAnsi="宋体"/>
                <w:b w:val="0"/>
                <w:bCs/>
                <w:spacing w:val="-4"/>
                <w:szCs w:val="21"/>
              </w:rPr>
              <w:t>无损坏</w:t>
            </w:r>
          </w:p>
        </w:tc>
        <w:tc>
          <w:tcPr>
            <w:tcW w:w="640" w:type="pct"/>
            <w:tcBorders>
              <w:top w:val="single" w:color="000000" w:sz="4" w:space="0"/>
              <w:left w:val="single" w:color="000000" w:sz="4" w:space="0"/>
              <w:bottom w:val="single" w:color="000000" w:sz="4" w:space="0"/>
              <w:right w:val="single" w:color="000000" w:sz="12" w:space="0"/>
            </w:tcBorders>
            <w:vAlign w:val="center"/>
          </w:tcPr>
          <w:p w14:paraId="0F7DF2DE">
            <w:pPr>
              <w:spacing w:line="240" w:lineRule="exact"/>
              <w:jc w:val="center"/>
              <w:rPr>
                <w:rFonts w:ascii="宋体" w:hAnsi="宋体"/>
                <w:b w:val="0"/>
                <w:bCs/>
                <w:spacing w:val="-4"/>
                <w:szCs w:val="21"/>
              </w:rPr>
            </w:pPr>
            <w:r>
              <w:rPr>
                <w:rFonts w:hint="eastAsia" w:ascii="宋体" w:hAnsi="宋体"/>
                <w:b w:val="0"/>
                <w:bCs/>
                <w:spacing w:val="-4"/>
                <w:szCs w:val="21"/>
              </w:rPr>
              <w:t>0.25～0.09</w:t>
            </w:r>
          </w:p>
        </w:tc>
      </w:tr>
      <w:tr w14:paraId="4C0A9EA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728" w:hRule="atLeast"/>
          <w:jc w:val="center"/>
        </w:trPr>
        <w:tc>
          <w:tcPr>
            <w:tcW w:w="315" w:type="pct"/>
            <w:tcBorders>
              <w:top w:val="single" w:color="000000" w:sz="4" w:space="0"/>
              <w:left w:val="single" w:color="000000" w:sz="12" w:space="0"/>
              <w:bottom w:val="single" w:color="000000" w:sz="4" w:space="0"/>
              <w:right w:val="single" w:color="000000" w:sz="4" w:space="0"/>
            </w:tcBorders>
            <w:vAlign w:val="center"/>
          </w:tcPr>
          <w:p w14:paraId="465AB28D">
            <w:pPr>
              <w:spacing w:line="240" w:lineRule="exact"/>
              <w:jc w:val="center"/>
              <w:rPr>
                <w:rFonts w:ascii="宋体" w:hAnsi="宋体"/>
                <w:b w:val="0"/>
                <w:bCs/>
                <w:spacing w:val="-4"/>
                <w:szCs w:val="21"/>
              </w:rPr>
            </w:pPr>
            <w:r>
              <w:rPr>
                <w:rFonts w:hint="eastAsia" w:ascii="宋体" w:hAnsi="宋体"/>
                <w:b w:val="0"/>
                <w:bCs/>
                <w:spacing w:val="-4"/>
                <w:szCs w:val="21"/>
              </w:rPr>
              <w:t>四</w:t>
            </w:r>
          </w:p>
        </w:tc>
        <w:tc>
          <w:tcPr>
            <w:tcW w:w="343" w:type="pct"/>
            <w:tcBorders>
              <w:top w:val="single" w:color="000000" w:sz="4" w:space="0"/>
              <w:left w:val="single" w:color="000000" w:sz="4" w:space="0"/>
              <w:bottom w:val="single" w:color="000000" w:sz="4" w:space="0"/>
              <w:right w:val="single" w:color="000000" w:sz="4" w:space="0"/>
            </w:tcBorders>
            <w:vAlign w:val="center"/>
          </w:tcPr>
          <w:p w14:paraId="02AA7D10">
            <w:pPr>
              <w:spacing w:line="240" w:lineRule="exact"/>
              <w:jc w:val="center"/>
              <w:rPr>
                <w:rFonts w:ascii="宋体" w:hAnsi="宋体"/>
                <w:b w:val="0"/>
                <w:bCs/>
                <w:spacing w:val="-4"/>
                <w:szCs w:val="21"/>
              </w:rPr>
            </w:pPr>
            <w:r>
              <w:rPr>
                <w:rFonts w:hint="eastAsia" w:ascii="宋体" w:hAnsi="宋体"/>
                <w:b w:val="0"/>
                <w:bCs/>
                <w:spacing w:val="-4"/>
                <w:szCs w:val="21"/>
              </w:rPr>
              <w:t>中等破坏</w:t>
            </w:r>
          </w:p>
        </w:tc>
        <w:tc>
          <w:tcPr>
            <w:tcW w:w="365" w:type="pct"/>
            <w:tcBorders>
              <w:top w:val="single" w:color="000000" w:sz="4" w:space="0"/>
              <w:left w:val="single" w:color="000000" w:sz="4" w:space="0"/>
              <w:bottom w:val="single" w:color="000000" w:sz="4" w:space="0"/>
              <w:right w:val="single" w:color="000000" w:sz="4" w:space="0"/>
            </w:tcBorders>
            <w:vAlign w:val="center"/>
          </w:tcPr>
          <w:p w14:paraId="55899F3B">
            <w:pPr>
              <w:spacing w:line="240" w:lineRule="exact"/>
              <w:jc w:val="center"/>
              <w:rPr>
                <w:rFonts w:ascii="宋体" w:hAnsi="宋体"/>
                <w:b w:val="0"/>
                <w:bCs/>
                <w:spacing w:val="-4"/>
                <w:szCs w:val="21"/>
              </w:rPr>
            </w:pPr>
            <w:r>
              <w:rPr>
                <w:rFonts w:hint="eastAsia" w:ascii="宋体" w:hAnsi="宋体"/>
                <w:b w:val="0"/>
                <w:bCs/>
                <w:spacing w:val="-4"/>
                <w:szCs w:val="21"/>
              </w:rPr>
              <w:t>粉碎</w:t>
            </w:r>
          </w:p>
        </w:tc>
        <w:tc>
          <w:tcPr>
            <w:tcW w:w="363" w:type="pct"/>
            <w:tcBorders>
              <w:top w:val="single" w:color="000000" w:sz="4" w:space="0"/>
              <w:left w:val="single" w:color="000000" w:sz="4" w:space="0"/>
              <w:bottom w:val="single" w:color="000000" w:sz="4" w:space="0"/>
              <w:right w:val="single" w:color="000000" w:sz="4" w:space="0"/>
            </w:tcBorders>
            <w:vAlign w:val="center"/>
          </w:tcPr>
          <w:p w14:paraId="1E56E726">
            <w:pPr>
              <w:spacing w:line="240" w:lineRule="exact"/>
              <w:jc w:val="center"/>
              <w:rPr>
                <w:rFonts w:ascii="宋体" w:hAnsi="宋体"/>
                <w:b w:val="0"/>
                <w:bCs/>
                <w:spacing w:val="-4"/>
                <w:szCs w:val="21"/>
              </w:rPr>
            </w:pPr>
            <w:r>
              <w:rPr>
                <w:rFonts w:hint="eastAsia" w:ascii="宋体" w:hAnsi="宋体"/>
                <w:b w:val="0"/>
                <w:bCs/>
                <w:spacing w:val="-4"/>
                <w:szCs w:val="21"/>
              </w:rPr>
              <w:t>窗扇掉落、内倒、窗框、门扇大量破坏</w:t>
            </w:r>
          </w:p>
        </w:tc>
        <w:tc>
          <w:tcPr>
            <w:tcW w:w="584" w:type="pct"/>
            <w:tcBorders>
              <w:top w:val="single" w:color="000000" w:sz="4" w:space="0"/>
              <w:left w:val="single" w:color="000000" w:sz="4" w:space="0"/>
              <w:bottom w:val="single" w:color="000000" w:sz="4" w:space="0"/>
              <w:right w:val="single" w:color="000000" w:sz="4" w:space="0"/>
            </w:tcBorders>
            <w:vAlign w:val="center"/>
          </w:tcPr>
          <w:p w14:paraId="6E4A796A">
            <w:pPr>
              <w:spacing w:line="240" w:lineRule="exact"/>
              <w:jc w:val="center"/>
              <w:rPr>
                <w:rFonts w:ascii="宋体" w:hAnsi="宋体"/>
                <w:b w:val="0"/>
                <w:bCs/>
                <w:spacing w:val="-4"/>
                <w:szCs w:val="21"/>
              </w:rPr>
            </w:pPr>
            <w:r>
              <w:rPr>
                <w:rFonts w:hint="eastAsia" w:ascii="宋体" w:hAnsi="宋体"/>
                <w:b w:val="0"/>
                <w:bCs/>
                <w:spacing w:val="-4"/>
                <w:szCs w:val="21"/>
              </w:rPr>
              <w:t>出现较大裂缝、最大宽度在5～50mm，明显倾斜，砖跺出现小裂缝</w:t>
            </w:r>
          </w:p>
        </w:tc>
        <w:tc>
          <w:tcPr>
            <w:tcW w:w="438" w:type="pct"/>
            <w:tcBorders>
              <w:top w:val="single" w:color="000000" w:sz="4" w:space="0"/>
              <w:left w:val="single" w:color="000000" w:sz="4" w:space="0"/>
              <w:bottom w:val="single" w:color="000000" w:sz="4" w:space="0"/>
              <w:right w:val="single" w:color="000000" w:sz="4" w:space="0"/>
            </w:tcBorders>
            <w:vAlign w:val="center"/>
          </w:tcPr>
          <w:p w14:paraId="1003330C">
            <w:pPr>
              <w:spacing w:line="240" w:lineRule="exact"/>
              <w:jc w:val="center"/>
              <w:rPr>
                <w:rFonts w:ascii="宋体" w:hAnsi="宋体"/>
                <w:b w:val="0"/>
                <w:bCs/>
                <w:spacing w:val="-4"/>
                <w:szCs w:val="21"/>
              </w:rPr>
            </w:pPr>
            <w:r>
              <w:rPr>
                <w:rFonts w:hint="eastAsia" w:ascii="宋体" w:hAnsi="宋体"/>
                <w:b w:val="0"/>
                <w:bCs/>
                <w:spacing w:val="-4"/>
                <w:szCs w:val="21"/>
              </w:rPr>
              <w:t>木屋面板、木屋檀条折裂，木屋架支座松动</w:t>
            </w:r>
          </w:p>
        </w:tc>
        <w:tc>
          <w:tcPr>
            <w:tcW w:w="509" w:type="pct"/>
            <w:tcBorders>
              <w:top w:val="single" w:color="000000" w:sz="4" w:space="0"/>
              <w:left w:val="single" w:color="000000" w:sz="4" w:space="0"/>
              <w:bottom w:val="single" w:color="000000" w:sz="4" w:space="0"/>
              <w:right w:val="single" w:color="000000" w:sz="4" w:space="0"/>
            </w:tcBorders>
            <w:vAlign w:val="center"/>
          </w:tcPr>
          <w:p w14:paraId="2DCC8D46">
            <w:pPr>
              <w:spacing w:line="240" w:lineRule="exact"/>
              <w:jc w:val="center"/>
              <w:rPr>
                <w:rFonts w:ascii="宋体" w:hAnsi="宋体"/>
                <w:b w:val="0"/>
                <w:bCs/>
                <w:spacing w:val="-4"/>
                <w:szCs w:val="21"/>
              </w:rPr>
            </w:pPr>
            <w:r>
              <w:rPr>
                <w:rFonts w:hint="eastAsia" w:ascii="宋体" w:hAnsi="宋体"/>
                <w:b w:val="0"/>
                <w:bCs/>
                <w:spacing w:val="-4"/>
                <w:szCs w:val="21"/>
              </w:rPr>
              <w:t>出现微小裂缝、最大宽度≤1mm</w:t>
            </w:r>
          </w:p>
        </w:tc>
        <w:tc>
          <w:tcPr>
            <w:tcW w:w="364" w:type="pct"/>
            <w:tcBorders>
              <w:top w:val="single" w:color="000000" w:sz="4" w:space="0"/>
              <w:left w:val="single" w:color="000000" w:sz="4" w:space="0"/>
              <w:bottom w:val="single" w:color="000000" w:sz="4" w:space="0"/>
              <w:right w:val="single" w:color="000000" w:sz="4" w:space="0"/>
            </w:tcBorders>
            <w:vAlign w:val="center"/>
          </w:tcPr>
          <w:p w14:paraId="39579A08">
            <w:pPr>
              <w:spacing w:line="240" w:lineRule="exact"/>
              <w:jc w:val="center"/>
              <w:rPr>
                <w:rFonts w:ascii="宋体" w:hAnsi="宋体"/>
                <w:b w:val="0"/>
                <w:bCs/>
                <w:spacing w:val="-4"/>
                <w:szCs w:val="21"/>
              </w:rPr>
            </w:pPr>
            <w:r>
              <w:rPr>
                <w:rFonts w:hint="eastAsia" w:ascii="宋体" w:hAnsi="宋体"/>
                <w:b w:val="0"/>
                <w:bCs/>
                <w:spacing w:val="-4"/>
                <w:szCs w:val="21"/>
              </w:rPr>
              <w:t>大量移动到全部掀掉</w:t>
            </w:r>
          </w:p>
        </w:tc>
        <w:tc>
          <w:tcPr>
            <w:tcW w:w="343" w:type="pct"/>
            <w:tcBorders>
              <w:top w:val="single" w:color="000000" w:sz="4" w:space="0"/>
              <w:left w:val="single" w:color="000000" w:sz="4" w:space="0"/>
              <w:bottom w:val="single" w:color="000000" w:sz="4" w:space="0"/>
              <w:right w:val="single" w:color="000000" w:sz="4" w:space="0"/>
            </w:tcBorders>
            <w:vAlign w:val="center"/>
          </w:tcPr>
          <w:p w14:paraId="3158F5CC">
            <w:pPr>
              <w:spacing w:line="240" w:lineRule="exact"/>
              <w:jc w:val="center"/>
              <w:rPr>
                <w:rFonts w:ascii="宋体" w:hAnsi="宋体"/>
                <w:b w:val="0"/>
                <w:bCs/>
                <w:spacing w:val="-4"/>
                <w:szCs w:val="21"/>
              </w:rPr>
            </w:pPr>
            <w:r>
              <w:rPr>
                <w:rFonts w:hint="eastAsia" w:ascii="宋体" w:hAnsi="宋体"/>
                <w:b w:val="0"/>
                <w:bCs/>
                <w:spacing w:val="-4"/>
                <w:szCs w:val="21"/>
              </w:rPr>
              <w:t>木龙骨部分破坏下垂</w:t>
            </w:r>
          </w:p>
        </w:tc>
        <w:tc>
          <w:tcPr>
            <w:tcW w:w="312" w:type="pct"/>
            <w:tcBorders>
              <w:top w:val="single" w:color="000000" w:sz="4" w:space="0"/>
              <w:left w:val="single" w:color="000000" w:sz="4" w:space="0"/>
              <w:bottom w:val="single" w:color="000000" w:sz="4" w:space="0"/>
              <w:right w:val="single" w:color="000000" w:sz="4" w:space="0"/>
            </w:tcBorders>
            <w:vAlign w:val="center"/>
          </w:tcPr>
          <w:p w14:paraId="7A37316E">
            <w:pPr>
              <w:spacing w:line="240" w:lineRule="exact"/>
              <w:jc w:val="center"/>
              <w:rPr>
                <w:rFonts w:ascii="宋体" w:hAnsi="宋体"/>
                <w:b w:val="0"/>
                <w:bCs/>
                <w:spacing w:val="-4"/>
                <w:szCs w:val="21"/>
              </w:rPr>
            </w:pPr>
            <w:r>
              <w:rPr>
                <w:rFonts w:hint="eastAsia" w:ascii="宋体" w:hAnsi="宋体"/>
                <w:b w:val="0"/>
                <w:bCs/>
                <w:spacing w:val="-4"/>
                <w:szCs w:val="21"/>
              </w:rPr>
              <w:t>砖内墙出现小裂缝</w:t>
            </w:r>
          </w:p>
        </w:tc>
        <w:tc>
          <w:tcPr>
            <w:tcW w:w="417" w:type="pct"/>
            <w:tcBorders>
              <w:top w:val="single" w:color="000000" w:sz="4" w:space="0"/>
              <w:left w:val="single" w:color="000000" w:sz="4" w:space="0"/>
              <w:bottom w:val="single" w:color="000000" w:sz="4" w:space="0"/>
              <w:right w:val="single" w:color="000000" w:sz="4" w:space="0"/>
            </w:tcBorders>
            <w:vAlign w:val="center"/>
          </w:tcPr>
          <w:p w14:paraId="53B1C113">
            <w:pPr>
              <w:spacing w:line="240" w:lineRule="exact"/>
              <w:jc w:val="center"/>
              <w:rPr>
                <w:rFonts w:ascii="宋体" w:hAnsi="宋体"/>
                <w:b w:val="0"/>
                <w:bCs/>
                <w:spacing w:val="-4"/>
                <w:szCs w:val="21"/>
              </w:rPr>
            </w:pPr>
            <w:r>
              <w:rPr>
                <w:rFonts w:hint="eastAsia" w:ascii="宋体" w:hAnsi="宋体"/>
                <w:b w:val="0"/>
                <w:bCs/>
                <w:spacing w:val="-4"/>
                <w:szCs w:val="21"/>
              </w:rPr>
              <w:t>无损坏</w:t>
            </w:r>
          </w:p>
        </w:tc>
        <w:tc>
          <w:tcPr>
            <w:tcW w:w="640" w:type="pct"/>
            <w:tcBorders>
              <w:top w:val="single" w:color="000000" w:sz="4" w:space="0"/>
              <w:left w:val="single" w:color="000000" w:sz="4" w:space="0"/>
              <w:bottom w:val="single" w:color="000000" w:sz="4" w:space="0"/>
              <w:right w:val="single" w:color="000000" w:sz="12" w:space="0"/>
            </w:tcBorders>
            <w:vAlign w:val="center"/>
          </w:tcPr>
          <w:p w14:paraId="4BDE171E">
            <w:pPr>
              <w:spacing w:line="240" w:lineRule="exact"/>
              <w:jc w:val="center"/>
              <w:rPr>
                <w:rFonts w:ascii="宋体" w:hAnsi="宋体"/>
                <w:b w:val="0"/>
                <w:bCs/>
                <w:spacing w:val="-4"/>
                <w:szCs w:val="21"/>
              </w:rPr>
            </w:pPr>
            <w:r>
              <w:rPr>
                <w:rFonts w:hint="eastAsia" w:ascii="宋体" w:hAnsi="宋体"/>
                <w:b w:val="0"/>
                <w:bCs/>
                <w:spacing w:val="-4"/>
                <w:szCs w:val="21"/>
              </w:rPr>
              <w:t>0.4～0.25</w:t>
            </w:r>
          </w:p>
        </w:tc>
      </w:tr>
      <w:tr w14:paraId="701159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973" w:hRule="atLeast"/>
          <w:jc w:val="center"/>
        </w:trPr>
        <w:tc>
          <w:tcPr>
            <w:tcW w:w="315" w:type="pct"/>
            <w:tcBorders>
              <w:top w:val="single" w:color="000000" w:sz="4" w:space="0"/>
              <w:left w:val="single" w:color="000000" w:sz="12" w:space="0"/>
              <w:bottom w:val="single" w:color="000000" w:sz="4" w:space="0"/>
              <w:right w:val="single" w:color="000000" w:sz="4" w:space="0"/>
            </w:tcBorders>
            <w:vAlign w:val="center"/>
          </w:tcPr>
          <w:p w14:paraId="06F6D230">
            <w:pPr>
              <w:spacing w:line="240" w:lineRule="exact"/>
              <w:jc w:val="center"/>
              <w:rPr>
                <w:rFonts w:ascii="宋体" w:hAnsi="宋体"/>
                <w:b w:val="0"/>
                <w:bCs/>
                <w:spacing w:val="-4"/>
                <w:szCs w:val="21"/>
              </w:rPr>
            </w:pPr>
            <w:r>
              <w:rPr>
                <w:rFonts w:hint="eastAsia" w:ascii="宋体" w:hAnsi="宋体"/>
                <w:b w:val="0"/>
                <w:bCs/>
                <w:spacing w:val="-4"/>
                <w:szCs w:val="21"/>
              </w:rPr>
              <w:t>五</w:t>
            </w:r>
          </w:p>
        </w:tc>
        <w:tc>
          <w:tcPr>
            <w:tcW w:w="343" w:type="pct"/>
            <w:tcBorders>
              <w:top w:val="single" w:color="000000" w:sz="4" w:space="0"/>
              <w:left w:val="single" w:color="000000" w:sz="4" w:space="0"/>
              <w:bottom w:val="single" w:color="000000" w:sz="4" w:space="0"/>
              <w:right w:val="single" w:color="000000" w:sz="4" w:space="0"/>
            </w:tcBorders>
            <w:vAlign w:val="center"/>
          </w:tcPr>
          <w:p w14:paraId="7C8F5A41">
            <w:pPr>
              <w:spacing w:line="240" w:lineRule="exact"/>
              <w:jc w:val="center"/>
              <w:rPr>
                <w:rFonts w:ascii="宋体" w:hAnsi="宋体"/>
                <w:b w:val="0"/>
                <w:bCs/>
                <w:spacing w:val="-4"/>
                <w:szCs w:val="21"/>
              </w:rPr>
            </w:pPr>
            <w:r>
              <w:rPr>
                <w:rFonts w:hint="eastAsia" w:ascii="宋体" w:hAnsi="宋体"/>
                <w:b w:val="0"/>
                <w:bCs/>
                <w:spacing w:val="-4"/>
                <w:szCs w:val="21"/>
              </w:rPr>
              <w:t>次严重破坏</w:t>
            </w:r>
          </w:p>
        </w:tc>
        <w:tc>
          <w:tcPr>
            <w:tcW w:w="365" w:type="pct"/>
            <w:tcBorders>
              <w:top w:val="single" w:color="000000" w:sz="4" w:space="0"/>
              <w:left w:val="single" w:color="000000" w:sz="4" w:space="0"/>
              <w:bottom w:val="single" w:color="000000" w:sz="4" w:space="0"/>
              <w:right w:val="single" w:color="000000" w:sz="4" w:space="0"/>
            </w:tcBorders>
            <w:vAlign w:val="center"/>
          </w:tcPr>
          <w:p w14:paraId="40CCD721">
            <w:pPr>
              <w:spacing w:line="240" w:lineRule="exact"/>
              <w:jc w:val="center"/>
              <w:rPr>
                <w:rFonts w:ascii="宋体" w:hAnsi="宋体"/>
                <w:b w:val="0"/>
                <w:bCs/>
                <w:spacing w:val="-4"/>
                <w:szCs w:val="21"/>
              </w:rPr>
            </w:pPr>
          </w:p>
        </w:tc>
        <w:tc>
          <w:tcPr>
            <w:tcW w:w="363" w:type="pct"/>
            <w:tcBorders>
              <w:top w:val="single" w:color="000000" w:sz="4" w:space="0"/>
              <w:left w:val="single" w:color="000000" w:sz="4" w:space="0"/>
              <w:bottom w:val="single" w:color="000000" w:sz="4" w:space="0"/>
              <w:right w:val="single" w:color="000000" w:sz="4" w:space="0"/>
            </w:tcBorders>
            <w:vAlign w:val="center"/>
          </w:tcPr>
          <w:p w14:paraId="79AA4604">
            <w:pPr>
              <w:spacing w:line="240" w:lineRule="exact"/>
              <w:jc w:val="center"/>
              <w:rPr>
                <w:rFonts w:ascii="宋体" w:hAnsi="宋体"/>
                <w:b w:val="0"/>
                <w:bCs/>
                <w:spacing w:val="-4"/>
                <w:szCs w:val="21"/>
              </w:rPr>
            </w:pPr>
            <w:r>
              <w:rPr>
                <w:rFonts w:hint="eastAsia" w:ascii="宋体" w:hAnsi="宋体"/>
                <w:b w:val="0"/>
                <w:bCs/>
                <w:spacing w:val="-4"/>
                <w:szCs w:val="21"/>
              </w:rPr>
              <w:t>门、窗扇摧毁，窗框掉落</w:t>
            </w:r>
          </w:p>
        </w:tc>
        <w:tc>
          <w:tcPr>
            <w:tcW w:w="584" w:type="pct"/>
            <w:tcBorders>
              <w:top w:val="single" w:color="000000" w:sz="4" w:space="0"/>
              <w:left w:val="single" w:color="000000" w:sz="4" w:space="0"/>
              <w:bottom w:val="single" w:color="000000" w:sz="4" w:space="0"/>
              <w:right w:val="single" w:color="000000" w:sz="4" w:space="0"/>
            </w:tcBorders>
            <w:vAlign w:val="center"/>
          </w:tcPr>
          <w:p w14:paraId="75E80CC8">
            <w:pPr>
              <w:spacing w:line="240" w:lineRule="exact"/>
              <w:jc w:val="center"/>
              <w:rPr>
                <w:rFonts w:ascii="宋体" w:hAnsi="宋体"/>
                <w:b w:val="0"/>
                <w:bCs/>
                <w:spacing w:val="-4"/>
                <w:szCs w:val="21"/>
              </w:rPr>
            </w:pPr>
            <w:r>
              <w:rPr>
                <w:rFonts w:hint="eastAsia" w:ascii="宋体" w:hAnsi="宋体"/>
                <w:b w:val="0"/>
                <w:bCs/>
                <w:spacing w:val="-4"/>
                <w:szCs w:val="21"/>
              </w:rPr>
              <w:t>出现严重裂缝、最大宽度＞50mm的大裂缝，严重倾斜，砖跺出现较大裂缝</w:t>
            </w:r>
          </w:p>
        </w:tc>
        <w:tc>
          <w:tcPr>
            <w:tcW w:w="438" w:type="pct"/>
            <w:tcBorders>
              <w:top w:val="single" w:color="000000" w:sz="4" w:space="0"/>
              <w:left w:val="single" w:color="000000" w:sz="4" w:space="0"/>
              <w:bottom w:val="single" w:color="000000" w:sz="4" w:space="0"/>
              <w:right w:val="single" w:color="000000" w:sz="4" w:space="0"/>
            </w:tcBorders>
            <w:vAlign w:val="center"/>
          </w:tcPr>
          <w:p w14:paraId="260E41CC">
            <w:pPr>
              <w:spacing w:line="240" w:lineRule="exact"/>
              <w:jc w:val="center"/>
              <w:rPr>
                <w:rFonts w:ascii="宋体" w:hAnsi="宋体"/>
                <w:b w:val="0"/>
                <w:bCs/>
                <w:spacing w:val="-4"/>
                <w:szCs w:val="21"/>
              </w:rPr>
            </w:pPr>
            <w:r>
              <w:rPr>
                <w:rFonts w:hint="eastAsia" w:ascii="宋体" w:hAnsi="宋体"/>
                <w:b w:val="0"/>
                <w:bCs/>
                <w:spacing w:val="-4"/>
                <w:szCs w:val="21"/>
              </w:rPr>
              <w:t>木檀条折断，木屋架杆件偶然折裂，支座错位</w:t>
            </w:r>
          </w:p>
        </w:tc>
        <w:tc>
          <w:tcPr>
            <w:tcW w:w="509" w:type="pct"/>
            <w:tcBorders>
              <w:top w:val="single" w:color="000000" w:sz="4" w:space="0"/>
              <w:left w:val="single" w:color="000000" w:sz="4" w:space="0"/>
              <w:bottom w:val="single" w:color="000000" w:sz="4" w:space="0"/>
              <w:right w:val="single" w:color="000000" w:sz="4" w:space="0"/>
            </w:tcBorders>
            <w:vAlign w:val="center"/>
          </w:tcPr>
          <w:p w14:paraId="3DE3AF93">
            <w:pPr>
              <w:spacing w:line="240" w:lineRule="exact"/>
              <w:jc w:val="center"/>
              <w:rPr>
                <w:rFonts w:ascii="宋体" w:hAnsi="宋体"/>
                <w:b w:val="0"/>
                <w:bCs/>
                <w:spacing w:val="-4"/>
                <w:szCs w:val="21"/>
              </w:rPr>
            </w:pPr>
            <w:r>
              <w:rPr>
                <w:rFonts w:hint="eastAsia" w:ascii="宋体" w:hAnsi="宋体"/>
                <w:b w:val="0"/>
                <w:bCs/>
                <w:spacing w:val="-4"/>
                <w:szCs w:val="21"/>
              </w:rPr>
              <w:t>出现明显裂缝、最大宽度在1～2mm，修理后能继续使用</w:t>
            </w:r>
          </w:p>
        </w:tc>
        <w:tc>
          <w:tcPr>
            <w:tcW w:w="364" w:type="pct"/>
            <w:tcBorders>
              <w:top w:val="single" w:color="000000" w:sz="4" w:space="0"/>
              <w:left w:val="single" w:color="000000" w:sz="4" w:space="0"/>
              <w:bottom w:val="single" w:color="000000" w:sz="4" w:space="0"/>
              <w:right w:val="single" w:color="000000" w:sz="4" w:space="0"/>
            </w:tcBorders>
            <w:vAlign w:val="center"/>
          </w:tcPr>
          <w:p w14:paraId="335BF238">
            <w:pPr>
              <w:spacing w:line="240" w:lineRule="exact"/>
              <w:jc w:val="center"/>
              <w:rPr>
                <w:rFonts w:ascii="宋体" w:hAnsi="宋体"/>
                <w:b w:val="0"/>
                <w:bCs/>
                <w:spacing w:val="-4"/>
                <w:szCs w:val="21"/>
              </w:rPr>
            </w:pPr>
          </w:p>
        </w:tc>
        <w:tc>
          <w:tcPr>
            <w:tcW w:w="343" w:type="pct"/>
            <w:tcBorders>
              <w:top w:val="single" w:color="000000" w:sz="4" w:space="0"/>
              <w:left w:val="single" w:color="000000" w:sz="4" w:space="0"/>
              <w:bottom w:val="single" w:color="000000" w:sz="4" w:space="0"/>
              <w:right w:val="single" w:color="000000" w:sz="4" w:space="0"/>
            </w:tcBorders>
            <w:vAlign w:val="center"/>
          </w:tcPr>
          <w:p w14:paraId="5E338744">
            <w:pPr>
              <w:spacing w:line="240" w:lineRule="exact"/>
              <w:jc w:val="center"/>
              <w:rPr>
                <w:rFonts w:ascii="宋体" w:hAnsi="宋体"/>
                <w:b w:val="0"/>
                <w:bCs/>
                <w:spacing w:val="-4"/>
                <w:szCs w:val="21"/>
              </w:rPr>
            </w:pPr>
            <w:r>
              <w:rPr>
                <w:rFonts w:hint="eastAsia" w:ascii="宋体" w:hAnsi="宋体"/>
                <w:b w:val="0"/>
                <w:bCs/>
                <w:spacing w:val="-4"/>
                <w:szCs w:val="21"/>
              </w:rPr>
              <w:t>塌落</w:t>
            </w:r>
          </w:p>
        </w:tc>
        <w:tc>
          <w:tcPr>
            <w:tcW w:w="312" w:type="pct"/>
            <w:tcBorders>
              <w:top w:val="single" w:color="000000" w:sz="4" w:space="0"/>
              <w:left w:val="single" w:color="000000" w:sz="4" w:space="0"/>
              <w:bottom w:val="single" w:color="000000" w:sz="4" w:space="0"/>
              <w:right w:val="single" w:color="000000" w:sz="4" w:space="0"/>
            </w:tcBorders>
            <w:vAlign w:val="center"/>
          </w:tcPr>
          <w:p w14:paraId="66B604FB">
            <w:pPr>
              <w:spacing w:line="240" w:lineRule="exact"/>
              <w:jc w:val="center"/>
              <w:rPr>
                <w:rFonts w:ascii="宋体" w:hAnsi="宋体"/>
                <w:b w:val="0"/>
                <w:bCs/>
                <w:spacing w:val="-4"/>
                <w:szCs w:val="21"/>
              </w:rPr>
            </w:pPr>
            <w:r>
              <w:rPr>
                <w:rFonts w:hint="eastAsia" w:ascii="宋体" w:hAnsi="宋体"/>
                <w:b w:val="0"/>
                <w:bCs/>
                <w:spacing w:val="-4"/>
                <w:szCs w:val="21"/>
              </w:rPr>
              <w:t>砖内墙出现较大裂缝</w:t>
            </w:r>
          </w:p>
        </w:tc>
        <w:tc>
          <w:tcPr>
            <w:tcW w:w="417" w:type="pct"/>
            <w:tcBorders>
              <w:top w:val="single" w:color="000000" w:sz="4" w:space="0"/>
              <w:left w:val="single" w:color="000000" w:sz="4" w:space="0"/>
              <w:bottom w:val="single" w:color="000000" w:sz="4" w:space="0"/>
              <w:right w:val="single" w:color="000000" w:sz="4" w:space="0"/>
            </w:tcBorders>
            <w:vAlign w:val="center"/>
          </w:tcPr>
          <w:p w14:paraId="2CB46042">
            <w:pPr>
              <w:spacing w:line="240" w:lineRule="exact"/>
              <w:jc w:val="center"/>
              <w:rPr>
                <w:rFonts w:ascii="宋体" w:hAnsi="宋体"/>
                <w:b w:val="0"/>
                <w:bCs/>
                <w:spacing w:val="-4"/>
                <w:szCs w:val="21"/>
              </w:rPr>
            </w:pPr>
            <w:r>
              <w:rPr>
                <w:rFonts w:hint="eastAsia" w:ascii="宋体" w:hAnsi="宋体"/>
                <w:b w:val="0"/>
                <w:bCs/>
                <w:spacing w:val="-4"/>
                <w:szCs w:val="21"/>
              </w:rPr>
              <w:t>无损坏</w:t>
            </w:r>
          </w:p>
        </w:tc>
        <w:tc>
          <w:tcPr>
            <w:tcW w:w="640" w:type="pct"/>
            <w:tcBorders>
              <w:top w:val="single" w:color="000000" w:sz="4" w:space="0"/>
              <w:left w:val="single" w:color="000000" w:sz="4" w:space="0"/>
              <w:bottom w:val="single" w:color="000000" w:sz="4" w:space="0"/>
              <w:right w:val="single" w:color="000000" w:sz="12" w:space="0"/>
            </w:tcBorders>
            <w:vAlign w:val="center"/>
          </w:tcPr>
          <w:p w14:paraId="0A938762">
            <w:pPr>
              <w:spacing w:line="240" w:lineRule="exact"/>
              <w:jc w:val="center"/>
              <w:rPr>
                <w:rFonts w:ascii="宋体" w:hAnsi="宋体"/>
                <w:b w:val="0"/>
                <w:bCs/>
                <w:spacing w:val="-4"/>
                <w:szCs w:val="21"/>
              </w:rPr>
            </w:pPr>
            <w:r>
              <w:rPr>
                <w:rFonts w:hint="eastAsia" w:ascii="宋体" w:hAnsi="宋体"/>
                <w:b w:val="0"/>
                <w:bCs/>
                <w:spacing w:val="-4"/>
                <w:szCs w:val="21"/>
              </w:rPr>
              <w:t>0.55～0.4</w:t>
            </w:r>
          </w:p>
        </w:tc>
      </w:tr>
      <w:tr w14:paraId="13ADE5B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728" w:hRule="atLeast"/>
          <w:jc w:val="center"/>
        </w:trPr>
        <w:tc>
          <w:tcPr>
            <w:tcW w:w="315" w:type="pct"/>
            <w:tcBorders>
              <w:top w:val="single" w:color="000000" w:sz="4" w:space="0"/>
              <w:left w:val="single" w:color="000000" w:sz="12" w:space="0"/>
              <w:bottom w:val="single" w:color="000000" w:sz="4" w:space="0"/>
              <w:right w:val="single" w:color="000000" w:sz="4" w:space="0"/>
            </w:tcBorders>
            <w:vAlign w:val="center"/>
          </w:tcPr>
          <w:p w14:paraId="77A03ED0">
            <w:pPr>
              <w:spacing w:line="240" w:lineRule="exact"/>
              <w:jc w:val="center"/>
              <w:rPr>
                <w:rFonts w:ascii="宋体" w:hAnsi="宋体"/>
                <w:b w:val="0"/>
                <w:bCs/>
                <w:spacing w:val="-4"/>
                <w:szCs w:val="21"/>
              </w:rPr>
            </w:pPr>
            <w:r>
              <w:rPr>
                <w:rFonts w:hint="eastAsia" w:ascii="宋体" w:hAnsi="宋体"/>
                <w:b w:val="0"/>
                <w:bCs/>
                <w:spacing w:val="-4"/>
                <w:szCs w:val="21"/>
              </w:rPr>
              <w:t>六</w:t>
            </w:r>
          </w:p>
        </w:tc>
        <w:tc>
          <w:tcPr>
            <w:tcW w:w="343" w:type="pct"/>
            <w:tcBorders>
              <w:top w:val="single" w:color="000000" w:sz="4" w:space="0"/>
              <w:left w:val="single" w:color="000000" w:sz="4" w:space="0"/>
              <w:bottom w:val="single" w:color="000000" w:sz="4" w:space="0"/>
              <w:right w:val="single" w:color="000000" w:sz="4" w:space="0"/>
            </w:tcBorders>
            <w:vAlign w:val="center"/>
          </w:tcPr>
          <w:p w14:paraId="317C319B">
            <w:pPr>
              <w:spacing w:line="240" w:lineRule="exact"/>
              <w:jc w:val="center"/>
              <w:rPr>
                <w:rFonts w:ascii="宋体" w:hAnsi="宋体"/>
                <w:b w:val="0"/>
                <w:bCs/>
                <w:spacing w:val="-4"/>
                <w:szCs w:val="21"/>
              </w:rPr>
            </w:pPr>
            <w:r>
              <w:rPr>
                <w:rFonts w:hint="eastAsia" w:ascii="宋体" w:hAnsi="宋体"/>
                <w:b w:val="0"/>
                <w:bCs/>
                <w:spacing w:val="-4"/>
                <w:szCs w:val="21"/>
              </w:rPr>
              <w:t>严重破坏</w:t>
            </w:r>
          </w:p>
        </w:tc>
        <w:tc>
          <w:tcPr>
            <w:tcW w:w="365" w:type="pct"/>
            <w:tcBorders>
              <w:top w:val="single" w:color="000000" w:sz="4" w:space="0"/>
              <w:left w:val="single" w:color="000000" w:sz="4" w:space="0"/>
              <w:bottom w:val="single" w:color="000000" w:sz="4" w:space="0"/>
              <w:right w:val="single" w:color="000000" w:sz="4" w:space="0"/>
            </w:tcBorders>
            <w:vAlign w:val="center"/>
          </w:tcPr>
          <w:p w14:paraId="18CF551B">
            <w:pPr>
              <w:spacing w:line="240" w:lineRule="exact"/>
              <w:jc w:val="center"/>
              <w:rPr>
                <w:rFonts w:ascii="宋体" w:hAnsi="宋体"/>
                <w:b w:val="0"/>
                <w:bCs/>
                <w:spacing w:val="-4"/>
                <w:szCs w:val="21"/>
              </w:rPr>
            </w:pPr>
          </w:p>
        </w:tc>
        <w:tc>
          <w:tcPr>
            <w:tcW w:w="363" w:type="pct"/>
            <w:tcBorders>
              <w:top w:val="single" w:color="000000" w:sz="4" w:space="0"/>
              <w:left w:val="single" w:color="000000" w:sz="4" w:space="0"/>
              <w:bottom w:val="single" w:color="000000" w:sz="4" w:space="0"/>
              <w:right w:val="single" w:color="000000" w:sz="4" w:space="0"/>
            </w:tcBorders>
            <w:vAlign w:val="center"/>
          </w:tcPr>
          <w:p w14:paraId="2FE453E7">
            <w:pPr>
              <w:spacing w:line="240" w:lineRule="exact"/>
              <w:jc w:val="center"/>
              <w:rPr>
                <w:rFonts w:ascii="宋体" w:hAnsi="宋体"/>
                <w:b w:val="0"/>
                <w:bCs/>
                <w:spacing w:val="-4"/>
                <w:szCs w:val="21"/>
              </w:rPr>
            </w:pPr>
          </w:p>
        </w:tc>
        <w:tc>
          <w:tcPr>
            <w:tcW w:w="584" w:type="pct"/>
            <w:tcBorders>
              <w:top w:val="single" w:color="000000" w:sz="4" w:space="0"/>
              <w:left w:val="single" w:color="000000" w:sz="4" w:space="0"/>
              <w:bottom w:val="single" w:color="000000" w:sz="4" w:space="0"/>
              <w:right w:val="single" w:color="000000" w:sz="4" w:space="0"/>
            </w:tcBorders>
            <w:vAlign w:val="center"/>
          </w:tcPr>
          <w:p w14:paraId="659F483A">
            <w:pPr>
              <w:spacing w:line="240" w:lineRule="exact"/>
              <w:jc w:val="center"/>
              <w:rPr>
                <w:rFonts w:ascii="宋体" w:hAnsi="宋体"/>
                <w:b w:val="0"/>
                <w:bCs/>
                <w:spacing w:val="-4"/>
                <w:szCs w:val="21"/>
              </w:rPr>
            </w:pPr>
            <w:r>
              <w:rPr>
                <w:rFonts w:hint="eastAsia" w:ascii="宋体" w:hAnsi="宋体"/>
                <w:b w:val="0"/>
                <w:bCs/>
                <w:spacing w:val="-4"/>
                <w:szCs w:val="21"/>
              </w:rPr>
              <w:t>部分倒塌</w:t>
            </w:r>
          </w:p>
        </w:tc>
        <w:tc>
          <w:tcPr>
            <w:tcW w:w="438" w:type="pct"/>
            <w:tcBorders>
              <w:top w:val="single" w:color="000000" w:sz="4" w:space="0"/>
              <w:left w:val="single" w:color="000000" w:sz="4" w:space="0"/>
              <w:bottom w:val="single" w:color="000000" w:sz="4" w:space="0"/>
              <w:right w:val="single" w:color="000000" w:sz="4" w:space="0"/>
            </w:tcBorders>
            <w:vAlign w:val="center"/>
          </w:tcPr>
          <w:p w14:paraId="5FDEDDA5">
            <w:pPr>
              <w:spacing w:line="240" w:lineRule="exact"/>
              <w:jc w:val="center"/>
              <w:rPr>
                <w:rFonts w:ascii="宋体" w:hAnsi="宋体"/>
                <w:b w:val="0"/>
                <w:bCs/>
                <w:spacing w:val="-4"/>
                <w:szCs w:val="21"/>
              </w:rPr>
            </w:pPr>
            <w:r>
              <w:rPr>
                <w:rFonts w:hint="eastAsia" w:ascii="宋体" w:hAnsi="宋体"/>
                <w:b w:val="0"/>
                <w:bCs/>
                <w:spacing w:val="-4"/>
                <w:szCs w:val="21"/>
              </w:rPr>
              <w:t>部分倒塌</w:t>
            </w:r>
          </w:p>
        </w:tc>
        <w:tc>
          <w:tcPr>
            <w:tcW w:w="509" w:type="pct"/>
            <w:tcBorders>
              <w:top w:val="single" w:color="000000" w:sz="4" w:space="0"/>
              <w:left w:val="single" w:color="000000" w:sz="4" w:space="0"/>
              <w:bottom w:val="single" w:color="000000" w:sz="4" w:space="0"/>
              <w:right w:val="single" w:color="000000" w:sz="4" w:space="0"/>
            </w:tcBorders>
            <w:vAlign w:val="center"/>
          </w:tcPr>
          <w:p w14:paraId="64BF7EBF">
            <w:pPr>
              <w:spacing w:line="240" w:lineRule="exact"/>
              <w:jc w:val="center"/>
              <w:rPr>
                <w:rFonts w:ascii="宋体" w:hAnsi="宋体"/>
                <w:b w:val="0"/>
                <w:bCs/>
                <w:spacing w:val="-4"/>
                <w:szCs w:val="21"/>
              </w:rPr>
            </w:pPr>
            <w:r>
              <w:rPr>
                <w:rFonts w:hint="eastAsia" w:ascii="宋体" w:hAnsi="宋体"/>
                <w:b w:val="0"/>
                <w:bCs/>
                <w:spacing w:val="-4"/>
                <w:szCs w:val="21"/>
              </w:rPr>
              <w:t>出现较宽裂缝、最大宽度＞2mm</w:t>
            </w:r>
          </w:p>
        </w:tc>
        <w:tc>
          <w:tcPr>
            <w:tcW w:w="364" w:type="pct"/>
            <w:tcBorders>
              <w:top w:val="single" w:color="000000" w:sz="4" w:space="0"/>
              <w:left w:val="single" w:color="000000" w:sz="4" w:space="0"/>
              <w:bottom w:val="single" w:color="000000" w:sz="4" w:space="0"/>
              <w:right w:val="single" w:color="000000" w:sz="4" w:space="0"/>
            </w:tcBorders>
            <w:vAlign w:val="center"/>
          </w:tcPr>
          <w:p w14:paraId="7F970493">
            <w:pPr>
              <w:spacing w:line="240" w:lineRule="exact"/>
              <w:jc w:val="center"/>
              <w:rPr>
                <w:rFonts w:ascii="宋体" w:hAnsi="宋体"/>
                <w:b w:val="0"/>
                <w:bCs/>
                <w:spacing w:val="-4"/>
                <w:szCs w:val="21"/>
              </w:rPr>
            </w:pPr>
          </w:p>
        </w:tc>
        <w:tc>
          <w:tcPr>
            <w:tcW w:w="343" w:type="pct"/>
            <w:tcBorders>
              <w:top w:val="single" w:color="000000" w:sz="4" w:space="0"/>
              <w:left w:val="single" w:color="000000" w:sz="4" w:space="0"/>
              <w:bottom w:val="single" w:color="000000" w:sz="4" w:space="0"/>
              <w:right w:val="single" w:color="000000" w:sz="4" w:space="0"/>
            </w:tcBorders>
            <w:vAlign w:val="center"/>
          </w:tcPr>
          <w:p w14:paraId="23C01BB1">
            <w:pPr>
              <w:spacing w:line="240" w:lineRule="exact"/>
              <w:jc w:val="center"/>
              <w:rPr>
                <w:rFonts w:ascii="宋体" w:hAnsi="宋体"/>
                <w:b w:val="0"/>
                <w:bCs/>
                <w:spacing w:val="-4"/>
                <w:szCs w:val="21"/>
              </w:rPr>
            </w:pPr>
          </w:p>
        </w:tc>
        <w:tc>
          <w:tcPr>
            <w:tcW w:w="312" w:type="pct"/>
            <w:tcBorders>
              <w:top w:val="single" w:color="000000" w:sz="4" w:space="0"/>
              <w:left w:val="single" w:color="000000" w:sz="4" w:space="0"/>
              <w:bottom w:val="single" w:color="000000" w:sz="4" w:space="0"/>
              <w:right w:val="single" w:color="000000" w:sz="4" w:space="0"/>
            </w:tcBorders>
            <w:vAlign w:val="center"/>
          </w:tcPr>
          <w:p w14:paraId="2590A5E0">
            <w:pPr>
              <w:spacing w:line="240" w:lineRule="exact"/>
              <w:jc w:val="center"/>
              <w:rPr>
                <w:rFonts w:ascii="宋体" w:hAnsi="宋体"/>
                <w:b w:val="0"/>
                <w:bCs/>
                <w:spacing w:val="-4"/>
                <w:szCs w:val="21"/>
              </w:rPr>
            </w:pPr>
            <w:r>
              <w:rPr>
                <w:rFonts w:hint="eastAsia" w:ascii="宋体" w:hAnsi="宋体"/>
                <w:b w:val="0"/>
                <w:bCs/>
                <w:spacing w:val="-4"/>
                <w:szCs w:val="21"/>
              </w:rPr>
              <w:t>砖内墙出现严重裂缝到部分倒塌</w:t>
            </w:r>
          </w:p>
        </w:tc>
        <w:tc>
          <w:tcPr>
            <w:tcW w:w="417" w:type="pct"/>
            <w:tcBorders>
              <w:top w:val="single" w:color="000000" w:sz="4" w:space="0"/>
              <w:left w:val="single" w:color="000000" w:sz="4" w:space="0"/>
              <w:bottom w:val="single" w:color="000000" w:sz="4" w:space="0"/>
              <w:right w:val="single" w:color="000000" w:sz="4" w:space="0"/>
            </w:tcBorders>
            <w:vAlign w:val="center"/>
          </w:tcPr>
          <w:p w14:paraId="399B2E2F">
            <w:pPr>
              <w:spacing w:line="240" w:lineRule="exact"/>
              <w:jc w:val="center"/>
              <w:rPr>
                <w:rFonts w:ascii="宋体" w:hAnsi="宋体"/>
                <w:b w:val="0"/>
                <w:bCs/>
                <w:spacing w:val="-4"/>
                <w:szCs w:val="21"/>
              </w:rPr>
            </w:pPr>
            <w:r>
              <w:rPr>
                <w:rFonts w:hint="eastAsia" w:ascii="宋体" w:hAnsi="宋体"/>
                <w:b w:val="0"/>
                <w:bCs/>
                <w:spacing w:val="-4"/>
                <w:szCs w:val="21"/>
              </w:rPr>
              <w:t>有倾斜</w:t>
            </w:r>
          </w:p>
        </w:tc>
        <w:tc>
          <w:tcPr>
            <w:tcW w:w="640" w:type="pct"/>
            <w:tcBorders>
              <w:top w:val="single" w:color="000000" w:sz="4" w:space="0"/>
              <w:left w:val="single" w:color="000000" w:sz="4" w:space="0"/>
              <w:bottom w:val="single" w:color="000000" w:sz="4" w:space="0"/>
              <w:right w:val="single" w:color="000000" w:sz="12" w:space="0"/>
            </w:tcBorders>
            <w:vAlign w:val="center"/>
          </w:tcPr>
          <w:p w14:paraId="219F2C8D">
            <w:pPr>
              <w:spacing w:line="240" w:lineRule="exact"/>
              <w:jc w:val="center"/>
              <w:rPr>
                <w:rFonts w:ascii="宋体" w:hAnsi="宋体"/>
                <w:b w:val="0"/>
                <w:bCs/>
                <w:spacing w:val="-4"/>
                <w:szCs w:val="21"/>
              </w:rPr>
            </w:pPr>
            <w:r>
              <w:rPr>
                <w:rFonts w:hint="eastAsia" w:ascii="宋体" w:hAnsi="宋体"/>
                <w:b w:val="0"/>
                <w:bCs/>
                <w:spacing w:val="-4"/>
                <w:szCs w:val="21"/>
              </w:rPr>
              <w:t>0.76～0.55</w:t>
            </w:r>
          </w:p>
        </w:tc>
      </w:tr>
      <w:tr w14:paraId="5CE489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759" w:hRule="atLeast"/>
          <w:jc w:val="center"/>
        </w:trPr>
        <w:tc>
          <w:tcPr>
            <w:tcW w:w="315" w:type="pct"/>
            <w:tcBorders>
              <w:top w:val="single" w:color="000000" w:sz="4" w:space="0"/>
              <w:left w:val="single" w:color="000000" w:sz="12" w:space="0"/>
              <w:bottom w:val="single" w:color="000000" w:sz="12" w:space="0"/>
              <w:right w:val="single" w:color="000000" w:sz="4" w:space="0"/>
            </w:tcBorders>
            <w:vAlign w:val="center"/>
          </w:tcPr>
          <w:p w14:paraId="04D3682B">
            <w:pPr>
              <w:spacing w:line="240" w:lineRule="exact"/>
              <w:jc w:val="center"/>
              <w:rPr>
                <w:rFonts w:ascii="宋体" w:hAnsi="宋体"/>
                <w:b w:val="0"/>
                <w:bCs/>
                <w:spacing w:val="-4"/>
                <w:szCs w:val="21"/>
              </w:rPr>
            </w:pPr>
            <w:r>
              <w:rPr>
                <w:rFonts w:hint="eastAsia" w:ascii="宋体" w:hAnsi="宋体"/>
                <w:b w:val="0"/>
                <w:bCs/>
                <w:spacing w:val="-4"/>
                <w:szCs w:val="21"/>
              </w:rPr>
              <w:t>七</w:t>
            </w:r>
          </w:p>
        </w:tc>
        <w:tc>
          <w:tcPr>
            <w:tcW w:w="343" w:type="pct"/>
            <w:tcBorders>
              <w:top w:val="single" w:color="000000" w:sz="4" w:space="0"/>
              <w:left w:val="single" w:color="000000" w:sz="4" w:space="0"/>
              <w:bottom w:val="single" w:color="000000" w:sz="12" w:space="0"/>
              <w:right w:val="single" w:color="000000" w:sz="4" w:space="0"/>
            </w:tcBorders>
            <w:vAlign w:val="center"/>
          </w:tcPr>
          <w:p w14:paraId="0372ADB0">
            <w:pPr>
              <w:spacing w:line="240" w:lineRule="exact"/>
              <w:jc w:val="center"/>
              <w:rPr>
                <w:rFonts w:ascii="宋体" w:hAnsi="宋体"/>
                <w:b w:val="0"/>
                <w:bCs/>
                <w:spacing w:val="-4"/>
                <w:szCs w:val="21"/>
              </w:rPr>
            </w:pPr>
            <w:r>
              <w:rPr>
                <w:rFonts w:hint="eastAsia" w:ascii="宋体" w:hAnsi="宋体"/>
                <w:b w:val="0"/>
                <w:bCs/>
                <w:spacing w:val="-4"/>
                <w:szCs w:val="21"/>
              </w:rPr>
              <w:t>破坏完全</w:t>
            </w:r>
          </w:p>
        </w:tc>
        <w:tc>
          <w:tcPr>
            <w:tcW w:w="365" w:type="pct"/>
            <w:tcBorders>
              <w:top w:val="single" w:color="000000" w:sz="4" w:space="0"/>
              <w:left w:val="single" w:color="000000" w:sz="4" w:space="0"/>
              <w:bottom w:val="single" w:color="000000" w:sz="12" w:space="0"/>
              <w:right w:val="single" w:color="000000" w:sz="4" w:space="0"/>
            </w:tcBorders>
            <w:vAlign w:val="center"/>
          </w:tcPr>
          <w:p w14:paraId="5106807E">
            <w:pPr>
              <w:spacing w:line="240" w:lineRule="exact"/>
              <w:jc w:val="center"/>
              <w:rPr>
                <w:rFonts w:ascii="宋体" w:hAnsi="宋体"/>
                <w:b w:val="0"/>
                <w:bCs/>
                <w:spacing w:val="-4"/>
                <w:szCs w:val="21"/>
              </w:rPr>
            </w:pPr>
          </w:p>
        </w:tc>
        <w:tc>
          <w:tcPr>
            <w:tcW w:w="363" w:type="pct"/>
            <w:tcBorders>
              <w:top w:val="single" w:color="000000" w:sz="4" w:space="0"/>
              <w:left w:val="single" w:color="000000" w:sz="4" w:space="0"/>
              <w:bottom w:val="single" w:color="000000" w:sz="12" w:space="0"/>
              <w:right w:val="single" w:color="000000" w:sz="4" w:space="0"/>
            </w:tcBorders>
            <w:vAlign w:val="center"/>
          </w:tcPr>
          <w:p w14:paraId="165AB9C9">
            <w:pPr>
              <w:spacing w:line="240" w:lineRule="exact"/>
              <w:jc w:val="center"/>
              <w:rPr>
                <w:rFonts w:ascii="宋体" w:hAnsi="宋体"/>
                <w:b w:val="0"/>
                <w:bCs/>
                <w:spacing w:val="-4"/>
                <w:szCs w:val="21"/>
              </w:rPr>
            </w:pPr>
          </w:p>
        </w:tc>
        <w:tc>
          <w:tcPr>
            <w:tcW w:w="584" w:type="pct"/>
            <w:tcBorders>
              <w:top w:val="single" w:color="000000" w:sz="4" w:space="0"/>
              <w:left w:val="single" w:color="000000" w:sz="4" w:space="0"/>
              <w:bottom w:val="single" w:color="000000" w:sz="12" w:space="0"/>
              <w:right w:val="single" w:color="000000" w:sz="4" w:space="0"/>
            </w:tcBorders>
            <w:vAlign w:val="center"/>
          </w:tcPr>
          <w:p w14:paraId="26B03651">
            <w:pPr>
              <w:spacing w:line="240" w:lineRule="exact"/>
              <w:jc w:val="center"/>
              <w:rPr>
                <w:rFonts w:ascii="宋体" w:hAnsi="宋体"/>
                <w:b w:val="0"/>
                <w:bCs/>
                <w:spacing w:val="-4"/>
                <w:szCs w:val="21"/>
              </w:rPr>
            </w:pPr>
            <w:r>
              <w:rPr>
                <w:rFonts w:hint="eastAsia" w:ascii="宋体" w:hAnsi="宋体"/>
                <w:b w:val="0"/>
                <w:bCs/>
                <w:spacing w:val="-4"/>
                <w:szCs w:val="21"/>
              </w:rPr>
              <w:t>大部分或整个倒塌</w:t>
            </w:r>
          </w:p>
        </w:tc>
        <w:tc>
          <w:tcPr>
            <w:tcW w:w="438" w:type="pct"/>
            <w:tcBorders>
              <w:top w:val="single" w:color="000000" w:sz="4" w:space="0"/>
              <w:left w:val="single" w:color="000000" w:sz="4" w:space="0"/>
              <w:bottom w:val="single" w:color="000000" w:sz="12" w:space="0"/>
              <w:right w:val="single" w:color="000000" w:sz="4" w:space="0"/>
            </w:tcBorders>
            <w:vAlign w:val="center"/>
          </w:tcPr>
          <w:p w14:paraId="31B88A1E">
            <w:pPr>
              <w:spacing w:line="240" w:lineRule="exact"/>
              <w:jc w:val="center"/>
              <w:rPr>
                <w:rFonts w:ascii="宋体" w:hAnsi="宋体"/>
                <w:b w:val="0"/>
                <w:bCs/>
                <w:spacing w:val="-4"/>
                <w:szCs w:val="21"/>
              </w:rPr>
            </w:pPr>
            <w:r>
              <w:rPr>
                <w:rFonts w:hint="eastAsia" w:ascii="宋体" w:hAnsi="宋体"/>
                <w:b w:val="0"/>
                <w:bCs/>
                <w:spacing w:val="-4"/>
                <w:szCs w:val="21"/>
              </w:rPr>
              <w:t>整个倒塌</w:t>
            </w:r>
          </w:p>
        </w:tc>
        <w:tc>
          <w:tcPr>
            <w:tcW w:w="509" w:type="pct"/>
            <w:tcBorders>
              <w:top w:val="single" w:color="000000" w:sz="4" w:space="0"/>
              <w:left w:val="single" w:color="000000" w:sz="4" w:space="0"/>
              <w:bottom w:val="single" w:color="000000" w:sz="12" w:space="0"/>
              <w:right w:val="single" w:color="000000" w:sz="4" w:space="0"/>
            </w:tcBorders>
            <w:vAlign w:val="center"/>
          </w:tcPr>
          <w:p w14:paraId="5742CE33">
            <w:pPr>
              <w:spacing w:line="240" w:lineRule="exact"/>
              <w:jc w:val="center"/>
              <w:rPr>
                <w:rFonts w:ascii="宋体" w:hAnsi="宋体"/>
                <w:b w:val="0"/>
                <w:bCs/>
                <w:spacing w:val="-4"/>
                <w:szCs w:val="21"/>
              </w:rPr>
            </w:pPr>
            <w:r>
              <w:rPr>
                <w:rFonts w:hint="eastAsia" w:ascii="宋体" w:hAnsi="宋体"/>
                <w:b w:val="0"/>
                <w:bCs/>
                <w:spacing w:val="-4"/>
                <w:szCs w:val="21"/>
              </w:rPr>
              <w:t>砖墙承重的，大部分倒塌；钢混凝土柱的，严重破坏</w:t>
            </w:r>
          </w:p>
        </w:tc>
        <w:tc>
          <w:tcPr>
            <w:tcW w:w="364" w:type="pct"/>
            <w:tcBorders>
              <w:top w:val="single" w:color="000000" w:sz="4" w:space="0"/>
              <w:left w:val="single" w:color="000000" w:sz="4" w:space="0"/>
              <w:bottom w:val="single" w:color="000000" w:sz="12" w:space="0"/>
              <w:right w:val="single" w:color="000000" w:sz="4" w:space="0"/>
            </w:tcBorders>
            <w:vAlign w:val="center"/>
          </w:tcPr>
          <w:p w14:paraId="28C882EB">
            <w:pPr>
              <w:spacing w:line="240" w:lineRule="exact"/>
              <w:jc w:val="center"/>
              <w:rPr>
                <w:rFonts w:ascii="宋体" w:hAnsi="宋体"/>
                <w:b w:val="0"/>
                <w:bCs/>
                <w:spacing w:val="-4"/>
                <w:szCs w:val="21"/>
              </w:rPr>
            </w:pPr>
          </w:p>
        </w:tc>
        <w:tc>
          <w:tcPr>
            <w:tcW w:w="343" w:type="pct"/>
            <w:tcBorders>
              <w:top w:val="single" w:color="000000" w:sz="4" w:space="0"/>
              <w:left w:val="single" w:color="000000" w:sz="4" w:space="0"/>
              <w:bottom w:val="single" w:color="000000" w:sz="12" w:space="0"/>
              <w:right w:val="single" w:color="000000" w:sz="4" w:space="0"/>
            </w:tcBorders>
            <w:vAlign w:val="center"/>
          </w:tcPr>
          <w:p w14:paraId="7F740C72">
            <w:pPr>
              <w:spacing w:line="240" w:lineRule="exact"/>
              <w:jc w:val="center"/>
              <w:rPr>
                <w:rFonts w:ascii="宋体" w:hAnsi="宋体"/>
                <w:b w:val="0"/>
                <w:bCs/>
                <w:spacing w:val="-4"/>
                <w:szCs w:val="21"/>
              </w:rPr>
            </w:pPr>
          </w:p>
        </w:tc>
        <w:tc>
          <w:tcPr>
            <w:tcW w:w="312" w:type="pct"/>
            <w:tcBorders>
              <w:top w:val="single" w:color="000000" w:sz="4" w:space="0"/>
              <w:left w:val="single" w:color="000000" w:sz="4" w:space="0"/>
              <w:bottom w:val="single" w:color="000000" w:sz="12" w:space="0"/>
              <w:right w:val="single" w:color="000000" w:sz="4" w:space="0"/>
            </w:tcBorders>
            <w:vAlign w:val="center"/>
          </w:tcPr>
          <w:p w14:paraId="7CA487CA">
            <w:pPr>
              <w:spacing w:line="240" w:lineRule="exact"/>
              <w:jc w:val="center"/>
              <w:rPr>
                <w:rFonts w:ascii="宋体" w:hAnsi="宋体"/>
                <w:b w:val="0"/>
                <w:bCs/>
                <w:spacing w:val="-4"/>
                <w:szCs w:val="21"/>
              </w:rPr>
            </w:pPr>
            <w:r>
              <w:rPr>
                <w:rFonts w:hint="eastAsia" w:ascii="宋体" w:hAnsi="宋体"/>
                <w:b w:val="0"/>
                <w:bCs/>
                <w:spacing w:val="-4"/>
                <w:szCs w:val="21"/>
              </w:rPr>
              <w:t>大部分倒塌</w:t>
            </w:r>
          </w:p>
        </w:tc>
        <w:tc>
          <w:tcPr>
            <w:tcW w:w="417" w:type="pct"/>
            <w:tcBorders>
              <w:top w:val="single" w:color="000000" w:sz="4" w:space="0"/>
              <w:left w:val="single" w:color="000000" w:sz="4" w:space="0"/>
              <w:bottom w:val="single" w:color="000000" w:sz="12" w:space="0"/>
              <w:right w:val="single" w:color="000000" w:sz="4" w:space="0"/>
            </w:tcBorders>
            <w:vAlign w:val="center"/>
          </w:tcPr>
          <w:p w14:paraId="3AD493F2">
            <w:pPr>
              <w:spacing w:line="240" w:lineRule="exact"/>
              <w:jc w:val="center"/>
              <w:rPr>
                <w:rFonts w:ascii="宋体" w:hAnsi="宋体"/>
                <w:b w:val="0"/>
                <w:bCs/>
                <w:spacing w:val="-4"/>
                <w:szCs w:val="21"/>
              </w:rPr>
            </w:pPr>
            <w:r>
              <w:rPr>
                <w:rFonts w:hint="eastAsia" w:ascii="宋体" w:hAnsi="宋体"/>
                <w:b w:val="0"/>
                <w:bCs/>
                <w:spacing w:val="-4"/>
                <w:szCs w:val="21"/>
              </w:rPr>
              <w:t>有较大倾斜</w:t>
            </w:r>
          </w:p>
        </w:tc>
        <w:tc>
          <w:tcPr>
            <w:tcW w:w="640" w:type="pct"/>
            <w:tcBorders>
              <w:top w:val="single" w:color="000000" w:sz="4" w:space="0"/>
              <w:left w:val="single" w:color="000000" w:sz="4" w:space="0"/>
              <w:bottom w:val="single" w:color="000000" w:sz="12" w:space="0"/>
              <w:right w:val="single" w:color="000000" w:sz="12" w:space="0"/>
            </w:tcBorders>
            <w:vAlign w:val="center"/>
          </w:tcPr>
          <w:p w14:paraId="66638625">
            <w:pPr>
              <w:spacing w:line="240" w:lineRule="exact"/>
              <w:jc w:val="center"/>
              <w:rPr>
                <w:rFonts w:ascii="宋体" w:hAnsi="宋体"/>
                <w:b w:val="0"/>
                <w:bCs/>
                <w:spacing w:val="-4"/>
                <w:szCs w:val="21"/>
              </w:rPr>
            </w:pPr>
            <w:r>
              <w:rPr>
                <w:rFonts w:hint="eastAsia" w:ascii="宋体" w:hAnsi="宋体"/>
                <w:b w:val="0"/>
                <w:bCs/>
                <w:szCs w:val="21"/>
              </w:rPr>
              <w:t>＞</w:t>
            </w:r>
            <w:r>
              <w:rPr>
                <w:rFonts w:hint="eastAsia" w:ascii="宋体" w:hAnsi="宋体"/>
                <w:b w:val="0"/>
                <w:bCs/>
                <w:spacing w:val="-4"/>
                <w:szCs w:val="21"/>
              </w:rPr>
              <w:t>0.76</w:t>
            </w:r>
          </w:p>
        </w:tc>
      </w:tr>
    </w:tbl>
    <w:p w14:paraId="20ACC14A">
      <w:pPr>
        <w:rPr>
          <w:rFonts w:ascii="宋体" w:hAnsi="宋体" w:cs="宋体"/>
          <w:b w:val="0"/>
          <w:bCs/>
          <w:sz w:val="28"/>
          <w:szCs w:val="28"/>
        </w:rPr>
      </w:pPr>
    </w:p>
    <w:p w14:paraId="36CABAAD">
      <w:pPr>
        <w:rPr>
          <w:rFonts w:ascii="宋体" w:hAnsi="宋体" w:cs="宋体"/>
          <w:b w:val="0"/>
          <w:bCs/>
          <w:sz w:val="28"/>
          <w:szCs w:val="28"/>
        </w:rPr>
      </w:pPr>
      <w:r>
        <w:rPr>
          <w:rFonts w:hint="eastAsia" w:ascii="宋体" w:hAnsi="宋体" w:cs="宋体"/>
          <w:b w:val="0"/>
          <w:bCs/>
          <w:sz w:val="28"/>
          <w:szCs w:val="28"/>
        </w:rPr>
        <w:t>2.冲击波超压计算</w:t>
      </w:r>
    </w:p>
    <w:p w14:paraId="43FDD3B9">
      <w:pPr>
        <w:tabs>
          <w:tab w:val="left" w:pos="993"/>
        </w:tabs>
        <w:wordWrap w:val="0"/>
        <w:spacing w:line="360" w:lineRule="auto"/>
        <w:ind w:firstLine="560" w:firstLineChars="200"/>
        <w:rPr>
          <w:rFonts w:ascii="宋体" w:hAnsi="宋体" w:cs="宋体"/>
          <w:b w:val="0"/>
          <w:bCs/>
          <w:sz w:val="28"/>
          <w:szCs w:val="28"/>
        </w:rPr>
      </w:pPr>
      <w:r>
        <w:rPr>
          <w:rFonts w:hint="eastAsia" w:ascii="宋体" w:hAnsi="宋体" w:cs="宋体"/>
          <w:b w:val="0"/>
          <w:bCs/>
          <w:sz w:val="28"/>
          <w:szCs w:val="28"/>
        </w:rPr>
        <w:t>（1）对于有防护土堤的水泥硬地面危险建筑物，一旦其中的危险品发生爆炸事故，其冲击波峰值超压值用下式计算：</w:t>
      </w:r>
    </w:p>
    <w:p w14:paraId="314C9EE3">
      <w:pPr>
        <w:wordWrap w:val="0"/>
        <w:spacing w:line="360" w:lineRule="auto"/>
        <w:ind w:firstLine="560" w:firstLineChars="200"/>
        <w:jc w:val="center"/>
        <w:rPr>
          <w:rFonts w:ascii="宋体" w:hAnsi="宋体" w:cs="宋体"/>
          <w:b w:val="0"/>
          <w:bCs/>
          <w:sz w:val="28"/>
          <w:szCs w:val="28"/>
        </w:rPr>
      </w:pPr>
      <w:r>
        <w:rPr>
          <w:rFonts w:hint="eastAsia" w:ascii="宋体" w:hAnsi="宋体" w:cs="宋体"/>
          <w:b w:val="0"/>
          <w:bCs/>
          <w:sz w:val="28"/>
          <w:szCs w:val="28"/>
          <w:lang w:bidi="en-US"/>
        </w:rPr>
        <w:t xml:space="preserve">    △P</w:t>
      </w:r>
      <w:r>
        <w:rPr>
          <w:rFonts w:hint="eastAsia" w:ascii="宋体" w:hAnsi="宋体" w:cs="宋体"/>
          <w:b w:val="0"/>
          <w:bCs/>
          <w:sz w:val="28"/>
          <w:szCs w:val="28"/>
          <w:vertAlign w:val="subscript"/>
          <w:lang w:bidi="en-US"/>
        </w:rPr>
        <w:t>土堤</w:t>
      </w:r>
      <w:r>
        <w:rPr>
          <w:rFonts w:hint="eastAsia" w:ascii="宋体" w:hAnsi="宋体" w:cs="宋体"/>
          <w:b w:val="0"/>
          <w:bCs/>
          <w:sz w:val="28"/>
          <w:szCs w:val="28"/>
          <w:lang w:bidi="en-US"/>
        </w:rPr>
        <w:t>= 0.23/R+7.73/R</w:t>
      </w:r>
      <w:r>
        <w:rPr>
          <w:rFonts w:hint="eastAsia" w:ascii="宋体" w:hAnsi="宋体" w:cs="宋体"/>
          <w:b w:val="0"/>
          <w:bCs/>
          <w:sz w:val="28"/>
          <w:szCs w:val="28"/>
          <w:vertAlign w:val="superscript"/>
          <w:lang w:bidi="en-US"/>
        </w:rPr>
        <w:t>2</w:t>
      </w:r>
      <w:r>
        <w:rPr>
          <w:rFonts w:hint="eastAsia" w:ascii="宋体" w:hAnsi="宋体" w:cs="宋体"/>
          <w:b w:val="0"/>
          <w:bCs/>
          <w:sz w:val="28"/>
          <w:szCs w:val="28"/>
          <w:lang w:bidi="en-US"/>
        </w:rPr>
        <w:t>+6.81/R</w:t>
      </w:r>
      <w:r>
        <w:rPr>
          <w:rFonts w:hint="eastAsia" w:ascii="宋体" w:hAnsi="宋体" w:cs="宋体"/>
          <w:b w:val="0"/>
          <w:bCs/>
          <w:sz w:val="28"/>
          <w:szCs w:val="28"/>
          <w:vertAlign w:val="superscript"/>
          <w:lang w:bidi="en-US"/>
        </w:rPr>
        <w:t>3    （</w:t>
      </w:r>
      <w:r>
        <w:rPr>
          <w:rFonts w:hint="eastAsia" w:ascii="宋体" w:hAnsi="宋体" w:cs="宋体"/>
          <w:b w:val="0"/>
          <w:bCs/>
          <w:sz w:val="28"/>
          <w:szCs w:val="28"/>
        </w:rPr>
        <w:t>适用范围：3≤R≤18)………①</w:t>
      </w:r>
    </w:p>
    <w:p w14:paraId="2325BB42">
      <w:pPr>
        <w:tabs>
          <w:tab w:val="left" w:pos="993"/>
        </w:tabs>
        <w:wordWrap w:val="0"/>
        <w:spacing w:line="360" w:lineRule="auto"/>
        <w:ind w:firstLine="560" w:firstLineChars="200"/>
        <w:rPr>
          <w:rFonts w:ascii="宋体" w:hAnsi="宋体" w:cs="宋体"/>
          <w:b w:val="0"/>
          <w:bCs/>
          <w:sz w:val="28"/>
          <w:szCs w:val="28"/>
        </w:rPr>
      </w:pPr>
      <w:r>
        <w:rPr>
          <w:rFonts w:hint="eastAsia" w:ascii="宋体" w:hAnsi="宋体" w:cs="宋体"/>
          <w:b w:val="0"/>
          <w:bCs/>
          <w:sz w:val="28"/>
          <w:szCs w:val="28"/>
        </w:rPr>
        <w:t>（2）在平坦地形条件下，一旦其中的危险品发生爆炸事故，冲击波峰值超压值用下式计算:</w:t>
      </w:r>
    </w:p>
    <w:p w14:paraId="4216A7FE">
      <w:pPr>
        <w:tabs>
          <w:tab w:val="left" w:pos="993"/>
        </w:tabs>
        <w:wordWrap w:val="0"/>
        <w:spacing w:line="360" w:lineRule="auto"/>
        <w:ind w:firstLine="560" w:firstLineChars="200"/>
        <w:jc w:val="center"/>
        <w:rPr>
          <w:rFonts w:ascii="宋体" w:hAnsi="宋体" w:cs="宋体"/>
          <w:b w:val="0"/>
          <w:bCs/>
          <w:sz w:val="28"/>
          <w:szCs w:val="28"/>
        </w:rPr>
      </w:pPr>
      <w:r>
        <w:rPr>
          <w:rFonts w:hint="eastAsia" w:ascii="宋体" w:hAnsi="宋体" w:cs="宋体"/>
          <w:b w:val="0"/>
          <w:bCs/>
          <w:sz w:val="28"/>
          <w:szCs w:val="28"/>
        </w:rPr>
        <w:t xml:space="preserve">   △P</w:t>
      </w:r>
      <w:r>
        <w:rPr>
          <w:rFonts w:hint="eastAsia" w:ascii="宋体" w:hAnsi="宋体" w:cs="宋体"/>
          <w:b w:val="0"/>
          <w:bCs/>
          <w:sz w:val="28"/>
          <w:szCs w:val="28"/>
          <w:vertAlign w:val="subscript"/>
        </w:rPr>
        <w:t>地面</w:t>
      </w:r>
      <w:r>
        <w:rPr>
          <w:rFonts w:hint="eastAsia" w:ascii="宋体" w:hAnsi="宋体" w:cs="宋体"/>
          <w:b w:val="0"/>
          <w:bCs/>
          <w:sz w:val="28"/>
          <w:szCs w:val="28"/>
        </w:rPr>
        <w:t xml:space="preserve"> = 1.06/R+4.3/R</w:t>
      </w:r>
      <w:r>
        <w:rPr>
          <w:rFonts w:hint="eastAsia" w:ascii="宋体" w:hAnsi="宋体" w:cs="宋体"/>
          <w:b w:val="0"/>
          <w:bCs/>
          <w:sz w:val="28"/>
          <w:szCs w:val="28"/>
          <w:vertAlign w:val="superscript"/>
        </w:rPr>
        <w:t>2</w:t>
      </w:r>
      <w:r>
        <w:rPr>
          <w:rFonts w:hint="eastAsia" w:ascii="宋体" w:hAnsi="宋体" w:cs="宋体"/>
          <w:b w:val="0"/>
          <w:bCs/>
          <w:sz w:val="28"/>
          <w:szCs w:val="28"/>
        </w:rPr>
        <w:t>+14.0/R</w:t>
      </w:r>
      <w:r>
        <w:rPr>
          <w:rFonts w:hint="eastAsia" w:ascii="宋体" w:hAnsi="宋体" w:cs="宋体"/>
          <w:b w:val="0"/>
          <w:bCs/>
          <w:sz w:val="28"/>
          <w:szCs w:val="28"/>
          <w:vertAlign w:val="superscript"/>
        </w:rPr>
        <w:t xml:space="preserve">3  </w:t>
      </w:r>
      <w:r>
        <w:rPr>
          <w:rFonts w:hint="eastAsia" w:ascii="宋体" w:hAnsi="宋体" w:cs="宋体"/>
          <w:b w:val="0"/>
          <w:bCs/>
          <w:sz w:val="28"/>
          <w:szCs w:val="28"/>
        </w:rPr>
        <w:t>(适用范围：1≤R≤15) ………②</w:t>
      </w:r>
    </w:p>
    <w:p w14:paraId="7A515381">
      <w:pPr>
        <w:wordWrap w:val="0"/>
        <w:spacing w:line="360" w:lineRule="auto"/>
        <w:ind w:firstLine="560" w:firstLineChars="200"/>
        <w:rPr>
          <w:rFonts w:ascii="宋体" w:hAnsi="宋体" w:cs="宋体"/>
          <w:b w:val="0"/>
          <w:bCs/>
          <w:sz w:val="28"/>
          <w:szCs w:val="28"/>
        </w:rPr>
      </w:pPr>
      <w:r>
        <w:rPr>
          <w:rFonts w:hint="eastAsia" w:ascii="宋体" w:hAnsi="宋体" w:cs="宋体"/>
          <w:b w:val="0"/>
          <w:bCs/>
          <w:sz w:val="28"/>
          <w:szCs w:val="28"/>
        </w:rPr>
        <w:t>式中：ΔP— 冲击波峰值超压，是峰值压力与环境大气压力之差即</w:t>
      </w:r>
    </w:p>
    <w:p w14:paraId="6BF2FAD1">
      <w:pPr>
        <w:wordWrap w:val="0"/>
        <w:spacing w:line="360" w:lineRule="auto"/>
        <w:ind w:firstLine="560" w:firstLineChars="200"/>
        <w:rPr>
          <w:rFonts w:ascii="宋体" w:hAnsi="宋体" w:cs="宋体"/>
          <w:b w:val="0"/>
          <w:bCs/>
          <w:sz w:val="28"/>
          <w:szCs w:val="28"/>
        </w:rPr>
      </w:pPr>
      <w:r>
        <w:rPr>
          <w:rFonts w:hint="eastAsia" w:ascii="宋体" w:hAnsi="宋体" w:cs="宋体"/>
          <w:b w:val="0"/>
          <w:bCs/>
          <w:sz w:val="28"/>
          <w:szCs w:val="28"/>
        </w:rPr>
        <w:t>ΔP = PS-P0，(ΔP/10</w:t>
      </w:r>
      <w:r>
        <w:rPr>
          <w:rFonts w:hint="eastAsia" w:ascii="宋体" w:hAnsi="宋体" w:cs="宋体"/>
          <w:b w:val="0"/>
          <w:bCs/>
          <w:sz w:val="28"/>
          <w:szCs w:val="28"/>
          <w:vertAlign w:val="superscript"/>
        </w:rPr>
        <w:t>5</w:t>
      </w:r>
      <w:r>
        <w:rPr>
          <w:rFonts w:hint="eastAsia" w:ascii="宋体" w:hAnsi="宋体" w:cs="宋体"/>
          <w:b w:val="0"/>
          <w:bCs/>
          <w:sz w:val="28"/>
          <w:szCs w:val="28"/>
        </w:rPr>
        <w:t xml:space="preserve">Pa) </w:t>
      </w:r>
    </w:p>
    <w:p w14:paraId="2BCF8022">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R—对比距离，是距爆炸中心的距离r与爆炸药量W的立方根之比，即R = r/W</w:t>
      </w:r>
      <w:r>
        <w:rPr>
          <w:rFonts w:hint="eastAsia" w:ascii="宋体" w:hAnsi="宋体" w:cs="宋体"/>
          <w:b w:val="0"/>
          <w:bCs/>
          <w:sz w:val="28"/>
          <w:szCs w:val="28"/>
          <w:vertAlign w:val="superscript"/>
        </w:rPr>
        <w:t>1/3</w:t>
      </w:r>
      <w:r>
        <w:rPr>
          <w:rFonts w:hint="eastAsia" w:ascii="宋体" w:hAnsi="宋体" w:cs="宋体"/>
          <w:b w:val="0"/>
          <w:bCs/>
          <w:sz w:val="28"/>
          <w:szCs w:val="28"/>
        </w:rPr>
        <w:t>，（m/kg） …………③</w:t>
      </w:r>
    </w:p>
    <w:p w14:paraId="60D6B272">
      <w:pPr>
        <w:wordWrap w:val="0"/>
        <w:spacing w:line="360" w:lineRule="auto"/>
        <w:ind w:firstLine="560" w:firstLineChars="200"/>
        <w:rPr>
          <w:rFonts w:ascii="宋体" w:hAnsi="宋体" w:cs="宋体"/>
          <w:b w:val="0"/>
          <w:bCs/>
          <w:sz w:val="28"/>
          <w:szCs w:val="28"/>
        </w:rPr>
      </w:pPr>
      <w:r>
        <w:rPr>
          <w:rFonts w:hint="eastAsia" w:ascii="宋体" w:hAnsi="宋体" w:cs="宋体"/>
          <w:b w:val="0"/>
          <w:bCs/>
          <w:sz w:val="28"/>
          <w:szCs w:val="28"/>
        </w:rPr>
        <w:t>由公式③可得：r=RW</w:t>
      </w:r>
      <w:r>
        <w:rPr>
          <w:rFonts w:hint="eastAsia" w:ascii="宋体" w:hAnsi="宋体" w:cs="宋体"/>
          <w:b w:val="0"/>
          <w:bCs/>
          <w:sz w:val="28"/>
          <w:szCs w:val="28"/>
          <w:vertAlign w:val="superscript"/>
        </w:rPr>
        <w:t>1/3</w:t>
      </w:r>
      <w:r>
        <w:rPr>
          <w:rFonts w:hint="eastAsia" w:ascii="宋体" w:hAnsi="宋体" w:cs="宋体"/>
          <w:b w:val="0"/>
          <w:bCs/>
          <w:sz w:val="28"/>
          <w:szCs w:val="28"/>
        </w:rPr>
        <w:t>(m) …………④</w:t>
      </w:r>
    </w:p>
    <w:p w14:paraId="00B288FC">
      <w:pPr>
        <w:wordWrap w:val="0"/>
        <w:spacing w:line="360" w:lineRule="auto"/>
        <w:ind w:firstLine="560" w:firstLineChars="200"/>
        <w:rPr>
          <w:rFonts w:ascii="宋体" w:hAnsi="宋体" w:cs="宋体"/>
          <w:b w:val="0"/>
          <w:bCs/>
          <w:sz w:val="28"/>
          <w:szCs w:val="28"/>
        </w:rPr>
      </w:pPr>
      <w:r>
        <w:rPr>
          <w:rFonts w:hint="eastAsia" w:ascii="宋体" w:hAnsi="宋体" w:cs="宋体"/>
          <w:b w:val="0"/>
          <w:bCs/>
          <w:sz w:val="28"/>
          <w:szCs w:val="28"/>
        </w:rPr>
        <w:t>需要指出的是，本报告选取限制存药量作为计算药量，如果假定发生爆炸的工库房有防护土堤或天然屏障，防护土堤或天然屏障之外的地面冲击波峰值超压可折减30%～70%。烟火药的组成成分、配比以及受约束状态不同，其爆炸威力也不同，依据《烟花爆竹工程设计安全标准》GB50161-2022中的“附录A 典型配方药物的TNT当量系数”对TNT当量取值范围一般为0.26～0.86。该项目药物TNT当量系数取0.54。</w:t>
      </w:r>
    </w:p>
    <w:p w14:paraId="3A837CA2">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若选定的模拟爆炸点该企业</w:t>
      </w:r>
      <w:r>
        <w:rPr>
          <w:rFonts w:ascii="宋体" w:hAnsi="宋体" w:cs="宋体"/>
          <w:b w:val="0"/>
          <w:bCs/>
          <w:sz w:val="28"/>
          <w:szCs w:val="28"/>
        </w:rPr>
        <w:t>78#</w:t>
      </w:r>
      <w:r>
        <w:rPr>
          <w:rFonts w:hint="eastAsia" w:ascii="宋体" w:hAnsi="宋体" w:cs="宋体"/>
          <w:b w:val="0"/>
          <w:bCs/>
          <w:sz w:val="28"/>
          <w:szCs w:val="28"/>
        </w:rPr>
        <w:t>药饼中转（计算药量500kg）发生爆炸，按上述公式①计算，空气冲击波在不同距离对人体的伤害程度和对建筑物破坏程度关系对照分别见表5</w:t>
      </w:r>
      <w:r>
        <w:rPr>
          <w:rFonts w:ascii="宋体" w:hAnsi="宋体" w:cs="宋体"/>
          <w:b w:val="0"/>
          <w:bCs/>
          <w:sz w:val="28"/>
          <w:szCs w:val="28"/>
        </w:rPr>
        <w:t>.7-3</w:t>
      </w:r>
      <w:r>
        <w:rPr>
          <w:rFonts w:hint="eastAsia" w:ascii="宋体" w:hAnsi="宋体" w:cs="宋体"/>
          <w:b w:val="0"/>
          <w:bCs/>
          <w:sz w:val="28"/>
          <w:szCs w:val="28"/>
        </w:rPr>
        <w:t>和表</w:t>
      </w:r>
      <w:r>
        <w:rPr>
          <w:rFonts w:ascii="宋体" w:hAnsi="宋体" w:cs="宋体"/>
          <w:b w:val="0"/>
          <w:bCs/>
          <w:sz w:val="28"/>
          <w:szCs w:val="28"/>
        </w:rPr>
        <w:t>5.7-4</w:t>
      </w:r>
      <w:r>
        <w:rPr>
          <w:rFonts w:hint="eastAsia" w:ascii="宋体" w:hAnsi="宋体" w:cs="宋体"/>
          <w:b w:val="0"/>
          <w:bCs/>
          <w:sz w:val="28"/>
          <w:szCs w:val="28"/>
        </w:rPr>
        <w:t>。</w:t>
      </w:r>
    </w:p>
    <w:p w14:paraId="27AEDF9C">
      <w:pPr>
        <w:rPr>
          <w:rFonts w:hint="eastAsia" w:ascii="黑体" w:hAnsi="黑体" w:eastAsia="黑体"/>
          <w:b w:val="0"/>
          <w:bCs/>
          <w:snapToGrid w:val="0"/>
          <w:kern w:val="0"/>
          <w:sz w:val="24"/>
          <w:szCs w:val="20"/>
        </w:rPr>
      </w:pPr>
      <w:r>
        <w:rPr>
          <w:rFonts w:hint="eastAsia" w:ascii="黑体" w:hAnsi="黑体" w:eastAsia="黑体"/>
          <w:b w:val="0"/>
          <w:bCs/>
          <w:snapToGrid w:val="0"/>
          <w:kern w:val="0"/>
          <w:sz w:val="24"/>
          <w:szCs w:val="20"/>
        </w:rPr>
        <w:br w:type="page"/>
      </w:r>
    </w:p>
    <w:p w14:paraId="4212BF50">
      <w:pPr>
        <w:jc w:val="center"/>
        <w:rPr>
          <w:rFonts w:ascii="黑体" w:hAnsi="黑体" w:eastAsia="黑体"/>
          <w:b w:val="0"/>
          <w:bCs/>
          <w:snapToGrid w:val="0"/>
          <w:kern w:val="0"/>
          <w:sz w:val="24"/>
          <w:szCs w:val="20"/>
        </w:rPr>
      </w:pPr>
      <w:r>
        <w:rPr>
          <w:rFonts w:hint="eastAsia" w:ascii="黑体" w:hAnsi="黑体" w:eastAsia="黑体"/>
          <w:b w:val="0"/>
          <w:bCs/>
          <w:snapToGrid w:val="0"/>
          <w:kern w:val="0"/>
          <w:sz w:val="24"/>
          <w:szCs w:val="20"/>
        </w:rPr>
        <w:t>表5</w:t>
      </w:r>
      <w:r>
        <w:rPr>
          <w:rFonts w:ascii="黑体" w:hAnsi="黑体" w:eastAsia="黑体"/>
          <w:b w:val="0"/>
          <w:bCs/>
          <w:snapToGrid w:val="0"/>
          <w:kern w:val="0"/>
          <w:sz w:val="24"/>
          <w:szCs w:val="20"/>
        </w:rPr>
        <w:t>.7-3</w:t>
      </w:r>
      <w:r>
        <w:rPr>
          <w:rFonts w:hint="eastAsia" w:ascii="黑体" w:hAnsi="黑体" w:eastAsia="黑体"/>
          <w:b w:val="0"/>
          <w:bCs/>
          <w:snapToGrid w:val="0"/>
          <w:kern w:val="0"/>
          <w:sz w:val="24"/>
          <w:szCs w:val="20"/>
        </w:rPr>
        <w:t xml:space="preserve">  选定的模拟爆炸点爆炸不同距离对人体伤害程度表</w:t>
      </w:r>
    </w:p>
    <w:tbl>
      <w:tblPr>
        <w:tblStyle w:val="88"/>
        <w:tblW w:w="4940"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57" w:type="dxa"/>
          <w:bottom w:w="0" w:type="dxa"/>
          <w:right w:w="57" w:type="dxa"/>
        </w:tblCellMar>
      </w:tblPr>
      <w:tblGrid>
        <w:gridCol w:w="791"/>
        <w:gridCol w:w="1564"/>
        <w:gridCol w:w="1428"/>
        <w:gridCol w:w="1633"/>
        <w:gridCol w:w="1315"/>
        <w:gridCol w:w="1275"/>
        <w:gridCol w:w="1070"/>
      </w:tblGrid>
      <w:tr w14:paraId="4330A8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556" w:hRule="atLeast"/>
          <w:tblHeader/>
        </w:trPr>
        <w:tc>
          <w:tcPr>
            <w:tcW w:w="1297" w:type="pct"/>
            <w:gridSpan w:val="2"/>
            <w:tcBorders>
              <w:top w:val="single" w:color="000000" w:sz="12" w:space="0"/>
              <w:left w:val="single" w:color="000000" w:sz="12" w:space="0"/>
              <w:bottom w:val="single" w:color="000000" w:sz="4" w:space="0"/>
              <w:right w:val="single" w:color="000000" w:sz="4" w:space="0"/>
            </w:tcBorders>
            <w:vAlign w:val="center"/>
          </w:tcPr>
          <w:p w14:paraId="0702C0B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szCs w:val="21"/>
              </w:rPr>
            </w:pPr>
            <w:r>
              <w:rPr>
                <w:rFonts w:hint="eastAsia" w:ascii="宋体" w:hAnsi="宋体"/>
                <w:szCs w:val="21"/>
              </w:rPr>
              <w:t>冲击波超压ΔP/10</w:t>
            </w:r>
            <w:r>
              <w:rPr>
                <w:rFonts w:hint="eastAsia" w:ascii="宋体" w:hAnsi="宋体"/>
                <w:szCs w:val="21"/>
                <w:vertAlign w:val="superscript"/>
              </w:rPr>
              <w:t>5</w:t>
            </w:r>
            <w:r>
              <w:rPr>
                <w:rFonts w:hint="eastAsia" w:ascii="宋体" w:hAnsi="宋体"/>
                <w:szCs w:val="21"/>
              </w:rPr>
              <w:t>Pa</w:t>
            </w:r>
          </w:p>
        </w:tc>
        <w:tc>
          <w:tcPr>
            <w:tcW w:w="786" w:type="pct"/>
            <w:tcBorders>
              <w:top w:val="single" w:color="000000" w:sz="12" w:space="0"/>
              <w:left w:val="single" w:color="000000" w:sz="4" w:space="0"/>
              <w:bottom w:val="single" w:color="000000" w:sz="4" w:space="0"/>
              <w:right w:val="single" w:color="000000" w:sz="4" w:space="0"/>
            </w:tcBorders>
            <w:vAlign w:val="center"/>
          </w:tcPr>
          <w:p w14:paraId="4742CEC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szCs w:val="21"/>
              </w:rPr>
            </w:pPr>
            <w:r>
              <w:rPr>
                <w:rFonts w:hint="eastAsia" w:ascii="宋体" w:hAnsi="宋体"/>
                <w:szCs w:val="21"/>
              </w:rPr>
              <w:t>＜0.2</w:t>
            </w:r>
          </w:p>
        </w:tc>
        <w:tc>
          <w:tcPr>
            <w:tcW w:w="899" w:type="pct"/>
            <w:tcBorders>
              <w:top w:val="single" w:color="000000" w:sz="12" w:space="0"/>
              <w:left w:val="single" w:color="000000" w:sz="4" w:space="0"/>
              <w:bottom w:val="single" w:color="000000" w:sz="4" w:space="0"/>
              <w:right w:val="single" w:color="000000" w:sz="4" w:space="0"/>
            </w:tcBorders>
            <w:vAlign w:val="center"/>
          </w:tcPr>
          <w:p w14:paraId="4D83093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szCs w:val="21"/>
              </w:rPr>
            </w:pPr>
            <w:r>
              <w:rPr>
                <w:rFonts w:hint="eastAsia" w:ascii="宋体" w:hAnsi="宋体"/>
                <w:szCs w:val="21"/>
              </w:rPr>
              <w:t>0.2～0.3</w:t>
            </w:r>
          </w:p>
        </w:tc>
        <w:tc>
          <w:tcPr>
            <w:tcW w:w="724" w:type="pct"/>
            <w:tcBorders>
              <w:top w:val="single" w:color="000000" w:sz="12" w:space="0"/>
              <w:left w:val="single" w:color="000000" w:sz="4" w:space="0"/>
              <w:bottom w:val="single" w:color="000000" w:sz="4" w:space="0"/>
              <w:right w:val="single" w:color="000000" w:sz="4" w:space="0"/>
            </w:tcBorders>
            <w:vAlign w:val="center"/>
          </w:tcPr>
          <w:p w14:paraId="15EFC3E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szCs w:val="21"/>
              </w:rPr>
            </w:pPr>
            <w:r>
              <w:rPr>
                <w:rFonts w:hint="eastAsia" w:ascii="宋体" w:hAnsi="宋体"/>
                <w:szCs w:val="21"/>
              </w:rPr>
              <w:t>0.3～0.5</w:t>
            </w:r>
          </w:p>
        </w:tc>
        <w:tc>
          <w:tcPr>
            <w:tcW w:w="702" w:type="pct"/>
            <w:tcBorders>
              <w:top w:val="single" w:color="000000" w:sz="12" w:space="0"/>
              <w:left w:val="single" w:color="000000" w:sz="4" w:space="0"/>
              <w:bottom w:val="single" w:color="000000" w:sz="4" w:space="0"/>
              <w:right w:val="single" w:color="000000" w:sz="4" w:space="0"/>
            </w:tcBorders>
            <w:vAlign w:val="center"/>
          </w:tcPr>
          <w:p w14:paraId="2F6E090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szCs w:val="21"/>
              </w:rPr>
            </w:pPr>
            <w:r>
              <w:rPr>
                <w:rFonts w:hint="eastAsia" w:ascii="宋体" w:hAnsi="宋体"/>
                <w:szCs w:val="21"/>
              </w:rPr>
              <w:t>0.5～1.0</w:t>
            </w:r>
          </w:p>
        </w:tc>
        <w:tc>
          <w:tcPr>
            <w:tcW w:w="589" w:type="pct"/>
            <w:tcBorders>
              <w:top w:val="single" w:color="000000" w:sz="12" w:space="0"/>
              <w:left w:val="single" w:color="000000" w:sz="4" w:space="0"/>
              <w:bottom w:val="single" w:color="000000" w:sz="4" w:space="0"/>
              <w:right w:val="single" w:color="000000" w:sz="12" w:space="0"/>
            </w:tcBorders>
            <w:vAlign w:val="center"/>
          </w:tcPr>
          <w:p w14:paraId="2DBED7F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szCs w:val="21"/>
              </w:rPr>
            </w:pPr>
            <w:r>
              <w:rPr>
                <w:rFonts w:hint="eastAsia" w:ascii="宋体" w:hAnsi="宋体"/>
                <w:szCs w:val="21"/>
              </w:rPr>
              <w:t>＞1.0</w:t>
            </w:r>
          </w:p>
        </w:tc>
      </w:tr>
      <w:tr w14:paraId="161FB7F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506" w:hRule="atLeast"/>
        </w:trPr>
        <w:tc>
          <w:tcPr>
            <w:tcW w:w="1297" w:type="pct"/>
            <w:gridSpan w:val="2"/>
            <w:tcBorders>
              <w:top w:val="single" w:color="000000" w:sz="4" w:space="0"/>
              <w:left w:val="single" w:color="000000" w:sz="12" w:space="0"/>
              <w:bottom w:val="single" w:color="000000" w:sz="4" w:space="0"/>
              <w:right w:val="single" w:color="000000" w:sz="4" w:space="0"/>
            </w:tcBorders>
            <w:vAlign w:val="center"/>
          </w:tcPr>
          <w:p w14:paraId="5845B9E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R值</w:t>
            </w:r>
          </w:p>
        </w:tc>
        <w:tc>
          <w:tcPr>
            <w:tcW w:w="786" w:type="pct"/>
            <w:tcBorders>
              <w:top w:val="single" w:color="000000" w:sz="4" w:space="0"/>
              <w:left w:val="single" w:color="000000" w:sz="4" w:space="0"/>
              <w:bottom w:val="single" w:color="000000" w:sz="4" w:space="0"/>
              <w:right w:val="single" w:color="000000" w:sz="4" w:space="0"/>
            </w:tcBorders>
            <w:vAlign w:val="center"/>
          </w:tcPr>
          <w:p w14:paraId="4105ECB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bookmarkStart w:id="593" w:name="OLE_LINK217"/>
            <w:bookmarkStart w:id="594" w:name="OLE_LINK218"/>
            <w:r>
              <w:rPr>
                <w:rFonts w:hint="eastAsia" w:ascii="宋体" w:hAnsi="宋体"/>
                <w:b w:val="0"/>
                <w:bCs/>
                <w:szCs w:val="21"/>
              </w:rPr>
              <w:t>＞</w:t>
            </w:r>
            <w:bookmarkEnd w:id="593"/>
            <w:bookmarkEnd w:id="594"/>
            <w:r>
              <w:rPr>
                <w:rFonts w:hint="eastAsia" w:ascii="宋体" w:hAnsi="宋体"/>
                <w:b w:val="0"/>
                <w:bCs/>
                <w:szCs w:val="21"/>
              </w:rPr>
              <w:t>7.186</w:t>
            </w:r>
          </w:p>
        </w:tc>
        <w:tc>
          <w:tcPr>
            <w:tcW w:w="899" w:type="pct"/>
            <w:tcBorders>
              <w:top w:val="single" w:color="000000" w:sz="4" w:space="0"/>
              <w:left w:val="single" w:color="000000" w:sz="4" w:space="0"/>
              <w:bottom w:val="single" w:color="000000" w:sz="4" w:space="0"/>
              <w:right w:val="single" w:color="000000" w:sz="4" w:space="0"/>
            </w:tcBorders>
            <w:vAlign w:val="center"/>
          </w:tcPr>
          <w:p w14:paraId="45E1788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7.186～5.842</w:t>
            </w:r>
          </w:p>
        </w:tc>
        <w:tc>
          <w:tcPr>
            <w:tcW w:w="724" w:type="pct"/>
            <w:tcBorders>
              <w:top w:val="single" w:color="000000" w:sz="4" w:space="0"/>
              <w:left w:val="single" w:color="000000" w:sz="4" w:space="0"/>
              <w:bottom w:val="single" w:color="000000" w:sz="4" w:space="0"/>
              <w:right w:val="single" w:color="000000" w:sz="4" w:space="0"/>
            </w:tcBorders>
            <w:vAlign w:val="center"/>
          </w:tcPr>
          <w:p w14:paraId="6B0169F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5.842～4.533</w:t>
            </w:r>
          </w:p>
        </w:tc>
        <w:tc>
          <w:tcPr>
            <w:tcW w:w="702" w:type="pct"/>
            <w:tcBorders>
              <w:top w:val="single" w:color="000000" w:sz="4" w:space="0"/>
              <w:left w:val="single" w:color="000000" w:sz="4" w:space="0"/>
              <w:bottom w:val="single" w:color="000000" w:sz="4" w:space="0"/>
              <w:right w:val="single" w:color="000000" w:sz="4" w:space="0"/>
            </w:tcBorders>
            <w:vAlign w:val="center"/>
          </w:tcPr>
          <w:p w14:paraId="142BD3D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4.533～3.252</w:t>
            </w:r>
          </w:p>
        </w:tc>
        <w:tc>
          <w:tcPr>
            <w:tcW w:w="589" w:type="pct"/>
            <w:tcBorders>
              <w:top w:val="single" w:color="000000" w:sz="4" w:space="0"/>
              <w:left w:val="single" w:color="000000" w:sz="4" w:space="0"/>
              <w:bottom w:val="single" w:color="000000" w:sz="4" w:space="0"/>
              <w:right w:val="single" w:color="000000" w:sz="12" w:space="0"/>
            </w:tcBorders>
            <w:vAlign w:val="center"/>
          </w:tcPr>
          <w:p w14:paraId="661A45F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＜3.252</w:t>
            </w:r>
          </w:p>
        </w:tc>
      </w:tr>
      <w:tr w14:paraId="3277ED2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506" w:hRule="atLeast"/>
        </w:trPr>
        <w:tc>
          <w:tcPr>
            <w:tcW w:w="1297" w:type="pct"/>
            <w:gridSpan w:val="2"/>
            <w:tcBorders>
              <w:top w:val="single" w:color="000000" w:sz="4" w:space="0"/>
              <w:left w:val="single" w:color="000000" w:sz="12" w:space="0"/>
              <w:bottom w:val="single" w:color="000000" w:sz="4" w:space="0"/>
              <w:right w:val="single" w:color="000000" w:sz="4" w:space="0"/>
            </w:tcBorders>
            <w:vAlign w:val="center"/>
          </w:tcPr>
          <w:p w14:paraId="2CAA390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bookmarkStart w:id="595" w:name="_Hlk179804148"/>
            <w:r>
              <w:rPr>
                <w:rFonts w:hint="eastAsia" w:ascii="宋体" w:hAnsi="宋体"/>
                <w:b w:val="0"/>
                <w:bCs/>
                <w:szCs w:val="21"/>
              </w:rPr>
              <w:t>对人体伤害的估计</w:t>
            </w:r>
          </w:p>
        </w:tc>
        <w:tc>
          <w:tcPr>
            <w:tcW w:w="786" w:type="pct"/>
            <w:tcBorders>
              <w:top w:val="single" w:color="000000" w:sz="4" w:space="0"/>
              <w:left w:val="single" w:color="000000" w:sz="4" w:space="0"/>
              <w:bottom w:val="single" w:color="000000" w:sz="4" w:space="0"/>
              <w:right w:val="single" w:color="000000" w:sz="4" w:space="0"/>
            </w:tcBorders>
            <w:vAlign w:val="center"/>
          </w:tcPr>
          <w:p w14:paraId="4A56ABF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基本无伤害</w:t>
            </w:r>
          </w:p>
        </w:tc>
        <w:tc>
          <w:tcPr>
            <w:tcW w:w="899" w:type="pct"/>
            <w:tcBorders>
              <w:top w:val="single" w:color="000000" w:sz="4" w:space="0"/>
              <w:left w:val="single" w:color="000000" w:sz="4" w:space="0"/>
              <w:bottom w:val="single" w:color="000000" w:sz="4" w:space="0"/>
              <w:right w:val="single" w:color="000000" w:sz="4" w:space="0"/>
            </w:tcBorders>
            <w:vAlign w:val="center"/>
          </w:tcPr>
          <w:p w14:paraId="3221C13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bookmarkStart w:id="596" w:name="_Hlk171495879"/>
            <w:r>
              <w:rPr>
                <w:rFonts w:hint="eastAsia" w:ascii="宋体" w:hAnsi="宋体"/>
                <w:b w:val="0"/>
                <w:bCs/>
                <w:szCs w:val="21"/>
              </w:rPr>
              <w:t>轻伤内伤、耳鸣</w:t>
            </w:r>
            <w:bookmarkEnd w:id="596"/>
          </w:p>
        </w:tc>
        <w:tc>
          <w:tcPr>
            <w:tcW w:w="724" w:type="pct"/>
            <w:tcBorders>
              <w:top w:val="single" w:color="000000" w:sz="4" w:space="0"/>
              <w:left w:val="single" w:color="000000" w:sz="4" w:space="0"/>
              <w:bottom w:val="single" w:color="000000" w:sz="4" w:space="0"/>
              <w:right w:val="single" w:color="000000" w:sz="4" w:space="0"/>
            </w:tcBorders>
            <w:vAlign w:val="center"/>
          </w:tcPr>
          <w:p w14:paraId="1F7CFDB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bookmarkStart w:id="597" w:name="_Hlk145000154"/>
            <w:r>
              <w:rPr>
                <w:rFonts w:hint="eastAsia" w:ascii="宋体" w:hAnsi="宋体"/>
                <w:b w:val="0"/>
                <w:bCs/>
                <w:szCs w:val="21"/>
              </w:rPr>
              <w:t>中伤内伤、耳膜破裂</w:t>
            </w:r>
            <w:bookmarkEnd w:id="597"/>
          </w:p>
        </w:tc>
        <w:tc>
          <w:tcPr>
            <w:tcW w:w="702" w:type="pct"/>
            <w:tcBorders>
              <w:top w:val="single" w:color="000000" w:sz="4" w:space="0"/>
              <w:left w:val="single" w:color="000000" w:sz="4" w:space="0"/>
              <w:bottom w:val="single" w:color="000000" w:sz="4" w:space="0"/>
              <w:right w:val="single" w:color="000000" w:sz="4" w:space="0"/>
            </w:tcBorders>
            <w:vAlign w:val="center"/>
          </w:tcPr>
          <w:p w14:paraId="5D6778D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bookmarkStart w:id="598" w:name="_Hlk171495266"/>
            <w:r>
              <w:rPr>
                <w:rFonts w:hint="eastAsia" w:ascii="宋体" w:hAnsi="宋体"/>
                <w:b w:val="0"/>
                <w:bCs/>
                <w:szCs w:val="21"/>
              </w:rPr>
              <w:t>重伤骨折、内出血</w:t>
            </w:r>
            <w:bookmarkEnd w:id="598"/>
          </w:p>
        </w:tc>
        <w:tc>
          <w:tcPr>
            <w:tcW w:w="589" w:type="pct"/>
            <w:tcBorders>
              <w:top w:val="single" w:color="000000" w:sz="4" w:space="0"/>
              <w:left w:val="single" w:color="000000" w:sz="4" w:space="0"/>
              <w:bottom w:val="single" w:color="000000" w:sz="4" w:space="0"/>
              <w:right w:val="single" w:color="000000" w:sz="12" w:space="0"/>
            </w:tcBorders>
            <w:vAlign w:val="center"/>
          </w:tcPr>
          <w:p w14:paraId="525E74B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bookmarkStart w:id="599" w:name="_Hlk149663503"/>
            <w:r>
              <w:rPr>
                <w:rFonts w:hint="eastAsia" w:ascii="宋体" w:hAnsi="宋体"/>
                <w:b w:val="0"/>
                <w:bCs/>
                <w:szCs w:val="21"/>
              </w:rPr>
              <w:t>死亡或致命伤</w:t>
            </w:r>
            <w:bookmarkEnd w:id="599"/>
          </w:p>
        </w:tc>
      </w:tr>
      <w:bookmarkEnd w:id="595"/>
      <w:tr w14:paraId="7B6FB46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538" w:hRule="atLeast"/>
        </w:trPr>
        <w:tc>
          <w:tcPr>
            <w:tcW w:w="436" w:type="pct"/>
            <w:tcBorders>
              <w:top w:val="single" w:color="000000" w:sz="4" w:space="0"/>
              <w:left w:val="single" w:color="000000" w:sz="12" w:space="0"/>
              <w:right w:val="single" w:color="000000" w:sz="4" w:space="0"/>
            </w:tcBorders>
            <w:vAlign w:val="center"/>
          </w:tcPr>
          <w:p w14:paraId="47EF5F1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距离r</w:t>
            </w:r>
          </w:p>
          <w:p w14:paraId="6FF1F89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(m)</w:t>
            </w:r>
          </w:p>
        </w:tc>
        <w:tc>
          <w:tcPr>
            <w:tcW w:w="860" w:type="pct"/>
            <w:tcBorders>
              <w:top w:val="single" w:color="000000" w:sz="4" w:space="0"/>
              <w:left w:val="single" w:color="000000" w:sz="4" w:space="0"/>
              <w:bottom w:val="single" w:color="000000" w:sz="4" w:space="0"/>
              <w:right w:val="single" w:color="000000" w:sz="4" w:space="0"/>
            </w:tcBorders>
            <w:vAlign w:val="center"/>
          </w:tcPr>
          <w:p w14:paraId="43D99E6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67电烘房/散热</w:t>
            </w:r>
          </w:p>
        </w:tc>
        <w:tc>
          <w:tcPr>
            <w:tcW w:w="786" w:type="pct"/>
            <w:tcBorders>
              <w:top w:val="single" w:color="000000" w:sz="4" w:space="0"/>
              <w:left w:val="single" w:color="000000" w:sz="4" w:space="0"/>
              <w:bottom w:val="single" w:color="000000" w:sz="4" w:space="0"/>
              <w:right w:val="single" w:color="000000" w:sz="4" w:space="0"/>
            </w:tcBorders>
            <w:vAlign w:val="center"/>
          </w:tcPr>
          <w:p w14:paraId="67DF0AF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＞46.45</w:t>
            </w:r>
          </w:p>
        </w:tc>
        <w:tc>
          <w:tcPr>
            <w:tcW w:w="899" w:type="pct"/>
            <w:tcBorders>
              <w:top w:val="single" w:color="000000" w:sz="4" w:space="0"/>
              <w:left w:val="single" w:color="000000" w:sz="4" w:space="0"/>
              <w:bottom w:val="single" w:color="000000" w:sz="4" w:space="0"/>
              <w:right w:val="single" w:color="000000" w:sz="4" w:space="0"/>
            </w:tcBorders>
            <w:vAlign w:val="center"/>
          </w:tcPr>
          <w:p w14:paraId="2587675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37.73～46.45</w:t>
            </w:r>
          </w:p>
        </w:tc>
        <w:tc>
          <w:tcPr>
            <w:tcW w:w="724" w:type="pct"/>
            <w:tcBorders>
              <w:top w:val="single" w:color="000000" w:sz="4" w:space="0"/>
              <w:left w:val="single" w:color="000000" w:sz="4" w:space="0"/>
              <w:bottom w:val="single" w:color="000000" w:sz="4" w:space="0"/>
              <w:right w:val="single" w:color="000000" w:sz="4" w:space="0"/>
            </w:tcBorders>
            <w:vAlign w:val="center"/>
          </w:tcPr>
          <w:p w14:paraId="37F9FB8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29.3～37.76</w:t>
            </w:r>
          </w:p>
        </w:tc>
        <w:tc>
          <w:tcPr>
            <w:tcW w:w="702" w:type="pct"/>
            <w:tcBorders>
              <w:top w:val="single" w:color="000000" w:sz="4" w:space="0"/>
              <w:left w:val="single" w:color="000000" w:sz="4" w:space="0"/>
              <w:bottom w:val="single" w:color="000000" w:sz="4" w:space="0"/>
              <w:right w:val="single" w:color="000000" w:sz="4" w:space="0"/>
            </w:tcBorders>
            <w:vAlign w:val="center"/>
          </w:tcPr>
          <w:p w14:paraId="1CF777E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21.02～29.3</w:t>
            </w:r>
          </w:p>
        </w:tc>
        <w:tc>
          <w:tcPr>
            <w:tcW w:w="589" w:type="pct"/>
            <w:tcBorders>
              <w:top w:val="single" w:color="000000" w:sz="4" w:space="0"/>
              <w:left w:val="single" w:color="000000" w:sz="4" w:space="0"/>
              <w:bottom w:val="single" w:color="000000" w:sz="4" w:space="0"/>
              <w:right w:val="single" w:color="000000" w:sz="12" w:space="0"/>
            </w:tcBorders>
            <w:vAlign w:val="center"/>
          </w:tcPr>
          <w:p w14:paraId="18F7E97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＜21.02</w:t>
            </w:r>
          </w:p>
        </w:tc>
      </w:tr>
    </w:tbl>
    <w:p w14:paraId="2ABB841A">
      <w:pPr>
        <w:spacing w:before="120" w:beforeLines="50"/>
        <w:jc w:val="center"/>
        <w:rPr>
          <w:rFonts w:ascii="黑体" w:hAnsi="黑体" w:eastAsia="黑体"/>
          <w:b w:val="0"/>
          <w:bCs/>
          <w:snapToGrid w:val="0"/>
          <w:kern w:val="0"/>
          <w:sz w:val="24"/>
          <w:szCs w:val="20"/>
        </w:rPr>
      </w:pPr>
      <w:r>
        <w:rPr>
          <w:rFonts w:hint="eastAsia" w:ascii="黑体" w:hAnsi="黑体" w:eastAsia="黑体"/>
          <w:b w:val="0"/>
          <w:bCs/>
          <w:snapToGrid w:val="0"/>
          <w:kern w:val="0"/>
          <w:sz w:val="24"/>
          <w:szCs w:val="20"/>
        </w:rPr>
        <w:t>表5</w:t>
      </w:r>
      <w:r>
        <w:rPr>
          <w:rFonts w:ascii="黑体" w:hAnsi="黑体" w:eastAsia="黑体"/>
          <w:b w:val="0"/>
          <w:bCs/>
          <w:snapToGrid w:val="0"/>
          <w:kern w:val="0"/>
          <w:sz w:val="24"/>
          <w:szCs w:val="20"/>
        </w:rPr>
        <w:t>.7-4</w:t>
      </w:r>
      <w:r>
        <w:rPr>
          <w:rFonts w:hint="eastAsia" w:ascii="黑体" w:hAnsi="黑体" w:eastAsia="黑体"/>
          <w:b w:val="0"/>
          <w:bCs/>
          <w:snapToGrid w:val="0"/>
          <w:kern w:val="0"/>
          <w:sz w:val="24"/>
          <w:szCs w:val="20"/>
        </w:rPr>
        <w:t xml:space="preserve"> 选定的模拟爆炸点爆炸不同距离对建筑物破坏程度表</w:t>
      </w:r>
    </w:p>
    <w:tbl>
      <w:tblPr>
        <w:tblStyle w:val="88"/>
        <w:tblW w:w="4894"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28" w:type="dxa"/>
          <w:bottom w:w="0" w:type="dxa"/>
          <w:right w:w="28" w:type="dxa"/>
        </w:tblCellMar>
      </w:tblPr>
      <w:tblGrid>
        <w:gridCol w:w="776"/>
        <w:gridCol w:w="858"/>
        <w:gridCol w:w="1452"/>
        <w:gridCol w:w="1300"/>
        <w:gridCol w:w="1184"/>
        <w:gridCol w:w="1273"/>
        <w:gridCol w:w="1192"/>
        <w:gridCol w:w="899"/>
      </w:tblGrid>
      <w:tr w14:paraId="572FD1B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02" w:hRule="atLeast"/>
          <w:tblHeader/>
        </w:trPr>
        <w:tc>
          <w:tcPr>
            <w:tcW w:w="914" w:type="pct"/>
            <w:gridSpan w:val="2"/>
            <w:tcBorders>
              <w:top w:val="single" w:color="000000" w:sz="12" w:space="0"/>
              <w:left w:val="single" w:color="000000" w:sz="12" w:space="0"/>
              <w:bottom w:val="single" w:color="000000" w:sz="4" w:space="0"/>
              <w:right w:val="single" w:color="000000" w:sz="4" w:space="0"/>
            </w:tcBorders>
            <w:vAlign w:val="center"/>
          </w:tcPr>
          <w:p w14:paraId="351F840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szCs w:val="21"/>
              </w:rPr>
            </w:pPr>
            <w:r>
              <w:rPr>
                <w:rFonts w:hint="eastAsia" w:ascii="宋体" w:hAnsi="宋体"/>
                <w:szCs w:val="21"/>
              </w:rPr>
              <w:t>冲击波超压</w:t>
            </w:r>
          </w:p>
          <w:p w14:paraId="3A26EA4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szCs w:val="21"/>
              </w:rPr>
            </w:pPr>
            <w:r>
              <w:rPr>
                <w:rFonts w:hint="eastAsia" w:ascii="宋体" w:hAnsi="宋体"/>
                <w:szCs w:val="21"/>
              </w:rPr>
              <w:t>ΔP/10</w:t>
            </w:r>
            <w:r>
              <w:rPr>
                <w:rFonts w:hint="eastAsia" w:ascii="宋体" w:hAnsi="宋体"/>
                <w:szCs w:val="21"/>
                <w:vertAlign w:val="superscript"/>
              </w:rPr>
              <w:t>5</w:t>
            </w:r>
            <w:r>
              <w:rPr>
                <w:rFonts w:hint="eastAsia" w:ascii="宋体" w:hAnsi="宋体"/>
                <w:szCs w:val="21"/>
              </w:rPr>
              <w:t>Pa</w:t>
            </w:r>
          </w:p>
        </w:tc>
        <w:tc>
          <w:tcPr>
            <w:tcW w:w="812" w:type="pct"/>
            <w:tcBorders>
              <w:top w:val="single" w:color="000000" w:sz="12" w:space="0"/>
              <w:left w:val="single" w:color="000000" w:sz="4" w:space="0"/>
              <w:bottom w:val="single" w:color="000000" w:sz="4" w:space="0"/>
              <w:right w:val="single" w:color="000000" w:sz="4" w:space="0"/>
            </w:tcBorders>
            <w:vAlign w:val="center"/>
          </w:tcPr>
          <w:p w14:paraId="7F81B76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szCs w:val="21"/>
              </w:rPr>
            </w:pPr>
            <w:r>
              <w:rPr>
                <w:rFonts w:hint="eastAsia" w:ascii="宋体" w:hAnsi="宋体"/>
                <w:szCs w:val="21"/>
              </w:rPr>
              <w:t>0.02～0.09</w:t>
            </w:r>
          </w:p>
        </w:tc>
        <w:tc>
          <w:tcPr>
            <w:tcW w:w="727" w:type="pct"/>
            <w:tcBorders>
              <w:top w:val="single" w:color="000000" w:sz="12" w:space="0"/>
              <w:left w:val="single" w:color="000000" w:sz="4" w:space="0"/>
              <w:bottom w:val="single" w:color="000000" w:sz="4" w:space="0"/>
              <w:right w:val="single" w:color="000000" w:sz="4" w:space="0"/>
            </w:tcBorders>
            <w:vAlign w:val="center"/>
          </w:tcPr>
          <w:p w14:paraId="40744BB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szCs w:val="21"/>
              </w:rPr>
            </w:pPr>
            <w:r>
              <w:rPr>
                <w:rFonts w:hint="eastAsia" w:ascii="宋体" w:hAnsi="宋体"/>
                <w:szCs w:val="21"/>
              </w:rPr>
              <w:t>0.09～0.25</w:t>
            </w:r>
          </w:p>
        </w:tc>
        <w:tc>
          <w:tcPr>
            <w:tcW w:w="662" w:type="pct"/>
            <w:tcBorders>
              <w:top w:val="single" w:color="000000" w:sz="12" w:space="0"/>
              <w:left w:val="single" w:color="000000" w:sz="4" w:space="0"/>
              <w:bottom w:val="single" w:color="000000" w:sz="4" w:space="0"/>
              <w:right w:val="single" w:color="000000" w:sz="4" w:space="0"/>
            </w:tcBorders>
            <w:vAlign w:val="center"/>
          </w:tcPr>
          <w:p w14:paraId="3442DE2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szCs w:val="21"/>
              </w:rPr>
            </w:pPr>
            <w:r>
              <w:rPr>
                <w:rFonts w:hint="eastAsia" w:ascii="宋体" w:hAnsi="宋体"/>
                <w:szCs w:val="21"/>
              </w:rPr>
              <w:t>0.25～0.40</w:t>
            </w:r>
          </w:p>
        </w:tc>
        <w:tc>
          <w:tcPr>
            <w:tcW w:w="712" w:type="pct"/>
            <w:tcBorders>
              <w:top w:val="single" w:color="000000" w:sz="12" w:space="0"/>
              <w:left w:val="single" w:color="000000" w:sz="4" w:space="0"/>
              <w:bottom w:val="single" w:color="000000" w:sz="4" w:space="0"/>
              <w:right w:val="single" w:color="000000" w:sz="4" w:space="0"/>
            </w:tcBorders>
            <w:vAlign w:val="center"/>
          </w:tcPr>
          <w:p w14:paraId="31B7A1A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szCs w:val="21"/>
              </w:rPr>
            </w:pPr>
            <w:r>
              <w:rPr>
                <w:rFonts w:hint="eastAsia" w:ascii="宋体" w:hAnsi="宋体"/>
                <w:szCs w:val="21"/>
              </w:rPr>
              <w:t>0.40～0.55</w:t>
            </w:r>
          </w:p>
        </w:tc>
        <w:tc>
          <w:tcPr>
            <w:tcW w:w="667" w:type="pct"/>
            <w:tcBorders>
              <w:top w:val="single" w:color="000000" w:sz="12" w:space="0"/>
              <w:left w:val="single" w:color="000000" w:sz="4" w:space="0"/>
              <w:bottom w:val="single" w:color="000000" w:sz="4" w:space="0"/>
              <w:right w:val="single" w:color="000000" w:sz="4" w:space="0"/>
            </w:tcBorders>
            <w:vAlign w:val="center"/>
          </w:tcPr>
          <w:p w14:paraId="4210196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szCs w:val="21"/>
              </w:rPr>
            </w:pPr>
            <w:r>
              <w:rPr>
                <w:rFonts w:hint="eastAsia" w:ascii="宋体" w:hAnsi="宋体"/>
                <w:szCs w:val="21"/>
              </w:rPr>
              <w:t>0.55～0.76</w:t>
            </w:r>
          </w:p>
        </w:tc>
        <w:tc>
          <w:tcPr>
            <w:tcW w:w="503" w:type="pct"/>
            <w:tcBorders>
              <w:top w:val="single" w:color="000000" w:sz="12" w:space="0"/>
              <w:left w:val="single" w:color="000000" w:sz="4" w:space="0"/>
              <w:bottom w:val="single" w:color="000000" w:sz="4" w:space="0"/>
              <w:right w:val="single" w:color="000000" w:sz="12" w:space="0"/>
            </w:tcBorders>
            <w:vAlign w:val="center"/>
          </w:tcPr>
          <w:p w14:paraId="07078BC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szCs w:val="21"/>
              </w:rPr>
            </w:pPr>
            <w:r>
              <w:rPr>
                <w:rFonts w:hint="eastAsia" w:ascii="宋体" w:hAnsi="宋体"/>
                <w:szCs w:val="21"/>
              </w:rPr>
              <w:t>＞0.76</w:t>
            </w:r>
          </w:p>
        </w:tc>
      </w:tr>
      <w:tr w14:paraId="3A3D890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491" w:hRule="atLeast"/>
        </w:trPr>
        <w:tc>
          <w:tcPr>
            <w:tcW w:w="914" w:type="pct"/>
            <w:gridSpan w:val="2"/>
            <w:tcBorders>
              <w:top w:val="single" w:color="000000" w:sz="4" w:space="0"/>
              <w:left w:val="single" w:color="000000" w:sz="12" w:space="0"/>
              <w:bottom w:val="single" w:color="000000" w:sz="4" w:space="0"/>
              <w:right w:val="single" w:color="000000" w:sz="4" w:space="0"/>
            </w:tcBorders>
            <w:vAlign w:val="center"/>
          </w:tcPr>
          <w:p w14:paraId="66746CB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R值</w:t>
            </w:r>
          </w:p>
        </w:tc>
        <w:tc>
          <w:tcPr>
            <w:tcW w:w="812" w:type="pct"/>
            <w:tcBorders>
              <w:top w:val="single" w:color="000000" w:sz="4" w:space="0"/>
              <w:left w:val="single" w:color="000000" w:sz="4" w:space="0"/>
              <w:bottom w:val="single" w:color="000000" w:sz="4" w:space="0"/>
              <w:right w:val="single" w:color="000000" w:sz="4" w:space="0"/>
            </w:tcBorders>
            <w:vAlign w:val="center"/>
          </w:tcPr>
          <w:p w14:paraId="6B4A121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26.544～10.994</w:t>
            </w:r>
          </w:p>
        </w:tc>
        <w:tc>
          <w:tcPr>
            <w:tcW w:w="727" w:type="pct"/>
            <w:tcBorders>
              <w:top w:val="single" w:color="000000" w:sz="4" w:space="0"/>
              <w:left w:val="single" w:color="000000" w:sz="4" w:space="0"/>
              <w:bottom w:val="single" w:color="000000" w:sz="4" w:space="0"/>
              <w:right w:val="single" w:color="000000" w:sz="4" w:space="0"/>
            </w:tcBorders>
            <w:vAlign w:val="center"/>
          </w:tcPr>
          <w:p w14:paraId="15DDEA1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10.994～6.408</w:t>
            </w:r>
          </w:p>
        </w:tc>
        <w:tc>
          <w:tcPr>
            <w:tcW w:w="662" w:type="pct"/>
            <w:tcBorders>
              <w:top w:val="single" w:color="000000" w:sz="4" w:space="0"/>
              <w:left w:val="single" w:color="000000" w:sz="4" w:space="0"/>
              <w:bottom w:val="single" w:color="000000" w:sz="4" w:space="0"/>
              <w:right w:val="single" w:color="000000" w:sz="4" w:space="0"/>
            </w:tcBorders>
            <w:vAlign w:val="center"/>
          </w:tcPr>
          <w:p w14:paraId="3529797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6.408～5.06</w:t>
            </w:r>
          </w:p>
        </w:tc>
        <w:tc>
          <w:tcPr>
            <w:tcW w:w="712" w:type="pct"/>
            <w:tcBorders>
              <w:top w:val="single" w:color="000000" w:sz="4" w:space="0"/>
              <w:left w:val="single" w:color="000000" w:sz="4" w:space="0"/>
              <w:bottom w:val="single" w:color="000000" w:sz="4" w:space="0"/>
              <w:right w:val="single" w:color="000000" w:sz="4" w:space="0"/>
            </w:tcBorders>
            <w:vAlign w:val="center"/>
          </w:tcPr>
          <w:p w14:paraId="401B594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5.06～4.327</w:t>
            </w:r>
          </w:p>
        </w:tc>
        <w:tc>
          <w:tcPr>
            <w:tcW w:w="667" w:type="pct"/>
            <w:tcBorders>
              <w:top w:val="single" w:color="000000" w:sz="4" w:space="0"/>
              <w:left w:val="single" w:color="000000" w:sz="4" w:space="0"/>
              <w:bottom w:val="single" w:color="000000" w:sz="4" w:space="0"/>
              <w:right w:val="single" w:color="000000" w:sz="4" w:space="0"/>
            </w:tcBorders>
            <w:vAlign w:val="center"/>
          </w:tcPr>
          <w:p w14:paraId="18CEBD8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4.327～3.703</w:t>
            </w:r>
          </w:p>
        </w:tc>
        <w:tc>
          <w:tcPr>
            <w:tcW w:w="503" w:type="pct"/>
            <w:tcBorders>
              <w:top w:val="single" w:color="000000" w:sz="4" w:space="0"/>
              <w:left w:val="single" w:color="000000" w:sz="4" w:space="0"/>
              <w:bottom w:val="single" w:color="000000" w:sz="4" w:space="0"/>
              <w:right w:val="single" w:color="000000" w:sz="12" w:space="0"/>
            </w:tcBorders>
            <w:vAlign w:val="center"/>
          </w:tcPr>
          <w:p w14:paraId="28BBFE9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bookmarkStart w:id="600" w:name="OLE_LINK216"/>
            <w:r>
              <w:rPr>
                <w:rFonts w:hint="eastAsia" w:ascii="宋体" w:hAnsi="宋体"/>
                <w:b w:val="0"/>
                <w:bCs/>
                <w:szCs w:val="21"/>
              </w:rPr>
              <w:t>＜</w:t>
            </w:r>
            <w:bookmarkEnd w:id="600"/>
            <w:r>
              <w:rPr>
                <w:rFonts w:hint="eastAsia" w:ascii="宋体" w:hAnsi="宋体"/>
                <w:b w:val="0"/>
                <w:bCs/>
                <w:szCs w:val="21"/>
              </w:rPr>
              <w:t>3.703</w:t>
            </w:r>
          </w:p>
        </w:tc>
      </w:tr>
      <w:tr w14:paraId="0FAF3F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732" w:hRule="atLeast"/>
        </w:trPr>
        <w:tc>
          <w:tcPr>
            <w:tcW w:w="914" w:type="pct"/>
            <w:gridSpan w:val="2"/>
            <w:tcBorders>
              <w:top w:val="single" w:color="000000" w:sz="4" w:space="0"/>
              <w:left w:val="single" w:color="000000" w:sz="12" w:space="0"/>
              <w:bottom w:val="single" w:color="000000" w:sz="4" w:space="0"/>
              <w:right w:val="single" w:color="000000" w:sz="4" w:space="0"/>
            </w:tcBorders>
            <w:vAlign w:val="center"/>
          </w:tcPr>
          <w:p w14:paraId="554E6CF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破坏等级</w:t>
            </w:r>
          </w:p>
          <w:p w14:paraId="6F513AC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及名称</w:t>
            </w:r>
          </w:p>
        </w:tc>
        <w:tc>
          <w:tcPr>
            <w:tcW w:w="812" w:type="pct"/>
            <w:tcBorders>
              <w:top w:val="single" w:color="000000" w:sz="4" w:space="0"/>
              <w:left w:val="single" w:color="000000" w:sz="4" w:space="0"/>
              <w:bottom w:val="single" w:color="000000" w:sz="4" w:space="0"/>
              <w:right w:val="single" w:color="000000" w:sz="4" w:space="0"/>
            </w:tcBorders>
            <w:vAlign w:val="center"/>
          </w:tcPr>
          <w:p w14:paraId="522FCC0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二级（次轻度破坏）</w:t>
            </w:r>
          </w:p>
        </w:tc>
        <w:tc>
          <w:tcPr>
            <w:tcW w:w="727" w:type="pct"/>
            <w:tcBorders>
              <w:top w:val="single" w:color="000000" w:sz="4" w:space="0"/>
              <w:left w:val="single" w:color="000000" w:sz="4" w:space="0"/>
              <w:bottom w:val="single" w:color="000000" w:sz="4" w:space="0"/>
              <w:right w:val="single" w:color="000000" w:sz="4" w:space="0"/>
            </w:tcBorders>
            <w:vAlign w:val="center"/>
          </w:tcPr>
          <w:p w14:paraId="7BE3C21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三级</w:t>
            </w:r>
          </w:p>
          <w:p w14:paraId="1F0513B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w:t>
            </w:r>
            <w:bookmarkStart w:id="601" w:name="_Hlk161928293"/>
            <w:r>
              <w:rPr>
                <w:rFonts w:hint="eastAsia" w:ascii="宋体" w:hAnsi="宋体"/>
                <w:b w:val="0"/>
                <w:bCs/>
                <w:szCs w:val="21"/>
              </w:rPr>
              <w:t>轻度破坏</w:t>
            </w:r>
            <w:bookmarkEnd w:id="601"/>
            <w:r>
              <w:rPr>
                <w:rFonts w:hint="eastAsia" w:ascii="宋体" w:hAnsi="宋体"/>
                <w:b w:val="0"/>
                <w:bCs/>
                <w:szCs w:val="21"/>
              </w:rPr>
              <w:t>）</w:t>
            </w:r>
          </w:p>
        </w:tc>
        <w:tc>
          <w:tcPr>
            <w:tcW w:w="662" w:type="pct"/>
            <w:tcBorders>
              <w:top w:val="single" w:color="000000" w:sz="4" w:space="0"/>
              <w:left w:val="single" w:color="000000" w:sz="4" w:space="0"/>
              <w:bottom w:val="single" w:color="000000" w:sz="4" w:space="0"/>
              <w:right w:val="single" w:color="000000" w:sz="4" w:space="0"/>
            </w:tcBorders>
            <w:vAlign w:val="center"/>
          </w:tcPr>
          <w:p w14:paraId="0AFCF40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四级</w:t>
            </w:r>
          </w:p>
          <w:p w14:paraId="05FC004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（中度破坏）</w:t>
            </w:r>
          </w:p>
        </w:tc>
        <w:tc>
          <w:tcPr>
            <w:tcW w:w="712" w:type="pct"/>
            <w:tcBorders>
              <w:top w:val="single" w:color="000000" w:sz="4" w:space="0"/>
              <w:left w:val="single" w:color="000000" w:sz="4" w:space="0"/>
              <w:bottom w:val="single" w:color="000000" w:sz="4" w:space="0"/>
              <w:right w:val="single" w:color="000000" w:sz="4" w:space="0"/>
            </w:tcBorders>
            <w:vAlign w:val="center"/>
          </w:tcPr>
          <w:p w14:paraId="0DAACCF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五级</w:t>
            </w:r>
          </w:p>
          <w:p w14:paraId="36CA01F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（次严重破坏）</w:t>
            </w:r>
          </w:p>
        </w:tc>
        <w:tc>
          <w:tcPr>
            <w:tcW w:w="667" w:type="pct"/>
            <w:tcBorders>
              <w:top w:val="single" w:color="000000" w:sz="4" w:space="0"/>
              <w:left w:val="single" w:color="000000" w:sz="4" w:space="0"/>
              <w:bottom w:val="single" w:color="000000" w:sz="4" w:space="0"/>
              <w:right w:val="single" w:color="000000" w:sz="4" w:space="0"/>
            </w:tcBorders>
            <w:vAlign w:val="center"/>
          </w:tcPr>
          <w:p w14:paraId="343D87E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六级</w:t>
            </w:r>
          </w:p>
          <w:p w14:paraId="6F0086B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（严重破坏）</w:t>
            </w:r>
          </w:p>
        </w:tc>
        <w:tc>
          <w:tcPr>
            <w:tcW w:w="503" w:type="pct"/>
            <w:tcBorders>
              <w:top w:val="single" w:color="000000" w:sz="4" w:space="0"/>
              <w:left w:val="single" w:color="000000" w:sz="4" w:space="0"/>
              <w:bottom w:val="single" w:color="000000" w:sz="4" w:space="0"/>
              <w:right w:val="single" w:color="000000" w:sz="12" w:space="0"/>
            </w:tcBorders>
            <w:vAlign w:val="center"/>
          </w:tcPr>
          <w:p w14:paraId="53D8DF0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七级</w:t>
            </w:r>
          </w:p>
          <w:p w14:paraId="242FA93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（完全破坏）</w:t>
            </w:r>
          </w:p>
        </w:tc>
      </w:tr>
      <w:tr w14:paraId="086C4B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573" w:hRule="atLeast"/>
        </w:trPr>
        <w:tc>
          <w:tcPr>
            <w:tcW w:w="434" w:type="pct"/>
            <w:tcBorders>
              <w:top w:val="single" w:color="000000" w:sz="4" w:space="0"/>
              <w:left w:val="single" w:color="000000" w:sz="12" w:space="0"/>
              <w:right w:val="single" w:color="000000" w:sz="4" w:space="0"/>
            </w:tcBorders>
            <w:vAlign w:val="center"/>
          </w:tcPr>
          <w:p w14:paraId="27F7990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bookmarkStart w:id="602" w:name="_Hlk198854131"/>
            <w:r>
              <w:rPr>
                <w:rFonts w:hint="eastAsia" w:ascii="宋体" w:hAnsi="宋体"/>
                <w:b w:val="0"/>
                <w:bCs/>
                <w:szCs w:val="21"/>
              </w:rPr>
              <w:t>距离r</w:t>
            </w:r>
          </w:p>
          <w:p w14:paraId="10172B5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(m)</w:t>
            </w:r>
          </w:p>
        </w:tc>
        <w:tc>
          <w:tcPr>
            <w:tcW w:w="479" w:type="pct"/>
            <w:tcBorders>
              <w:top w:val="single" w:color="000000" w:sz="4" w:space="0"/>
              <w:left w:val="single" w:color="000000" w:sz="4" w:space="0"/>
              <w:bottom w:val="single" w:color="000000" w:sz="4" w:space="0"/>
              <w:right w:val="single" w:color="000000" w:sz="4" w:space="0"/>
            </w:tcBorders>
            <w:vAlign w:val="center"/>
          </w:tcPr>
          <w:p w14:paraId="02FEC02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67电烘房/散热</w:t>
            </w:r>
          </w:p>
        </w:tc>
        <w:tc>
          <w:tcPr>
            <w:tcW w:w="812" w:type="pct"/>
            <w:tcBorders>
              <w:top w:val="single" w:color="000000" w:sz="4" w:space="0"/>
              <w:left w:val="single" w:color="000000" w:sz="4" w:space="0"/>
              <w:bottom w:val="single" w:color="000000" w:sz="4" w:space="0"/>
              <w:right w:val="single" w:color="000000" w:sz="4" w:space="0"/>
            </w:tcBorders>
            <w:vAlign w:val="center"/>
          </w:tcPr>
          <w:p w14:paraId="5F00BF4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71.06～171.5</w:t>
            </w:r>
          </w:p>
        </w:tc>
        <w:tc>
          <w:tcPr>
            <w:tcW w:w="727" w:type="pct"/>
            <w:tcBorders>
              <w:top w:val="single" w:color="000000" w:sz="4" w:space="0"/>
              <w:left w:val="single" w:color="000000" w:sz="4" w:space="0"/>
              <w:bottom w:val="single" w:color="000000" w:sz="4" w:space="0"/>
              <w:right w:val="single" w:color="000000" w:sz="4" w:space="0"/>
            </w:tcBorders>
            <w:vAlign w:val="center"/>
          </w:tcPr>
          <w:p w14:paraId="01D9C16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41.42～71.06</w:t>
            </w:r>
          </w:p>
        </w:tc>
        <w:tc>
          <w:tcPr>
            <w:tcW w:w="662" w:type="pct"/>
            <w:tcBorders>
              <w:top w:val="single" w:color="000000" w:sz="4" w:space="0"/>
              <w:left w:val="single" w:color="000000" w:sz="4" w:space="0"/>
              <w:bottom w:val="single" w:color="000000" w:sz="4" w:space="0"/>
              <w:right w:val="single" w:color="000000" w:sz="4" w:space="0"/>
            </w:tcBorders>
            <w:vAlign w:val="center"/>
          </w:tcPr>
          <w:p w14:paraId="09F018D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32.7～41.42</w:t>
            </w:r>
          </w:p>
        </w:tc>
        <w:tc>
          <w:tcPr>
            <w:tcW w:w="712" w:type="pct"/>
            <w:tcBorders>
              <w:top w:val="single" w:color="000000" w:sz="4" w:space="0"/>
              <w:left w:val="single" w:color="000000" w:sz="4" w:space="0"/>
              <w:bottom w:val="single" w:color="000000" w:sz="4" w:space="0"/>
              <w:right w:val="single" w:color="000000" w:sz="4" w:space="0"/>
            </w:tcBorders>
            <w:vAlign w:val="center"/>
          </w:tcPr>
          <w:p w14:paraId="694B867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27.97～32.7</w:t>
            </w:r>
          </w:p>
        </w:tc>
        <w:tc>
          <w:tcPr>
            <w:tcW w:w="667" w:type="pct"/>
            <w:tcBorders>
              <w:top w:val="single" w:color="000000" w:sz="4" w:space="0"/>
              <w:left w:val="single" w:color="000000" w:sz="4" w:space="0"/>
              <w:bottom w:val="single" w:color="000000" w:sz="4" w:space="0"/>
              <w:right w:val="single" w:color="000000" w:sz="4" w:space="0"/>
            </w:tcBorders>
            <w:vAlign w:val="center"/>
          </w:tcPr>
          <w:p w14:paraId="6F7F21C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23.93～27.97</w:t>
            </w:r>
          </w:p>
        </w:tc>
        <w:tc>
          <w:tcPr>
            <w:tcW w:w="503" w:type="pct"/>
            <w:tcBorders>
              <w:top w:val="single" w:color="000000" w:sz="4" w:space="0"/>
              <w:left w:val="single" w:color="000000" w:sz="4" w:space="0"/>
              <w:bottom w:val="single" w:color="000000" w:sz="4" w:space="0"/>
              <w:right w:val="single" w:color="000000" w:sz="12" w:space="0"/>
            </w:tcBorders>
            <w:vAlign w:val="center"/>
          </w:tcPr>
          <w:p w14:paraId="3D29CD9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val="0"/>
                <w:bCs/>
                <w:szCs w:val="21"/>
              </w:rPr>
            </w:pPr>
            <w:r>
              <w:rPr>
                <w:rFonts w:hint="eastAsia" w:ascii="宋体" w:hAnsi="宋体"/>
                <w:b w:val="0"/>
                <w:bCs/>
                <w:szCs w:val="21"/>
              </w:rPr>
              <w:t>＜23.9</w:t>
            </w:r>
          </w:p>
        </w:tc>
      </w:tr>
      <w:bookmarkEnd w:id="602"/>
    </w:tbl>
    <w:p w14:paraId="5E3C6570">
      <w:pPr>
        <w:spacing w:before="120" w:beforeLines="50" w:line="360" w:lineRule="auto"/>
        <w:ind w:firstLine="560" w:firstLineChars="200"/>
        <w:rPr>
          <w:rFonts w:ascii="宋体" w:hAnsi="宋体" w:cs="宋体"/>
          <w:b w:val="0"/>
          <w:bCs/>
          <w:sz w:val="28"/>
          <w:szCs w:val="28"/>
        </w:rPr>
      </w:pPr>
      <w:r>
        <w:rPr>
          <w:rFonts w:hint="eastAsia" w:ascii="宋体" w:hAnsi="宋体" w:cs="宋体"/>
          <w:b w:val="0"/>
          <w:bCs/>
          <w:sz w:val="28"/>
          <w:szCs w:val="28"/>
        </w:rPr>
        <w:t>3.爆炸事故后果模拟分析</w:t>
      </w:r>
    </w:p>
    <w:p w14:paraId="27AE61D4">
      <w:pPr>
        <w:spacing w:line="360" w:lineRule="auto"/>
        <w:ind w:firstLine="560" w:firstLineChars="200"/>
        <w:jc w:val="left"/>
        <w:rPr>
          <w:rFonts w:ascii="宋体" w:hAnsi="宋体"/>
          <w:b w:val="0"/>
          <w:bCs/>
          <w:sz w:val="28"/>
          <w:szCs w:val="28"/>
        </w:rPr>
      </w:pPr>
      <w:r>
        <w:rPr>
          <w:rFonts w:hint="eastAsia" w:ascii="宋体" w:hAnsi="宋体"/>
          <w:b w:val="0"/>
          <w:bCs/>
          <w:sz w:val="28"/>
          <w:szCs w:val="28"/>
        </w:rPr>
        <w:t>假定该企业67电烘房/散热</w:t>
      </w:r>
      <w:r>
        <w:rPr>
          <w:rFonts w:hint="eastAsia" w:ascii="宋体" w:hAnsi="宋体" w:cs="宋体"/>
          <w:b w:val="0"/>
          <w:bCs/>
          <w:sz w:val="28"/>
          <w:szCs w:val="28"/>
        </w:rPr>
        <w:t>（计算药量5</w:t>
      </w:r>
      <w:r>
        <w:rPr>
          <w:rFonts w:ascii="宋体" w:hAnsi="宋体" w:cs="宋体"/>
          <w:b w:val="0"/>
          <w:bCs/>
          <w:sz w:val="28"/>
          <w:szCs w:val="28"/>
        </w:rPr>
        <w:t>00kg</w:t>
      </w:r>
      <w:r>
        <w:rPr>
          <w:rFonts w:hint="eastAsia" w:ascii="宋体" w:hAnsi="宋体" w:cs="宋体"/>
          <w:b w:val="0"/>
          <w:bCs/>
          <w:sz w:val="28"/>
          <w:szCs w:val="28"/>
        </w:rPr>
        <w:t>）</w:t>
      </w:r>
      <w:r>
        <w:rPr>
          <w:rFonts w:hint="eastAsia" w:ascii="宋体" w:hAnsi="宋体"/>
          <w:b w:val="0"/>
          <w:bCs/>
          <w:sz w:val="28"/>
          <w:szCs w:val="28"/>
        </w:rPr>
        <w:t>发生爆炸（不考虑引起殉爆所致的连锁放大反应）。</w:t>
      </w:r>
    </w:p>
    <w:p w14:paraId="4C137FEE">
      <w:pPr>
        <w:spacing w:line="360" w:lineRule="auto"/>
        <w:ind w:firstLine="560" w:firstLineChars="200"/>
        <w:rPr>
          <w:rFonts w:ascii="宋体" w:hAnsi="宋体" w:cs="宋体"/>
          <w:b w:val="0"/>
          <w:bCs/>
          <w:sz w:val="28"/>
          <w:szCs w:val="28"/>
        </w:rPr>
      </w:pPr>
      <w:bookmarkStart w:id="603" w:name="OLE_LINK229"/>
      <w:bookmarkStart w:id="604" w:name="OLE_LINK230"/>
      <w:r>
        <w:rPr>
          <w:rFonts w:hint="eastAsia" w:ascii="宋体" w:hAnsi="宋体"/>
          <w:b w:val="0"/>
          <w:bCs/>
          <w:sz w:val="28"/>
          <w:szCs w:val="28"/>
        </w:rPr>
        <w:t>假定爆炸时，各工房内均有人员作业，工房内人数按设计人数计算，根据现场工房布局和距离情况，</w:t>
      </w:r>
      <w:bookmarkEnd w:id="603"/>
      <w:bookmarkEnd w:id="604"/>
      <w:r>
        <w:rPr>
          <w:rFonts w:hint="eastAsia" w:ascii="宋体" w:hAnsi="宋体" w:cs="宋体"/>
          <w:b w:val="0"/>
          <w:bCs/>
          <w:sz w:val="28"/>
          <w:szCs w:val="28"/>
        </w:rPr>
        <w:t>67电烘房/散热设有严实的防护屏障，事故后果按有防护状态进行事故后果模拟分析，由表5</w:t>
      </w:r>
      <w:r>
        <w:rPr>
          <w:rFonts w:ascii="宋体" w:hAnsi="宋体" w:cs="宋体"/>
          <w:b w:val="0"/>
          <w:bCs/>
          <w:sz w:val="28"/>
          <w:szCs w:val="28"/>
        </w:rPr>
        <w:t>.7-3</w:t>
      </w:r>
      <w:r>
        <w:rPr>
          <w:rFonts w:hint="eastAsia" w:ascii="宋体" w:hAnsi="宋体" w:cs="宋体"/>
          <w:b w:val="0"/>
          <w:bCs/>
          <w:sz w:val="28"/>
          <w:szCs w:val="28"/>
        </w:rPr>
        <w:t>、5</w:t>
      </w:r>
      <w:r>
        <w:rPr>
          <w:rFonts w:ascii="宋体" w:hAnsi="宋体" w:cs="宋体"/>
          <w:b w:val="0"/>
          <w:bCs/>
          <w:sz w:val="28"/>
          <w:szCs w:val="28"/>
        </w:rPr>
        <w:t>.7-4</w:t>
      </w:r>
      <w:r>
        <w:rPr>
          <w:rFonts w:hint="eastAsia" w:ascii="宋体" w:hAnsi="宋体" w:cs="宋体"/>
          <w:b w:val="0"/>
          <w:bCs/>
          <w:sz w:val="28"/>
          <w:szCs w:val="28"/>
        </w:rPr>
        <w:t>计算结果可知：如果其发生爆炸，距离20米处的66</w:t>
      </w:r>
      <w:r>
        <w:rPr>
          <w:rFonts w:ascii="宋体" w:hAnsi="宋体" w:cs="宋体"/>
          <w:b w:val="0"/>
          <w:bCs/>
          <w:sz w:val="28"/>
          <w:szCs w:val="28"/>
        </w:rPr>
        <w:t>#</w:t>
      </w:r>
      <w:r>
        <w:rPr>
          <w:rFonts w:hint="eastAsia" w:ascii="宋体" w:hAnsi="宋体" w:cs="宋体"/>
          <w:b w:val="0"/>
          <w:bCs/>
          <w:sz w:val="28"/>
          <w:szCs w:val="28"/>
        </w:rPr>
        <w:t>包装、距离21米处的69</w:t>
      </w:r>
      <w:r>
        <w:rPr>
          <w:rFonts w:ascii="宋体" w:hAnsi="宋体" w:cs="宋体"/>
          <w:b w:val="0"/>
          <w:bCs/>
          <w:sz w:val="28"/>
          <w:szCs w:val="28"/>
        </w:rPr>
        <w:t>#</w:t>
      </w:r>
      <w:r>
        <w:rPr>
          <w:rFonts w:hint="eastAsia" w:ascii="宋体" w:hAnsi="宋体" w:cs="宋体"/>
          <w:b w:val="0"/>
          <w:bCs/>
          <w:sz w:val="28"/>
          <w:szCs w:val="28"/>
        </w:rPr>
        <w:t>摊晾、将受到七级完全破坏，其内人员受到的伤害程度为死亡或</w:t>
      </w:r>
      <w:r>
        <w:rPr>
          <w:rFonts w:hint="eastAsia" w:ascii="宋体" w:hAnsi="宋体" w:cs="宋体"/>
          <w:b w:val="0"/>
          <w:bCs/>
          <w:color w:val="000000" w:themeColor="text1"/>
          <w:sz w:val="28"/>
          <w:szCs w:val="28"/>
          <w14:textFill>
            <w14:solidFill>
              <w14:schemeClr w14:val="tx1"/>
            </w14:solidFill>
          </w14:textFill>
        </w:rPr>
        <w:t>致命伤；距离</w:t>
      </w:r>
      <w:r>
        <w:rPr>
          <w:rFonts w:ascii="宋体" w:hAnsi="宋体" w:cs="宋体"/>
          <w:b w:val="0"/>
          <w:bCs/>
          <w:color w:val="000000" w:themeColor="text1"/>
          <w:sz w:val="28"/>
          <w:szCs w:val="28"/>
          <w14:textFill>
            <w14:solidFill>
              <w14:schemeClr w14:val="tx1"/>
            </w14:solidFill>
          </w14:textFill>
        </w:rPr>
        <w:t>3</w:t>
      </w:r>
      <w:r>
        <w:rPr>
          <w:rFonts w:hint="eastAsia" w:ascii="宋体" w:hAnsi="宋体" w:cs="宋体"/>
          <w:b w:val="0"/>
          <w:bCs/>
          <w:color w:val="000000" w:themeColor="text1"/>
          <w:sz w:val="28"/>
          <w:szCs w:val="28"/>
          <w14:textFill>
            <w14:solidFill>
              <w14:schemeClr w14:val="tx1"/>
            </w14:solidFill>
          </w14:textFill>
        </w:rPr>
        <w:t>6</w:t>
      </w:r>
      <w:r>
        <w:rPr>
          <w:rFonts w:ascii="宋体" w:hAnsi="宋体" w:cs="宋体"/>
          <w:b w:val="0"/>
          <w:bCs/>
          <w:color w:val="000000" w:themeColor="text1"/>
          <w:sz w:val="28"/>
          <w:szCs w:val="28"/>
          <w14:textFill>
            <w14:solidFill>
              <w14:schemeClr w14:val="tx1"/>
            </w14:solidFill>
          </w14:textFill>
        </w:rPr>
        <w:t>.</w:t>
      </w:r>
      <w:r>
        <w:rPr>
          <w:rFonts w:hint="eastAsia" w:ascii="宋体" w:hAnsi="宋体" w:cs="宋体"/>
          <w:b w:val="0"/>
          <w:bCs/>
          <w:color w:val="000000" w:themeColor="text1"/>
          <w:sz w:val="28"/>
          <w:szCs w:val="28"/>
          <w14:textFill>
            <w14:solidFill>
              <w14:schemeClr w14:val="tx1"/>
            </w14:solidFill>
          </w14:textFill>
        </w:rPr>
        <w:t>2米处的70#筛选中转及距离37米处的65#包装中转将受到四级中度破坏，其内人员受到的伤害程度为中伤内伤、耳膜破裂；</w:t>
      </w:r>
      <w:r>
        <w:rPr>
          <w:rFonts w:hint="eastAsia"/>
          <w:b w:val="0"/>
          <w:bCs/>
          <w:color w:val="000000" w:themeColor="text1"/>
          <w:sz w:val="28"/>
          <w:szCs w:val="28"/>
          <w14:textFill>
            <w14:solidFill>
              <w14:schemeClr w14:val="tx1"/>
            </w14:solidFill>
          </w14:textFill>
        </w:rPr>
        <w:t>其余建筑物</w:t>
      </w:r>
      <w:r>
        <w:rPr>
          <w:rFonts w:hint="eastAsia"/>
          <w:b w:val="0"/>
          <w:bCs/>
          <w:sz w:val="28"/>
          <w:szCs w:val="28"/>
        </w:rPr>
        <w:t>最严重将受到三级轻度破坏，人员的伤害程度为轻伤内伤、耳鸣。</w:t>
      </w:r>
    </w:p>
    <w:p w14:paraId="4F21976D">
      <w:pPr>
        <w:spacing w:line="360" w:lineRule="auto"/>
        <w:ind w:firstLine="560" w:firstLineChars="200"/>
        <w:rPr>
          <w:rFonts w:ascii="宋体" w:hAnsi="宋体"/>
          <w:b w:val="0"/>
          <w:bCs/>
          <w:szCs w:val="28"/>
        </w:rPr>
      </w:pPr>
      <w:r>
        <w:rPr>
          <w:rFonts w:hint="eastAsia" w:ascii="宋体" w:hAnsi="宋体"/>
          <w:b w:val="0"/>
          <w:bCs/>
          <w:sz w:val="28"/>
          <w:szCs w:val="28"/>
        </w:rPr>
        <w:t>各重大危险对象的事故严重度，在上述计算分析中是以独立单元中单栋药量最大的作为研究对象且不涉及抛射、喷射产品，它一旦发生爆炸的效果足以说明问题，已不必再考虑各单元发生殉爆、二次破坏事故时的严重后果</w:t>
      </w:r>
      <w:r>
        <w:rPr>
          <w:rFonts w:hint="eastAsia" w:ascii="宋体" w:hAnsi="宋体"/>
          <w:b w:val="0"/>
          <w:bCs/>
          <w:szCs w:val="28"/>
        </w:rPr>
        <w:t>。</w:t>
      </w:r>
      <w:bookmarkStart w:id="605" w:name="_Toc176"/>
      <w:bookmarkStart w:id="606" w:name="_Toc14911"/>
      <w:bookmarkStart w:id="607" w:name="_Toc6764"/>
      <w:bookmarkStart w:id="608" w:name="_Toc32194"/>
      <w:bookmarkStart w:id="609" w:name="_Toc12888"/>
      <w:bookmarkStart w:id="610" w:name="_Toc16637"/>
    </w:p>
    <w:p w14:paraId="6B779CA6">
      <w:pPr>
        <w:keepNext/>
        <w:keepLines/>
        <w:spacing w:before="120" w:beforeLines="50" w:line="360" w:lineRule="auto"/>
        <w:outlineLvl w:val="1"/>
        <w:rPr>
          <w:rFonts w:ascii="黑体" w:hAnsi="宋体" w:eastAsia="黑体"/>
          <w:b w:val="0"/>
          <w:bCs/>
          <w:snapToGrid w:val="0"/>
          <w:sz w:val="30"/>
          <w:szCs w:val="30"/>
          <w:lang w:val="zh-CN"/>
        </w:rPr>
      </w:pPr>
      <w:bookmarkStart w:id="611" w:name="_Toc32493"/>
      <w:bookmarkStart w:id="612" w:name="_Toc30082"/>
      <w:bookmarkStart w:id="613" w:name="_Toc6491"/>
      <w:bookmarkStart w:id="614" w:name="_Toc16903"/>
      <w:r>
        <w:rPr>
          <w:rFonts w:hint="eastAsia" w:ascii="黑体" w:hAnsi="宋体" w:eastAsia="黑体"/>
          <w:b w:val="0"/>
          <w:bCs/>
          <w:snapToGrid w:val="0"/>
          <w:sz w:val="30"/>
          <w:szCs w:val="30"/>
          <w:lang w:val="zh-CN"/>
        </w:rPr>
        <w:t>5.8重大危险源评价</w:t>
      </w:r>
      <w:bookmarkEnd w:id="611"/>
      <w:bookmarkEnd w:id="612"/>
      <w:bookmarkEnd w:id="613"/>
      <w:bookmarkEnd w:id="614"/>
    </w:p>
    <w:p w14:paraId="28BC5C00">
      <w:pPr>
        <w:pStyle w:val="5"/>
        <w:rPr>
          <w:rFonts w:ascii="黑体" w:hAnsi="黑体" w:eastAsia="黑体"/>
          <w:b w:val="0"/>
          <w:bCs w:val="0"/>
        </w:rPr>
      </w:pPr>
      <w:r>
        <w:rPr>
          <w:rFonts w:hint="eastAsia" w:ascii="黑体" w:hAnsi="黑体" w:eastAsia="黑体"/>
          <w:b w:val="0"/>
          <w:bCs w:val="0"/>
        </w:rPr>
        <w:t>5.8.1</w:t>
      </w:r>
      <w:r>
        <w:rPr>
          <w:rFonts w:hint="eastAsia" w:ascii="黑体" w:hAnsi="黑体" w:eastAsia="黑体"/>
          <w:b w:val="0"/>
          <w:bCs w:val="0"/>
          <w:lang w:val="zh-CN"/>
        </w:rPr>
        <w:t>重大危险源安全管理</w:t>
      </w:r>
    </w:p>
    <w:p w14:paraId="2166F6F7">
      <w:pPr>
        <w:spacing w:line="360" w:lineRule="auto"/>
        <w:ind w:firstLine="560" w:firstLineChars="200"/>
        <w:rPr>
          <w:rFonts w:ascii="宋体" w:hAnsi="宋体"/>
          <w:b w:val="0"/>
          <w:bCs/>
          <w:sz w:val="28"/>
          <w:szCs w:val="28"/>
          <w:lang w:val="en-GB"/>
        </w:rPr>
      </w:pPr>
      <w:r>
        <w:rPr>
          <w:rFonts w:hint="eastAsia" w:ascii="宋体" w:hAnsi="宋体"/>
          <w:b w:val="0"/>
          <w:bCs/>
          <w:sz w:val="28"/>
          <w:szCs w:val="28"/>
          <w:lang w:val="en-GB"/>
        </w:rPr>
        <w:t>根据</w:t>
      </w:r>
      <w:r>
        <w:rPr>
          <w:rFonts w:hint="eastAsia" w:ascii="宋体" w:hAnsi="宋体"/>
          <w:b w:val="0"/>
          <w:bCs/>
          <w:sz w:val="28"/>
          <w:szCs w:val="28"/>
        </w:rPr>
        <w:t>3.4.3章节</w:t>
      </w:r>
      <w:r>
        <w:rPr>
          <w:rFonts w:hint="eastAsia" w:ascii="宋体" w:hAnsi="宋体"/>
          <w:b w:val="0"/>
          <w:bCs/>
          <w:sz w:val="28"/>
          <w:szCs w:val="28"/>
          <w:lang w:val="en-GB"/>
        </w:rPr>
        <w:t>辨识出的重大危险源，本次评价将在此基础上对重大危险源采用安全检查表进行评价。</w:t>
      </w:r>
    </w:p>
    <w:p w14:paraId="23892754">
      <w:pPr>
        <w:spacing w:line="360" w:lineRule="auto"/>
        <w:ind w:firstLine="560" w:firstLineChars="200"/>
        <w:rPr>
          <w:rFonts w:ascii="宋体" w:hAnsi="宋体"/>
          <w:b w:val="0"/>
          <w:bCs/>
          <w:sz w:val="28"/>
          <w:szCs w:val="28"/>
          <w:lang w:val="en-GB"/>
        </w:rPr>
      </w:pPr>
      <w:r>
        <w:rPr>
          <w:rFonts w:hint="eastAsia" w:ascii="宋体" w:hAnsi="宋体"/>
          <w:b w:val="0"/>
          <w:bCs/>
          <w:sz w:val="28"/>
          <w:szCs w:val="28"/>
          <w:lang w:val="en-GB"/>
        </w:rPr>
        <w:t>我们对重大危险源评价，是辨识、分析重大危险源存在的危险、有害因素，针对重大危险源存在的危险、有害因素及现场情况，对现场设施、装置、防护措施、管理措施等部分等进行安全评价，并提出建议补充的安全对策措施。根据重大危险源不同的危险程度，分别向国家、省、市、县等应急管理部门备案，从而实现对重大危险源有效的监控与管理。根据《安全生产法》、《安全生产许可证条例》、《烟花爆竹安全管理条例》、《烟花爆竹工程设计安全规范》和《危险化学品重大危险源监督管理暂行规定》等法律法规的要求，选用安全检查表对其进行定性的安全评价。</w:t>
      </w:r>
    </w:p>
    <w:p w14:paraId="78D43A2D">
      <w:pPr>
        <w:spacing w:line="360" w:lineRule="auto"/>
        <w:ind w:firstLine="560" w:firstLineChars="200"/>
        <w:rPr>
          <w:rFonts w:ascii="宋体" w:hAnsi="宋体"/>
          <w:b w:val="0"/>
          <w:bCs/>
          <w:sz w:val="28"/>
          <w:szCs w:val="28"/>
          <w:lang w:val="en-GB"/>
        </w:rPr>
      </w:pPr>
      <w:r>
        <w:rPr>
          <w:rFonts w:hint="eastAsia" w:ascii="宋体" w:hAnsi="宋体"/>
          <w:b w:val="0"/>
          <w:bCs/>
          <w:sz w:val="28"/>
          <w:szCs w:val="28"/>
          <w:lang w:val="en-GB"/>
        </w:rPr>
        <w:t>针对该企业重大危险源的安全管理检查见下表5.8-1。</w:t>
      </w:r>
    </w:p>
    <w:p w14:paraId="342F4814">
      <w:pPr>
        <w:spacing w:line="360" w:lineRule="auto"/>
        <w:ind w:firstLine="422" w:firstLineChars="200"/>
        <w:jc w:val="center"/>
        <w:rPr>
          <w:rFonts w:ascii="宋体" w:hAnsi="宋体"/>
          <w:bCs/>
          <w:szCs w:val="21"/>
        </w:rPr>
      </w:pPr>
      <w:r>
        <w:rPr>
          <w:rFonts w:hint="eastAsia" w:ascii="宋体" w:hAnsi="宋体"/>
          <w:bCs/>
          <w:szCs w:val="21"/>
        </w:rPr>
        <w:t xml:space="preserve">表5.8-1    </w:t>
      </w:r>
      <w:r>
        <w:rPr>
          <w:rFonts w:hint="eastAsia" w:ascii="宋体" w:hAnsi="宋体"/>
          <w:bCs/>
          <w:szCs w:val="21"/>
          <w:lang w:val="zh-CN"/>
        </w:rPr>
        <w:t>重大危险源安全管理检查表</w:t>
      </w:r>
    </w:p>
    <w:tbl>
      <w:tblPr>
        <w:tblStyle w:val="88"/>
        <w:tblW w:w="9317"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6"/>
        <w:gridCol w:w="2688"/>
        <w:gridCol w:w="2509"/>
        <w:gridCol w:w="2688"/>
        <w:gridCol w:w="716"/>
      </w:tblGrid>
      <w:tr w14:paraId="5D5873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3" w:hRule="atLeast"/>
          <w:tblHeader/>
        </w:trPr>
        <w:tc>
          <w:tcPr>
            <w:tcW w:w="716" w:type="dxa"/>
            <w:vAlign w:val="center"/>
          </w:tcPr>
          <w:p w14:paraId="36BD6C2C">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序号</w:t>
            </w:r>
          </w:p>
        </w:tc>
        <w:tc>
          <w:tcPr>
            <w:tcW w:w="2688" w:type="dxa"/>
            <w:vAlign w:val="center"/>
          </w:tcPr>
          <w:p w14:paraId="607950FC">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检查项目</w:t>
            </w:r>
          </w:p>
        </w:tc>
        <w:tc>
          <w:tcPr>
            <w:tcW w:w="2509" w:type="dxa"/>
            <w:vAlign w:val="center"/>
          </w:tcPr>
          <w:p w14:paraId="7250862E">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lang w:val="zh-CN"/>
              </w:rPr>
              <w:t>依据</w:t>
            </w:r>
          </w:p>
        </w:tc>
        <w:tc>
          <w:tcPr>
            <w:tcW w:w="2688" w:type="dxa"/>
            <w:vAlign w:val="center"/>
          </w:tcPr>
          <w:p w14:paraId="35BEAF38">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lang w:val="zh-CN"/>
              </w:rPr>
              <w:t>检查情况</w:t>
            </w:r>
          </w:p>
        </w:tc>
        <w:tc>
          <w:tcPr>
            <w:tcW w:w="716" w:type="dxa"/>
            <w:vAlign w:val="center"/>
          </w:tcPr>
          <w:p w14:paraId="28575ACB">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lang w:val="zh-CN"/>
              </w:rPr>
              <w:t>备注</w:t>
            </w:r>
          </w:p>
        </w:tc>
      </w:tr>
      <w:tr w14:paraId="3E2F6A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84" w:hRule="atLeast"/>
        </w:trPr>
        <w:tc>
          <w:tcPr>
            <w:tcW w:w="716" w:type="dxa"/>
            <w:vAlign w:val="center"/>
          </w:tcPr>
          <w:p w14:paraId="07424E8E">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ascii="宋体" w:hAnsi="宋体"/>
                <w:b w:val="0"/>
                <w:bCs/>
                <w:szCs w:val="21"/>
              </w:rPr>
              <w:t>1</w:t>
            </w:r>
          </w:p>
        </w:tc>
        <w:tc>
          <w:tcPr>
            <w:tcW w:w="2688" w:type="dxa"/>
            <w:vAlign w:val="center"/>
          </w:tcPr>
          <w:p w14:paraId="16AC484A">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建立、健全主要负责人、分管负责人、安全生产管理人员、职能部门、岗位安全生产责任制。</w:t>
            </w:r>
          </w:p>
        </w:tc>
        <w:tc>
          <w:tcPr>
            <w:tcW w:w="2509" w:type="dxa"/>
            <w:vAlign w:val="center"/>
          </w:tcPr>
          <w:p w14:paraId="74558E88">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《安全生产法》、《烟花爆竹安全管理条例》、《安全生产许可证条例》、</w:t>
            </w:r>
            <w:r>
              <w:rPr>
                <w:rFonts w:hint="eastAsia"/>
                <w:b w:val="0"/>
                <w:bCs/>
              </w:rPr>
              <w:t>《</w:t>
            </w:r>
            <w:r>
              <w:rPr>
                <w:rFonts w:hint="eastAsia"/>
                <w:b w:val="0"/>
                <w:bCs/>
                <w:lang w:val="en-GB"/>
              </w:rPr>
              <w:t>危险化学品重大危险源监督管理暂行规定》</w:t>
            </w:r>
          </w:p>
        </w:tc>
        <w:tc>
          <w:tcPr>
            <w:tcW w:w="2688" w:type="dxa"/>
            <w:vAlign w:val="center"/>
          </w:tcPr>
          <w:p w14:paraId="750932E7">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rPr>
              <w:t>建立各岗位安全职责</w:t>
            </w:r>
          </w:p>
        </w:tc>
        <w:tc>
          <w:tcPr>
            <w:tcW w:w="716" w:type="dxa"/>
            <w:vAlign w:val="center"/>
          </w:tcPr>
          <w:p w14:paraId="74E88034">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合格</w:t>
            </w:r>
          </w:p>
        </w:tc>
      </w:tr>
      <w:tr w14:paraId="3DB263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84" w:hRule="atLeast"/>
        </w:trPr>
        <w:tc>
          <w:tcPr>
            <w:tcW w:w="716" w:type="dxa"/>
            <w:vAlign w:val="center"/>
          </w:tcPr>
          <w:p w14:paraId="50F8605C">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ascii="宋体" w:hAnsi="宋体"/>
                <w:b w:val="0"/>
                <w:bCs/>
                <w:szCs w:val="21"/>
              </w:rPr>
              <w:t>2</w:t>
            </w:r>
          </w:p>
        </w:tc>
        <w:tc>
          <w:tcPr>
            <w:tcW w:w="2688" w:type="dxa"/>
            <w:vAlign w:val="center"/>
          </w:tcPr>
          <w:p w14:paraId="181FCA3E">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制定安全教育和培训、安全费用投入保障、安全设施和设备管理、安全检查和隐患整改、劳动保护用品（具）等各项必须的规章制度。</w:t>
            </w:r>
          </w:p>
        </w:tc>
        <w:tc>
          <w:tcPr>
            <w:tcW w:w="2509" w:type="dxa"/>
            <w:vAlign w:val="center"/>
          </w:tcPr>
          <w:p w14:paraId="07AD835D">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《安全生产法》、《烟花爆竹安全管理条例》、《安全生产许可证条例》、</w:t>
            </w:r>
            <w:r>
              <w:rPr>
                <w:rFonts w:hint="eastAsia"/>
                <w:b w:val="0"/>
                <w:bCs/>
              </w:rPr>
              <w:t>《</w:t>
            </w:r>
            <w:r>
              <w:rPr>
                <w:rFonts w:hint="eastAsia"/>
                <w:b w:val="0"/>
                <w:bCs/>
                <w:lang w:val="en-GB"/>
              </w:rPr>
              <w:t>危险化学品重大危险源监督管理暂行规定》</w:t>
            </w:r>
          </w:p>
        </w:tc>
        <w:tc>
          <w:tcPr>
            <w:tcW w:w="2688" w:type="dxa"/>
            <w:vAlign w:val="center"/>
          </w:tcPr>
          <w:p w14:paraId="4E545132">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rPr>
              <w:t>建立了各项安全制度</w:t>
            </w:r>
          </w:p>
        </w:tc>
        <w:tc>
          <w:tcPr>
            <w:tcW w:w="716" w:type="dxa"/>
            <w:vAlign w:val="center"/>
          </w:tcPr>
          <w:p w14:paraId="3C60AACE">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合格</w:t>
            </w:r>
          </w:p>
        </w:tc>
      </w:tr>
      <w:tr w14:paraId="6CB3C2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5" w:hRule="atLeast"/>
        </w:trPr>
        <w:tc>
          <w:tcPr>
            <w:tcW w:w="716" w:type="dxa"/>
            <w:vAlign w:val="center"/>
          </w:tcPr>
          <w:p w14:paraId="59E7717A">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ascii="宋体" w:hAnsi="宋体"/>
                <w:b w:val="0"/>
                <w:bCs/>
                <w:szCs w:val="21"/>
              </w:rPr>
              <w:t>3</w:t>
            </w:r>
          </w:p>
        </w:tc>
        <w:tc>
          <w:tcPr>
            <w:tcW w:w="2688" w:type="dxa"/>
            <w:vAlign w:val="center"/>
          </w:tcPr>
          <w:p w14:paraId="6ADDBD45">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编制了各岗位的安全操作规程、重大危险源点有明显安全标志</w:t>
            </w:r>
          </w:p>
        </w:tc>
        <w:tc>
          <w:tcPr>
            <w:tcW w:w="2509" w:type="dxa"/>
            <w:vMerge w:val="restart"/>
            <w:vAlign w:val="center"/>
          </w:tcPr>
          <w:p w14:paraId="7AAA295D">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《安全生产法》、《安全生产许可证条例》、</w:t>
            </w:r>
            <w:r>
              <w:rPr>
                <w:rFonts w:hint="eastAsia"/>
                <w:b w:val="0"/>
                <w:bCs/>
              </w:rPr>
              <w:t>《</w:t>
            </w:r>
            <w:r>
              <w:rPr>
                <w:rFonts w:hint="eastAsia"/>
                <w:b w:val="0"/>
                <w:bCs/>
                <w:lang w:val="en-GB"/>
              </w:rPr>
              <w:t>危险化学品重大危险源监督管理暂行规定》</w:t>
            </w:r>
          </w:p>
        </w:tc>
        <w:tc>
          <w:tcPr>
            <w:tcW w:w="2688" w:type="dxa"/>
            <w:vAlign w:val="center"/>
          </w:tcPr>
          <w:p w14:paraId="3D5D2B5A">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rPr>
              <w:t>编制了各岗位安全操作规程，有重大危险源标志</w:t>
            </w:r>
          </w:p>
        </w:tc>
        <w:tc>
          <w:tcPr>
            <w:tcW w:w="716" w:type="dxa"/>
            <w:vAlign w:val="center"/>
          </w:tcPr>
          <w:p w14:paraId="672C1DEA">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合格</w:t>
            </w:r>
          </w:p>
        </w:tc>
      </w:tr>
      <w:tr w14:paraId="3FBC70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16" w:type="dxa"/>
            <w:vAlign w:val="center"/>
          </w:tcPr>
          <w:p w14:paraId="468E5F7F">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4</w:t>
            </w:r>
          </w:p>
        </w:tc>
        <w:tc>
          <w:tcPr>
            <w:tcW w:w="2688" w:type="dxa"/>
            <w:vAlign w:val="center"/>
          </w:tcPr>
          <w:p w14:paraId="306A2E29">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lang w:val="zh-CN"/>
              </w:rPr>
            </w:pPr>
            <w:r>
              <w:rPr>
                <w:rFonts w:hint="eastAsia" w:ascii="宋体" w:hAnsi="宋体"/>
                <w:b w:val="0"/>
                <w:bCs/>
                <w:szCs w:val="21"/>
                <w:lang w:val="zh-CN"/>
              </w:rPr>
              <w:t>重大危险源定期评估并在有关部门备案</w:t>
            </w:r>
          </w:p>
        </w:tc>
        <w:tc>
          <w:tcPr>
            <w:tcW w:w="2509" w:type="dxa"/>
            <w:vMerge w:val="continue"/>
            <w:vAlign w:val="center"/>
          </w:tcPr>
          <w:p w14:paraId="771C88C3">
            <w:pPr>
              <w:keepNext w:val="0"/>
              <w:keepLines w:val="0"/>
              <w:pageBreakBefore w:val="0"/>
              <w:widowControl w:val="0"/>
              <w:kinsoku/>
              <w:wordWrap/>
              <w:overflowPunct/>
              <w:topLinePunct w:val="0"/>
              <w:autoSpaceDE w:val="0"/>
              <w:autoSpaceDN w:val="0"/>
              <w:bidi w:val="0"/>
              <w:adjustRightInd w:val="0"/>
              <w:snapToGrid/>
              <w:spacing w:line="280" w:lineRule="exact"/>
              <w:ind w:firstLine="210"/>
              <w:textAlignment w:val="auto"/>
              <w:rPr>
                <w:rFonts w:ascii="宋体" w:hAnsi="宋体"/>
                <w:b w:val="0"/>
                <w:bCs/>
                <w:szCs w:val="21"/>
                <w:lang w:val="zh-CN"/>
              </w:rPr>
            </w:pPr>
          </w:p>
        </w:tc>
        <w:tc>
          <w:tcPr>
            <w:tcW w:w="2688" w:type="dxa"/>
            <w:vAlign w:val="center"/>
          </w:tcPr>
          <w:p w14:paraId="0FB7CE3E">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rPr>
              <w:t>已在</w:t>
            </w:r>
            <w:r>
              <w:rPr>
                <w:rFonts w:hint="eastAsia" w:ascii="宋体" w:hAnsi="宋体"/>
                <w:b w:val="0"/>
                <w:bCs/>
                <w:szCs w:val="21"/>
                <w:lang w:val="zh-CN"/>
              </w:rPr>
              <w:t>相应的应急部门备案</w:t>
            </w:r>
          </w:p>
        </w:tc>
        <w:tc>
          <w:tcPr>
            <w:tcW w:w="716" w:type="dxa"/>
            <w:vAlign w:val="center"/>
          </w:tcPr>
          <w:p w14:paraId="68994297">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合格</w:t>
            </w:r>
          </w:p>
        </w:tc>
      </w:tr>
      <w:tr w14:paraId="0C409F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716" w:type="dxa"/>
            <w:vAlign w:val="center"/>
          </w:tcPr>
          <w:p w14:paraId="2746C7D8">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5</w:t>
            </w:r>
          </w:p>
        </w:tc>
        <w:tc>
          <w:tcPr>
            <w:tcW w:w="2688" w:type="dxa"/>
            <w:vAlign w:val="center"/>
          </w:tcPr>
          <w:p w14:paraId="31FDECD4">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依法参加工伤保险</w:t>
            </w:r>
          </w:p>
        </w:tc>
        <w:tc>
          <w:tcPr>
            <w:tcW w:w="2509" w:type="dxa"/>
            <w:vMerge w:val="continue"/>
            <w:vAlign w:val="center"/>
          </w:tcPr>
          <w:p w14:paraId="2AA44558">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p>
        </w:tc>
        <w:tc>
          <w:tcPr>
            <w:tcW w:w="2688" w:type="dxa"/>
            <w:vAlign w:val="center"/>
          </w:tcPr>
          <w:p w14:paraId="12979DBA">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依法参加了工伤保险</w:t>
            </w:r>
          </w:p>
        </w:tc>
        <w:tc>
          <w:tcPr>
            <w:tcW w:w="716" w:type="dxa"/>
            <w:vAlign w:val="center"/>
          </w:tcPr>
          <w:p w14:paraId="0AC0A428">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合格</w:t>
            </w:r>
          </w:p>
        </w:tc>
      </w:tr>
      <w:tr w14:paraId="3588CD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9" w:hRule="atLeast"/>
        </w:trPr>
        <w:tc>
          <w:tcPr>
            <w:tcW w:w="716" w:type="dxa"/>
            <w:vAlign w:val="center"/>
          </w:tcPr>
          <w:p w14:paraId="570CE96A">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6</w:t>
            </w:r>
          </w:p>
        </w:tc>
        <w:tc>
          <w:tcPr>
            <w:tcW w:w="2688" w:type="dxa"/>
            <w:vAlign w:val="center"/>
          </w:tcPr>
          <w:p w14:paraId="2FE53559">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安全投入符合要求</w:t>
            </w:r>
          </w:p>
        </w:tc>
        <w:tc>
          <w:tcPr>
            <w:tcW w:w="2509" w:type="dxa"/>
            <w:vMerge w:val="continue"/>
            <w:vAlign w:val="center"/>
          </w:tcPr>
          <w:p w14:paraId="6F96EE23">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p>
        </w:tc>
        <w:tc>
          <w:tcPr>
            <w:tcW w:w="2688" w:type="dxa"/>
            <w:vAlign w:val="center"/>
          </w:tcPr>
          <w:p w14:paraId="0F9F2AD4">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rPr>
              <w:t>除化工原料库外其余危险品库安装避雷针，配置了导静电金属棒和防爆灯，消防水和灭火器</w:t>
            </w:r>
          </w:p>
        </w:tc>
        <w:tc>
          <w:tcPr>
            <w:tcW w:w="716" w:type="dxa"/>
            <w:vAlign w:val="center"/>
          </w:tcPr>
          <w:p w14:paraId="20FA3E97">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合格</w:t>
            </w:r>
          </w:p>
        </w:tc>
      </w:tr>
      <w:tr w14:paraId="7F9C22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1" w:hRule="atLeast"/>
        </w:trPr>
        <w:tc>
          <w:tcPr>
            <w:tcW w:w="716" w:type="dxa"/>
            <w:vAlign w:val="center"/>
          </w:tcPr>
          <w:p w14:paraId="22B0A22D">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7</w:t>
            </w:r>
          </w:p>
        </w:tc>
        <w:tc>
          <w:tcPr>
            <w:tcW w:w="2688" w:type="dxa"/>
            <w:vAlign w:val="center"/>
          </w:tcPr>
          <w:p w14:paraId="4931E8BF">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设置了安全生产管理机构并配备安全生产管理人员</w:t>
            </w:r>
          </w:p>
        </w:tc>
        <w:tc>
          <w:tcPr>
            <w:tcW w:w="2509" w:type="dxa"/>
            <w:vMerge w:val="continue"/>
            <w:vAlign w:val="center"/>
          </w:tcPr>
          <w:p w14:paraId="7712EA34">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p>
        </w:tc>
        <w:tc>
          <w:tcPr>
            <w:tcW w:w="2688" w:type="dxa"/>
            <w:vAlign w:val="center"/>
          </w:tcPr>
          <w:p w14:paraId="0F0A7C21">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rPr>
              <w:t>设置了安全管理机构并配备安全管理人员</w:t>
            </w:r>
          </w:p>
        </w:tc>
        <w:tc>
          <w:tcPr>
            <w:tcW w:w="716" w:type="dxa"/>
            <w:vAlign w:val="center"/>
          </w:tcPr>
          <w:p w14:paraId="37D4C616">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合格</w:t>
            </w:r>
          </w:p>
        </w:tc>
      </w:tr>
      <w:tr w14:paraId="061FD6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16" w:hRule="atLeast"/>
        </w:trPr>
        <w:tc>
          <w:tcPr>
            <w:tcW w:w="716" w:type="dxa"/>
            <w:vAlign w:val="center"/>
          </w:tcPr>
          <w:p w14:paraId="38E6A226">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8</w:t>
            </w:r>
          </w:p>
        </w:tc>
        <w:tc>
          <w:tcPr>
            <w:tcW w:w="2688" w:type="dxa"/>
            <w:vAlign w:val="center"/>
          </w:tcPr>
          <w:p w14:paraId="434550DF">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主要负责人、安全管理人员经应急部门考核合格，并取得安全资格证书</w:t>
            </w:r>
          </w:p>
        </w:tc>
        <w:tc>
          <w:tcPr>
            <w:tcW w:w="2509" w:type="dxa"/>
            <w:vAlign w:val="center"/>
          </w:tcPr>
          <w:p w14:paraId="7A3EA604">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《厂长、经理职业安全卫生管理资格认证规定》、《安全生产法》</w:t>
            </w:r>
          </w:p>
        </w:tc>
        <w:tc>
          <w:tcPr>
            <w:tcW w:w="2688" w:type="dxa"/>
            <w:vAlign w:val="center"/>
          </w:tcPr>
          <w:p w14:paraId="245E0791">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主要负责人已取得安全资格证书、安全管理人员经应急部门考核合格，取得安全资格证书</w:t>
            </w:r>
          </w:p>
        </w:tc>
        <w:tc>
          <w:tcPr>
            <w:tcW w:w="716" w:type="dxa"/>
            <w:vAlign w:val="center"/>
          </w:tcPr>
          <w:p w14:paraId="783EB69E">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合格</w:t>
            </w:r>
          </w:p>
        </w:tc>
      </w:tr>
      <w:tr w14:paraId="244B83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9" w:hRule="atLeast"/>
        </w:trPr>
        <w:tc>
          <w:tcPr>
            <w:tcW w:w="716" w:type="dxa"/>
            <w:vAlign w:val="center"/>
          </w:tcPr>
          <w:p w14:paraId="6789A26F">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9</w:t>
            </w:r>
          </w:p>
        </w:tc>
        <w:tc>
          <w:tcPr>
            <w:tcW w:w="2688" w:type="dxa"/>
            <w:vAlign w:val="center"/>
          </w:tcPr>
          <w:p w14:paraId="3C6B1713">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特种作业人员经有关部门的培训、考核合格，并取得特种作业操作证</w:t>
            </w:r>
          </w:p>
        </w:tc>
        <w:tc>
          <w:tcPr>
            <w:tcW w:w="2509" w:type="dxa"/>
            <w:vAlign w:val="center"/>
          </w:tcPr>
          <w:p w14:paraId="3AD9ED59">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《烟花爆竹安全管理条例》、《特种作业人员安全技术培训考核管理办法》</w:t>
            </w:r>
          </w:p>
        </w:tc>
        <w:tc>
          <w:tcPr>
            <w:tcW w:w="2688" w:type="dxa"/>
            <w:vAlign w:val="center"/>
          </w:tcPr>
          <w:p w14:paraId="600F59C0">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特种作业人员经有关部门的培训、考核合格，并取得特种作业操作证</w:t>
            </w:r>
          </w:p>
        </w:tc>
        <w:tc>
          <w:tcPr>
            <w:tcW w:w="716" w:type="dxa"/>
            <w:vAlign w:val="center"/>
          </w:tcPr>
          <w:p w14:paraId="53FCCBE9">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合格</w:t>
            </w:r>
          </w:p>
        </w:tc>
      </w:tr>
      <w:tr w14:paraId="0B9DBF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6" w:hRule="atLeast"/>
        </w:trPr>
        <w:tc>
          <w:tcPr>
            <w:tcW w:w="716" w:type="dxa"/>
            <w:vAlign w:val="center"/>
          </w:tcPr>
          <w:p w14:paraId="7E8A23BE">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10</w:t>
            </w:r>
          </w:p>
        </w:tc>
        <w:tc>
          <w:tcPr>
            <w:tcW w:w="2688" w:type="dxa"/>
            <w:vAlign w:val="center"/>
          </w:tcPr>
          <w:p w14:paraId="322AD0FC">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其他从业人员培训</w:t>
            </w:r>
          </w:p>
        </w:tc>
        <w:tc>
          <w:tcPr>
            <w:tcW w:w="2509" w:type="dxa"/>
            <w:vMerge w:val="restart"/>
            <w:vAlign w:val="center"/>
          </w:tcPr>
          <w:p w14:paraId="1790F528">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《安全生产法》、《安全生产许可证条例》、《烟花爆竹安全管理条例》、</w:t>
            </w:r>
            <w:r>
              <w:rPr>
                <w:rFonts w:hint="eastAsia"/>
                <w:b w:val="0"/>
                <w:bCs/>
              </w:rPr>
              <w:t>《</w:t>
            </w:r>
            <w:r>
              <w:rPr>
                <w:rFonts w:hint="eastAsia"/>
                <w:b w:val="0"/>
                <w:bCs/>
                <w:lang w:val="en-GB"/>
              </w:rPr>
              <w:t>危险化学品重大危险源监督管理暂行规定》</w:t>
            </w:r>
          </w:p>
        </w:tc>
        <w:tc>
          <w:tcPr>
            <w:tcW w:w="2688" w:type="dxa"/>
            <w:vAlign w:val="center"/>
          </w:tcPr>
          <w:p w14:paraId="51AF7575">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其他从业人员经内部培训合格后，上岗作业</w:t>
            </w:r>
          </w:p>
        </w:tc>
        <w:tc>
          <w:tcPr>
            <w:tcW w:w="716" w:type="dxa"/>
            <w:vAlign w:val="center"/>
          </w:tcPr>
          <w:p w14:paraId="5CF5E35A">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合格</w:t>
            </w:r>
          </w:p>
        </w:tc>
      </w:tr>
      <w:tr w14:paraId="498745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9" w:hRule="atLeast"/>
        </w:trPr>
        <w:tc>
          <w:tcPr>
            <w:tcW w:w="716" w:type="dxa"/>
            <w:vAlign w:val="center"/>
          </w:tcPr>
          <w:p w14:paraId="3E80B558">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ascii="宋体" w:hAnsi="宋体"/>
                <w:b w:val="0"/>
                <w:bCs/>
                <w:szCs w:val="21"/>
              </w:rPr>
              <w:t>1</w:t>
            </w:r>
            <w:r>
              <w:rPr>
                <w:rFonts w:hint="eastAsia" w:ascii="宋体" w:hAnsi="宋体"/>
                <w:b w:val="0"/>
                <w:bCs/>
                <w:szCs w:val="21"/>
              </w:rPr>
              <w:t>1</w:t>
            </w:r>
          </w:p>
        </w:tc>
        <w:tc>
          <w:tcPr>
            <w:tcW w:w="2688" w:type="dxa"/>
            <w:vAlign w:val="center"/>
          </w:tcPr>
          <w:p w14:paraId="1E39A89A">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日常安全检查情况</w:t>
            </w:r>
          </w:p>
        </w:tc>
        <w:tc>
          <w:tcPr>
            <w:tcW w:w="2509" w:type="dxa"/>
            <w:vMerge w:val="continue"/>
            <w:vAlign w:val="center"/>
          </w:tcPr>
          <w:p w14:paraId="3A28271E">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p>
        </w:tc>
        <w:tc>
          <w:tcPr>
            <w:tcW w:w="2688" w:type="dxa"/>
            <w:vAlign w:val="center"/>
          </w:tcPr>
          <w:p w14:paraId="63055583">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rPr>
              <w:t>有专职安全管理人员进行日常安全检查</w:t>
            </w:r>
          </w:p>
        </w:tc>
        <w:tc>
          <w:tcPr>
            <w:tcW w:w="716" w:type="dxa"/>
            <w:vAlign w:val="center"/>
          </w:tcPr>
          <w:p w14:paraId="01E12D64">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合格</w:t>
            </w:r>
          </w:p>
        </w:tc>
      </w:tr>
      <w:tr w14:paraId="543AF0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5" w:hRule="atLeast"/>
        </w:trPr>
        <w:tc>
          <w:tcPr>
            <w:tcW w:w="716" w:type="dxa"/>
            <w:vAlign w:val="center"/>
          </w:tcPr>
          <w:p w14:paraId="7D3501BB">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ascii="宋体" w:hAnsi="宋体"/>
                <w:b w:val="0"/>
                <w:bCs/>
                <w:szCs w:val="21"/>
              </w:rPr>
              <w:t>12</w:t>
            </w:r>
          </w:p>
        </w:tc>
        <w:tc>
          <w:tcPr>
            <w:tcW w:w="2688" w:type="dxa"/>
            <w:vAlign w:val="center"/>
          </w:tcPr>
          <w:p w14:paraId="38744F6C">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工房之间的内（外）部距离符合规定的安全距离</w:t>
            </w:r>
          </w:p>
        </w:tc>
        <w:tc>
          <w:tcPr>
            <w:tcW w:w="2509" w:type="dxa"/>
            <w:vAlign w:val="center"/>
          </w:tcPr>
          <w:p w14:paraId="0128FB39">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ascii="宋体" w:hAnsi="宋体"/>
                <w:b w:val="0"/>
                <w:bCs/>
                <w:szCs w:val="21"/>
              </w:rPr>
              <w:t>《烟花爆竹工</w:t>
            </w:r>
            <w:r>
              <w:rPr>
                <w:rFonts w:hint="eastAsia" w:ascii="宋体" w:hAnsi="宋体"/>
                <w:b w:val="0"/>
                <w:bCs/>
                <w:szCs w:val="21"/>
              </w:rPr>
              <w:t>程</w:t>
            </w:r>
            <w:r>
              <w:rPr>
                <w:rFonts w:ascii="宋体" w:hAnsi="宋体"/>
                <w:b w:val="0"/>
                <w:bCs/>
                <w:szCs w:val="21"/>
              </w:rPr>
              <w:t>设计安全规范》</w:t>
            </w:r>
          </w:p>
        </w:tc>
        <w:tc>
          <w:tcPr>
            <w:tcW w:w="2688" w:type="dxa"/>
            <w:vAlign w:val="center"/>
          </w:tcPr>
          <w:p w14:paraId="3014C8BA">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rPr>
              <w:t>内外部距离</w:t>
            </w:r>
            <w:r>
              <w:rPr>
                <w:rFonts w:hint="eastAsia" w:ascii="宋体" w:hAnsi="宋体"/>
                <w:b w:val="0"/>
                <w:bCs/>
                <w:szCs w:val="21"/>
                <w:lang w:val="zh-CN"/>
              </w:rPr>
              <w:t>符合规定的安全距离。</w:t>
            </w:r>
          </w:p>
        </w:tc>
        <w:tc>
          <w:tcPr>
            <w:tcW w:w="716" w:type="dxa"/>
            <w:vAlign w:val="center"/>
          </w:tcPr>
          <w:p w14:paraId="03569B0E">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合格</w:t>
            </w:r>
          </w:p>
        </w:tc>
      </w:tr>
      <w:tr w14:paraId="227B9F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5" w:hRule="atLeast"/>
        </w:trPr>
        <w:tc>
          <w:tcPr>
            <w:tcW w:w="716" w:type="dxa"/>
            <w:vAlign w:val="center"/>
          </w:tcPr>
          <w:p w14:paraId="493A4928">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ascii="宋体" w:hAnsi="宋体"/>
                <w:b w:val="0"/>
                <w:bCs/>
                <w:szCs w:val="21"/>
              </w:rPr>
              <w:t>13</w:t>
            </w:r>
          </w:p>
        </w:tc>
        <w:tc>
          <w:tcPr>
            <w:tcW w:w="2688" w:type="dxa"/>
            <w:vAlign w:val="center"/>
          </w:tcPr>
          <w:p w14:paraId="30C644E9">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生产装置和储存设施的周边防护距离符合有关法律、法规和标准的规定</w:t>
            </w:r>
          </w:p>
        </w:tc>
        <w:tc>
          <w:tcPr>
            <w:tcW w:w="2509" w:type="dxa"/>
            <w:vAlign w:val="center"/>
          </w:tcPr>
          <w:p w14:paraId="3BE5382C">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《安全生产许可证条例》、《建筑设计防火规范》</w:t>
            </w:r>
          </w:p>
        </w:tc>
        <w:tc>
          <w:tcPr>
            <w:tcW w:w="2688" w:type="dxa"/>
            <w:vAlign w:val="center"/>
          </w:tcPr>
          <w:p w14:paraId="7F406811">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其周边防护距离符合有关法律、法规和标准的规定</w:t>
            </w:r>
          </w:p>
        </w:tc>
        <w:tc>
          <w:tcPr>
            <w:tcW w:w="716" w:type="dxa"/>
            <w:vAlign w:val="center"/>
          </w:tcPr>
          <w:p w14:paraId="34F99401">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合格</w:t>
            </w:r>
          </w:p>
        </w:tc>
      </w:tr>
      <w:tr w14:paraId="732886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84" w:hRule="atLeast"/>
        </w:trPr>
        <w:tc>
          <w:tcPr>
            <w:tcW w:w="716" w:type="dxa"/>
            <w:vAlign w:val="center"/>
          </w:tcPr>
          <w:p w14:paraId="51763FC2">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ascii="宋体" w:hAnsi="宋体"/>
                <w:b w:val="0"/>
                <w:bCs/>
                <w:szCs w:val="21"/>
              </w:rPr>
              <w:t>14</w:t>
            </w:r>
          </w:p>
        </w:tc>
        <w:tc>
          <w:tcPr>
            <w:tcW w:w="2688" w:type="dxa"/>
            <w:vAlign w:val="center"/>
          </w:tcPr>
          <w:p w14:paraId="41763A51">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生产作业场所配备了符合国家规定的职业危害防护设施，定期进行职业卫生检测、检验，并为作业人员进行职业病检查</w:t>
            </w:r>
          </w:p>
        </w:tc>
        <w:tc>
          <w:tcPr>
            <w:tcW w:w="2509" w:type="dxa"/>
            <w:vAlign w:val="center"/>
          </w:tcPr>
          <w:p w14:paraId="3C920582">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《安全生产法》、《生产过程安全卫生总则》、《生产设备安全卫生总则》</w:t>
            </w:r>
          </w:p>
        </w:tc>
        <w:tc>
          <w:tcPr>
            <w:tcW w:w="2688" w:type="dxa"/>
            <w:vAlign w:val="center"/>
          </w:tcPr>
          <w:p w14:paraId="5F2BD8F5">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rPr>
              <w:t>配备了棉质工作服和防尘口罩</w:t>
            </w:r>
          </w:p>
        </w:tc>
        <w:tc>
          <w:tcPr>
            <w:tcW w:w="716" w:type="dxa"/>
            <w:vAlign w:val="center"/>
          </w:tcPr>
          <w:p w14:paraId="3AC9BA32">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合格</w:t>
            </w:r>
          </w:p>
        </w:tc>
      </w:tr>
      <w:tr w14:paraId="475088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5" w:hRule="atLeast"/>
        </w:trPr>
        <w:tc>
          <w:tcPr>
            <w:tcW w:w="716" w:type="dxa"/>
            <w:vAlign w:val="center"/>
          </w:tcPr>
          <w:p w14:paraId="52CBBE63">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ascii="宋体" w:hAnsi="宋体"/>
                <w:b w:val="0"/>
                <w:bCs/>
                <w:szCs w:val="21"/>
              </w:rPr>
              <w:t>15</w:t>
            </w:r>
          </w:p>
        </w:tc>
        <w:tc>
          <w:tcPr>
            <w:tcW w:w="2688" w:type="dxa"/>
            <w:vAlign w:val="center"/>
          </w:tcPr>
          <w:p w14:paraId="2DF719D6">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为从业人员配备符合有关国家标准和行业标准的劳动防护用品</w:t>
            </w:r>
          </w:p>
        </w:tc>
        <w:tc>
          <w:tcPr>
            <w:tcW w:w="2509" w:type="dxa"/>
            <w:vAlign w:val="center"/>
          </w:tcPr>
          <w:p w14:paraId="60F012B2">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《安全生产法》、《生产过程安全卫生总则》</w:t>
            </w:r>
          </w:p>
        </w:tc>
        <w:tc>
          <w:tcPr>
            <w:tcW w:w="2688" w:type="dxa"/>
            <w:vAlign w:val="center"/>
          </w:tcPr>
          <w:p w14:paraId="73358EA4">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为从业人员配备符合有关国家标准和行业标准的劳动防护用品</w:t>
            </w:r>
          </w:p>
        </w:tc>
        <w:tc>
          <w:tcPr>
            <w:tcW w:w="716" w:type="dxa"/>
            <w:vAlign w:val="center"/>
          </w:tcPr>
          <w:p w14:paraId="7ADEDC46">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合格</w:t>
            </w:r>
          </w:p>
        </w:tc>
      </w:tr>
      <w:tr w14:paraId="20E617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84" w:hRule="atLeast"/>
        </w:trPr>
        <w:tc>
          <w:tcPr>
            <w:tcW w:w="716" w:type="dxa"/>
            <w:vAlign w:val="center"/>
          </w:tcPr>
          <w:p w14:paraId="3DC4A4C3">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ascii="宋体" w:hAnsi="宋体"/>
                <w:b w:val="0"/>
                <w:bCs/>
                <w:szCs w:val="21"/>
              </w:rPr>
              <w:t>16</w:t>
            </w:r>
          </w:p>
        </w:tc>
        <w:tc>
          <w:tcPr>
            <w:tcW w:w="2688" w:type="dxa"/>
            <w:vAlign w:val="center"/>
          </w:tcPr>
          <w:p w14:paraId="5DFCA862">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按要求编制重大危险源事故应急救援预案</w:t>
            </w:r>
          </w:p>
        </w:tc>
        <w:tc>
          <w:tcPr>
            <w:tcW w:w="2509" w:type="dxa"/>
            <w:vAlign w:val="center"/>
          </w:tcPr>
          <w:p w14:paraId="797E5B44">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《安全生产法》、《烟花爆竹安全管理条例》、《生产经营单位生产安全事故应急预案编制导则》GB/T</w:t>
            </w:r>
            <w:r>
              <w:rPr>
                <w:rFonts w:hint="eastAsia" w:ascii="宋体" w:hAnsi="宋体"/>
                <w:b w:val="0"/>
                <w:bCs/>
                <w:szCs w:val="21"/>
              </w:rPr>
              <w:t>29639</w:t>
            </w:r>
            <w:r>
              <w:rPr>
                <w:rFonts w:hint="eastAsia" w:ascii="宋体" w:hAnsi="宋体"/>
                <w:b w:val="0"/>
                <w:bCs/>
                <w:szCs w:val="21"/>
                <w:lang w:val="zh-CN"/>
              </w:rPr>
              <w:t>-20</w:t>
            </w:r>
            <w:r>
              <w:rPr>
                <w:rFonts w:hint="eastAsia" w:ascii="宋体" w:hAnsi="宋体"/>
                <w:b w:val="0"/>
                <w:bCs/>
                <w:szCs w:val="21"/>
              </w:rPr>
              <w:t>20</w:t>
            </w:r>
          </w:p>
        </w:tc>
        <w:tc>
          <w:tcPr>
            <w:tcW w:w="2688" w:type="dxa"/>
            <w:vAlign w:val="center"/>
          </w:tcPr>
          <w:p w14:paraId="6D83C7FB">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rPr>
              <w:t>已经</w:t>
            </w:r>
            <w:r>
              <w:rPr>
                <w:rFonts w:hint="eastAsia" w:ascii="宋体" w:hAnsi="宋体"/>
                <w:b w:val="0"/>
                <w:bCs/>
                <w:szCs w:val="21"/>
                <w:lang w:val="zh-CN"/>
              </w:rPr>
              <w:t>编制重大危险源事故应急救援预案</w:t>
            </w:r>
          </w:p>
        </w:tc>
        <w:tc>
          <w:tcPr>
            <w:tcW w:w="716" w:type="dxa"/>
            <w:vAlign w:val="center"/>
          </w:tcPr>
          <w:p w14:paraId="1A07CB97">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合格</w:t>
            </w:r>
          </w:p>
        </w:tc>
      </w:tr>
      <w:tr w14:paraId="3FD31A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6" w:hRule="atLeast"/>
        </w:trPr>
        <w:tc>
          <w:tcPr>
            <w:tcW w:w="716" w:type="dxa"/>
            <w:vAlign w:val="center"/>
          </w:tcPr>
          <w:p w14:paraId="0F83DB72">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ascii="宋体" w:hAnsi="宋体"/>
                <w:b w:val="0"/>
                <w:bCs/>
                <w:szCs w:val="21"/>
              </w:rPr>
              <w:t>1</w:t>
            </w:r>
            <w:r>
              <w:rPr>
                <w:rFonts w:hint="eastAsia" w:ascii="宋体" w:hAnsi="宋体"/>
                <w:b w:val="0"/>
                <w:bCs/>
                <w:szCs w:val="21"/>
              </w:rPr>
              <w:t>7</w:t>
            </w:r>
          </w:p>
        </w:tc>
        <w:tc>
          <w:tcPr>
            <w:tcW w:w="2688" w:type="dxa"/>
            <w:vAlign w:val="center"/>
          </w:tcPr>
          <w:p w14:paraId="046FF1D3">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配备了必要的应急救援器材、设备，并定期进行检测、检验和维护保养</w:t>
            </w:r>
          </w:p>
        </w:tc>
        <w:tc>
          <w:tcPr>
            <w:tcW w:w="2509" w:type="dxa"/>
            <w:vAlign w:val="center"/>
          </w:tcPr>
          <w:p w14:paraId="04B76966">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《安全生产法》、《烟花爆竹安全管理条例》</w:t>
            </w:r>
          </w:p>
        </w:tc>
        <w:tc>
          <w:tcPr>
            <w:tcW w:w="2688" w:type="dxa"/>
            <w:vAlign w:val="center"/>
          </w:tcPr>
          <w:p w14:paraId="7D79D3D1">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rPr>
              <w:t>配备了灭火器，水塔，消防水池，通讯电话，并定期保养和维护</w:t>
            </w:r>
          </w:p>
        </w:tc>
        <w:tc>
          <w:tcPr>
            <w:tcW w:w="716" w:type="dxa"/>
            <w:vAlign w:val="center"/>
          </w:tcPr>
          <w:p w14:paraId="6F351C23">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合格</w:t>
            </w:r>
          </w:p>
        </w:tc>
      </w:tr>
      <w:tr w14:paraId="4106CF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84" w:hRule="atLeast"/>
        </w:trPr>
        <w:tc>
          <w:tcPr>
            <w:tcW w:w="716" w:type="dxa"/>
            <w:vAlign w:val="center"/>
          </w:tcPr>
          <w:p w14:paraId="50C8B5E9">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18</w:t>
            </w:r>
          </w:p>
        </w:tc>
        <w:tc>
          <w:tcPr>
            <w:tcW w:w="2688" w:type="dxa"/>
            <w:vAlign w:val="center"/>
          </w:tcPr>
          <w:p w14:paraId="703D5A33">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lang w:val="zh-CN"/>
              </w:rPr>
            </w:pPr>
            <w:r>
              <w:rPr>
                <w:rFonts w:hint="eastAsia" w:ascii="宋体" w:hAnsi="宋体"/>
                <w:b w:val="0"/>
                <w:bCs/>
                <w:szCs w:val="21"/>
                <w:lang w:val="zh-CN"/>
              </w:rPr>
              <w:t>生产烟花爆竹使用的原料，应当符合国家标准的规定。不得使用国家标准规定禁止使用或者禁忌配伍的物质生产烟花爆竹。</w:t>
            </w:r>
          </w:p>
        </w:tc>
        <w:tc>
          <w:tcPr>
            <w:tcW w:w="2509" w:type="dxa"/>
            <w:vAlign w:val="center"/>
          </w:tcPr>
          <w:p w14:paraId="3C8DF954">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lang w:val="zh-CN"/>
              </w:rPr>
              <w:t>《烟花爆竹安全管理条例》</w:t>
            </w:r>
          </w:p>
        </w:tc>
        <w:tc>
          <w:tcPr>
            <w:tcW w:w="2688" w:type="dxa"/>
            <w:vAlign w:val="center"/>
          </w:tcPr>
          <w:p w14:paraId="6E0C587E">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szCs w:val="21"/>
              </w:rPr>
            </w:pPr>
            <w:r>
              <w:rPr>
                <w:rFonts w:hint="eastAsia" w:ascii="宋体" w:hAnsi="宋体"/>
                <w:b w:val="0"/>
                <w:szCs w:val="21"/>
              </w:rPr>
              <w:t>未使用</w:t>
            </w:r>
          </w:p>
        </w:tc>
        <w:tc>
          <w:tcPr>
            <w:tcW w:w="716" w:type="dxa"/>
            <w:vAlign w:val="center"/>
          </w:tcPr>
          <w:p w14:paraId="43164268">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szCs w:val="21"/>
              </w:rPr>
            </w:pPr>
            <w:r>
              <w:rPr>
                <w:rFonts w:hint="eastAsia" w:ascii="宋体" w:hAnsi="宋体"/>
                <w:b w:val="0"/>
                <w:szCs w:val="21"/>
              </w:rPr>
              <w:t>合格</w:t>
            </w:r>
          </w:p>
        </w:tc>
      </w:tr>
      <w:tr w14:paraId="3F1DCE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08" w:hRule="atLeast"/>
        </w:trPr>
        <w:tc>
          <w:tcPr>
            <w:tcW w:w="716" w:type="dxa"/>
            <w:vAlign w:val="center"/>
          </w:tcPr>
          <w:p w14:paraId="3305C222">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19</w:t>
            </w:r>
          </w:p>
        </w:tc>
        <w:tc>
          <w:tcPr>
            <w:tcW w:w="2688" w:type="dxa"/>
            <w:vAlign w:val="center"/>
          </w:tcPr>
          <w:p w14:paraId="5FF51E40">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lang w:val="zh-CN"/>
              </w:rPr>
            </w:pPr>
            <w:r>
              <w:rPr>
                <w:rFonts w:hint="eastAsia" w:ascii="宋体" w:hAnsi="宋体"/>
                <w:b w:val="0"/>
                <w:bCs/>
                <w:szCs w:val="21"/>
              </w:rPr>
              <w:t>生产烟花爆竹的企业，应当对黑火药、烟火药、引火线的保管采取必要的安全技术措施，建立购买、领用、销售登记制度，</w:t>
            </w:r>
          </w:p>
        </w:tc>
        <w:tc>
          <w:tcPr>
            <w:tcW w:w="2509" w:type="dxa"/>
            <w:vAlign w:val="center"/>
          </w:tcPr>
          <w:p w14:paraId="2B7E263D">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lang w:val="zh-CN"/>
              </w:rPr>
            </w:pPr>
            <w:r>
              <w:rPr>
                <w:rFonts w:hint="eastAsia" w:ascii="宋体" w:hAnsi="宋体"/>
                <w:b w:val="0"/>
                <w:bCs/>
                <w:szCs w:val="21"/>
                <w:lang w:val="zh-CN"/>
              </w:rPr>
              <w:t>《烟花爆竹安全管理条例》</w:t>
            </w:r>
          </w:p>
        </w:tc>
        <w:tc>
          <w:tcPr>
            <w:tcW w:w="2688" w:type="dxa"/>
            <w:vAlign w:val="center"/>
          </w:tcPr>
          <w:p w14:paraId="5FD430B6">
            <w:pPr>
              <w:keepNext w:val="0"/>
              <w:keepLines w:val="0"/>
              <w:pageBreakBefore w:val="0"/>
              <w:widowControl w:val="0"/>
              <w:kinsoku/>
              <w:wordWrap/>
              <w:overflowPunct/>
              <w:topLinePunct w:val="0"/>
              <w:autoSpaceDE w:val="0"/>
              <w:autoSpaceDN w:val="0"/>
              <w:bidi w:val="0"/>
              <w:adjustRightInd w:val="0"/>
              <w:snapToGrid/>
              <w:spacing w:line="280" w:lineRule="exact"/>
              <w:textAlignment w:val="auto"/>
              <w:rPr>
                <w:rFonts w:ascii="宋体" w:hAnsi="宋体"/>
                <w:b w:val="0"/>
                <w:bCs/>
                <w:szCs w:val="21"/>
              </w:rPr>
            </w:pPr>
            <w:r>
              <w:rPr>
                <w:rFonts w:hint="eastAsia" w:ascii="宋体" w:hAnsi="宋体"/>
                <w:b w:val="0"/>
                <w:bCs/>
                <w:szCs w:val="21"/>
              </w:rPr>
              <w:t>建立了流向登记管理制度</w:t>
            </w:r>
          </w:p>
        </w:tc>
        <w:tc>
          <w:tcPr>
            <w:tcW w:w="716" w:type="dxa"/>
            <w:vAlign w:val="center"/>
          </w:tcPr>
          <w:p w14:paraId="3F7EAB3B">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ascii="宋体" w:hAnsi="宋体"/>
                <w:b w:val="0"/>
                <w:bCs/>
                <w:szCs w:val="21"/>
              </w:rPr>
            </w:pPr>
            <w:r>
              <w:rPr>
                <w:rFonts w:hint="eastAsia" w:ascii="宋体" w:hAnsi="宋体"/>
                <w:b w:val="0"/>
                <w:bCs/>
                <w:szCs w:val="21"/>
              </w:rPr>
              <w:t>合格</w:t>
            </w:r>
          </w:p>
        </w:tc>
      </w:tr>
    </w:tbl>
    <w:p w14:paraId="7CB1BD87">
      <w:pPr>
        <w:pStyle w:val="5"/>
        <w:spacing w:before="120" w:beforeLines="50"/>
        <w:rPr>
          <w:rFonts w:ascii="黑体" w:hAnsi="黑体" w:eastAsia="黑体"/>
          <w:b w:val="0"/>
          <w:bCs w:val="0"/>
        </w:rPr>
      </w:pPr>
      <w:r>
        <w:rPr>
          <w:rFonts w:hint="eastAsia" w:ascii="黑体" w:hAnsi="黑体" w:eastAsia="黑体"/>
          <w:b w:val="0"/>
          <w:bCs w:val="0"/>
        </w:rPr>
        <w:t>5.8.2重大危险源评价单元评价结论</w:t>
      </w:r>
    </w:p>
    <w:p w14:paraId="2E60260B">
      <w:pPr>
        <w:spacing w:line="360" w:lineRule="auto"/>
        <w:ind w:firstLine="560" w:firstLineChars="200"/>
        <w:rPr>
          <w:rFonts w:ascii="宋体" w:hAnsi="宋体"/>
          <w:b w:val="0"/>
          <w:bCs/>
          <w:sz w:val="28"/>
          <w:szCs w:val="28"/>
          <w:lang w:val="en-GB"/>
        </w:rPr>
      </w:pPr>
      <w:r>
        <w:rPr>
          <w:rFonts w:hint="eastAsia" w:ascii="宋体" w:hAnsi="宋体"/>
          <w:b w:val="0"/>
          <w:bCs/>
          <w:sz w:val="28"/>
          <w:szCs w:val="28"/>
          <w:lang w:val="en-GB"/>
        </w:rPr>
        <w:t>根据</w:t>
      </w:r>
      <w:r>
        <w:rPr>
          <w:rFonts w:hint="eastAsia" w:ascii="宋体" w:hAnsi="宋体"/>
          <w:b w:val="0"/>
          <w:bCs/>
          <w:sz w:val="28"/>
          <w:szCs w:val="28"/>
        </w:rPr>
        <w:t>3.4.3章节</w:t>
      </w:r>
      <w:r>
        <w:rPr>
          <w:rFonts w:hint="eastAsia" w:ascii="宋体" w:hAnsi="宋体"/>
          <w:b w:val="0"/>
          <w:bCs/>
          <w:sz w:val="28"/>
          <w:szCs w:val="28"/>
          <w:lang w:val="en-GB"/>
        </w:rPr>
        <w:t>辨识出的重大危险源可知该企业</w:t>
      </w:r>
      <w:r>
        <w:rPr>
          <w:rFonts w:hint="eastAsia" w:ascii="宋体" w:hAnsi="宋体"/>
          <w:b w:val="0"/>
          <w:bCs/>
          <w:sz w:val="28"/>
          <w:szCs w:val="28"/>
        </w:rPr>
        <w:t>储存单元中的</w:t>
      </w:r>
      <w:r>
        <w:rPr>
          <w:rFonts w:hint="eastAsia" w:ascii="宋体" w:hAnsi="宋体"/>
          <w:b w:val="0"/>
          <w:bCs/>
          <w:sz w:val="28"/>
          <w:szCs w:val="28"/>
          <w:lang w:val="en-GB"/>
        </w:rPr>
        <w:t>药物总库区已构成四级重大危险源，根据以上评价过程对重大危险源的安全管理进行分析，综合该企业的安全防范措施水平，在企业严格按规章制度有序运行的条件下，其重大危险源评价单元符合要求。</w:t>
      </w:r>
    </w:p>
    <w:p w14:paraId="4D9C1A14">
      <w:pPr>
        <w:keepNext/>
        <w:keepLines/>
        <w:spacing w:before="120" w:beforeLines="50" w:line="360" w:lineRule="auto"/>
        <w:outlineLvl w:val="1"/>
        <w:rPr>
          <w:rFonts w:ascii="黑体" w:hAnsi="宋体" w:eastAsia="黑体"/>
          <w:b w:val="0"/>
          <w:bCs/>
          <w:snapToGrid w:val="0"/>
          <w:sz w:val="30"/>
          <w:szCs w:val="30"/>
          <w:lang w:val="zh-CN"/>
        </w:rPr>
      </w:pPr>
      <w:bookmarkStart w:id="615" w:name="_Toc17658"/>
      <w:r>
        <w:rPr>
          <w:rFonts w:hint="eastAsia" w:ascii="黑体" w:hAnsi="宋体" w:eastAsia="黑体"/>
          <w:b w:val="0"/>
          <w:bCs/>
          <w:snapToGrid w:val="0"/>
          <w:sz w:val="30"/>
          <w:szCs w:val="30"/>
          <w:lang w:val="zh-CN"/>
        </w:rPr>
        <w:t>5.</w:t>
      </w:r>
      <w:r>
        <w:rPr>
          <w:rFonts w:hint="eastAsia" w:ascii="黑体" w:hAnsi="宋体" w:eastAsia="黑体"/>
          <w:b w:val="0"/>
          <w:bCs/>
          <w:snapToGrid w:val="0"/>
          <w:sz w:val="30"/>
          <w:szCs w:val="30"/>
        </w:rPr>
        <w:t>9</w:t>
      </w:r>
      <w:r>
        <w:rPr>
          <w:rFonts w:hint="eastAsia" w:ascii="黑体" w:hAnsi="宋体" w:eastAsia="黑体"/>
          <w:b w:val="0"/>
          <w:bCs/>
          <w:snapToGrid w:val="0"/>
          <w:sz w:val="30"/>
          <w:szCs w:val="30"/>
          <w:lang w:val="zh-CN"/>
        </w:rPr>
        <w:t>综合评价结果</w:t>
      </w:r>
      <w:bookmarkEnd w:id="605"/>
      <w:bookmarkEnd w:id="606"/>
      <w:bookmarkEnd w:id="607"/>
      <w:bookmarkEnd w:id="608"/>
      <w:bookmarkEnd w:id="609"/>
      <w:bookmarkEnd w:id="610"/>
      <w:bookmarkEnd w:id="615"/>
    </w:p>
    <w:p w14:paraId="2AA102C2">
      <w:pPr>
        <w:pStyle w:val="5"/>
        <w:rPr>
          <w:rFonts w:ascii="黑体" w:hAnsi="黑体" w:eastAsia="黑体"/>
          <w:b w:val="0"/>
          <w:bCs w:val="0"/>
        </w:rPr>
      </w:pPr>
      <w:r>
        <w:rPr>
          <w:rFonts w:hint="eastAsia" w:ascii="黑体" w:hAnsi="黑体" w:eastAsia="黑体"/>
          <w:b w:val="0"/>
          <w:bCs w:val="0"/>
        </w:rPr>
        <w:t>5.9.1建设项目安全条件</w:t>
      </w:r>
    </w:p>
    <w:p w14:paraId="1AB3F789">
      <w:pPr>
        <w:widowControl/>
        <w:spacing w:line="360" w:lineRule="auto"/>
        <w:ind w:firstLine="560" w:firstLineChars="200"/>
        <w:jc w:val="left"/>
        <w:rPr>
          <w:rFonts w:ascii="宋体" w:hAnsi="宋体"/>
          <w:b w:val="0"/>
          <w:bCs/>
          <w:sz w:val="28"/>
          <w:szCs w:val="28"/>
        </w:rPr>
      </w:pPr>
      <w:r>
        <w:rPr>
          <w:rFonts w:hint="eastAsia"/>
          <w:b w:val="0"/>
          <w:bCs/>
          <w:sz w:val="28"/>
          <w:szCs w:val="28"/>
        </w:rPr>
        <w:t>根据对该企业厂房升级改造项目内在危险有害因素对周边单位生产、经营活动及居民生活的影响，厂房升级改造项目周边生产单位、经营活动及居民生活对厂区的影响以及自然条件对改建项目可能产生的影响的分析，在采取相关措施后，周边环境与改建项目的相互影响较小，在可接受范围内。当地自然条件主要是在夏天存在雷雨天气，冬天存在霜冻天气，企业采取防护措施后，均在可接受范围内</w:t>
      </w:r>
      <w:r>
        <w:rPr>
          <w:rFonts w:hint="eastAsia" w:ascii="宋体" w:hAnsi="宋体"/>
          <w:b w:val="0"/>
          <w:bCs/>
          <w:sz w:val="28"/>
          <w:szCs w:val="28"/>
        </w:rPr>
        <w:t>。</w:t>
      </w:r>
    </w:p>
    <w:p w14:paraId="06213D59">
      <w:pPr>
        <w:pStyle w:val="5"/>
        <w:rPr>
          <w:rFonts w:ascii="黑体" w:hAnsi="黑体" w:eastAsia="黑体"/>
          <w:b w:val="0"/>
          <w:bCs w:val="0"/>
        </w:rPr>
      </w:pPr>
      <w:r>
        <w:rPr>
          <w:rFonts w:hint="eastAsia" w:ascii="黑体" w:hAnsi="黑体" w:eastAsia="黑体"/>
          <w:b w:val="0"/>
          <w:bCs w:val="0"/>
        </w:rPr>
        <w:t>5.9.2建设项目总体布局</w:t>
      </w:r>
    </w:p>
    <w:p w14:paraId="110822E1">
      <w:pPr>
        <w:widowControl/>
        <w:spacing w:line="360" w:lineRule="auto"/>
        <w:ind w:firstLine="560" w:firstLineChars="200"/>
        <w:rPr>
          <w:rFonts w:ascii="宋体" w:hAnsi="宋体"/>
          <w:b w:val="0"/>
          <w:bCs/>
          <w:sz w:val="28"/>
          <w:szCs w:val="28"/>
        </w:rPr>
      </w:pPr>
      <w:r>
        <w:rPr>
          <w:rFonts w:hint="eastAsia" w:ascii="宋体" w:hAnsi="宋体"/>
          <w:b w:val="0"/>
          <w:bCs/>
          <w:sz w:val="28"/>
          <w:szCs w:val="28"/>
        </w:rPr>
        <w:t>依据《浏阳市太平复兴花炮厂（个人独资）厂房升级改造项目</w:t>
      </w:r>
      <w:r>
        <w:rPr>
          <w:rFonts w:hint="eastAsia" w:ascii="宋体" w:hAnsi="宋体" w:cs="宋体"/>
          <w:b w:val="0"/>
          <w:bCs/>
          <w:sz w:val="28"/>
          <w:szCs w:val="28"/>
        </w:rPr>
        <w:t>安全设施设计平面布置</w:t>
      </w:r>
      <w:r>
        <w:rPr>
          <w:rFonts w:hint="eastAsia" w:ascii="宋体" w:hAnsi="宋体"/>
          <w:b w:val="0"/>
          <w:bCs/>
          <w:sz w:val="28"/>
          <w:szCs w:val="28"/>
        </w:rPr>
        <w:t>》（初步设计方案图）、根据《烟花爆竹工程设计安全标准》</w:t>
      </w:r>
      <w:r>
        <w:rPr>
          <w:rFonts w:hint="eastAsia" w:ascii="宋体" w:hAnsi="宋体" w:cs="宋体"/>
          <w:b w:val="0"/>
          <w:bCs/>
          <w:sz w:val="28"/>
          <w:szCs w:val="28"/>
        </w:rPr>
        <w:t>（GB50161-2022）</w:t>
      </w:r>
      <w:r>
        <w:rPr>
          <w:rFonts w:hint="eastAsia" w:ascii="宋体" w:hAnsi="宋体"/>
          <w:b w:val="0"/>
          <w:bCs/>
          <w:sz w:val="28"/>
          <w:szCs w:val="28"/>
        </w:rPr>
        <w:t>标准要求，对该企业厂房升级改造项目的选址、总平面布置、工艺布局及内、外部距离检查，其选址、总平面布置、工艺布局及内、外部距离均符合《烟花爆竹工程设计安全标准》（GB50161-2022）标准要求。</w:t>
      </w:r>
    </w:p>
    <w:p w14:paraId="566F2641">
      <w:pPr>
        <w:pStyle w:val="5"/>
        <w:rPr>
          <w:rFonts w:ascii="黑体" w:hAnsi="黑体" w:eastAsia="黑体"/>
          <w:b w:val="0"/>
          <w:bCs w:val="0"/>
        </w:rPr>
      </w:pPr>
      <w:r>
        <w:rPr>
          <w:rFonts w:hint="eastAsia" w:ascii="黑体" w:hAnsi="黑体" w:eastAsia="黑体"/>
          <w:b w:val="0"/>
          <w:bCs w:val="0"/>
        </w:rPr>
        <w:t>5.9.3安全设施及公用工程</w:t>
      </w:r>
    </w:p>
    <w:p w14:paraId="21EE61C7">
      <w:pPr>
        <w:widowControl/>
        <w:spacing w:line="360" w:lineRule="auto"/>
        <w:ind w:firstLine="560" w:firstLineChars="200"/>
        <w:rPr>
          <w:rFonts w:ascii="宋体" w:hAnsi="宋体"/>
          <w:b w:val="0"/>
          <w:sz w:val="28"/>
          <w:szCs w:val="28"/>
        </w:rPr>
      </w:pPr>
      <w:r>
        <w:rPr>
          <w:rFonts w:hint="eastAsia" w:ascii="宋体" w:hAnsi="宋体"/>
          <w:b w:val="0"/>
          <w:sz w:val="28"/>
          <w:szCs w:val="28"/>
        </w:rPr>
        <w:t>该项目安全设施及公用工程的配置符合《烟花爆竹工程设计安全标准》（GB50161-2022）和《烟花爆竹企业安全监控系统通用技术条件》（AQ4101-2008）安全规范要求。</w:t>
      </w:r>
    </w:p>
    <w:p w14:paraId="415643F5">
      <w:pPr>
        <w:pStyle w:val="5"/>
        <w:rPr>
          <w:rFonts w:ascii="黑体" w:hAnsi="黑体" w:eastAsia="黑体"/>
          <w:b w:val="0"/>
          <w:bCs w:val="0"/>
        </w:rPr>
      </w:pPr>
      <w:r>
        <w:rPr>
          <w:rFonts w:hint="eastAsia" w:ascii="黑体" w:hAnsi="黑体" w:eastAsia="黑体"/>
          <w:b w:val="0"/>
          <w:bCs w:val="0"/>
        </w:rPr>
        <w:t>5.9.4安全管理</w:t>
      </w:r>
    </w:p>
    <w:p w14:paraId="0C70DE93">
      <w:pPr>
        <w:widowControl/>
        <w:spacing w:line="360" w:lineRule="auto"/>
        <w:ind w:firstLine="560" w:firstLineChars="200"/>
        <w:jc w:val="left"/>
        <w:rPr>
          <w:rFonts w:ascii="宋体" w:hAnsi="宋体"/>
          <w:b w:val="0"/>
          <w:bCs/>
          <w:sz w:val="28"/>
          <w:szCs w:val="28"/>
        </w:rPr>
      </w:pPr>
      <w:r>
        <w:rPr>
          <w:rFonts w:hint="eastAsia" w:ascii="宋体" w:hAnsi="宋体"/>
          <w:b w:val="0"/>
          <w:sz w:val="28"/>
          <w:szCs w:val="28"/>
        </w:rPr>
        <w:t>该企业拟按《烟花爆竹生产企业安全生产许可证实施办法》（原国家安全生产监督管理总局令第54号）和《生产经营单位生产安全事故应急预案导则》(GB/T29639-2020)等规范要求制定安全生产责任</w:t>
      </w:r>
      <w:r>
        <w:rPr>
          <w:rFonts w:hint="eastAsia" w:ascii="宋体" w:hAnsi="宋体"/>
          <w:b w:val="0"/>
          <w:bCs/>
          <w:sz w:val="28"/>
          <w:szCs w:val="28"/>
        </w:rPr>
        <w:t>制、安全生产规章制度、操作规程和应急救援预案。</w:t>
      </w:r>
    </w:p>
    <w:p w14:paraId="744BDB92">
      <w:pPr>
        <w:pStyle w:val="5"/>
        <w:rPr>
          <w:rFonts w:ascii="黑体" w:hAnsi="黑体" w:eastAsia="黑体"/>
          <w:b w:val="0"/>
        </w:rPr>
      </w:pPr>
      <w:r>
        <w:rPr>
          <w:rFonts w:hint="eastAsia" w:ascii="黑体" w:hAnsi="黑体" w:eastAsia="黑体"/>
          <w:b w:val="0"/>
        </w:rPr>
        <w:t>5.9</w:t>
      </w:r>
      <w:r>
        <w:rPr>
          <w:rFonts w:ascii="黑体" w:hAnsi="黑体" w:eastAsia="黑体"/>
          <w:b w:val="0"/>
        </w:rPr>
        <w:t>.</w:t>
      </w:r>
      <w:r>
        <w:rPr>
          <w:rFonts w:hint="eastAsia" w:ascii="黑体" w:hAnsi="黑体" w:eastAsia="黑体"/>
          <w:b w:val="0"/>
        </w:rPr>
        <w:t>5生产过程</w:t>
      </w:r>
    </w:p>
    <w:p w14:paraId="49EAF97F">
      <w:pPr>
        <w:spacing w:line="360" w:lineRule="auto"/>
        <w:ind w:firstLine="560" w:firstLineChars="200"/>
        <w:rPr>
          <w:b w:val="0"/>
          <w:bCs/>
          <w:sz w:val="28"/>
          <w:szCs w:val="28"/>
        </w:rPr>
      </w:pPr>
      <w:r>
        <w:rPr>
          <w:rFonts w:hint="eastAsia"/>
          <w:b w:val="0"/>
          <w:bCs/>
          <w:sz w:val="28"/>
          <w:szCs w:val="28"/>
          <w:lang w:val="en-GB"/>
        </w:rPr>
        <w:t>该项目</w:t>
      </w:r>
      <w:r>
        <w:rPr>
          <w:rFonts w:hint="eastAsia"/>
          <w:b w:val="0"/>
          <w:bCs/>
          <w:sz w:val="28"/>
          <w:szCs w:val="28"/>
        </w:rPr>
        <w:t>生产</w:t>
      </w:r>
      <w:r>
        <w:rPr>
          <w:rFonts w:hint="eastAsia"/>
          <w:b w:val="0"/>
          <w:bCs/>
          <w:sz w:val="28"/>
          <w:szCs w:val="28"/>
          <w:lang w:val="en-GB"/>
        </w:rPr>
        <w:t>过程的各工序都存在危险有害因素，事故类型主要为火灾、爆炸。危险级别主要为Ⅲ级，明确了发生事故的触发条件并确定了应采取的相应工艺安全对策措施。</w:t>
      </w:r>
    </w:p>
    <w:p w14:paraId="1D537973">
      <w:pPr>
        <w:pStyle w:val="5"/>
        <w:rPr>
          <w:rFonts w:ascii="黑体" w:hAnsi="黑体" w:eastAsia="黑体"/>
          <w:b w:val="0"/>
        </w:rPr>
      </w:pPr>
      <w:r>
        <w:rPr>
          <w:rFonts w:hint="eastAsia" w:ascii="黑体" w:hAnsi="黑体" w:eastAsia="黑体"/>
          <w:b w:val="0"/>
        </w:rPr>
        <w:t>5</w:t>
      </w:r>
      <w:r>
        <w:rPr>
          <w:rFonts w:ascii="黑体" w:hAnsi="黑体" w:eastAsia="黑体"/>
          <w:b w:val="0"/>
        </w:rPr>
        <w:t>.</w:t>
      </w:r>
      <w:r>
        <w:rPr>
          <w:rFonts w:hint="eastAsia" w:ascii="黑体" w:hAnsi="黑体" w:eastAsia="黑体"/>
          <w:b w:val="0"/>
        </w:rPr>
        <w:t>9</w:t>
      </w:r>
      <w:r>
        <w:rPr>
          <w:rFonts w:ascii="黑体" w:hAnsi="黑体" w:eastAsia="黑体"/>
          <w:b w:val="0"/>
        </w:rPr>
        <w:t>.6</w:t>
      </w:r>
      <w:r>
        <w:rPr>
          <w:rFonts w:hint="eastAsia" w:ascii="黑体" w:hAnsi="黑体" w:eastAsia="黑体"/>
          <w:b w:val="0"/>
        </w:rPr>
        <w:t>建筑施工</w:t>
      </w:r>
    </w:p>
    <w:p w14:paraId="411D2BA6">
      <w:pPr>
        <w:widowControl/>
        <w:spacing w:line="360" w:lineRule="auto"/>
        <w:ind w:firstLine="560" w:firstLineChars="200"/>
        <w:jc w:val="left"/>
        <w:rPr>
          <w:rFonts w:ascii="宋体" w:hAnsi="宋体"/>
          <w:b w:val="0"/>
          <w:bCs/>
          <w:sz w:val="28"/>
          <w:szCs w:val="28"/>
        </w:rPr>
      </w:pPr>
      <w:r>
        <w:rPr>
          <w:rFonts w:hint="eastAsia" w:ascii="宋体" w:hAnsi="宋体"/>
          <w:b w:val="0"/>
          <w:bCs/>
          <w:sz w:val="28"/>
          <w:szCs w:val="28"/>
        </w:rPr>
        <w:t>建筑施工阶段存在的潜在的主要危险有害因素有：高处坠落、物体打击、起重致害、机械致害、厂（场）内车辆致害</w:t>
      </w:r>
      <w:r>
        <w:rPr>
          <w:rFonts w:hint="eastAsia" w:ascii="MS Gothic" w:hAnsi="MS Gothic" w:eastAsia="MS Gothic" w:cs="MS Gothic"/>
          <w:b w:val="0"/>
          <w:bCs/>
          <w:sz w:val="28"/>
          <w:szCs w:val="28"/>
        </w:rPr>
        <w:t>​</w:t>
      </w:r>
      <w:r>
        <w:rPr>
          <w:rFonts w:ascii="宋体" w:hAnsi="宋体"/>
          <w:b w:val="0"/>
          <w:bCs/>
          <w:sz w:val="28"/>
          <w:szCs w:val="28"/>
        </w:rPr>
        <w:t>和</w:t>
      </w:r>
      <w:r>
        <w:rPr>
          <w:rFonts w:hint="eastAsia" w:ascii="宋体" w:hAnsi="宋体"/>
          <w:b w:val="0"/>
          <w:bCs/>
          <w:sz w:val="28"/>
          <w:szCs w:val="28"/>
        </w:rPr>
        <w:t>道路（轨道）车辆致害、火灾、触电，其风险可以接受。</w:t>
      </w:r>
    </w:p>
    <w:p w14:paraId="5D50EF92">
      <w:pPr>
        <w:pStyle w:val="5"/>
        <w:rPr>
          <w:rFonts w:ascii="黑体" w:hAnsi="黑体" w:eastAsia="黑体"/>
          <w:b w:val="0"/>
        </w:rPr>
      </w:pPr>
      <w:r>
        <w:rPr>
          <w:rFonts w:hint="eastAsia" w:ascii="黑体" w:hAnsi="黑体" w:eastAsia="黑体"/>
          <w:b w:val="0"/>
        </w:rPr>
        <w:t>5.9.</w:t>
      </w:r>
      <w:r>
        <w:rPr>
          <w:rFonts w:ascii="黑体" w:hAnsi="黑体" w:eastAsia="黑体"/>
          <w:b w:val="0"/>
        </w:rPr>
        <w:t>7</w:t>
      </w:r>
      <w:r>
        <w:rPr>
          <w:rFonts w:hint="eastAsia" w:ascii="黑体" w:hAnsi="黑体" w:eastAsia="黑体"/>
          <w:b w:val="0"/>
        </w:rPr>
        <w:t>事故后果模拟分析结论</w:t>
      </w:r>
    </w:p>
    <w:p w14:paraId="2DBB6F02">
      <w:pPr>
        <w:widowControl/>
        <w:spacing w:line="360" w:lineRule="auto"/>
        <w:ind w:firstLine="560" w:firstLineChars="200"/>
        <w:jc w:val="left"/>
        <w:rPr>
          <w:rFonts w:ascii="宋体" w:hAnsi="宋体"/>
          <w:b w:val="0"/>
          <w:bCs/>
          <w:sz w:val="28"/>
          <w:szCs w:val="28"/>
        </w:rPr>
      </w:pPr>
      <w:r>
        <w:rPr>
          <w:rFonts w:hint="eastAsia" w:ascii="宋体" w:hAnsi="宋体"/>
          <w:b w:val="0"/>
          <w:bCs/>
          <w:sz w:val="28"/>
          <w:szCs w:val="28"/>
        </w:rPr>
        <w:t>根据以上评价过程对该企业67电烘房/散热（计算药量5</w:t>
      </w:r>
      <w:r>
        <w:rPr>
          <w:rFonts w:ascii="宋体" w:hAnsi="宋体"/>
          <w:b w:val="0"/>
          <w:bCs/>
          <w:sz w:val="28"/>
          <w:szCs w:val="28"/>
        </w:rPr>
        <w:t>00kg</w:t>
      </w:r>
      <w:r>
        <w:rPr>
          <w:rFonts w:hint="eastAsia" w:ascii="宋体" w:hAnsi="宋体"/>
          <w:b w:val="0"/>
          <w:bCs/>
          <w:sz w:val="28"/>
          <w:szCs w:val="28"/>
        </w:rPr>
        <w:t>）进行事故后果模拟分析，综合该企业安全防范措施水平，在企业严格按规章制度运行的前提下，其建筑施工过程的风险可控。</w:t>
      </w:r>
      <w:bookmarkEnd w:id="588"/>
      <w:bookmarkEnd w:id="589"/>
    </w:p>
    <w:p w14:paraId="100BB7D4">
      <w:pPr>
        <w:pStyle w:val="5"/>
        <w:rPr>
          <w:rFonts w:ascii="黑体" w:hAnsi="黑体" w:eastAsia="黑体"/>
          <w:b w:val="0"/>
        </w:rPr>
      </w:pPr>
      <w:r>
        <w:rPr>
          <w:rFonts w:hint="eastAsia" w:ascii="黑体" w:hAnsi="黑体" w:eastAsia="黑体"/>
          <w:b w:val="0"/>
        </w:rPr>
        <w:t>5.9.8重大危险源评价结论</w:t>
      </w:r>
    </w:p>
    <w:p w14:paraId="0D6090B4">
      <w:pPr>
        <w:widowControl/>
        <w:spacing w:line="360" w:lineRule="auto"/>
        <w:ind w:firstLine="560" w:firstLineChars="200"/>
        <w:jc w:val="left"/>
        <w:rPr>
          <w:rFonts w:ascii="宋体" w:hAnsi="宋体"/>
          <w:b w:val="0"/>
          <w:bCs/>
          <w:sz w:val="28"/>
          <w:szCs w:val="28"/>
          <w:lang w:val="en-GB"/>
        </w:rPr>
      </w:pPr>
      <w:r>
        <w:rPr>
          <w:rFonts w:hint="eastAsia" w:ascii="宋体" w:hAnsi="宋体"/>
          <w:b w:val="0"/>
          <w:bCs/>
          <w:sz w:val="28"/>
          <w:szCs w:val="28"/>
          <w:lang w:val="en-GB"/>
        </w:rPr>
        <w:t>通过对该企业的重大危险源辨识，该企业</w:t>
      </w:r>
      <w:r>
        <w:rPr>
          <w:rFonts w:hint="eastAsia" w:ascii="宋体" w:hAnsi="宋体"/>
          <w:b w:val="0"/>
          <w:bCs/>
          <w:sz w:val="28"/>
          <w:szCs w:val="28"/>
        </w:rPr>
        <w:t>储存单元中的药物总库区已</w:t>
      </w:r>
      <w:r>
        <w:rPr>
          <w:rFonts w:hint="eastAsia" w:ascii="宋体" w:hAnsi="宋体"/>
          <w:b w:val="0"/>
          <w:bCs/>
          <w:sz w:val="28"/>
          <w:szCs w:val="28"/>
          <w:lang w:val="en-GB"/>
        </w:rPr>
        <w:t>构成</w:t>
      </w:r>
      <w:r>
        <w:rPr>
          <w:rFonts w:hint="eastAsia" w:ascii="宋体" w:hAnsi="宋体"/>
          <w:b w:val="0"/>
          <w:bCs/>
          <w:sz w:val="28"/>
          <w:szCs w:val="28"/>
        </w:rPr>
        <w:t>四级烟花爆竹</w:t>
      </w:r>
      <w:r>
        <w:rPr>
          <w:rFonts w:hint="eastAsia" w:ascii="宋体" w:hAnsi="宋体"/>
          <w:b w:val="0"/>
          <w:bCs/>
          <w:sz w:val="28"/>
          <w:szCs w:val="28"/>
          <w:lang w:val="en-GB"/>
        </w:rPr>
        <w:t>重大危险源，</w:t>
      </w:r>
      <w:r>
        <w:rPr>
          <w:rFonts w:hint="eastAsia" w:ascii="宋体" w:hAnsi="宋体"/>
          <w:b w:val="0"/>
          <w:bCs/>
          <w:sz w:val="28"/>
          <w:szCs w:val="28"/>
        </w:rPr>
        <w:t>建议</w:t>
      </w:r>
      <w:r>
        <w:rPr>
          <w:rFonts w:hint="eastAsia" w:ascii="宋体" w:hAnsi="宋体"/>
          <w:b w:val="0"/>
          <w:bCs/>
          <w:sz w:val="28"/>
          <w:szCs w:val="28"/>
          <w:lang w:val="en-GB"/>
        </w:rPr>
        <w:t>企业应按照重大危险源的管理办法对其实施管理。</w:t>
      </w:r>
    </w:p>
    <w:p w14:paraId="15021009">
      <w:pPr>
        <w:widowControl/>
        <w:spacing w:line="360" w:lineRule="auto"/>
        <w:ind w:firstLine="560" w:firstLineChars="200"/>
        <w:jc w:val="left"/>
        <w:rPr>
          <w:rFonts w:ascii="宋体" w:hAnsi="宋体"/>
          <w:b w:val="0"/>
          <w:bCs/>
          <w:sz w:val="28"/>
          <w:szCs w:val="28"/>
        </w:rPr>
        <w:sectPr>
          <w:pgSz w:w="11906" w:h="16838"/>
          <w:pgMar w:top="1417" w:right="1417" w:bottom="1417" w:left="1417" w:header="851" w:footer="863" w:gutter="0"/>
          <w:pgBorders>
            <w:top w:val="none" w:sz="0" w:space="0"/>
            <w:left w:val="none" w:sz="0" w:space="0"/>
            <w:bottom w:val="none" w:sz="0" w:space="0"/>
            <w:right w:val="none" w:sz="0" w:space="0"/>
          </w:pgBorders>
          <w:cols w:space="720" w:num="1"/>
          <w:docGrid w:linePitch="312" w:charSpace="0"/>
        </w:sectPr>
      </w:pPr>
    </w:p>
    <w:bookmarkEnd w:id="539"/>
    <w:bookmarkEnd w:id="540"/>
    <w:bookmarkEnd w:id="541"/>
    <w:bookmarkEnd w:id="542"/>
    <w:bookmarkEnd w:id="543"/>
    <w:bookmarkEnd w:id="577"/>
    <w:p w14:paraId="61592F58">
      <w:pPr>
        <w:keepNext/>
        <w:pageBreakBefore/>
        <w:widowControl/>
        <w:spacing w:before="120" w:beforeLines="50" w:line="360" w:lineRule="auto"/>
        <w:jc w:val="center"/>
        <w:outlineLvl w:val="0"/>
        <w:rPr>
          <w:rFonts w:ascii="黑体" w:hAnsi="宋体" w:eastAsia="黑体"/>
          <w:b w:val="0"/>
          <w:sz w:val="32"/>
          <w:szCs w:val="32"/>
        </w:rPr>
      </w:pPr>
      <w:bookmarkStart w:id="616" w:name="_Toc4314"/>
      <w:bookmarkStart w:id="617" w:name="_Toc233449812"/>
      <w:bookmarkStart w:id="618" w:name="_Toc110569913"/>
      <w:r>
        <w:rPr>
          <w:rFonts w:hint="eastAsia" w:ascii="黑体" w:hAnsi="宋体" w:eastAsia="黑体"/>
          <w:b w:val="0"/>
          <w:sz w:val="32"/>
          <w:szCs w:val="32"/>
        </w:rPr>
        <w:t>第六章 安全对策措施建议</w:t>
      </w:r>
      <w:bookmarkEnd w:id="616"/>
      <w:bookmarkEnd w:id="617"/>
      <w:bookmarkEnd w:id="618"/>
    </w:p>
    <w:p w14:paraId="2C0461C8">
      <w:pPr>
        <w:spacing w:line="360" w:lineRule="auto"/>
        <w:ind w:firstLine="536" w:firstLineChars="200"/>
        <w:rPr>
          <w:rFonts w:ascii="宋体" w:hAnsi="宋体"/>
          <w:b w:val="0"/>
          <w:sz w:val="28"/>
        </w:rPr>
      </w:pPr>
      <w:bookmarkStart w:id="619" w:name="_Toc233449813"/>
      <w:r>
        <w:rPr>
          <w:rFonts w:hint="eastAsia" w:ascii="宋体" w:hAnsi="宋体"/>
          <w:b w:val="0"/>
          <w:spacing w:val="-6"/>
          <w:sz w:val="28"/>
        </w:rPr>
        <w:t>针对该企业厂房升级改造项目建成后存在的危险危害因素，并根据《烟花爆竹工程设计安全标准》（GB50161-2022）等相关法律、法规和标准，提出安全对策措施及建议，作为设计单位在项目设计过程中和建设单位在项目管理过程中用以预防、防止、消除或减弱危险危害因素的技术及管理措施。</w:t>
      </w:r>
    </w:p>
    <w:p w14:paraId="4CD01664">
      <w:pPr>
        <w:keepNext/>
        <w:keepLines/>
        <w:spacing w:before="120" w:beforeLines="50" w:line="360" w:lineRule="auto"/>
        <w:outlineLvl w:val="1"/>
        <w:rPr>
          <w:rFonts w:ascii="黑体" w:hAnsi="宋体" w:eastAsia="黑体"/>
          <w:b w:val="0"/>
          <w:bCs/>
          <w:snapToGrid w:val="0"/>
          <w:sz w:val="30"/>
          <w:szCs w:val="30"/>
        </w:rPr>
      </w:pPr>
      <w:bookmarkStart w:id="620" w:name="_Toc9108"/>
      <w:r>
        <w:rPr>
          <w:rFonts w:hint="eastAsia" w:ascii="黑体" w:hAnsi="宋体" w:eastAsia="黑体"/>
          <w:b w:val="0"/>
          <w:bCs/>
          <w:snapToGrid w:val="0"/>
          <w:sz w:val="30"/>
          <w:szCs w:val="30"/>
        </w:rPr>
        <w:t>6.1安全对策措施建议的依据</w:t>
      </w:r>
      <w:bookmarkEnd w:id="619"/>
      <w:bookmarkEnd w:id="620"/>
    </w:p>
    <w:p w14:paraId="215B2058">
      <w:pPr>
        <w:spacing w:line="360" w:lineRule="auto"/>
        <w:ind w:firstLine="560" w:firstLineChars="200"/>
        <w:rPr>
          <w:rFonts w:ascii="宋体" w:hAnsi="宋体"/>
          <w:b w:val="0"/>
          <w:sz w:val="28"/>
        </w:rPr>
      </w:pPr>
      <w:r>
        <w:rPr>
          <w:rFonts w:hint="eastAsia" w:ascii="宋体" w:hAnsi="宋体"/>
          <w:b w:val="0"/>
          <w:sz w:val="28"/>
        </w:rPr>
        <w:t>安全对策措施及建议主要依据国家相关法律、法规及烟花爆竹有关行业标准规范。</w:t>
      </w:r>
    </w:p>
    <w:p w14:paraId="3CF29D69">
      <w:pPr>
        <w:keepNext/>
        <w:keepLines/>
        <w:spacing w:before="120" w:beforeLines="50" w:line="360" w:lineRule="auto"/>
        <w:outlineLvl w:val="1"/>
        <w:rPr>
          <w:rFonts w:ascii="黑体" w:hAnsi="宋体" w:eastAsia="黑体"/>
          <w:b w:val="0"/>
          <w:bCs/>
          <w:snapToGrid w:val="0"/>
          <w:sz w:val="30"/>
          <w:szCs w:val="30"/>
        </w:rPr>
      </w:pPr>
      <w:bookmarkStart w:id="621" w:name="_Toc22729"/>
      <w:bookmarkStart w:id="622" w:name="_Toc233449814"/>
      <w:bookmarkStart w:id="623" w:name="_Toc233449815"/>
      <w:r>
        <w:rPr>
          <w:rFonts w:hint="eastAsia" w:ascii="黑体" w:hAnsi="宋体" w:eastAsia="黑体"/>
          <w:b w:val="0"/>
          <w:bCs/>
          <w:snapToGrid w:val="0"/>
          <w:sz w:val="30"/>
          <w:szCs w:val="30"/>
        </w:rPr>
        <w:t>6.2安全对策措施建议的原则</w:t>
      </w:r>
      <w:bookmarkEnd w:id="621"/>
      <w:bookmarkEnd w:id="622"/>
    </w:p>
    <w:p w14:paraId="194C9FE1">
      <w:pPr>
        <w:spacing w:line="360" w:lineRule="auto"/>
        <w:ind w:firstLine="599" w:firstLineChars="214"/>
        <w:rPr>
          <w:rFonts w:ascii="Arial" w:hAnsi="Arial" w:cs="Arial"/>
          <w:b w:val="0"/>
          <w:sz w:val="28"/>
        </w:rPr>
      </w:pPr>
      <w:r>
        <w:rPr>
          <w:rFonts w:ascii="Arial" w:hAnsi="Times New Roman" w:cs="Arial"/>
          <w:b w:val="0"/>
          <w:sz w:val="28"/>
        </w:rPr>
        <w:t>安全对策措施及建议的原则主要根据风险水平和控制风险的顺序决定。一般根据风险水平采取的措施。</w:t>
      </w:r>
    </w:p>
    <w:p w14:paraId="30CF6D9F">
      <w:pPr>
        <w:jc w:val="center"/>
        <w:rPr>
          <w:rFonts w:ascii="黑体" w:hAnsi="黑体" w:eastAsia="黑体" w:cs="Arial"/>
          <w:b w:val="0"/>
          <w:sz w:val="24"/>
        </w:rPr>
      </w:pPr>
      <w:r>
        <w:rPr>
          <w:rFonts w:ascii="黑体" w:hAnsi="黑体" w:eastAsia="黑体" w:cs="Arial"/>
          <w:b w:val="0"/>
          <w:sz w:val="24"/>
        </w:rPr>
        <w:t>表6.2-1  根据风险水平采取的安全对策措施及建议</w:t>
      </w:r>
    </w:p>
    <w:tbl>
      <w:tblPr>
        <w:tblStyle w:val="88"/>
        <w:tblW w:w="90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96"/>
        <w:gridCol w:w="7023"/>
      </w:tblGrid>
      <w:tr w14:paraId="70252C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6" w:hRule="exact"/>
          <w:jc w:val="center"/>
        </w:trPr>
        <w:tc>
          <w:tcPr>
            <w:tcW w:w="1996" w:type="dxa"/>
            <w:vAlign w:val="center"/>
          </w:tcPr>
          <w:p w14:paraId="723C94B5">
            <w:pPr>
              <w:adjustRightInd w:val="0"/>
              <w:snapToGrid w:val="0"/>
              <w:jc w:val="center"/>
              <w:rPr>
                <w:rFonts w:ascii="Arial" w:hAnsi="Arial"/>
                <w:bCs/>
                <w:szCs w:val="21"/>
              </w:rPr>
            </w:pPr>
            <w:r>
              <w:rPr>
                <w:rFonts w:ascii="Arial" w:hAnsi="宋体"/>
                <w:bCs/>
                <w:szCs w:val="21"/>
              </w:rPr>
              <w:t>风险水平</w:t>
            </w:r>
          </w:p>
        </w:tc>
        <w:tc>
          <w:tcPr>
            <w:tcW w:w="7023" w:type="dxa"/>
            <w:vAlign w:val="center"/>
          </w:tcPr>
          <w:p w14:paraId="28A0CF62">
            <w:pPr>
              <w:adjustRightInd w:val="0"/>
              <w:snapToGrid w:val="0"/>
              <w:jc w:val="center"/>
              <w:rPr>
                <w:rFonts w:ascii="Arial" w:hAnsi="Arial"/>
                <w:bCs/>
                <w:szCs w:val="21"/>
              </w:rPr>
            </w:pPr>
            <w:r>
              <w:rPr>
                <w:rFonts w:ascii="Arial" w:hAnsi="宋体"/>
                <w:bCs/>
                <w:szCs w:val="21"/>
              </w:rPr>
              <w:t>安全对策措施及建议</w:t>
            </w:r>
          </w:p>
        </w:tc>
      </w:tr>
      <w:tr w14:paraId="6DF338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6" w:hRule="exact"/>
          <w:jc w:val="center"/>
        </w:trPr>
        <w:tc>
          <w:tcPr>
            <w:tcW w:w="1996" w:type="dxa"/>
            <w:vAlign w:val="center"/>
          </w:tcPr>
          <w:p w14:paraId="760CF3C1">
            <w:pPr>
              <w:adjustRightInd w:val="0"/>
              <w:snapToGrid w:val="0"/>
              <w:jc w:val="center"/>
              <w:rPr>
                <w:rFonts w:ascii="Arial" w:hAnsi="Arial"/>
                <w:b w:val="0"/>
                <w:szCs w:val="21"/>
              </w:rPr>
            </w:pPr>
            <w:r>
              <w:rPr>
                <w:rFonts w:ascii="Arial" w:hAnsi="宋体"/>
                <w:b w:val="0"/>
                <w:szCs w:val="21"/>
              </w:rPr>
              <w:t>可忽视风险</w:t>
            </w:r>
          </w:p>
        </w:tc>
        <w:tc>
          <w:tcPr>
            <w:tcW w:w="7023" w:type="dxa"/>
            <w:vAlign w:val="center"/>
          </w:tcPr>
          <w:p w14:paraId="15059ABB">
            <w:pPr>
              <w:adjustRightInd w:val="0"/>
              <w:snapToGrid w:val="0"/>
              <w:jc w:val="center"/>
              <w:rPr>
                <w:rFonts w:ascii="Arial" w:hAnsi="Arial"/>
                <w:b w:val="0"/>
                <w:szCs w:val="21"/>
              </w:rPr>
            </w:pPr>
            <w:r>
              <w:rPr>
                <w:rFonts w:ascii="Arial" w:hAnsi="宋体"/>
                <w:b w:val="0"/>
                <w:szCs w:val="21"/>
              </w:rPr>
              <w:t>无须采取措施且不必保持记录</w:t>
            </w:r>
          </w:p>
        </w:tc>
      </w:tr>
      <w:tr w14:paraId="091DBC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6" w:hRule="exact"/>
          <w:jc w:val="center"/>
        </w:trPr>
        <w:tc>
          <w:tcPr>
            <w:tcW w:w="1996" w:type="dxa"/>
            <w:vAlign w:val="center"/>
          </w:tcPr>
          <w:p w14:paraId="27D7A9B9">
            <w:pPr>
              <w:adjustRightInd w:val="0"/>
              <w:snapToGrid w:val="0"/>
              <w:jc w:val="center"/>
              <w:rPr>
                <w:rFonts w:ascii="Arial" w:hAnsi="Arial"/>
                <w:b w:val="0"/>
                <w:szCs w:val="21"/>
              </w:rPr>
            </w:pPr>
            <w:r>
              <w:rPr>
                <w:rFonts w:ascii="Arial" w:hAnsi="宋体"/>
                <w:b w:val="0"/>
                <w:szCs w:val="21"/>
              </w:rPr>
              <w:t>可承受风险</w:t>
            </w:r>
          </w:p>
        </w:tc>
        <w:tc>
          <w:tcPr>
            <w:tcW w:w="7023" w:type="dxa"/>
            <w:vAlign w:val="center"/>
          </w:tcPr>
          <w:p w14:paraId="32B6C89C">
            <w:pPr>
              <w:adjustRightInd w:val="0"/>
              <w:snapToGrid w:val="0"/>
              <w:jc w:val="center"/>
              <w:rPr>
                <w:rFonts w:ascii="Arial" w:hAnsi="Arial"/>
                <w:b w:val="0"/>
                <w:szCs w:val="21"/>
              </w:rPr>
            </w:pPr>
            <w:r>
              <w:rPr>
                <w:rFonts w:ascii="Arial" w:hAnsi="宋体"/>
                <w:b w:val="0"/>
                <w:szCs w:val="21"/>
              </w:rPr>
              <w:t>不需另外的控制措施，需要监测来确保控制措施得以维持</w:t>
            </w:r>
          </w:p>
        </w:tc>
      </w:tr>
      <w:tr w14:paraId="199C97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6" w:hRule="exact"/>
          <w:jc w:val="center"/>
        </w:trPr>
        <w:tc>
          <w:tcPr>
            <w:tcW w:w="1996" w:type="dxa"/>
            <w:vAlign w:val="center"/>
          </w:tcPr>
          <w:p w14:paraId="5C2B5EF1">
            <w:pPr>
              <w:adjustRightInd w:val="0"/>
              <w:snapToGrid w:val="0"/>
              <w:jc w:val="center"/>
              <w:rPr>
                <w:rFonts w:ascii="Arial" w:hAnsi="Arial"/>
                <w:b w:val="0"/>
                <w:szCs w:val="21"/>
              </w:rPr>
            </w:pPr>
            <w:r>
              <w:rPr>
                <w:rFonts w:ascii="Arial" w:hAnsi="宋体"/>
                <w:b w:val="0"/>
                <w:szCs w:val="21"/>
              </w:rPr>
              <w:t>中度风险</w:t>
            </w:r>
          </w:p>
        </w:tc>
        <w:tc>
          <w:tcPr>
            <w:tcW w:w="7023" w:type="dxa"/>
            <w:vAlign w:val="center"/>
          </w:tcPr>
          <w:p w14:paraId="1CFA7558">
            <w:pPr>
              <w:adjustRightInd w:val="0"/>
              <w:snapToGrid w:val="0"/>
              <w:jc w:val="center"/>
              <w:rPr>
                <w:rFonts w:ascii="Arial" w:hAnsi="Arial"/>
                <w:b w:val="0"/>
                <w:szCs w:val="21"/>
              </w:rPr>
            </w:pPr>
            <w:r>
              <w:rPr>
                <w:rFonts w:ascii="Arial" w:hAnsi="宋体"/>
                <w:b w:val="0"/>
                <w:szCs w:val="21"/>
              </w:rPr>
              <w:t>努力降低风险，但要符合成本</w:t>
            </w:r>
            <w:r>
              <w:rPr>
                <w:rFonts w:ascii="Arial" w:hAnsi="Arial"/>
                <w:b w:val="0"/>
                <w:szCs w:val="21"/>
              </w:rPr>
              <w:t>---</w:t>
            </w:r>
            <w:r>
              <w:rPr>
                <w:rFonts w:ascii="Arial" w:hAnsi="宋体"/>
                <w:b w:val="0"/>
                <w:szCs w:val="21"/>
              </w:rPr>
              <w:t>有效性原则</w:t>
            </w:r>
          </w:p>
        </w:tc>
      </w:tr>
      <w:tr w14:paraId="11875C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6" w:hRule="exact"/>
          <w:jc w:val="center"/>
        </w:trPr>
        <w:tc>
          <w:tcPr>
            <w:tcW w:w="1996" w:type="dxa"/>
            <w:vAlign w:val="center"/>
          </w:tcPr>
          <w:p w14:paraId="2CB1D179">
            <w:pPr>
              <w:adjustRightInd w:val="0"/>
              <w:snapToGrid w:val="0"/>
              <w:jc w:val="center"/>
              <w:rPr>
                <w:rFonts w:ascii="Arial" w:hAnsi="Arial"/>
                <w:b w:val="0"/>
                <w:szCs w:val="21"/>
              </w:rPr>
            </w:pPr>
            <w:r>
              <w:rPr>
                <w:rFonts w:ascii="Arial" w:hAnsi="宋体"/>
                <w:b w:val="0"/>
                <w:szCs w:val="21"/>
              </w:rPr>
              <w:t>重大风险</w:t>
            </w:r>
          </w:p>
        </w:tc>
        <w:tc>
          <w:tcPr>
            <w:tcW w:w="7023" w:type="dxa"/>
            <w:vAlign w:val="center"/>
          </w:tcPr>
          <w:p w14:paraId="49ED9E50">
            <w:pPr>
              <w:adjustRightInd w:val="0"/>
              <w:snapToGrid w:val="0"/>
              <w:jc w:val="center"/>
              <w:rPr>
                <w:rFonts w:ascii="Arial" w:hAnsi="Arial"/>
                <w:b w:val="0"/>
                <w:szCs w:val="21"/>
              </w:rPr>
            </w:pPr>
            <w:r>
              <w:rPr>
                <w:rFonts w:ascii="Arial" w:hAnsi="宋体"/>
                <w:b w:val="0"/>
                <w:szCs w:val="21"/>
              </w:rPr>
              <w:t>紧急行动降低风险</w:t>
            </w:r>
          </w:p>
        </w:tc>
      </w:tr>
      <w:tr w14:paraId="3FF392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1996" w:type="dxa"/>
            <w:vAlign w:val="center"/>
          </w:tcPr>
          <w:p w14:paraId="6A020D08">
            <w:pPr>
              <w:adjustRightInd w:val="0"/>
              <w:snapToGrid w:val="0"/>
              <w:jc w:val="center"/>
              <w:rPr>
                <w:rFonts w:ascii="Arial" w:hAnsi="Arial"/>
                <w:b w:val="0"/>
                <w:szCs w:val="21"/>
              </w:rPr>
            </w:pPr>
            <w:r>
              <w:rPr>
                <w:rFonts w:ascii="Arial" w:hAnsi="宋体"/>
                <w:b w:val="0"/>
                <w:szCs w:val="21"/>
              </w:rPr>
              <w:t>不可承受风险</w:t>
            </w:r>
          </w:p>
        </w:tc>
        <w:tc>
          <w:tcPr>
            <w:tcW w:w="7023" w:type="dxa"/>
            <w:vAlign w:val="center"/>
          </w:tcPr>
          <w:p w14:paraId="35797D7B">
            <w:pPr>
              <w:adjustRightInd w:val="0"/>
              <w:snapToGrid w:val="0"/>
              <w:jc w:val="center"/>
              <w:rPr>
                <w:rFonts w:ascii="Arial" w:hAnsi="Arial"/>
                <w:b w:val="0"/>
                <w:szCs w:val="21"/>
              </w:rPr>
            </w:pPr>
            <w:r>
              <w:rPr>
                <w:rFonts w:ascii="Arial" w:hAnsi="宋体"/>
                <w:b w:val="0"/>
                <w:szCs w:val="21"/>
              </w:rPr>
              <w:t>只有当风险已降低时，才能开始或继续工作，为降低危险不限成本。若即使以无限资源投入也不能降低风险，应停止工作。</w:t>
            </w:r>
          </w:p>
        </w:tc>
      </w:tr>
    </w:tbl>
    <w:p w14:paraId="3CA039B6">
      <w:pPr>
        <w:spacing w:before="120" w:beforeLines="50" w:line="360" w:lineRule="auto"/>
        <w:ind w:firstLine="560" w:firstLineChars="200"/>
        <w:rPr>
          <w:rFonts w:ascii="Times New Roman" w:hAnsi="Times New Roman"/>
          <w:b w:val="0"/>
          <w:sz w:val="28"/>
        </w:rPr>
      </w:pPr>
      <w:r>
        <w:rPr>
          <w:rFonts w:ascii="Times New Roman" w:hAnsi="Times New Roman"/>
          <w:b w:val="0"/>
          <w:sz w:val="28"/>
        </w:rPr>
        <w:t>选择风险控制措施时的优先顺序：</w:t>
      </w:r>
      <w:r>
        <w:rPr>
          <w:rFonts w:hint="eastAsia" w:ascii="Times New Roman" w:hAnsi="Times New Roman"/>
          <w:b w:val="0"/>
          <w:sz w:val="28"/>
        </w:rPr>
        <w:t>消除危害→降低风险→个体防护。</w:t>
      </w:r>
    </w:p>
    <w:p w14:paraId="3264210F">
      <w:pPr>
        <w:keepNext/>
        <w:keepLines/>
        <w:spacing w:before="120" w:beforeLines="50" w:after="120" w:afterLines="50" w:line="360" w:lineRule="auto"/>
        <w:outlineLvl w:val="1"/>
        <w:rPr>
          <w:rFonts w:ascii="黑体" w:hAnsi="宋体" w:eastAsia="黑体"/>
          <w:b w:val="0"/>
          <w:bCs/>
          <w:snapToGrid w:val="0"/>
          <w:sz w:val="30"/>
          <w:szCs w:val="30"/>
        </w:rPr>
      </w:pPr>
      <w:bookmarkStart w:id="624" w:name="_Toc16302"/>
      <w:r>
        <w:rPr>
          <w:rFonts w:hint="eastAsia" w:ascii="黑体" w:hAnsi="宋体" w:eastAsia="黑体"/>
          <w:b w:val="0"/>
          <w:bCs/>
          <w:snapToGrid w:val="0"/>
          <w:sz w:val="30"/>
          <w:szCs w:val="30"/>
        </w:rPr>
        <w:t>6.3安全对策措施</w:t>
      </w:r>
      <w:bookmarkEnd w:id="623"/>
      <w:bookmarkEnd w:id="624"/>
    </w:p>
    <w:p w14:paraId="3013EAF1">
      <w:pPr>
        <w:spacing w:line="360" w:lineRule="auto"/>
        <w:ind w:firstLine="560" w:firstLineChars="200"/>
        <w:rPr>
          <w:rFonts w:ascii="宋体" w:hAnsi="宋体"/>
          <w:b w:val="0"/>
          <w:bCs/>
          <w:sz w:val="28"/>
        </w:rPr>
      </w:pPr>
      <w:bookmarkStart w:id="625" w:name="_Toc165038836"/>
      <w:bookmarkStart w:id="626" w:name="_Toc233449816"/>
      <w:r>
        <w:rPr>
          <w:rFonts w:ascii="宋体" w:hAnsi="宋体"/>
          <w:b w:val="0"/>
          <w:bCs/>
          <w:sz w:val="28"/>
        </w:rPr>
        <w:t>为降低本项目燃烧、爆炸事故发生的概率，在本项目施工设计、建设和使用过程中除采取</w:t>
      </w:r>
      <w:r>
        <w:rPr>
          <w:rFonts w:hint="eastAsia" w:ascii="宋体" w:hAnsi="宋体"/>
          <w:b w:val="0"/>
          <w:bCs/>
          <w:sz w:val="28"/>
          <w:lang w:val="en-GB"/>
        </w:rPr>
        <w:t>《浏阳市太平复兴花炮厂（个人独资）厂房升级改造项目总平面布置图》（初步设计方案图）</w:t>
      </w:r>
      <w:r>
        <w:rPr>
          <w:rFonts w:ascii="宋体" w:hAnsi="宋体"/>
          <w:b w:val="0"/>
          <w:bCs/>
          <w:sz w:val="28"/>
        </w:rPr>
        <w:t>中提出的安全对策措施外，本报告</w:t>
      </w:r>
      <w:r>
        <w:rPr>
          <w:rFonts w:ascii="宋体" w:hAnsi="宋体"/>
          <w:b w:val="0"/>
          <w:bCs/>
          <w:color w:val="000000" w:themeColor="text1"/>
          <w:sz w:val="28"/>
          <w14:textFill>
            <w14:solidFill>
              <w14:schemeClr w14:val="tx1"/>
            </w14:solidFill>
          </w14:textFill>
        </w:rPr>
        <w:t>从</w:t>
      </w:r>
      <w:r>
        <w:rPr>
          <w:rFonts w:hint="eastAsia" w:ascii="宋体" w:hAnsi="宋体"/>
          <w:b w:val="0"/>
          <w:bCs/>
          <w:color w:val="000000" w:themeColor="text1"/>
          <w:sz w:val="28"/>
          <w14:textFill>
            <w14:solidFill>
              <w14:schemeClr w14:val="tx1"/>
            </w14:solidFill>
          </w14:textFill>
        </w:rPr>
        <w:t>十</w:t>
      </w:r>
      <w:r>
        <w:rPr>
          <w:rFonts w:ascii="宋体" w:hAnsi="宋体"/>
          <w:b w:val="0"/>
          <w:bCs/>
          <w:color w:val="000000" w:themeColor="text1"/>
          <w:sz w:val="28"/>
          <w14:textFill>
            <w14:solidFill>
              <w14:schemeClr w14:val="tx1"/>
            </w14:solidFill>
          </w14:textFill>
        </w:rPr>
        <w:t>个方面</w:t>
      </w:r>
      <w:r>
        <w:rPr>
          <w:rFonts w:ascii="宋体" w:hAnsi="宋体"/>
          <w:b w:val="0"/>
          <w:bCs/>
          <w:sz w:val="28"/>
        </w:rPr>
        <w:t>提出如下安全对策措施建议</w:t>
      </w:r>
    </w:p>
    <w:p w14:paraId="424054FD">
      <w:pPr>
        <w:keepLines/>
        <w:widowControl/>
        <w:spacing w:line="360" w:lineRule="auto"/>
        <w:outlineLvl w:val="2"/>
        <w:rPr>
          <w:rFonts w:ascii="黑体" w:hAnsi="Times New Roman" w:eastAsia="黑体"/>
          <w:b w:val="0"/>
          <w:bCs/>
          <w:snapToGrid w:val="0"/>
          <w:sz w:val="30"/>
          <w:szCs w:val="30"/>
          <w:lang w:val="en-GB"/>
        </w:rPr>
      </w:pPr>
      <w:r>
        <w:rPr>
          <w:rFonts w:hint="eastAsia" w:ascii="黑体" w:hAnsi="Times New Roman" w:eastAsia="黑体"/>
          <w:b w:val="0"/>
          <w:bCs/>
          <w:snapToGrid w:val="0"/>
          <w:sz w:val="30"/>
          <w:szCs w:val="30"/>
          <w:lang w:val="en-GB"/>
        </w:rPr>
        <w:t>6.3.1</w:t>
      </w:r>
      <w:r>
        <w:rPr>
          <w:rFonts w:ascii="黑体" w:hAnsi="Times New Roman" w:eastAsia="黑体"/>
          <w:b w:val="0"/>
          <w:bCs/>
          <w:snapToGrid w:val="0"/>
          <w:sz w:val="30"/>
          <w:szCs w:val="30"/>
          <w:lang w:val="en-GB"/>
        </w:rPr>
        <w:t>工程设计与建设方面</w:t>
      </w:r>
    </w:p>
    <w:p w14:paraId="4863F751">
      <w:pPr>
        <w:spacing w:line="360" w:lineRule="auto"/>
        <w:ind w:firstLine="560" w:firstLineChars="200"/>
        <w:rPr>
          <w:rFonts w:ascii="宋体" w:hAnsi="宋体" w:cs="宋体"/>
          <w:b w:val="0"/>
          <w:sz w:val="28"/>
          <w:szCs w:val="28"/>
        </w:rPr>
      </w:pPr>
      <w:r>
        <w:rPr>
          <w:rFonts w:hint="eastAsia" w:ascii="宋体" w:hAnsi="宋体" w:cs="宋体"/>
          <w:b w:val="0"/>
          <w:sz w:val="28"/>
          <w:szCs w:val="28"/>
        </w:rPr>
        <w:t>1</w:t>
      </w:r>
      <w:r>
        <w:rPr>
          <w:rFonts w:ascii="宋体" w:hAnsi="宋体" w:cs="宋体"/>
          <w:b w:val="0"/>
          <w:sz w:val="28"/>
          <w:szCs w:val="28"/>
        </w:rPr>
        <w:t>）应按照本报告所提出的对策措施，补充完善该项目的不足之处。</w:t>
      </w:r>
    </w:p>
    <w:p w14:paraId="742D538E">
      <w:pPr>
        <w:spacing w:line="360" w:lineRule="auto"/>
        <w:ind w:firstLine="560" w:firstLineChars="200"/>
        <w:rPr>
          <w:rFonts w:ascii="宋体" w:hAnsi="宋体" w:cs="宋体"/>
          <w:b w:val="0"/>
          <w:sz w:val="28"/>
          <w:szCs w:val="28"/>
        </w:rPr>
      </w:pPr>
      <w:r>
        <w:rPr>
          <w:rFonts w:hint="eastAsia" w:ascii="宋体" w:hAnsi="宋体" w:cs="宋体"/>
          <w:b w:val="0"/>
          <w:sz w:val="28"/>
          <w:szCs w:val="28"/>
        </w:rPr>
        <w:t>2）项目</w:t>
      </w:r>
      <w:r>
        <w:rPr>
          <w:rFonts w:ascii="宋体" w:hAnsi="宋体" w:cs="宋体"/>
          <w:b w:val="0"/>
          <w:sz w:val="28"/>
          <w:szCs w:val="28"/>
        </w:rPr>
        <w:t>应委托具备相应资质的设计单位按照《烟花爆竹工程设计安全标准》（GB50161）、《烟花爆竹工程设计安全审查规范》（AQ4126）等有关标准要求，进行该项目的初步设计，编制安全设施设计并经审查合格；完成</w:t>
      </w:r>
      <w:r>
        <w:rPr>
          <w:rFonts w:hint="eastAsia" w:ascii="宋体" w:hAnsi="宋体" w:cs="宋体"/>
          <w:b w:val="0"/>
          <w:sz w:val="28"/>
          <w:szCs w:val="28"/>
        </w:rPr>
        <w:t>该项目</w:t>
      </w:r>
      <w:r>
        <w:rPr>
          <w:rFonts w:ascii="宋体" w:hAnsi="宋体" w:cs="宋体"/>
          <w:b w:val="0"/>
          <w:sz w:val="28"/>
          <w:szCs w:val="28"/>
        </w:rPr>
        <w:t>土建、电气线路及照明、给排水、道路、消防、防雷及防静电、安全监控保卫设施等专业的工程设计。</w:t>
      </w:r>
    </w:p>
    <w:p w14:paraId="48BA9619">
      <w:pPr>
        <w:spacing w:line="360" w:lineRule="auto"/>
        <w:ind w:firstLine="560" w:firstLineChars="200"/>
        <w:rPr>
          <w:rFonts w:ascii="宋体" w:hAnsi="宋体" w:cs="宋体"/>
          <w:b w:val="0"/>
          <w:sz w:val="28"/>
          <w:szCs w:val="28"/>
        </w:rPr>
      </w:pPr>
      <w:r>
        <w:rPr>
          <w:rFonts w:hint="eastAsia" w:ascii="宋体" w:hAnsi="宋体" w:cs="宋体"/>
          <w:b w:val="0"/>
          <w:sz w:val="28"/>
          <w:szCs w:val="28"/>
        </w:rPr>
        <w:t>3）</w:t>
      </w:r>
      <w:r>
        <w:rPr>
          <w:rFonts w:ascii="宋体" w:hAnsi="宋体" w:cs="宋体"/>
          <w:b w:val="0"/>
          <w:sz w:val="28"/>
          <w:szCs w:val="28"/>
        </w:rPr>
        <w:t>待工程设计完成并通过评审后，</w:t>
      </w:r>
      <w:r>
        <w:rPr>
          <w:rFonts w:hint="eastAsia" w:ascii="宋体" w:hAnsi="宋体" w:cs="宋体"/>
          <w:b w:val="0"/>
          <w:sz w:val="28"/>
          <w:szCs w:val="28"/>
        </w:rPr>
        <w:t>该企业</w:t>
      </w:r>
      <w:r>
        <w:rPr>
          <w:rFonts w:ascii="宋体" w:hAnsi="宋体" w:cs="宋体"/>
          <w:b w:val="0"/>
          <w:sz w:val="28"/>
          <w:szCs w:val="28"/>
        </w:rPr>
        <w:t>应组织具有相应建筑施工资质的单位进行施工，并督促施工单位严格按设计文件和设计要求施工。项目建设完成后，应按《烟花爆竹工程竣工验收规范》（AQ/T4127）的规定由建设单位会同施工单位、设计单位共同进行工程竣工验收，出具工程竣工验收报告并到当地政府主管部门完成工程建设备案手续；建设单位应委托有关部门、单位完成防雷、防静电、消防、</w:t>
      </w:r>
      <w:r>
        <w:rPr>
          <w:rFonts w:hint="eastAsia" w:ascii="宋体" w:hAnsi="宋体" w:cs="宋体"/>
          <w:b w:val="0"/>
          <w:sz w:val="28"/>
          <w:szCs w:val="28"/>
        </w:rPr>
        <w:t>视频</w:t>
      </w:r>
      <w:r>
        <w:rPr>
          <w:rFonts w:ascii="宋体" w:hAnsi="宋体" w:cs="宋体"/>
          <w:b w:val="0"/>
          <w:sz w:val="28"/>
          <w:szCs w:val="28"/>
        </w:rPr>
        <w:t>监控等单项工程验收并出具验收报告。</w:t>
      </w:r>
    </w:p>
    <w:p w14:paraId="1A6741BF">
      <w:pPr>
        <w:spacing w:line="360" w:lineRule="auto"/>
        <w:ind w:firstLine="560" w:firstLineChars="200"/>
        <w:rPr>
          <w:rFonts w:ascii="宋体" w:hAnsi="宋体" w:cs="宋体"/>
          <w:b w:val="0"/>
          <w:sz w:val="28"/>
          <w:szCs w:val="28"/>
        </w:rPr>
      </w:pPr>
      <w:r>
        <w:rPr>
          <w:rFonts w:hint="eastAsia" w:ascii="宋体" w:hAnsi="宋体" w:cs="宋体"/>
          <w:b w:val="0"/>
          <w:sz w:val="28"/>
          <w:szCs w:val="28"/>
        </w:rPr>
        <w:t>4）</w:t>
      </w:r>
      <w:r>
        <w:rPr>
          <w:rFonts w:ascii="宋体" w:hAnsi="宋体" w:cs="宋体"/>
          <w:b w:val="0"/>
          <w:sz w:val="28"/>
          <w:szCs w:val="28"/>
        </w:rPr>
        <w:t>在项目建设过程中，有关方应严格安全管理，严格施工质量控制，保证施工安全和质量。建设方应与施工方签订安全管理协议，明确并落实施工期间各方的安全责任。</w:t>
      </w:r>
    </w:p>
    <w:p w14:paraId="459F6E05">
      <w:pPr>
        <w:spacing w:line="360" w:lineRule="auto"/>
        <w:ind w:firstLine="560" w:firstLineChars="200"/>
        <w:rPr>
          <w:rFonts w:ascii="宋体" w:hAnsi="宋体" w:cs="宋体"/>
          <w:b w:val="0"/>
          <w:sz w:val="28"/>
          <w:szCs w:val="28"/>
        </w:rPr>
      </w:pPr>
      <w:r>
        <w:rPr>
          <w:rFonts w:hint="eastAsia" w:ascii="宋体" w:hAnsi="宋体" w:cs="宋体"/>
          <w:b w:val="0"/>
          <w:sz w:val="28"/>
          <w:szCs w:val="28"/>
        </w:rPr>
        <w:t>5）</w:t>
      </w:r>
      <w:r>
        <w:rPr>
          <w:rFonts w:ascii="宋体" w:hAnsi="宋体" w:cs="宋体"/>
          <w:b w:val="0"/>
          <w:sz w:val="28"/>
          <w:szCs w:val="28"/>
        </w:rPr>
        <w:t>项目建设完成，并完成各种单项验收后，应委托具有符合要求资质的安全评价单位完成安全验收评价，并按要求组织项目验收，该项目新建仓库未按要求完成项目验收、备案手续则不得启用。</w:t>
      </w:r>
    </w:p>
    <w:p w14:paraId="67AAE260">
      <w:pPr>
        <w:spacing w:line="360" w:lineRule="auto"/>
        <w:ind w:firstLine="536" w:firstLineChars="200"/>
        <w:rPr>
          <w:rFonts w:ascii="宋体" w:hAnsi="宋体" w:cs="宋体"/>
          <w:b w:val="0"/>
          <w:sz w:val="28"/>
          <w:szCs w:val="28"/>
        </w:rPr>
      </w:pPr>
      <w:r>
        <w:rPr>
          <w:rFonts w:hint="eastAsia" w:ascii="宋体" w:hAnsi="宋体" w:cs="宋体"/>
          <w:b w:val="0"/>
          <w:spacing w:val="-6"/>
          <w:sz w:val="28"/>
          <w:szCs w:val="28"/>
        </w:rPr>
        <w:t>6）</w:t>
      </w:r>
      <w:r>
        <w:rPr>
          <w:rFonts w:ascii="宋体" w:hAnsi="宋体" w:cs="宋体"/>
          <w:b w:val="0"/>
          <w:spacing w:val="-6"/>
          <w:sz w:val="28"/>
          <w:szCs w:val="28"/>
        </w:rPr>
        <w:t>在施工设计与建设过程中应严格落实建设项目安全设施“三同时”。</w:t>
      </w:r>
    </w:p>
    <w:p w14:paraId="6D4ECCFA">
      <w:pPr>
        <w:keepLines/>
        <w:widowControl/>
        <w:spacing w:line="360" w:lineRule="auto"/>
        <w:outlineLvl w:val="2"/>
        <w:rPr>
          <w:rFonts w:ascii="黑体" w:hAnsi="Times New Roman" w:eastAsia="黑体"/>
          <w:b w:val="0"/>
          <w:bCs/>
          <w:snapToGrid w:val="0"/>
          <w:sz w:val="30"/>
          <w:szCs w:val="30"/>
          <w:lang w:val="en-GB"/>
        </w:rPr>
      </w:pPr>
      <w:r>
        <w:rPr>
          <w:rFonts w:hint="eastAsia" w:ascii="黑体" w:hAnsi="Times New Roman" w:eastAsia="黑体"/>
          <w:b w:val="0"/>
          <w:bCs/>
          <w:snapToGrid w:val="0"/>
          <w:sz w:val="30"/>
          <w:szCs w:val="30"/>
          <w:lang w:val="en-GB"/>
        </w:rPr>
        <w:t>6.3.2</w:t>
      </w:r>
      <w:r>
        <w:rPr>
          <w:rFonts w:ascii="黑体" w:hAnsi="Times New Roman" w:eastAsia="黑体"/>
          <w:b w:val="0"/>
          <w:bCs/>
          <w:snapToGrid w:val="0"/>
          <w:sz w:val="30"/>
          <w:szCs w:val="30"/>
          <w:lang w:val="en-GB"/>
        </w:rPr>
        <w:t>总平面布置方面</w:t>
      </w:r>
    </w:p>
    <w:p w14:paraId="1179A3D3">
      <w:pPr>
        <w:spacing w:line="360" w:lineRule="auto"/>
        <w:ind w:firstLine="560" w:firstLineChars="200"/>
        <w:rPr>
          <w:rFonts w:ascii="宋体" w:hAnsi="宋体" w:cs="宋体"/>
          <w:b w:val="0"/>
          <w:sz w:val="28"/>
          <w:szCs w:val="28"/>
        </w:rPr>
      </w:pPr>
      <w:r>
        <w:rPr>
          <w:rFonts w:hint="eastAsia" w:ascii="宋体" w:hAnsi="宋体" w:cs="宋体"/>
          <w:b w:val="0"/>
          <w:sz w:val="28"/>
          <w:szCs w:val="28"/>
        </w:rPr>
        <w:t>1）</w:t>
      </w:r>
      <w:r>
        <w:rPr>
          <w:rFonts w:ascii="宋体" w:hAnsi="宋体" w:cs="宋体"/>
          <w:b w:val="0"/>
          <w:sz w:val="28"/>
          <w:szCs w:val="28"/>
        </w:rPr>
        <w:t>在正式进行设计时，应严格执行《烟花爆竹工程设计安全标准》（GB50161-2022）、《烟花爆竹批发仓库建设标准》（建标 125-2009）的标准要求。</w:t>
      </w:r>
    </w:p>
    <w:p w14:paraId="052F8078">
      <w:pPr>
        <w:spacing w:line="360" w:lineRule="auto"/>
        <w:ind w:firstLine="560" w:firstLineChars="200"/>
        <w:rPr>
          <w:rFonts w:ascii="宋体" w:hAnsi="宋体" w:cs="宋体"/>
          <w:b w:val="0"/>
          <w:sz w:val="28"/>
          <w:szCs w:val="28"/>
        </w:rPr>
      </w:pPr>
      <w:r>
        <w:rPr>
          <w:rFonts w:hint="eastAsia" w:ascii="宋体" w:hAnsi="宋体" w:cs="宋体"/>
          <w:b w:val="0"/>
          <w:sz w:val="28"/>
          <w:szCs w:val="28"/>
        </w:rPr>
        <w:t>2）</w:t>
      </w:r>
      <w:r>
        <w:rPr>
          <w:rFonts w:ascii="宋体" w:hAnsi="宋体" w:cs="宋体"/>
          <w:b w:val="0"/>
          <w:sz w:val="28"/>
          <w:szCs w:val="28"/>
        </w:rPr>
        <w:t>生产线的厂(库)房的总平面布置应满足生产工艺流程顺 畅及生产能力匹配的要求，宜避免危险品的往返和交叉运输。</w:t>
      </w:r>
    </w:p>
    <w:p w14:paraId="04974736">
      <w:pPr>
        <w:spacing w:line="360" w:lineRule="auto"/>
        <w:ind w:firstLine="560" w:firstLineChars="200"/>
        <w:rPr>
          <w:rFonts w:ascii="宋体" w:hAnsi="宋体" w:cs="宋体"/>
          <w:b w:val="0"/>
          <w:sz w:val="28"/>
          <w:szCs w:val="28"/>
        </w:rPr>
      </w:pPr>
      <w:r>
        <w:rPr>
          <w:rFonts w:hint="eastAsia" w:ascii="宋体" w:hAnsi="宋体" w:cs="宋体"/>
          <w:b w:val="0"/>
          <w:sz w:val="28"/>
          <w:szCs w:val="28"/>
        </w:rPr>
        <w:t>3）</w:t>
      </w:r>
      <w:r>
        <w:rPr>
          <w:rFonts w:ascii="宋体" w:hAnsi="宋体" w:cs="宋体"/>
          <w:b w:val="0"/>
          <w:sz w:val="28"/>
          <w:szCs w:val="28"/>
        </w:rPr>
        <w:t>计算药量大或危 险性大的厂房和仓库，宜布置在危险品生产区的边缘或其他有利 于安全的地形处。</w:t>
      </w:r>
    </w:p>
    <w:p w14:paraId="4D3FFEE5">
      <w:pPr>
        <w:spacing w:line="360" w:lineRule="auto"/>
        <w:ind w:firstLine="560" w:firstLineChars="200"/>
        <w:rPr>
          <w:rFonts w:ascii="宋体" w:hAnsi="宋体" w:cs="宋体"/>
          <w:b w:val="0"/>
          <w:sz w:val="28"/>
          <w:szCs w:val="28"/>
        </w:rPr>
      </w:pPr>
      <w:r>
        <w:rPr>
          <w:rFonts w:hint="eastAsia" w:ascii="宋体" w:hAnsi="宋体" w:cs="宋体"/>
          <w:b w:val="0"/>
          <w:sz w:val="28"/>
          <w:szCs w:val="28"/>
        </w:rPr>
        <w:t>4）</w:t>
      </w:r>
      <w:r>
        <w:rPr>
          <w:rFonts w:ascii="宋体" w:hAnsi="宋体" w:cs="宋体"/>
          <w:b w:val="0"/>
          <w:sz w:val="28"/>
          <w:szCs w:val="28"/>
        </w:rPr>
        <w:t>围墙与危险性建(构)筑物之间的距离宜为12m,不得小于5m。</w:t>
      </w:r>
    </w:p>
    <w:p w14:paraId="3A9C4364">
      <w:pPr>
        <w:spacing w:line="360" w:lineRule="auto"/>
        <w:ind w:firstLine="560" w:firstLineChars="200"/>
        <w:rPr>
          <w:rFonts w:ascii="宋体" w:hAnsi="宋体" w:cs="宋体"/>
          <w:b w:val="0"/>
          <w:sz w:val="28"/>
          <w:szCs w:val="28"/>
        </w:rPr>
      </w:pPr>
      <w:r>
        <w:rPr>
          <w:rFonts w:hint="eastAsia" w:ascii="宋体" w:hAnsi="宋体" w:cs="宋体"/>
          <w:b w:val="0"/>
          <w:sz w:val="28"/>
          <w:szCs w:val="28"/>
        </w:rPr>
        <w:t>5）</w:t>
      </w:r>
      <w:r>
        <w:rPr>
          <w:rFonts w:ascii="宋体" w:hAnsi="宋体" w:cs="宋体"/>
          <w:b w:val="0"/>
          <w:sz w:val="28"/>
          <w:szCs w:val="28"/>
        </w:rPr>
        <w:t>危险品生产厂房靠山布置时，距山脚不宜小于3m;当危险品生产厂房布置在山凹中时，应利于人员的安全疏散和有害气体的扩散。</w:t>
      </w:r>
    </w:p>
    <w:p w14:paraId="7D071002">
      <w:pPr>
        <w:spacing w:line="360" w:lineRule="auto"/>
        <w:ind w:firstLine="560" w:firstLineChars="200"/>
        <w:rPr>
          <w:rFonts w:ascii="宋体" w:hAnsi="宋体" w:cs="宋体"/>
          <w:b w:val="0"/>
          <w:sz w:val="28"/>
          <w:szCs w:val="28"/>
        </w:rPr>
      </w:pPr>
      <w:r>
        <w:rPr>
          <w:rFonts w:hint="eastAsia" w:ascii="宋体" w:hAnsi="宋体" w:cs="宋体"/>
          <w:b w:val="0"/>
          <w:sz w:val="28"/>
          <w:szCs w:val="28"/>
        </w:rPr>
        <w:t>6）</w:t>
      </w:r>
      <w:r>
        <w:rPr>
          <w:rFonts w:ascii="宋体" w:hAnsi="宋体" w:cs="宋体"/>
          <w:b w:val="0"/>
          <w:sz w:val="28"/>
          <w:szCs w:val="28"/>
        </w:rPr>
        <w:t>危险品生产区内宜设有供1.1级、1.3级建(构)筑物内操 作人员使用的洗涤、淋浴、更衣、卫生间等生活辅助用室和办公用室。</w:t>
      </w:r>
    </w:p>
    <w:p w14:paraId="163A67C9">
      <w:pPr>
        <w:spacing w:line="360" w:lineRule="auto"/>
        <w:ind w:firstLine="560" w:firstLineChars="200"/>
        <w:rPr>
          <w:rFonts w:ascii="宋体" w:hAnsi="宋体" w:cs="宋体"/>
          <w:b w:val="0"/>
          <w:sz w:val="28"/>
          <w:szCs w:val="28"/>
        </w:rPr>
      </w:pPr>
      <w:r>
        <w:rPr>
          <w:rFonts w:hint="eastAsia" w:ascii="宋体" w:hAnsi="宋体" w:cs="宋体"/>
          <w:b w:val="0"/>
          <w:sz w:val="28"/>
          <w:szCs w:val="28"/>
        </w:rPr>
        <w:t>7）78#黑火药中转与东边民房的外部距离建议按10户以上住户确定。</w:t>
      </w:r>
    </w:p>
    <w:p w14:paraId="16D735A4">
      <w:pPr>
        <w:keepLines/>
        <w:widowControl/>
        <w:spacing w:line="360" w:lineRule="auto"/>
        <w:outlineLvl w:val="2"/>
        <w:rPr>
          <w:rFonts w:ascii="黑体" w:hAnsi="Times New Roman" w:eastAsia="黑体"/>
          <w:b w:val="0"/>
          <w:bCs/>
          <w:snapToGrid w:val="0"/>
          <w:sz w:val="30"/>
          <w:szCs w:val="30"/>
          <w:lang w:val="en-GB"/>
        </w:rPr>
      </w:pPr>
      <w:r>
        <w:rPr>
          <w:rFonts w:hint="eastAsia" w:ascii="黑体" w:hAnsi="Times New Roman" w:eastAsia="黑体"/>
          <w:b w:val="0"/>
          <w:bCs/>
          <w:snapToGrid w:val="0"/>
          <w:sz w:val="30"/>
          <w:szCs w:val="30"/>
          <w:lang w:val="en-GB"/>
        </w:rPr>
        <w:t>6.3.3</w:t>
      </w:r>
      <w:r>
        <w:rPr>
          <w:rFonts w:ascii="黑体" w:hAnsi="Times New Roman" w:eastAsia="黑体"/>
          <w:b w:val="0"/>
          <w:bCs/>
          <w:snapToGrid w:val="0"/>
          <w:sz w:val="30"/>
          <w:szCs w:val="30"/>
          <w:lang w:val="en-GB"/>
        </w:rPr>
        <w:t>外部距离方面</w:t>
      </w:r>
    </w:p>
    <w:p w14:paraId="4CD1927D">
      <w:pPr>
        <w:spacing w:line="360" w:lineRule="auto"/>
        <w:ind w:firstLine="560" w:firstLineChars="200"/>
        <w:rPr>
          <w:rFonts w:ascii="宋体" w:hAnsi="宋体" w:cs="宋体"/>
          <w:b w:val="0"/>
          <w:sz w:val="28"/>
          <w:szCs w:val="28"/>
        </w:rPr>
      </w:pPr>
      <w:r>
        <w:rPr>
          <w:rFonts w:hint="eastAsia" w:ascii="宋体" w:hAnsi="宋体" w:cs="宋体"/>
          <w:b w:val="0"/>
          <w:sz w:val="28"/>
          <w:szCs w:val="28"/>
        </w:rPr>
        <w:t>浏阳市太平复兴花炮厂（个人独资）</w:t>
      </w:r>
      <w:r>
        <w:rPr>
          <w:rFonts w:ascii="宋体" w:hAnsi="宋体" w:cs="宋体"/>
          <w:b w:val="0"/>
          <w:sz w:val="28"/>
          <w:szCs w:val="28"/>
        </w:rPr>
        <w:t>应密切关注该建设项目周围环境，一旦发现在</w:t>
      </w:r>
      <w:r>
        <w:rPr>
          <w:rFonts w:hint="eastAsia" w:ascii="宋体" w:hAnsi="宋体" w:cs="宋体"/>
          <w:b w:val="0"/>
          <w:sz w:val="28"/>
          <w:szCs w:val="28"/>
        </w:rPr>
        <w:t>厂区</w:t>
      </w:r>
      <w:r>
        <w:rPr>
          <w:rFonts w:ascii="宋体" w:hAnsi="宋体" w:cs="宋体"/>
          <w:b w:val="0"/>
          <w:sz w:val="28"/>
          <w:szCs w:val="28"/>
        </w:rPr>
        <w:t>的外部安全距离内增建建筑、设施或原废弃建构筑物重新启用，应立即报告当地政府，并积极协助政府妥善解决。</w:t>
      </w:r>
    </w:p>
    <w:p w14:paraId="16BBF70E">
      <w:pPr>
        <w:keepLines/>
        <w:widowControl/>
        <w:spacing w:line="360" w:lineRule="auto"/>
        <w:outlineLvl w:val="2"/>
        <w:rPr>
          <w:rFonts w:ascii="黑体" w:hAnsi="Times New Roman" w:eastAsia="黑体"/>
          <w:b w:val="0"/>
          <w:bCs/>
          <w:snapToGrid w:val="0"/>
          <w:sz w:val="30"/>
          <w:szCs w:val="30"/>
          <w:lang w:val="en-GB"/>
        </w:rPr>
      </w:pPr>
      <w:r>
        <w:rPr>
          <w:rFonts w:hint="eastAsia" w:ascii="黑体" w:hAnsi="Times New Roman" w:eastAsia="黑体"/>
          <w:b w:val="0"/>
          <w:bCs/>
          <w:snapToGrid w:val="0"/>
          <w:sz w:val="30"/>
          <w:szCs w:val="30"/>
          <w:lang w:val="en-GB"/>
        </w:rPr>
        <w:t>6.3.4</w:t>
      </w:r>
      <w:r>
        <w:rPr>
          <w:rFonts w:ascii="黑体" w:hAnsi="Times New Roman" w:eastAsia="黑体"/>
          <w:b w:val="0"/>
          <w:bCs/>
          <w:snapToGrid w:val="0"/>
          <w:sz w:val="30"/>
          <w:szCs w:val="30"/>
          <w:lang w:val="en-GB"/>
        </w:rPr>
        <w:t>内部距离方面</w:t>
      </w:r>
    </w:p>
    <w:p w14:paraId="2F7A7B9A">
      <w:pPr>
        <w:spacing w:line="360" w:lineRule="auto"/>
        <w:ind w:firstLine="560" w:firstLineChars="200"/>
        <w:rPr>
          <w:rFonts w:ascii="宋体" w:hAnsi="宋体" w:cs="宋体"/>
          <w:b w:val="0"/>
          <w:sz w:val="28"/>
          <w:szCs w:val="28"/>
        </w:rPr>
      </w:pPr>
      <w:r>
        <w:rPr>
          <w:rFonts w:ascii="宋体" w:hAnsi="宋体" w:cs="宋体"/>
          <w:b w:val="0"/>
          <w:sz w:val="28"/>
          <w:szCs w:val="28"/>
        </w:rPr>
        <w:t>由</w:t>
      </w:r>
      <w:r>
        <w:rPr>
          <w:rFonts w:hint="eastAsia" w:ascii="宋体" w:hAnsi="宋体" w:cs="宋体"/>
          <w:b w:val="0"/>
          <w:sz w:val="28"/>
          <w:szCs w:val="28"/>
        </w:rPr>
        <w:t>《浏阳市太平复兴花炮厂（个人独资）厂房升级改造项目总平面布置图》</w:t>
      </w:r>
      <w:r>
        <w:rPr>
          <w:rFonts w:hint="eastAsia" w:ascii="宋体" w:hAnsi="宋体" w:cs="宋体"/>
          <w:b w:val="0"/>
          <w:sz w:val="28"/>
          <w:szCs w:val="28"/>
          <w:lang w:val="en-GB"/>
        </w:rPr>
        <w:t>（初步设计方案图）</w:t>
      </w:r>
      <w:r>
        <w:rPr>
          <w:rFonts w:ascii="宋体" w:hAnsi="宋体" w:cs="宋体"/>
          <w:b w:val="0"/>
          <w:sz w:val="28"/>
          <w:szCs w:val="28"/>
        </w:rPr>
        <w:t>和本报告</w:t>
      </w:r>
      <w:r>
        <w:rPr>
          <w:rFonts w:hint="eastAsia" w:ascii="宋体" w:hAnsi="宋体" w:cs="宋体"/>
          <w:b w:val="0"/>
          <w:sz w:val="28"/>
          <w:szCs w:val="28"/>
        </w:rPr>
        <w:t>改扩建项目内部距离评价章节</w:t>
      </w:r>
      <w:r>
        <w:rPr>
          <w:rFonts w:ascii="宋体" w:hAnsi="宋体" w:cs="宋体"/>
          <w:b w:val="0"/>
          <w:sz w:val="28"/>
          <w:szCs w:val="28"/>
        </w:rPr>
        <w:t>可知，</w:t>
      </w:r>
      <w:r>
        <w:rPr>
          <w:rFonts w:hint="eastAsia" w:ascii="宋体" w:hAnsi="宋体" w:cs="宋体"/>
          <w:b w:val="0"/>
          <w:sz w:val="28"/>
          <w:szCs w:val="28"/>
        </w:rPr>
        <w:t>该项目各建筑物</w:t>
      </w:r>
      <w:r>
        <w:rPr>
          <w:rFonts w:ascii="宋体" w:hAnsi="宋体" w:cs="宋体"/>
          <w:b w:val="0"/>
          <w:sz w:val="28"/>
          <w:szCs w:val="28"/>
        </w:rPr>
        <w:t>布置的内部距离能满足《烟花爆竹工程设计安全标准》（GB50161-2022）的相应要求。企业自身应杜绝在</w:t>
      </w:r>
      <w:r>
        <w:rPr>
          <w:rFonts w:hint="eastAsia" w:ascii="宋体" w:hAnsi="宋体" w:cs="宋体"/>
          <w:b w:val="0"/>
          <w:sz w:val="28"/>
          <w:szCs w:val="28"/>
        </w:rPr>
        <w:t>厂区</w:t>
      </w:r>
      <w:r>
        <w:rPr>
          <w:rFonts w:ascii="宋体" w:hAnsi="宋体" w:cs="宋体"/>
          <w:b w:val="0"/>
          <w:sz w:val="28"/>
          <w:szCs w:val="28"/>
        </w:rPr>
        <w:t>内随意建设</w:t>
      </w:r>
      <w:r>
        <w:rPr>
          <w:rFonts w:hint="eastAsia" w:ascii="宋体" w:hAnsi="宋体" w:cs="宋体"/>
          <w:b w:val="0"/>
          <w:sz w:val="28"/>
          <w:szCs w:val="28"/>
        </w:rPr>
        <w:t>。</w:t>
      </w:r>
    </w:p>
    <w:p w14:paraId="55A594D0">
      <w:pPr>
        <w:keepLines/>
        <w:widowControl/>
        <w:spacing w:line="360" w:lineRule="auto"/>
        <w:outlineLvl w:val="2"/>
        <w:rPr>
          <w:rFonts w:ascii="黑体" w:hAnsi="Times New Roman" w:eastAsia="黑体"/>
          <w:b w:val="0"/>
          <w:bCs/>
          <w:snapToGrid w:val="0"/>
          <w:sz w:val="30"/>
          <w:szCs w:val="30"/>
          <w:lang w:val="en-GB"/>
        </w:rPr>
      </w:pPr>
      <w:r>
        <w:rPr>
          <w:rFonts w:hint="eastAsia" w:ascii="黑体" w:hAnsi="Times New Roman" w:eastAsia="黑体"/>
          <w:b w:val="0"/>
          <w:bCs/>
          <w:snapToGrid w:val="0"/>
          <w:sz w:val="30"/>
          <w:szCs w:val="30"/>
          <w:lang w:val="en-GB"/>
        </w:rPr>
        <w:t>6.3.5建筑结构方面</w:t>
      </w:r>
    </w:p>
    <w:p w14:paraId="6C9FC4C6">
      <w:pPr>
        <w:spacing w:line="360" w:lineRule="auto"/>
        <w:ind w:firstLine="560" w:firstLineChars="200"/>
        <w:rPr>
          <w:rFonts w:ascii="宋体" w:hAnsi="宋体" w:cs="宋体"/>
          <w:b w:val="0"/>
          <w:sz w:val="28"/>
          <w:szCs w:val="28"/>
        </w:rPr>
      </w:pPr>
      <w:r>
        <w:rPr>
          <w:rFonts w:hint="eastAsia" w:ascii="宋体" w:hAnsi="宋体" w:cs="宋体"/>
          <w:b w:val="0"/>
          <w:sz w:val="28"/>
          <w:szCs w:val="28"/>
        </w:rPr>
        <w:t>1）该项目拟新改建建筑若采用轻压型彩钢板屋盖，应选用彩钢岩棉等不燃材料，耐火等级二级，同时应考虑当地雪载荷的影响。</w:t>
      </w:r>
    </w:p>
    <w:p w14:paraId="604A64C8">
      <w:pPr>
        <w:spacing w:line="360" w:lineRule="auto"/>
        <w:ind w:firstLine="560" w:firstLineChars="200"/>
        <w:rPr>
          <w:rFonts w:ascii="宋体" w:hAnsi="宋体" w:cs="宋体"/>
          <w:b w:val="0"/>
          <w:sz w:val="28"/>
          <w:szCs w:val="28"/>
        </w:rPr>
      </w:pPr>
      <w:r>
        <w:rPr>
          <w:rFonts w:hint="eastAsia" w:ascii="宋体" w:hAnsi="宋体" w:cs="宋体"/>
          <w:b w:val="0"/>
          <w:sz w:val="28"/>
          <w:szCs w:val="28"/>
        </w:rPr>
        <w:t>2）</w:t>
      </w:r>
      <w:r>
        <w:rPr>
          <w:rFonts w:ascii="宋体" w:hAnsi="宋体" w:cs="宋体"/>
          <w:b w:val="0"/>
          <w:sz w:val="28"/>
          <w:szCs w:val="28"/>
        </w:rPr>
        <w:t>1.1级建(构)筑物应采用现浇钢筋混凝土框架结构或整体现浇钢筋混凝土结构，也可采用钢筋混凝土柱、梁承重结构或砌体承重结构。框架结构的填充墙应采用实心砖或多孔砖密砌。当采用钢筋混凝土柱、梁承重结构或砌体承重结构时，应符合下列规定之一：</w:t>
      </w:r>
    </w:p>
    <w:p w14:paraId="79BE9C3A">
      <w:pPr>
        <w:spacing w:line="360" w:lineRule="auto"/>
        <w:ind w:firstLine="560" w:firstLineChars="200"/>
        <w:rPr>
          <w:rFonts w:ascii="宋体" w:hAnsi="宋体" w:cs="宋体"/>
          <w:b w:val="0"/>
          <w:sz w:val="28"/>
          <w:szCs w:val="28"/>
        </w:rPr>
      </w:pPr>
      <w:r>
        <w:rPr>
          <w:rFonts w:hint="eastAsia" w:ascii="宋体" w:hAnsi="宋体" w:cs="宋体"/>
          <w:b w:val="0"/>
          <w:bCs/>
          <w:sz w:val="28"/>
          <w:szCs w:val="28"/>
        </w:rPr>
        <w:t>（1）</w:t>
      </w:r>
      <w:r>
        <w:rPr>
          <w:rFonts w:ascii="宋体" w:hAnsi="宋体" w:cs="宋体"/>
          <w:b w:val="0"/>
          <w:sz w:val="28"/>
          <w:szCs w:val="28"/>
        </w:rPr>
        <w:t>厂房的建筑面积应小于20m²,且操作人员不应超过1人；</w:t>
      </w:r>
    </w:p>
    <w:p w14:paraId="509000AA">
      <w:pPr>
        <w:spacing w:line="360" w:lineRule="auto"/>
        <w:ind w:firstLine="560" w:firstLineChars="200"/>
        <w:rPr>
          <w:rFonts w:ascii="宋体" w:hAnsi="宋体" w:cs="宋体"/>
          <w:b w:val="0"/>
          <w:sz w:val="28"/>
          <w:szCs w:val="28"/>
        </w:rPr>
      </w:pPr>
      <w:r>
        <w:rPr>
          <w:rFonts w:hint="eastAsia" w:ascii="宋体" w:hAnsi="宋体" w:cs="宋体"/>
          <w:b w:val="0"/>
          <w:bCs/>
          <w:sz w:val="28"/>
          <w:szCs w:val="28"/>
        </w:rPr>
        <w:t>（2）</w:t>
      </w:r>
      <w:r>
        <w:rPr>
          <w:rFonts w:ascii="宋体" w:hAnsi="宋体" w:cs="宋体"/>
          <w:b w:val="0"/>
          <w:sz w:val="28"/>
          <w:szCs w:val="28"/>
        </w:rPr>
        <w:t>生产过程采用远距离控制且室内无人操作</w:t>
      </w:r>
      <w:r>
        <w:rPr>
          <w:rFonts w:hint="eastAsia" w:ascii="宋体" w:hAnsi="宋体" w:cs="宋体"/>
          <w:b w:val="0"/>
          <w:sz w:val="28"/>
          <w:szCs w:val="28"/>
        </w:rPr>
        <w:t>。</w:t>
      </w:r>
    </w:p>
    <w:p w14:paraId="3769CC7D">
      <w:pPr>
        <w:spacing w:line="360" w:lineRule="auto"/>
        <w:ind w:firstLine="536" w:firstLineChars="200"/>
        <w:rPr>
          <w:rFonts w:ascii="宋体" w:hAnsi="宋体" w:cs="宋体"/>
          <w:b w:val="0"/>
          <w:sz w:val="28"/>
          <w:szCs w:val="28"/>
        </w:rPr>
      </w:pPr>
      <w:r>
        <w:rPr>
          <w:rFonts w:hint="eastAsia" w:ascii="宋体" w:hAnsi="宋体" w:cs="宋体"/>
          <w:b w:val="0"/>
          <w:spacing w:val="-6"/>
          <w:sz w:val="28"/>
          <w:szCs w:val="28"/>
        </w:rPr>
        <w:t>3）</w:t>
      </w:r>
      <w:r>
        <w:rPr>
          <w:rFonts w:ascii="宋体" w:hAnsi="宋体" w:cs="宋体"/>
          <w:b w:val="0"/>
          <w:spacing w:val="-6"/>
          <w:sz w:val="28"/>
          <w:szCs w:val="28"/>
        </w:rPr>
        <w:t>1.3级建(构)筑物应采用现浇钢筋混凝土框架结构，也可采用钢筋混凝土柱、梁承重结构或砌体承重结构。填充墙应采用实心砖或多孔砖密砌。当采用钢筋混凝土柱、梁承重结构或砌体承重结构时，应符合下列规定之一：</w:t>
      </w:r>
    </w:p>
    <w:p w14:paraId="39E0AB26">
      <w:pPr>
        <w:spacing w:line="360" w:lineRule="auto"/>
        <w:ind w:firstLine="560" w:firstLineChars="200"/>
        <w:rPr>
          <w:rFonts w:ascii="宋体" w:hAnsi="宋体" w:cs="宋体"/>
          <w:b w:val="0"/>
          <w:sz w:val="28"/>
          <w:szCs w:val="28"/>
        </w:rPr>
      </w:pPr>
      <w:r>
        <w:rPr>
          <w:rFonts w:hint="eastAsia" w:ascii="宋体" w:hAnsi="宋体" w:cs="宋体"/>
          <w:b w:val="0"/>
          <w:bCs/>
          <w:sz w:val="28"/>
          <w:szCs w:val="28"/>
        </w:rPr>
        <w:t>（1）</w:t>
      </w:r>
      <w:r>
        <w:rPr>
          <w:rFonts w:ascii="宋体" w:hAnsi="宋体" w:cs="宋体"/>
          <w:b w:val="0"/>
          <w:sz w:val="28"/>
          <w:szCs w:val="28"/>
        </w:rPr>
        <w:t>厂房的跨度不应大于7.5m,长度不应大于30m,室内净高不应大于4m,且横隔墙间距不应大于15m;</w:t>
      </w:r>
    </w:p>
    <w:p w14:paraId="2E6C5867">
      <w:pPr>
        <w:spacing w:line="360" w:lineRule="auto"/>
        <w:ind w:firstLine="560" w:firstLineChars="200"/>
        <w:rPr>
          <w:rFonts w:ascii="宋体" w:hAnsi="宋体" w:cs="宋体"/>
          <w:b w:val="0"/>
          <w:sz w:val="28"/>
          <w:szCs w:val="28"/>
        </w:rPr>
      </w:pPr>
      <w:r>
        <w:rPr>
          <w:rFonts w:hint="eastAsia" w:ascii="宋体" w:hAnsi="宋体" w:cs="宋体"/>
          <w:b w:val="0"/>
          <w:bCs/>
          <w:sz w:val="28"/>
          <w:szCs w:val="28"/>
        </w:rPr>
        <w:t>（2）</w:t>
      </w:r>
      <w:r>
        <w:rPr>
          <w:rFonts w:ascii="宋体" w:hAnsi="宋体" w:cs="宋体"/>
          <w:b w:val="0"/>
          <w:sz w:val="28"/>
          <w:szCs w:val="28"/>
        </w:rPr>
        <w:t>厂房内的横隔墙较密且间距不应大于6m。。</w:t>
      </w:r>
    </w:p>
    <w:p w14:paraId="32A3262D">
      <w:pPr>
        <w:keepLines/>
        <w:widowControl/>
        <w:spacing w:line="360" w:lineRule="auto"/>
        <w:outlineLvl w:val="2"/>
        <w:rPr>
          <w:rFonts w:ascii="黑体" w:hAnsi="Times New Roman" w:eastAsia="黑体"/>
          <w:b w:val="0"/>
          <w:bCs/>
          <w:snapToGrid w:val="0"/>
          <w:sz w:val="30"/>
          <w:szCs w:val="30"/>
          <w:lang w:val="en-GB"/>
        </w:rPr>
      </w:pPr>
      <w:r>
        <w:rPr>
          <w:rFonts w:hint="eastAsia" w:ascii="黑体" w:hAnsi="Times New Roman" w:eastAsia="黑体"/>
          <w:b w:val="0"/>
          <w:bCs/>
          <w:snapToGrid w:val="0"/>
          <w:sz w:val="30"/>
          <w:szCs w:val="30"/>
          <w:lang w:val="en-GB"/>
        </w:rPr>
        <w:t>6.3.6</w:t>
      </w:r>
      <w:r>
        <w:rPr>
          <w:rFonts w:ascii="黑体" w:hAnsi="Times New Roman" w:eastAsia="黑体"/>
          <w:b w:val="0"/>
          <w:bCs/>
          <w:snapToGrid w:val="0"/>
          <w:sz w:val="30"/>
          <w:szCs w:val="30"/>
          <w:lang w:val="en-GB"/>
        </w:rPr>
        <w:t>电气及防雷、防静电方面</w:t>
      </w:r>
    </w:p>
    <w:p w14:paraId="6ED7496B">
      <w:pPr>
        <w:spacing w:line="360" w:lineRule="auto"/>
        <w:ind w:firstLine="560" w:firstLineChars="200"/>
        <w:rPr>
          <w:rFonts w:ascii="宋体" w:hAnsi="宋体" w:cs="宋体"/>
          <w:b w:val="0"/>
          <w:bCs/>
          <w:sz w:val="28"/>
          <w:szCs w:val="28"/>
        </w:rPr>
      </w:pPr>
      <w:r>
        <w:rPr>
          <w:rFonts w:hint="eastAsia" w:ascii="宋体" w:hAnsi="宋体" w:cs="宋体"/>
          <w:b w:val="0"/>
          <w:sz w:val="28"/>
          <w:szCs w:val="28"/>
        </w:rPr>
        <w:t>1）</w:t>
      </w:r>
      <w:r>
        <w:rPr>
          <w:rFonts w:hint="eastAsia" w:ascii="宋体" w:hAnsi="宋体" w:cs="宋体"/>
          <w:b w:val="0"/>
          <w:bCs/>
          <w:sz w:val="28"/>
          <w:szCs w:val="28"/>
        </w:rPr>
        <w:t>根据《建筑物防雷设计规范》（GB50057-2010），按建筑物、构筑物的重要性、使用性质、发生雷电事故的可能性及其后果，结合地形、气象、地质、环境等条件，采取相应的防雷措施。烟花爆竹企业主要是防止直击雷和雷电感应等引起的药物燃烧、爆炸。</w:t>
      </w:r>
    </w:p>
    <w:p w14:paraId="5991910D">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（1）防直击雷设施有：避雷针、架空避雷线、避雷网、避雷针杆等；</w:t>
      </w:r>
    </w:p>
    <w:p w14:paraId="7308FDD5">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（2）防雷电感应（静电感应和电磁感应），可采取建筑物内金属物接地、保证平行长金属物间的最小距离或金属线跨接等措施；</w:t>
      </w:r>
    </w:p>
    <w:p w14:paraId="695994B6">
      <w:pPr>
        <w:spacing w:line="360" w:lineRule="auto"/>
        <w:ind w:firstLine="560" w:firstLineChars="200"/>
        <w:rPr>
          <w:rFonts w:ascii="宋体" w:hAnsi="宋体" w:cs="宋体"/>
          <w:b w:val="0"/>
          <w:sz w:val="28"/>
          <w:szCs w:val="28"/>
        </w:rPr>
      </w:pPr>
      <w:r>
        <w:rPr>
          <w:rFonts w:hint="eastAsia" w:ascii="宋体" w:hAnsi="宋体" w:cs="宋体"/>
          <w:b w:val="0"/>
          <w:bCs/>
          <w:sz w:val="28"/>
          <w:szCs w:val="28"/>
        </w:rPr>
        <w:t>（3）雷雨天气原则上应停止作业，具体按照政府相关主管部门规定进行</w:t>
      </w:r>
      <w:r>
        <w:rPr>
          <w:rFonts w:hint="eastAsia" w:ascii="宋体" w:hAnsi="宋体" w:cs="宋体"/>
          <w:b w:val="0"/>
          <w:sz w:val="28"/>
          <w:szCs w:val="28"/>
        </w:rPr>
        <w:t>。</w:t>
      </w:r>
    </w:p>
    <w:p w14:paraId="53078F5D">
      <w:pPr>
        <w:spacing w:line="360" w:lineRule="auto"/>
        <w:ind w:firstLine="536" w:firstLineChars="200"/>
        <w:rPr>
          <w:rFonts w:ascii="宋体" w:hAnsi="宋体" w:cs="宋体"/>
          <w:b w:val="0"/>
          <w:sz w:val="28"/>
          <w:szCs w:val="28"/>
        </w:rPr>
      </w:pPr>
      <w:r>
        <w:rPr>
          <w:rFonts w:hint="eastAsia" w:ascii="宋体" w:hAnsi="宋体" w:cs="宋体"/>
          <w:b w:val="0"/>
          <w:spacing w:val="-6"/>
          <w:sz w:val="28"/>
          <w:szCs w:val="28"/>
        </w:rPr>
        <w:t>2）危险性建(构)筑物</w:t>
      </w:r>
      <w:r>
        <w:rPr>
          <w:rFonts w:ascii="宋体" w:hAnsi="宋体" w:cs="宋体"/>
          <w:b w:val="0"/>
          <w:spacing w:val="-6"/>
          <w:sz w:val="28"/>
          <w:szCs w:val="28"/>
        </w:rPr>
        <w:t>防雷装置的设计、施工应由具有防雷工程专业甲级资质的单位承担，并严格履行建设项目防雷装置设计审核和竣工验收程序。</w:t>
      </w:r>
    </w:p>
    <w:p w14:paraId="333D0B5E">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3）用导电材料铺设地面和工作台，工作台面安装接地设施，电气设施进行静电接地，能有效地导去产生的静电。</w:t>
      </w:r>
    </w:p>
    <w:p w14:paraId="5E3820D9">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4）减少药物的运动和流动，减少摩擦等产生静电的原因，避免静电的积累。</w:t>
      </w:r>
    </w:p>
    <w:p w14:paraId="59206618">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5）在危险工作间门口安装导静电装置，能有效防止外界带入的静电。</w:t>
      </w:r>
    </w:p>
    <w:p w14:paraId="56D6AB04">
      <w:pPr>
        <w:spacing w:line="360" w:lineRule="auto"/>
        <w:ind w:firstLine="560" w:firstLineChars="200"/>
        <w:rPr>
          <w:rFonts w:ascii="宋体" w:hAnsi="宋体" w:cs="宋体"/>
          <w:b w:val="0"/>
          <w:sz w:val="28"/>
          <w:szCs w:val="28"/>
        </w:rPr>
      </w:pPr>
      <w:r>
        <w:rPr>
          <w:rFonts w:hint="eastAsia" w:ascii="宋体" w:hAnsi="宋体" w:cs="宋体"/>
          <w:b w:val="0"/>
          <w:bCs/>
          <w:sz w:val="28"/>
          <w:szCs w:val="28"/>
        </w:rPr>
        <w:t>6）在药物线的工房安装喷雾增湿设施，能有效降温除尘、减少静电聚集。</w:t>
      </w:r>
    </w:p>
    <w:p w14:paraId="7D721B4D">
      <w:pPr>
        <w:keepLines/>
        <w:widowControl/>
        <w:spacing w:line="360" w:lineRule="auto"/>
        <w:outlineLvl w:val="2"/>
        <w:rPr>
          <w:rFonts w:ascii="黑体" w:hAnsi="Times New Roman" w:eastAsia="黑体"/>
          <w:b w:val="0"/>
          <w:bCs/>
          <w:snapToGrid w:val="0"/>
          <w:sz w:val="30"/>
          <w:szCs w:val="30"/>
          <w:lang w:val="en-GB"/>
        </w:rPr>
      </w:pPr>
      <w:r>
        <w:rPr>
          <w:rFonts w:hint="eastAsia" w:ascii="黑体" w:hAnsi="Times New Roman" w:eastAsia="黑体"/>
          <w:b w:val="0"/>
          <w:bCs/>
          <w:snapToGrid w:val="0"/>
          <w:sz w:val="30"/>
          <w:szCs w:val="30"/>
          <w:lang w:val="en-GB"/>
        </w:rPr>
        <w:t>6.3.7拆除施工安全方面</w:t>
      </w:r>
    </w:p>
    <w:p w14:paraId="45C3D590">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由于建设项目拟选场地是为原厂旧址改建，在该项目建设前需对部分旧建筑物进行拆除，因此提出以下建议：</w:t>
      </w:r>
    </w:p>
    <w:p w14:paraId="22CE7D19">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1）作业前,必须将要拆除的建筑物的电线、上下水管道、电话线等先切断或迁移。</w:t>
      </w:r>
    </w:p>
    <w:p w14:paraId="52093C5E">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2）有高血压、贫血、恐高症等疾病的人严禁作业。</w:t>
      </w:r>
    </w:p>
    <w:p w14:paraId="2F881CD1">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3）作业前必须先戴安全帽、防护眼镜，系安全带，穿工作鞋，站在稳固的结构部位上操作。</w:t>
      </w:r>
    </w:p>
    <w:p w14:paraId="3C50AC32">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4）要有牢固的围护措施，封闭要严密，不能有孔洞，防止砖、石等飞溅到地面伤人。</w:t>
      </w:r>
    </w:p>
    <w:p w14:paraId="4E282CE2">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5）拆除时应自上而下进行，禁止数层楼同时拆除。当拆除某一部位时，应防止其他部位发生坍塌。作业下方设警戒，并挂标识牌。</w:t>
      </w:r>
    </w:p>
    <w:p w14:paraId="7BD50C34">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6）不应在高压线、裸线边干活，且要有隔离措施。</w:t>
      </w:r>
    </w:p>
    <w:p w14:paraId="1A195BDA">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7）要检查铁锤等是否安全牢固，有松动的不能使用，安全带要挂在牢固可靠之处。</w:t>
      </w:r>
    </w:p>
    <w:p w14:paraId="0B7730F8">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8）改建建筑物，施工过程中，其内带药成品、半成品应先转移到安全距离外的其他建筑物内再安全施工；部分工库房中有危险废弃物的应当将其运送到指定地点销毁后再安全施工。</w:t>
      </w:r>
    </w:p>
    <w:p w14:paraId="1B46E3E4">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9）土建施工过程中存在诸多不安全因素，施工时间应与生产时间错开或施工时应停产，不允许边生产边施工。</w:t>
      </w:r>
    </w:p>
    <w:p w14:paraId="20930B77">
      <w:pPr>
        <w:spacing w:line="360" w:lineRule="auto"/>
        <w:ind w:firstLine="560" w:firstLineChars="200"/>
        <w:rPr>
          <w:rFonts w:ascii="宋体" w:hAnsi="宋体" w:cs="宋体"/>
          <w:b w:val="0"/>
          <w:sz w:val="28"/>
          <w:szCs w:val="28"/>
        </w:rPr>
      </w:pPr>
      <w:r>
        <w:rPr>
          <w:rFonts w:hint="eastAsia" w:ascii="宋体" w:hAnsi="宋体" w:cs="宋体"/>
          <w:b w:val="0"/>
          <w:bCs/>
          <w:sz w:val="28"/>
          <w:szCs w:val="28"/>
        </w:rPr>
        <w:t>10）拆除原有工库房时，有部分工库房屋架缝隙处存有粉尘，拆除时应先淋透、后清理干净，再拆除，应避免用铁器或重物敲打。</w:t>
      </w:r>
    </w:p>
    <w:p w14:paraId="53A65BFF">
      <w:pPr>
        <w:keepLines/>
        <w:widowControl/>
        <w:spacing w:line="360" w:lineRule="auto"/>
        <w:outlineLvl w:val="2"/>
        <w:rPr>
          <w:rFonts w:ascii="黑体" w:hAnsi="Times New Roman" w:eastAsia="黑体"/>
          <w:b w:val="0"/>
          <w:bCs/>
          <w:snapToGrid w:val="0"/>
          <w:sz w:val="30"/>
          <w:szCs w:val="30"/>
          <w:lang w:val="en-GB"/>
        </w:rPr>
      </w:pPr>
      <w:r>
        <w:rPr>
          <w:rFonts w:hint="eastAsia" w:ascii="黑体" w:hAnsi="Times New Roman" w:eastAsia="黑体"/>
          <w:b w:val="0"/>
          <w:bCs/>
          <w:snapToGrid w:val="0"/>
          <w:sz w:val="30"/>
          <w:szCs w:val="30"/>
          <w:lang w:val="en-GB"/>
        </w:rPr>
        <w:t>6.3.8建筑施工安全方面</w:t>
      </w:r>
    </w:p>
    <w:p w14:paraId="0BDBCD4E">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1、建立健全安全生产责任制，增强各级人员安全责任意识</w:t>
      </w:r>
    </w:p>
    <w:p w14:paraId="3709C66D">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项目负责人必须自觉增强安全责任意识，牢固确立“安全第一，预防为主，综合治理 ”的思想，真正把安全生产作为项目永恒的主题，始终贯穿于项目施工的全过程。始终将安全生产工作放在最重要的位置，将安全生产作为工程施工最主要的工作来抓。要以工程项目和劳务人员为对象，树立“ 以人为本 ”的安全生产观念，重点突出人的因素，强调以人为中心，根据不同的施工项目、不同的人员结构、不同的地理环境，采取具有针对性的管理办法，制定有效的激励机制，充分调动员工的积极性，使安全生产成为员工的自身需要，使遵章守纪成为员工的自觉行动。</w:t>
      </w:r>
    </w:p>
    <w:p w14:paraId="2D3CDF3D">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2、严格执行国家有关安全生产法律法规</w:t>
      </w:r>
    </w:p>
    <w:p w14:paraId="65D78715">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自《中华人民共和国安全生产法》以及《安全生产许可证条例》等行政法规颁布实施以来，国家安全生产形式总体趋于好转，安全事故发生频率有所下降。可见，只有严格执行安全生产法律法规，进行广泛的宣传教育学习，按照规定要求将法律法规精神贯彻到底，才能真正实现生产安全。应当创造良好的建筑施工环境，严格执行安全教育培训、危险预控、安全专项方案、劳保用品配备、应急救援等等规定，努力营造良性的建筑施工安全生产氛围。</w:t>
      </w:r>
    </w:p>
    <w:p w14:paraId="1F4EECD9">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3、加强对从业人员的安全教育与培训工作</w:t>
      </w:r>
    </w:p>
    <w:p w14:paraId="1CF38C00">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安全管理首先是对人的管理，要强化安全教育培训，不断提高工人安全知识，增强工人的安全防范意识，同时采取有效措施规范人的操作行为，实行规范化作业，杜绝工作凭感觉、靠经验现象，使工人形成一种程序化、标准化的工作习惯。</w:t>
      </w:r>
    </w:p>
    <w:p w14:paraId="23B01079">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1）要重视员工的安全教育培训工作</w:t>
      </w:r>
    </w:p>
    <w:p w14:paraId="01DAA298">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企业应重新对全体员工进行安全教育培训，安全教育培训针对新产品特点，有针对性，防止搞形式走过场，不断提高全员安全素质。应当抓好工程项目负责人、技术人员、安全管理人员的安全培训工作，重点对班组长、危险作业岗位工人、关键岗位作业的人员进行安全教育和培训。认真做好三级安全教育、岗前安全教育和安全技术交底等工作。应当积极开展班组“班前会 ”活动，各班组长应对所施工工艺流程及作业中安全操作规程以及安全注意事项进行讲解和要求并作好相应的记录，不得有代签、补签和漏签现象，严禁流于形式、走过场，强化一线员工安全意识和班组安全教育；大力开展安全技术练兵和技术比武活动，逐步提高员工的技术操作水平。</w:t>
      </w:r>
    </w:p>
    <w:p w14:paraId="68344F0E">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2）抓好特殊工种作业人员的安全教育</w:t>
      </w:r>
    </w:p>
    <w:p w14:paraId="5AFAF447">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特殊工种作业人员必须经过严格培训和考核，持证上岗。一些工人虽然持有特殊工种操作证，但安全技术、安全知识掌握甚少，对这部分人应当定期或不定期的组织进行安全教育培训，提高他们的综合安全素质。未经过培训、无特殊工种操作证者绝对禁止从事该工作。</w:t>
      </w:r>
    </w:p>
    <w:p w14:paraId="3CADCA8F">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3）努力营造丰富多彩的安全文化</w:t>
      </w:r>
    </w:p>
    <w:p w14:paraId="4D1E8426">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可以结合国家每年统一开展的“安全生产月 ”、“平安工地 ”等活动，组织各种形式的安全文化活动，采取正反面教育和寓教于乐相结合等等方式，让全体员工都参加到活动中来，从而普及安全知识，强化安全意识，营造良好的安全生产氛围。</w:t>
      </w:r>
    </w:p>
    <w:p w14:paraId="083E3FB2">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4）按照要求投入安全经费</w:t>
      </w:r>
    </w:p>
    <w:p w14:paraId="24484C59">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安全经费投入，与安全工作的好坏息息相关，是安全管理过程中的一个重要组成部分，是搞好安全生产管理的重要环节。必要的安全投入是确保安全管理有序可控的一个重要前提。在安全教育培训、个人防护用品、安全警示标志标牌、临边洞口防护、应急救援等等方面的安全投入，必须严格按照规定进行。</w:t>
      </w:r>
    </w:p>
    <w:p w14:paraId="3C1EF43F">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5）认真开展安全检查，切实消除事故隐患</w:t>
      </w:r>
    </w:p>
    <w:p w14:paraId="60E24BC0">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安全检查是实现施工生产安全，杜绝事故发生必不可少的重要工作。安全检查的目的是创建一个良好的安全生产作业环境，是实现施工生产安全的重要手段之一。安全检查重点在于发现不安全因素的存在状况，如装置、设备、设施、工具、附件等的潜在不安全因素状况、不安全的作业环境场所条件、不安全的作业职工行为和操作潜在危险，以利采取防范措施，防止或减少伤亡事故的发生。安全检查形式应当多样化，一般可开展常规性安全检查、特殊性安全大检查、定期检查和不定期抽查等活动。项目部应当由主管安全工作的领导定期主持进行安全生产大检查，将检查中发现的问题及时落实责任人进行整改，并在月度安全例会上用PPT 方式进行通报。对施工用电、季节性施工、危险性较大的作业点还应当进行专项检查。只有通过检查，消除事故隐患之后，工人在良好的生产环境下工作，其生命安全才能得到更好保障。</w:t>
      </w:r>
    </w:p>
    <w:p w14:paraId="7F94F2CF">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6）做好危险源的识别与控制</w:t>
      </w:r>
    </w:p>
    <w:p w14:paraId="1C71DB10">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要全面做好施工生产安全，其中一项重要的工作，就是准确及时地对危险源进行识别和有效的控制。危险源的识别和控制是一项事前控制，安全生产只有事前进行有效的控制才能避免和减少事故的发生。对危险源的识别和确定要准确才能有效地制定针对危险所采取的相应的技术措施和防护方法。应对安全隐患实行动态信息管理，危险源一经确定，就必须纳入控制管理范围及时传达到施工作业区的每位工作人员，并在施工现场醒目地带设置危险源公示牌和安全隐患动态信息牌；任何人不得随意破坏危险源区域内的安全警示标志，现场指挥人员和施工人员要高度重视本区域安全动态，危险源若发生变化，尤其是升级时，应采取有效措施，保证人员和机械设备的安全。</w:t>
      </w:r>
    </w:p>
    <w:p w14:paraId="5475EADA">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7）严格执行规章制度，加大安全奖罚力度</w:t>
      </w:r>
    </w:p>
    <w:p w14:paraId="5E368B67">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对在施工生产过程中违章操作、不服从管理的工人进行安全教育之后，可根据情况，给予相应的违章处罚，利用强制性的手段迫使其遵章守纪。对屡教不改的实行重罚，直至清退出场。对劳务单位未按期完成整改指令、不落实安全要求等情形采取加大处罚力度、违规通报、降低信誉评价等措施，但必须得到项目领导的大力支持和配合。采取激励机制，对在工作中服从安全管理，严格遵章守纪，自觉主动及时消除安全隐患，积极配合安全管理人员工作的班组、工人予以安全奖励，对直接避免事故发生的给予重奖。还可以定期开展安全评比活动，对相关人员进行评先授奖。</w:t>
      </w:r>
    </w:p>
    <w:p w14:paraId="49A470B2">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8）做好现场应急救援演练工作</w:t>
      </w:r>
    </w:p>
    <w:p w14:paraId="655C1617">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项目上的应急救援预案编制好之后，还应当组织进行应急演练，只有通过演练，才能发现编制的预案存在哪些问题和不足，增强预案的实用性和可操作性。提高应急队伍应对突发事故的快速反应能力、应急处理能力和协调作战能力，切实保障职工生命、设备、财产的安全，将事故损失降到最低。</w:t>
      </w:r>
    </w:p>
    <w:p w14:paraId="7CE62094">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9）动火作业要求及安全措施</w:t>
      </w:r>
    </w:p>
    <w:p w14:paraId="5324C58F">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（1）动火作业实行作业审批制度，现场应配备现场管理和安全管理人员；</w:t>
      </w:r>
    </w:p>
    <w:p w14:paraId="73BE2FA9">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（2）动火作业区域必须远离容易引燃的物品（诸如木材、纸张、包装材料等）；</w:t>
      </w:r>
    </w:p>
    <w:p w14:paraId="5352A935">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（3）动火作业区域必须予以明确标明，并且应有必要的警告标志；</w:t>
      </w:r>
    </w:p>
    <w:p w14:paraId="70026317">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（4）为防止电弧的辐射及飞溅伤害，应采用不燃或耐火屏板（或屏罩）隔离保护操作人员；</w:t>
      </w:r>
    </w:p>
    <w:p w14:paraId="09843F7E">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（5）动火作业区域有关操作必须在足够的通风条件下进行；</w:t>
      </w:r>
    </w:p>
    <w:p w14:paraId="77A57032">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（6）作业现场必须配置足够的灭火设备。</w:t>
      </w:r>
    </w:p>
    <w:p w14:paraId="6B38E23C">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（7）安全生产是企业永恒的主题。安全工作必须从思想上高度重视，从源头 开始，严格落实责任，全方位强化监管，及时消除不利因素。只有及时解决 安全生产投入、安全教育培训、从业人员安全意识较低等问题，施工现场安 全事故才能有效控制。只有全员参与，共同管理，群策群力，全面提高施工 人员的素质，严格执行规章制度，切实把“安全第一，预防为主，综合治理 ”的安全生产方针落到实处，才能有效避免或减少事故的发生。</w:t>
      </w:r>
    </w:p>
    <w:p w14:paraId="722D0F64">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10）土建施工过程中采取的安全措施</w:t>
      </w:r>
    </w:p>
    <w:p w14:paraId="2CAF6BDF">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（1）土建过程中部分工库房需要拆除，建筑物不安全因素较多，施工场所秩序混乱，且员工素质普遍偏低。企业应对员工进行安全培训，告知员工土建施工过程中所存在的风险，并应制定相应的施工管理制度。</w:t>
      </w:r>
    </w:p>
    <w:p w14:paraId="25C1E545">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（2）土建施工过程中存在诸多不安全因素，施工时间应与生产时间错开或施工时应停产，不允许边生产边施工。</w:t>
      </w:r>
    </w:p>
    <w:p w14:paraId="58315B80">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（3）粉尘防治</w:t>
      </w:r>
    </w:p>
    <w:p w14:paraId="03E0F818">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①加强对可能产生扬尘的物资管理，袋装水泥、粉煤灰、石灰等在装卸及使用过程中，应避免从高处摔落，应轻拿轻放，不应用力摔打。</w:t>
      </w:r>
    </w:p>
    <w:p w14:paraId="4E5F4A80">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②对施工现场的道路、砂石等建筑材料堆场及其他作业区，在连续高湿地面干燥时，要经常洒水湿润，保持尘土不上扬。</w:t>
      </w:r>
    </w:p>
    <w:p w14:paraId="0E648D94">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③散体物料、建筑垃圾必须按照规定实行车辆密闭化运输，装卸时严禁凌空抛散。要严格控制搅拌机械的扬尘。脚手架等设施要先除尘后拆除，并做到拆除时有人监控安全和环保。</w:t>
      </w:r>
    </w:p>
    <w:p w14:paraId="344FC87E">
      <w:pPr>
        <w:spacing w:line="360" w:lineRule="auto"/>
        <w:ind w:firstLine="560" w:firstLineChars="200"/>
        <w:rPr>
          <w:rFonts w:ascii="宋体" w:hAnsi="宋体" w:cs="宋体"/>
          <w:b w:val="0"/>
          <w:bCs/>
          <w:sz w:val="28"/>
          <w:szCs w:val="28"/>
        </w:rPr>
      </w:pPr>
      <w:r>
        <w:rPr>
          <w:rFonts w:hint="eastAsia" w:ascii="宋体" w:hAnsi="宋体" w:cs="宋体"/>
          <w:b w:val="0"/>
          <w:bCs/>
          <w:sz w:val="28"/>
          <w:szCs w:val="28"/>
        </w:rPr>
        <w:t>④有粉尘的作业场所，操作人员佩戴防尘口罩、防尘帽等防护用品作业。</w:t>
      </w:r>
    </w:p>
    <w:p w14:paraId="5EAE75C1">
      <w:pPr>
        <w:spacing w:line="360" w:lineRule="auto"/>
        <w:ind w:firstLine="560" w:firstLineChars="200"/>
        <w:rPr>
          <w:rFonts w:ascii="宋体" w:hAnsi="宋体" w:cs="宋体"/>
          <w:b w:val="0"/>
          <w:sz w:val="28"/>
          <w:szCs w:val="28"/>
        </w:rPr>
      </w:pPr>
      <w:r>
        <w:rPr>
          <w:rFonts w:hint="eastAsia" w:ascii="宋体" w:hAnsi="宋体" w:cs="宋体"/>
          <w:b w:val="0"/>
          <w:bCs/>
          <w:sz w:val="28"/>
          <w:szCs w:val="28"/>
        </w:rPr>
        <w:t>⑤拆除原有工库房时，有部分工库房屋架缝隙处存有粉尘，拆除时应先淋透、后清理干净，再拆除，应避免用铁器或重物敲打。</w:t>
      </w:r>
    </w:p>
    <w:p w14:paraId="7FFA7FD3">
      <w:pPr>
        <w:keepLines/>
        <w:widowControl/>
        <w:spacing w:line="360" w:lineRule="auto"/>
        <w:outlineLvl w:val="2"/>
        <w:rPr>
          <w:rFonts w:ascii="黑体" w:hAnsi="Times New Roman" w:eastAsia="黑体"/>
          <w:b w:val="0"/>
          <w:bCs/>
          <w:snapToGrid w:val="0"/>
          <w:sz w:val="30"/>
          <w:szCs w:val="30"/>
          <w:lang w:val="en-GB"/>
        </w:rPr>
      </w:pPr>
      <w:bookmarkStart w:id="627" w:name="_Toc25728"/>
      <w:r>
        <w:rPr>
          <w:rFonts w:hint="eastAsia" w:ascii="黑体" w:hAnsi="Times New Roman" w:eastAsia="黑体"/>
          <w:b w:val="0"/>
          <w:bCs/>
          <w:snapToGrid w:val="0"/>
          <w:sz w:val="30"/>
          <w:szCs w:val="30"/>
          <w:lang w:val="en-GB"/>
        </w:rPr>
        <w:t>6.3.9安全管理对策措施</w:t>
      </w:r>
      <w:bookmarkEnd w:id="627"/>
    </w:p>
    <w:p w14:paraId="7B060810">
      <w:pPr>
        <w:spacing w:line="360" w:lineRule="auto"/>
        <w:ind w:firstLine="560" w:firstLineChars="200"/>
        <w:rPr>
          <w:rFonts w:ascii="宋体" w:hAnsi="宋体" w:cs="宋体"/>
          <w:b w:val="0"/>
          <w:sz w:val="28"/>
          <w:szCs w:val="28"/>
        </w:rPr>
      </w:pPr>
      <w:r>
        <w:rPr>
          <w:rFonts w:hint="eastAsia" w:ascii="宋体" w:hAnsi="宋体" w:cs="宋体"/>
          <w:b w:val="0"/>
          <w:sz w:val="28"/>
          <w:szCs w:val="28"/>
        </w:rPr>
        <w:t>1）</w:t>
      </w:r>
      <w:r>
        <w:rPr>
          <w:rFonts w:ascii="宋体" w:hAnsi="宋体" w:cs="宋体"/>
          <w:b w:val="0"/>
          <w:sz w:val="28"/>
          <w:szCs w:val="28"/>
        </w:rPr>
        <w:t>在本项目建设完成投入使用前，</w:t>
      </w:r>
      <w:r>
        <w:rPr>
          <w:rFonts w:hint="eastAsia" w:ascii="宋体" w:hAnsi="宋体" w:cs="宋体"/>
          <w:b w:val="0"/>
          <w:sz w:val="28"/>
          <w:szCs w:val="28"/>
        </w:rPr>
        <w:t>该企业</w:t>
      </w:r>
      <w:r>
        <w:rPr>
          <w:rFonts w:ascii="宋体" w:hAnsi="宋体" w:cs="宋体"/>
          <w:b w:val="0"/>
          <w:sz w:val="28"/>
          <w:szCs w:val="28"/>
        </w:rPr>
        <w:t>应根据国家有关安全生产要求，建立安全管理体系，成立安全生产组织机构、质量检测检验管理机构、保卫组织机构、应急救援组织机构。</w:t>
      </w:r>
    </w:p>
    <w:p w14:paraId="1BC97A19">
      <w:pPr>
        <w:spacing w:line="360" w:lineRule="auto"/>
        <w:ind w:firstLine="560" w:firstLineChars="200"/>
        <w:rPr>
          <w:rFonts w:ascii="宋体" w:hAnsi="宋体" w:cs="宋体"/>
          <w:b w:val="0"/>
          <w:sz w:val="28"/>
          <w:szCs w:val="28"/>
        </w:rPr>
      </w:pPr>
      <w:r>
        <w:rPr>
          <w:rFonts w:hint="eastAsia" w:ascii="宋体" w:hAnsi="宋体" w:cs="宋体"/>
          <w:b w:val="0"/>
          <w:sz w:val="28"/>
          <w:szCs w:val="28"/>
        </w:rPr>
        <w:t>2）</w:t>
      </w:r>
      <w:r>
        <w:rPr>
          <w:rFonts w:ascii="宋体" w:hAnsi="宋体" w:cs="宋体"/>
          <w:b w:val="0"/>
          <w:sz w:val="28"/>
          <w:szCs w:val="28"/>
        </w:rPr>
        <w:t>企业应制定安全生产责任制度，单位的主要负责人对本单位的安全储存工作全面负责，并依据制定的安全生产责任制，制定并分解落实企业安全责任目标。</w:t>
      </w:r>
    </w:p>
    <w:p w14:paraId="2DA2D658">
      <w:pPr>
        <w:spacing w:line="360" w:lineRule="auto"/>
        <w:ind w:firstLine="560" w:firstLineChars="200"/>
        <w:rPr>
          <w:rFonts w:ascii="宋体" w:hAnsi="宋体" w:cs="宋体"/>
          <w:b w:val="0"/>
          <w:sz w:val="28"/>
          <w:szCs w:val="28"/>
        </w:rPr>
      </w:pPr>
      <w:r>
        <w:rPr>
          <w:rFonts w:hint="eastAsia" w:ascii="宋体" w:hAnsi="宋体" w:cs="宋体"/>
          <w:b w:val="0"/>
          <w:sz w:val="28"/>
          <w:szCs w:val="28"/>
        </w:rPr>
        <w:t>3）</w:t>
      </w:r>
      <w:r>
        <w:rPr>
          <w:rFonts w:hint="eastAsia" w:ascii="宋体" w:hAnsi="宋体" w:cs="宋体"/>
          <w:b w:val="0"/>
          <w:bCs/>
          <w:sz w:val="28"/>
          <w:szCs w:val="28"/>
        </w:rPr>
        <w:t>根据国家有关安全生产法律、法规、规章和标准，结合本企业的实际情况，不断对制定的安全管理制度进行修改和完善；根据《烟花爆竹作业安全技术规程》以及相关的法规和标准对岗位操作规程进行修改和完善。项目确立后制定相应管理制度和操作规程，安全管理制度、操作规程制定后必须严格遵守、执行。</w:t>
      </w:r>
    </w:p>
    <w:p w14:paraId="54B199B3">
      <w:pPr>
        <w:spacing w:line="360" w:lineRule="auto"/>
        <w:ind w:firstLine="560" w:firstLineChars="200"/>
        <w:rPr>
          <w:rFonts w:ascii="宋体" w:hAnsi="宋体" w:cs="宋体"/>
          <w:b w:val="0"/>
          <w:sz w:val="28"/>
          <w:szCs w:val="28"/>
        </w:rPr>
      </w:pPr>
      <w:r>
        <w:rPr>
          <w:rFonts w:hint="eastAsia" w:ascii="宋体" w:hAnsi="宋体" w:cs="宋体"/>
          <w:b w:val="0"/>
          <w:sz w:val="28"/>
          <w:szCs w:val="28"/>
        </w:rPr>
        <w:t>4）</w:t>
      </w:r>
      <w:r>
        <w:rPr>
          <w:rFonts w:ascii="宋体" w:hAnsi="宋体" w:cs="宋体"/>
          <w:b w:val="0"/>
          <w:sz w:val="28"/>
          <w:szCs w:val="28"/>
        </w:rPr>
        <w:t>建设项目投入使用前，应当对从业人员进行安全教育和培训，保证从业人员具备需要的安全知识，熟悉有关的安全规章制度和安全操作规程，掌握本岗位的安全操作技能，做到持证上岗。未经安全教育和培训合格的 从业人员，不得上岗作业。</w:t>
      </w:r>
    </w:p>
    <w:p w14:paraId="6EA3CC2B">
      <w:pPr>
        <w:spacing w:line="360" w:lineRule="auto"/>
        <w:ind w:firstLine="560" w:firstLineChars="200"/>
        <w:rPr>
          <w:rFonts w:ascii="宋体" w:hAnsi="宋体" w:cs="宋体"/>
          <w:b w:val="0"/>
          <w:sz w:val="28"/>
          <w:szCs w:val="28"/>
        </w:rPr>
      </w:pPr>
      <w:r>
        <w:rPr>
          <w:rFonts w:hint="eastAsia" w:ascii="宋体" w:hAnsi="宋体" w:cs="宋体"/>
          <w:b w:val="0"/>
          <w:sz w:val="28"/>
          <w:szCs w:val="28"/>
        </w:rPr>
        <w:t>5）</w:t>
      </w:r>
      <w:r>
        <w:rPr>
          <w:rFonts w:ascii="宋体" w:hAnsi="宋体" w:cs="宋体"/>
          <w:b w:val="0"/>
          <w:sz w:val="28"/>
          <w:szCs w:val="28"/>
        </w:rPr>
        <w:t>按《特种作业人员安全技术培训考核管理规定》（</w:t>
      </w:r>
      <w:r>
        <w:rPr>
          <w:rFonts w:hint="eastAsia" w:ascii="宋体" w:hAnsi="宋体" w:cs="宋体"/>
          <w:b w:val="0"/>
          <w:sz w:val="28"/>
          <w:szCs w:val="28"/>
        </w:rPr>
        <w:t>国家应急管理部令第1</w:t>
      </w:r>
      <w:r>
        <w:rPr>
          <w:rFonts w:ascii="宋体" w:hAnsi="宋体" w:cs="宋体"/>
          <w:b w:val="0"/>
          <w:sz w:val="28"/>
          <w:szCs w:val="28"/>
        </w:rPr>
        <w:t>9</w:t>
      </w:r>
      <w:r>
        <w:rPr>
          <w:rFonts w:hint="eastAsia" w:ascii="宋体" w:hAnsi="宋体" w:cs="宋体"/>
          <w:b w:val="0"/>
          <w:sz w:val="28"/>
          <w:szCs w:val="28"/>
        </w:rPr>
        <w:t>号</w:t>
      </w:r>
      <w:r>
        <w:rPr>
          <w:rFonts w:ascii="宋体" w:hAnsi="宋体" w:cs="宋体"/>
          <w:b w:val="0"/>
          <w:sz w:val="28"/>
          <w:szCs w:val="28"/>
        </w:rPr>
        <w:t>）的规定，</w:t>
      </w:r>
      <w:r>
        <w:rPr>
          <w:rFonts w:hint="eastAsia" w:ascii="宋体" w:hAnsi="宋体" w:cs="宋体"/>
          <w:b w:val="0"/>
          <w:sz w:val="28"/>
          <w:szCs w:val="28"/>
        </w:rPr>
        <w:t>烟火药及效果件制造作业、烟花爆竹产品涉药作业、烟花爆竹搬运作业均</w:t>
      </w:r>
      <w:r>
        <w:rPr>
          <w:rFonts w:ascii="宋体" w:hAnsi="宋体" w:cs="宋体"/>
          <w:b w:val="0"/>
          <w:sz w:val="28"/>
          <w:szCs w:val="28"/>
        </w:rPr>
        <w:t>属特种作业。</w:t>
      </w:r>
    </w:p>
    <w:p w14:paraId="2492D24D">
      <w:pPr>
        <w:spacing w:line="360" w:lineRule="auto"/>
        <w:ind w:firstLine="560" w:firstLineChars="200"/>
        <w:rPr>
          <w:rFonts w:ascii="宋体" w:hAnsi="宋体" w:cs="宋体"/>
          <w:b w:val="0"/>
          <w:sz w:val="28"/>
          <w:szCs w:val="28"/>
        </w:rPr>
      </w:pPr>
      <w:r>
        <w:rPr>
          <w:rFonts w:hint="eastAsia" w:ascii="宋体" w:hAnsi="宋体" w:cs="宋体"/>
          <w:b w:val="0"/>
          <w:sz w:val="28"/>
          <w:szCs w:val="28"/>
        </w:rPr>
        <w:t>6）企业</w:t>
      </w:r>
      <w:r>
        <w:rPr>
          <w:rFonts w:ascii="宋体" w:hAnsi="宋体" w:cs="宋体"/>
          <w:b w:val="0"/>
          <w:sz w:val="28"/>
          <w:szCs w:val="28"/>
        </w:rPr>
        <w:t>应按照《生产安全事故应急条例》（国务院令第 708 号）、《生产安全事故应急预案管理办法》（原安监总局令第 88 号，2019 年应急管理部令第 2 号）、</w:t>
      </w:r>
      <w:r>
        <w:rPr>
          <w:rFonts w:hint="eastAsia" w:ascii="宋体" w:hAnsi="宋体" w:cs="宋体"/>
          <w:b w:val="0"/>
          <w:sz w:val="28"/>
          <w:szCs w:val="28"/>
        </w:rPr>
        <w:t>《生产经营单位生产安全事故应急预案编制导则》</w:t>
      </w:r>
      <w:r>
        <w:rPr>
          <w:rFonts w:ascii="宋体" w:hAnsi="宋体" w:cs="宋体"/>
          <w:b w:val="0"/>
          <w:sz w:val="28"/>
          <w:szCs w:val="28"/>
        </w:rPr>
        <w:t>的要求编制应急救援预案，且</w:t>
      </w:r>
      <w:r>
        <w:rPr>
          <w:rFonts w:hint="eastAsia" w:ascii="宋体" w:hAnsi="宋体" w:cs="宋体"/>
          <w:b w:val="0"/>
          <w:bCs/>
          <w:sz w:val="28"/>
          <w:szCs w:val="28"/>
        </w:rPr>
        <w:t>企业应根据实际情况及时修订事故应急救援预案，并定期进行演练；针对演练中暴露的问题，进一步完善预案并应配备相应的应急救援设施设备，以提高应急救援能力，将事故带来的损失减少到最低限度。</w:t>
      </w:r>
    </w:p>
    <w:p w14:paraId="5D509B06">
      <w:pPr>
        <w:spacing w:line="360" w:lineRule="auto"/>
        <w:ind w:firstLine="560" w:firstLineChars="200"/>
        <w:rPr>
          <w:rFonts w:ascii="宋体" w:hAnsi="宋体" w:cs="宋体"/>
          <w:b w:val="0"/>
          <w:sz w:val="28"/>
          <w:szCs w:val="28"/>
        </w:rPr>
      </w:pPr>
      <w:r>
        <w:rPr>
          <w:rFonts w:hint="eastAsia" w:ascii="宋体" w:hAnsi="宋体" w:cs="宋体"/>
          <w:b w:val="0"/>
          <w:sz w:val="28"/>
          <w:szCs w:val="28"/>
        </w:rPr>
        <w:t>7）</w:t>
      </w:r>
      <w:r>
        <w:rPr>
          <w:rFonts w:ascii="宋体" w:hAnsi="宋体" w:cs="宋体"/>
          <w:b w:val="0"/>
          <w:sz w:val="28"/>
          <w:szCs w:val="28"/>
        </w:rPr>
        <w:t>项目建成后，企业应依法为员工缴纳工伤保险，并办理安全生产责任保险。</w:t>
      </w:r>
    </w:p>
    <w:p w14:paraId="075ADAFA">
      <w:pPr>
        <w:spacing w:line="360" w:lineRule="auto"/>
        <w:ind w:firstLine="560" w:firstLineChars="200"/>
        <w:rPr>
          <w:rFonts w:ascii="宋体" w:hAnsi="宋体" w:cs="宋体"/>
          <w:b w:val="0"/>
          <w:sz w:val="28"/>
          <w:szCs w:val="28"/>
        </w:rPr>
      </w:pPr>
      <w:r>
        <w:rPr>
          <w:rFonts w:hint="eastAsia" w:ascii="宋体" w:hAnsi="宋体" w:cs="宋体"/>
          <w:b w:val="0"/>
          <w:sz w:val="28"/>
          <w:szCs w:val="28"/>
        </w:rPr>
        <w:t>8）</w:t>
      </w:r>
      <w:r>
        <w:rPr>
          <w:rFonts w:hint="eastAsia" w:ascii="宋体" w:hAnsi="宋体" w:cs="宋体"/>
          <w:b w:val="0"/>
          <w:bCs/>
          <w:sz w:val="28"/>
          <w:szCs w:val="28"/>
        </w:rPr>
        <w:t>建议与邻厂（浏阳市文龙鞭炮烟花烟制造有限公司）签订好安全责任协议、明确双方职责。</w:t>
      </w:r>
    </w:p>
    <w:p w14:paraId="3827E554">
      <w:pPr>
        <w:keepLines/>
        <w:widowControl/>
        <w:spacing w:line="360" w:lineRule="auto"/>
        <w:outlineLvl w:val="2"/>
        <w:rPr>
          <w:rFonts w:ascii="黑体" w:hAnsi="Times New Roman" w:eastAsia="黑体"/>
          <w:b w:val="0"/>
          <w:bCs/>
          <w:snapToGrid w:val="0"/>
          <w:sz w:val="30"/>
          <w:szCs w:val="30"/>
          <w:lang w:val="en-GB"/>
        </w:rPr>
      </w:pPr>
      <w:r>
        <w:rPr>
          <w:rFonts w:hint="eastAsia" w:ascii="黑体" w:hAnsi="Times New Roman" w:eastAsia="黑体"/>
          <w:b w:val="0"/>
          <w:bCs/>
          <w:snapToGrid w:val="0"/>
          <w:sz w:val="30"/>
          <w:szCs w:val="30"/>
          <w:lang w:val="en-GB"/>
        </w:rPr>
        <w:t>6.3.10</w:t>
      </w:r>
      <w:r>
        <w:rPr>
          <w:rFonts w:ascii="黑体" w:hAnsi="Times New Roman" w:eastAsia="黑体"/>
          <w:b w:val="0"/>
          <w:bCs/>
          <w:snapToGrid w:val="0"/>
          <w:sz w:val="30"/>
          <w:szCs w:val="30"/>
          <w:lang w:val="en-GB"/>
        </w:rPr>
        <w:t>应重视的安全对策措施建议</w:t>
      </w:r>
    </w:p>
    <w:p w14:paraId="6E03E336">
      <w:pPr>
        <w:spacing w:line="560" w:lineRule="exact"/>
        <w:ind w:firstLine="560" w:firstLineChars="200"/>
        <w:rPr>
          <w:rFonts w:ascii="宋体" w:hAnsi="宋体" w:cs="宋体"/>
          <w:b w:val="0"/>
          <w:sz w:val="28"/>
          <w:szCs w:val="28"/>
        </w:rPr>
      </w:pPr>
      <w:r>
        <w:rPr>
          <w:rFonts w:hint="eastAsia" w:ascii="宋体" w:hAnsi="宋体" w:cs="宋体"/>
          <w:b w:val="0"/>
          <w:sz w:val="28"/>
          <w:szCs w:val="28"/>
        </w:rPr>
        <w:t>1）</w:t>
      </w:r>
      <w:r>
        <w:rPr>
          <w:rFonts w:ascii="宋体" w:hAnsi="宋体" w:cs="宋体"/>
          <w:b w:val="0"/>
          <w:sz w:val="28"/>
          <w:szCs w:val="28"/>
        </w:rPr>
        <w:t>企业在设计时，必须确保烟花爆竹仓库外部距离和内部距离符合《烟花爆竹工程设计安全标准》（GB50161-2022）、《烟花爆竹作业安全技术规程》（GB11652-2012）等标准法律法规要求</w:t>
      </w:r>
    </w:p>
    <w:p w14:paraId="1D73C13D">
      <w:pPr>
        <w:spacing w:line="560" w:lineRule="exact"/>
        <w:ind w:firstLine="561"/>
        <w:rPr>
          <w:rFonts w:ascii="宋体" w:hAnsi="宋体"/>
          <w:b w:val="0"/>
          <w:color w:val="000000"/>
          <w:sz w:val="28"/>
        </w:rPr>
      </w:pPr>
      <w:r>
        <w:rPr>
          <w:rFonts w:hint="eastAsia" w:ascii="宋体" w:hAnsi="宋体"/>
          <w:b w:val="0"/>
          <w:color w:val="000000"/>
          <w:sz w:val="28"/>
        </w:rPr>
        <w:t>2）项目应严格依照建设项目“三同时”要求，安全设施设计未取得批准前不得开工建设。</w:t>
      </w:r>
    </w:p>
    <w:p w14:paraId="1B7DF194">
      <w:pPr>
        <w:spacing w:line="560" w:lineRule="exact"/>
        <w:ind w:firstLine="561"/>
        <w:rPr>
          <w:rFonts w:ascii="宋体" w:hAnsi="宋体"/>
          <w:b w:val="0"/>
          <w:color w:val="000000"/>
          <w:sz w:val="28"/>
        </w:rPr>
      </w:pPr>
      <w:r>
        <w:rPr>
          <w:rFonts w:hint="eastAsia" w:ascii="宋体" w:hAnsi="宋体"/>
          <w:b w:val="0"/>
          <w:color w:val="000000"/>
          <w:sz w:val="28"/>
        </w:rPr>
        <w:t>3）应严格依照设计图纸进行施工，保证建成后的现状与设计图纸一致，达到标准和设计要求，严禁擅自变更设计。</w:t>
      </w:r>
    </w:p>
    <w:p w14:paraId="5A9BA1DF">
      <w:pPr>
        <w:spacing w:line="560" w:lineRule="exact"/>
        <w:ind w:firstLine="561"/>
        <w:rPr>
          <w:rFonts w:ascii="宋体" w:hAnsi="宋体"/>
          <w:b w:val="0"/>
          <w:color w:val="000000"/>
          <w:sz w:val="28"/>
        </w:rPr>
      </w:pPr>
      <w:r>
        <w:rPr>
          <w:rFonts w:hint="eastAsia" w:ascii="宋体" w:hAnsi="宋体"/>
          <w:b w:val="0"/>
          <w:color w:val="000000"/>
          <w:sz w:val="28"/>
        </w:rPr>
        <w:t>4）建设过程中，必须严格执行国家现行施工验收标准及规范，请有资质的施工建筑单位进行施工。</w:t>
      </w:r>
    </w:p>
    <w:p w14:paraId="23626CBF">
      <w:pPr>
        <w:spacing w:line="560" w:lineRule="exact"/>
        <w:ind w:firstLine="561"/>
        <w:rPr>
          <w:rFonts w:ascii="宋体" w:hAnsi="宋体"/>
          <w:b w:val="0"/>
          <w:color w:val="000000"/>
          <w:sz w:val="28"/>
        </w:rPr>
      </w:pPr>
      <w:r>
        <w:rPr>
          <w:rFonts w:hint="eastAsia" w:ascii="宋体" w:hAnsi="宋体"/>
          <w:b w:val="0"/>
          <w:color w:val="000000"/>
          <w:sz w:val="28"/>
        </w:rPr>
        <w:t>5）企业应加强该项目隐蔽工程的施工质量监管及验收。</w:t>
      </w:r>
    </w:p>
    <w:p w14:paraId="70E42040">
      <w:pPr>
        <w:spacing w:line="560" w:lineRule="exact"/>
        <w:ind w:firstLine="561"/>
        <w:rPr>
          <w:rFonts w:ascii="宋体" w:hAnsi="宋体"/>
          <w:b w:val="0"/>
          <w:color w:val="000000"/>
          <w:sz w:val="28"/>
        </w:rPr>
      </w:pPr>
      <w:r>
        <w:rPr>
          <w:rFonts w:hint="eastAsia" w:ascii="宋体" w:hAnsi="宋体"/>
          <w:b w:val="0"/>
          <w:color w:val="000000"/>
          <w:sz w:val="28"/>
        </w:rPr>
        <w:t>6）</w:t>
      </w:r>
      <w:r>
        <w:rPr>
          <w:rFonts w:hint="eastAsia" w:ascii="宋体" w:hAnsi="宋体"/>
          <w:b w:val="0"/>
          <w:bCs/>
          <w:color w:val="000000"/>
          <w:sz w:val="28"/>
        </w:rPr>
        <w:t>企业应按照《烟花爆竹工程设计安全标准》（GB50161-2022）对 1.1级建构筑物设置防护屏障，并应满足相关要求。</w:t>
      </w:r>
    </w:p>
    <w:p w14:paraId="5A4ECBD3">
      <w:pPr>
        <w:spacing w:line="560" w:lineRule="exact"/>
        <w:ind w:firstLine="561"/>
        <w:rPr>
          <w:rFonts w:ascii="宋体" w:hAnsi="宋体"/>
          <w:b w:val="0"/>
          <w:color w:val="000000"/>
          <w:sz w:val="28"/>
        </w:rPr>
      </w:pPr>
      <w:r>
        <w:rPr>
          <w:rFonts w:hint="eastAsia" w:ascii="宋体" w:hAnsi="宋体"/>
          <w:b w:val="0"/>
          <w:color w:val="000000"/>
          <w:sz w:val="28"/>
        </w:rPr>
        <w:t>7）建设项目建成完工后，企业应按有关规定，按时进行安全评价和通过工程竣工验收合格后方可投入使用。</w:t>
      </w:r>
    </w:p>
    <w:p w14:paraId="75D22F8A">
      <w:pPr>
        <w:spacing w:line="360" w:lineRule="auto"/>
        <w:ind w:firstLine="562" w:firstLineChars="200"/>
        <w:rPr>
          <w:rFonts w:ascii="宋体" w:hAnsi="宋体"/>
          <w:b w:val="0"/>
          <w:bCs/>
          <w:sz w:val="28"/>
        </w:rPr>
      </w:pPr>
      <w:r>
        <w:rPr>
          <w:rFonts w:hint="eastAsia" w:ascii="宋体" w:hAnsi="宋体"/>
          <w:bCs/>
          <w:sz w:val="28"/>
        </w:rPr>
        <w:t>综上所述，该项目所有新、改建工库房均应按上述要求进行建设，应在浏阳市太平复兴花炮厂（个人独资）厂房升级改造项目设计中予以落实。</w:t>
      </w:r>
    </w:p>
    <w:bookmarkEnd w:id="625"/>
    <w:bookmarkEnd w:id="626"/>
    <w:p w14:paraId="35FB8FA2">
      <w:pPr>
        <w:keepNext/>
        <w:pageBreakBefore/>
        <w:widowControl/>
        <w:spacing w:before="120" w:beforeLines="50" w:line="360" w:lineRule="auto"/>
        <w:jc w:val="center"/>
        <w:outlineLvl w:val="0"/>
        <w:rPr>
          <w:rFonts w:ascii="黑体" w:hAnsi="宋体" w:eastAsia="黑体"/>
          <w:b w:val="0"/>
          <w:sz w:val="32"/>
          <w:szCs w:val="32"/>
        </w:rPr>
      </w:pPr>
      <w:bookmarkStart w:id="628" w:name="_Toc98992047"/>
      <w:bookmarkStart w:id="629" w:name="_Toc233449818"/>
      <w:bookmarkStart w:id="630" w:name="_Toc110569915"/>
      <w:bookmarkStart w:id="631" w:name="_Toc19298"/>
      <w:r>
        <w:rPr>
          <w:rFonts w:hint="eastAsia" w:ascii="黑体" w:hAnsi="宋体" w:eastAsia="黑体"/>
          <w:b w:val="0"/>
          <w:sz w:val="32"/>
          <w:szCs w:val="32"/>
        </w:rPr>
        <w:t>第七章 安全预评价结论</w:t>
      </w:r>
      <w:bookmarkEnd w:id="628"/>
      <w:bookmarkEnd w:id="629"/>
      <w:bookmarkEnd w:id="630"/>
      <w:bookmarkEnd w:id="631"/>
    </w:p>
    <w:p w14:paraId="58D93313">
      <w:pPr>
        <w:keepNext/>
        <w:keepLines/>
        <w:spacing w:line="360" w:lineRule="auto"/>
        <w:outlineLvl w:val="1"/>
        <w:rPr>
          <w:rFonts w:ascii="黑体" w:hAnsi="宋体" w:eastAsia="黑体"/>
          <w:b w:val="0"/>
          <w:bCs/>
          <w:snapToGrid w:val="0"/>
          <w:sz w:val="30"/>
          <w:szCs w:val="30"/>
        </w:rPr>
      </w:pPr>
      <w:bookmarkStart w:id="632" w:name="_Toc93977191"/>
      <w:bookmarkStart w:id="633" w:name="_Toc91555135"/>
      <w:bookmarkStart w:id="634" w:name="_Toc110569916"/>
      <w:bookmarkStart w:id="635" w:name="_Toc92505501"/>
      <w:bookmarkStart w:id="636" w:name="_Toc233449819"/>
      <w:bookmarkStart w:id="637" w:name="_Toc11085"/>
      <w:r>
        <w:rPr>
          <w:rFonts w:hint="eastAsia" w:ascii="黑体" w:hAnsi="宋体" w:eastAsia="黑体"/>
          <w:b w:val="0"/>
          <w:bCs/>
          <w:snapToGrid w:val="0"/>
          <w:sz w:val="30"/>
          <w:szCs w:val="30"/>
        </w:rPr>
        <w:t>7.1</w:t>
      </w:r>
      <w:bookmarkEnd w:id="632"/>
      <w:bookmarkEnd w:id="633"/>
      <w:bookmarkEnd w:id="634"/>
      <w:bookmarkEnd w:id="635"/>
      <w:bookmarkEnd w:id="636"/>
      <w:r>
        <w:rPr>
          <w:rFonts w:hint="eastAsia" w:ascii="黑体" w:hAnsi="宋体" w:eastAsia="黑体"/>
          <w:b w:val="0"/>
          <w:bCs/>
          <w:snapToGrid w:val="0"/>
          <w:sz w:val="30"/>
          <w:szCs w:val="30"/>
        </w:rPr>
        <w:t>主要危险、有害因素分析结果</w:t>
      </w:r>
      <w:bookmarkEnd w:id="637"/>
    </w:p>
    <w:p w14:paraId="43E73502">
      <w:pPr>
        <w:adjustRightInd w:val="0"/>
        <w:snapToGrid w:val="0"/>
        <w:spacing w:line="360" w:lineRule="auto"/>
        <w:ind w:firstLine="560"/>
        <w:jc w:val="left"/>
        <w:rPr>
          <w:rFonts w:ascii="宋体" w:hAnsi="宋体" w:cs="宋体"/>
          <w:b w:val="0"/>
          <w:bCs/>
          <w:sz w:val="28"/>
          <w:szCs w:val="28"/>
        </w:rPr>
      </w:pPr>
      <w:r>
        <w:rPr>
          <w:rFonts w:ascii="宋体" w:hAnsi="宋体" w:cs="宋体"/>
          <w:b w:val="0"/>
          <w:bCs/>
          <w:sz w:val="28"/>
          <w:szCs w:val="28"/>
        </w:rPr>
        <w:t>1</w:t>
      </w:r>
      <w:r>
        <w:rPr>
          <w:rFonts w:hint="eastAsia" w:ascii="宋体" w:hAnsi="宋体" w:cs="宋体"/>
          <w:b w:val="0"/>
          <w:bCs/>
          <w:sz w:val="28"/>
          <w:szCs w:val="28"/>
        </w:rPr>
        <w:t>、根据《烟花爆竹重大危险源辨识》（AQ4131-2023）进行烟花爆竹重大危险源辨识，经辨识，该项目药物库区辨识单元已构成四级烟花爆竹重大危险源</w:t>
      </w:r>
      <w:r>
        <w:rPr>
          <w:rFonts w:hint="eastAsia" w:ascii="宋体" w:hAnsi="宋体" w:cs="宋体"/>
          <w:b w:val="0"/>
          <w:bCs/>
          <w:sz w:val="28"/>
          <w:szCs w:val="28"/>
          <w:lang w:val="en-GB"/>
        </w:rPr>
        <w:t>，</w:t>
      </w:r>
      <w:r>
        <w:rPr>
          <w:rFonts w:hint="eastAsia" w:ascii="宋体" w:hAnsi="宋体" w:cs="宋体"/>
          <w:b w:val="0"/>
          <w:bCs/>
          <w:sz w:val="28"/>
          <w:szCs w:val="28"/>
        </w:rPr>
        <w:t>其他辨识单元未构烟花爆竹重大危险源。</w:t>
      </w:r>
    </w:p>
    <w:p w14:paraId="7BDE4B59">
      <w:pPr>
        <w:pStyle w:val="35"/>
        <w:ind w:firstLine="560"/>
        <w:rPr>
          <w:rFonts w:ascii="宋体" w:hAnsi="宋体" w:eastAsia="宋体" w:cs="宋体"/>
          <w:b w:val="0"/>
          <w:bCs/>
          <w:szCs w:val="28"/>
        </w:rPr>
      </w:pPr>
      <w:r>
        <w:rPr>
          <w:rFonts w:hint="eastAsia" w:ascii="宋体" w:hAnsi="宋体" w:eastAsia="宋体" w:cs="宋体"/>
          <w:b w:val="0"/>
          <w:bCs/>
          <w:szCs w:val="28"/>
        </w:rPr>
        <w:t>2、主要危险、危害因素</w:t>
      </w:r>
    </w:p>
    <w:p w14:paraId="0F3CA3F0">
      <w:pPr>
        <w:adjustRightInd w:val="0"/>
        <w:snapToGrid w:val="0"/>
        <w:spacing w:line="360" w:lineRule="auto"/>
        <w:ind w:firstLine="560"/>
        <w:rPr>
          <w:rFonts w:ascii="宋体" w:hAnsi="宋体" w:cs="宋体"/>
          <w:b w:val="0"/>
          <w:bCs/>
          <w:sz w:val="28"/>
          <w:szCs w:val="28"/>
        </w:rPr>
      </w:pPr>
      <w:r>
        <w:rPr>
          <w:rFonts w:hint="eastAsia" w:ascii="宋体" w:hAnsi="宋体" w:cs="宋体"/>
          <w:b w:val="0"/>
          <w:bCs/>
          <w:sz w:val="28"/>
          <w:szCs w:val="28"/>
        </w:rPr>
        <w:t>（1）火灾、烟花爆竹爆炸；</w:t>
      </w:r>
    </w:p>
    <w:p w14:paraId="5F7081A7">
      <w:pPr>
        <w:adjustRightInd w:val="0"/>
        <w:snapToGrid w:val="0"/>
        <w:spacing w:line="360" w:lineRule="auto"/>
        <w:ind w:firstLine="560"/>
        <w:rPr>
          <w:rFonts w:ascii="宋体" w:hAnsi="宋体" w:cs="宋体"/>
          <w:b w:val="0"/>
          <w:bCs/>
          <w:sz w:val="28"/>
          <w:szCs w:val="28"/>
        </w:rPr>
      </w:pPr>
      <w:r>
        <w:rPr>
          <w:rFonts w:hint="eastAsia" w:ascii="宋体" w:hAnsi="宋体" w:cs="宋体"/>
          <w:b w:val="0"/>
          <w:bCs/>
          <w:sz w:val="28"/>
          <w:szCs w:val="28"/>
        </w:rPr>
        <w:t>（2）中毒和窒息；</w:t>
      </w:r>
    </w:p>
    <w:p w14:paraId="692097D9">
      <w:pPr>
        <w:adjustRightInd w:val="0"/>
        <w:snapToGrid w:val="0"/>
        <w:spacing w:line="360" w:lineRule="auto"/>
        <w:ind w:firstLine="560"/>
        <w:rPr>
          <w:rFonts w:ascii="宋体" w:hAnsi="宋体" w:cs="宋体"/>
          <w:b w:val="0"/>
          <w:bCs/>
          <w:sz w:val="28"/>
          <w:szCs w:val="28"/>
        </w:rPr>
      </w:pPr>
      <w:r>
        <w:rPr>
          <w:rFonts w:hint="eastAsia" w:ascii="宋体" w:hAnsi="宋体" w:cs="宋体"/>
          <w:b w:val="0"/>
          <w:bCs/>
          <w:sz w:val="28"/>
          <w:szCs w:val="28"/>
        </w:rPr>
        <w:t>（3）机械致害；</w:t>
      </w:r>
    </w:p>
    <w:p w14:paraId="6C2BAE38">
      <w:pPr>
        <w:adjustRightInd w:val="0"/>
        <w:snapToGrid w:val="0"/>
        <w:spacing w:line="360" w:lineRule="auto"/>
        <w:ind w:firstLine="560"/>
        <w:rPr>
          <w:rFonts w:ascii="宋体" w:hAnsi="宋体" w:cs="宋体"/>
          <w:b w:val="0"/>
          <w:bCs/>
          <w:sz w:val="28"/>
          <w:szCs w:val="28"/>
        </w:rPr>
      </w:pPr>
      <w:r>
        <w:rPr>
          <w:rFonts w:hint="eastAsia" w:ascii="宋体" w:hAnsi="宋体" w:cs="宋体"/>
          <w:b w:val="0"/>
          <w:bCs/>
          <w:sz w:val="28"/>
          <w:szCs w:val="28"/>
        </w:rPr>
        <w:t>（4）触电。</w:t>
      </w:r>
    </w:p>
    <w:p w14:paraId="7A6B281D">
      <w:pPr>
        <w:keepNext/>
        <w:keepLines/>
        <w:spacing w:line="360" w:lineRule="auto"/>
        <w:outlineLvl w:val="1"/>
        <w:rPr>
          <w:rFonts w:ascii="黑体" w:hAnsi="宋体" w:eastAsia="黑体"/>
          <w:b w:val="0"/>
          <w:bCs/>
          <w:snapToGrid w:val="0"/>
          <w:sz w:val="30"/>
          <w:szCs w:val="30"/>
        </w:rPr>
      </w:pPr>
      <w:bookmarkStart w:id="638" w:name="_Toc233449820"/>
      <w:bookmarkStart w:id="639" w:name="_Toc128477417"/>
      <w:bookmarkStart w:id="640" w:name="_Toc30184"/>
      <w:r>
        <w:rPr>
          <w:rFonts w:hint="eastAsia" w:ascii="黑体" w:hAnsi="宋体" w:eastAsia="黑体"/>
          <w:b w:val="0"/>
          <w:bCs/>
          <w:snapToGrid w:val="0"/>
          <w:sz w:val="30"/>
          <w:szCs w:val="30"/>
        </w:rPr>
        <w:t>7.2安全预评价</w:t>
      </w:r>
      <w:bookmarkEnd w:id="638"/>
      <w:bookmarkEnd w:id="639"/>
      <w:r>
        <w:rPr>
          <w:rFonts w:hint="eastAsia" w:ascii="黑体" w:hAnsi="宋体" w:eastAsia="黑体"/>
          <w:b w:val="0"/>
          <w:bCs/>
          <w:snapToGrid w:val="0"/>
          <w:sz w:val="30"/>
          <w:szCs w:val="30"/>
        </w:rPr>
        <w:t>结果</w:t>
      </w:r>
      <w:bookmarkEnd w:id="640"/>
    </w:p>
    <w:p w14:paraId="69043012">
      <w:pPr>
        <w:adjustRightInd w:val="0"/>
        <w:snapToGrid w:val="0"/>
        <w:spacing w:line="360" w:lineRule="auto"/>
        <w:ind w:firstLine="560" w:firstLineChars="200"/>
        <w:jc w:val="left"/>
        <w:rPr>
          <w:rFonts w:ascii="宋体" w:hAnsi="宋体" w:cs="宋体"/>
          <w:b w:val="0"/>
          <w:bCs/>
          <w:sz w:val="28"/>
          <w:szCs w:val="28"/>
        </w:rPr>
      </w:pPr>
      <w:r>
        <w:rPr>
          <w:rFonts w:hint="eastAsia" w:ascii="宋体" w:hAnsi="宋体" w:cs="宋体"/>
          <w:b w:val="0"/>
          <w:bCs/>
          <w:sz w:val="28"/>
          <w:szCs w:val="28"/>
        </w:rPr>
        <w:t>1、厂房升级改造项目安全条件单元安全评价结果</w:t>
      </w:r>
    </w:p>
    <w:p w14:paraId="52357E20">
      <w:pPr>
        <w:adjustRightInd w:val="0"/>
        <w:snapToGrid w:val="0"/>
        <w:spacing w:line="360" w:lineRule="auto"/>
        <w:ind w:firstLine="560" w:firstLineChars="200"/>
        <w:jc w:val="left"/>
        <w:rPr>
          <w:rFonts w:ascii="宋体" w:hAnsi="宋体" w:cs="宋体"/>
          <w:b w:val="0"/>
          <w:bCs/>
          <w:sz w:val="28"/>
          <w:szCs w:val="28"/>
        </w:rPr>
      </w:pPr>
      <w:r>
        <w:rPr>
          <w:rFonts w:hint="eastAsia" w:ascii="宋体" w:hAnsi="宋体" w:cs="宋体"/>
          <w:b w:val="0"/>
          <w:bCs/>
          <w:sz w:val="28"/>
          <w:szCs w:val="28"/>
        </w:rPr>
        <w:t>根据对该项目内在危险有害因素对周边单位生产、经营活动或者居民生活的影响、厂房升级改造项目周边生产单位、经营活动或居民生活对厂区的影响以及自然条件对厂房升级改造项目可能产生的影响的分析，周边环境与厂房升级改造项目的相互影响在可接受范围内。</w:t>
      </w:r>
    </w:p>
    <w:p w14:paraId="0D2AFE5D">
      <w:pPr>
        <w:adjustRightInd w:val="0"/>
        <w:snapToGrid w:val="0"/>
        <w:spacing w:line="360" w:lineRule="auto"/>
        <w:ind w:firstLine="560" w:firstLineChars="200"/>
        <w:jc w:val="left"/>
        <w:rPr>
          <w:rFonts w:ascii="宋体" w:hAnsi="宋体" w:cs="宋体"/>
          <w:b w:val="0"/>
          <w:bCs/>
          <w:sz w:val="28"/>
          <w:szCs w:val="28"/>
        </w:rPr>
      </w:pPr>
      <w:r>
        <w:rPr>
          <w:rFonts w:hint="eastAsia" w:ascii="宋体" w:hAnsi="宋体" w:cs="宋体"/>
          <w:b w:val="0"/>
          <w:bCs/>
          <w:sz w:val="28"/>
          <w:szCs w:val="28"/>
        </w:rPr>
        <w:t>2、厂房升级改造项目总体布局单元安全评价结果</w:t>
      </w:r>
    </w:p>
    <w:p w14:paraId="5F30EB77">
      <w:pPr>
        <w:adjustRightInd w:val="0"/>
        <w:snapToGrid w:val="0"/>
        <w:spacing w:line="360" w:lineRule="auto"/>
        <w:ind w:firstLine="560" w:firstLineChars="200"/>
        <w:jc w:val="left"/>
        <w:rPr>
          <w:rFonts w:ascii="宋体" w:hAnsi="宋体" w:cs="宋体"/>
          <w:b w:val="0"/>
          <w:bCs/>
          <w:sz w:val="28"/>
          <w:szCs w:val="28"/>
        </w:rPr>
      </w:pPr>
      <w:r>
        <w:rPr>
          <w:rFonts w:hint="eastAsia" w:ascii="宋体" w:hAnsi="宋体" w:cs="宋体"/>
          <w:b w:val="0"/>
          <w:bCs/>
          <w:sz w:val="28"/>
          <w:szCs w:val="28"/>
        </w:rPr>
        <w:t>该项目的选址、总平面布置、工艺布局及内、外部距离均符合《烟花爆竹工程设计安全标准》（GB50161-2022）标准要求。</w:t>
      </w:r>
    </w:p>
    <w:p w14:paraId="6120909E">
      <w:pPr>
        <w:adjustRightInd w:val="0"/>
        <w:snapToGrid w:val="0"/>
        <w:spacing w:line="360" w:lineRule="auto"/>
        <w:ind w:firstLine="560" w:firstLineChars="200"/>
        <w:jc w:val="left"/>
        <w:rPr>
          <w:rFonts w:ascii="宋体" w:hAnsi="宋体" w:cs="宋体"/>
          <w:b w:val="0"/>
          <w:bCs/>
          <w:sz w:val="28"/>
          <w:szCs w:val="28"/>
        </w:rPr>
      </w:pPr>
      <w:r>
        <w:rPr>
          <w:rFonts w:hint="eastAsia" w:ascii="宋体" w:hAnsi="宋体" w:cs="宋体"/>
          <w:b w:val="0"/>
          <w:bCs/>
          <w:sz w:val="28"/>
          <w:szCs w:val="28"/>
        </w:rPr>
        <w:t>3、安全设施及公用工程单元评价结果</w:t>
      </w:r>
    </w:p>
    <w:p w14:paraId="63280466">
      <w:pPr>
        <w:adjustRightInd w:val="0"/>
        <w:snapToGrid w:val="0"/>
        <w:spacing w:line="360" w:lineRule="auto"/>
        <w:ind w:firstLine="560" w:firstLineChars="200"/>
        <w:rPr>
          <w:rFonts w:ascii="宋体" w:hAnsi="宋体" w:cs="宋体"/>
          <w:b w:val="0"/>
          <w:bCs/>
          <w:sz w:val="28"/>
          <w:szCs w:val="28"/>
        </w:rPr>
      </w:pPr>
      <w:r>
        <w:rPr>
          <w:rFonts w:hint="eastAsia" w:ascii="宋体" w:hAnsi="宋体" w:cs="宋体"/>
          <w:b w:val="0"/>
          <w:bCs/>
          <w:sz w:val="28"/>
          <w:szCs w:val="28"/>
        </w:rPr>
        <w:t>根据对该项目的安全设施及公用工程进行分析，综合该企业现场情况，其安全设施及公用工程单元符合要求。</w:t>
      </w:r>
    </w:p>
    <w:p w14:paraId="70324AD7">
      <w:pPr>
        <w:adjustRightInd w:val="0"/>
        <w:snapToGrid w:val="0"/>
        <w:spacing w:line="360" w:lineRule="auto"/>
        <w:ind w:firstLine="560" w:firstLineChars="200"/>
        <w:jc w:val="left"/>
        <w:rPr>
          <w:rFonts w:ascii="宋体" w:hAnsi="宋体" w:cs="宋体"/>
          <w:b w:val="0"/>
          <w:bCs/>
          <w:sz w:val="28"/>
          <w:szCs w:val="28"/>
        </w:rPr>
      </w:pPr>
      <w:r>
        <w:rPr>
          <w:rFonts w:hint="eastAsia" w:ascii="宋体" w:hAnsi="宋体" w:cs="宋体"/>
          <w:b w:val="0"/>
          <w:bCs/>
          <w:sz w:val="28"/>
          <w:szCs w:val="28"/>
        </w:rPr>
        <w:t>4、安全管理单元评价结果</w:t>
      </w:r>
    </w:p>
    <w:p w14:paraId="60B715CF">
      <w:pPr>
        <w:adjustRightInd w:val="0"/>
        <w:snapToGrid w:val="0"/>
        <w:spacing w:line="360" w:lineRule="auto"/>
        <w:ind w:firstLine="560" w:firstLineChars="200"/>
        <w:jc w:val="left"/>
        <w:rPr>
          <w:rFonts w:ascii="宋体" w:hAnsi="宋体" w:cs="宋体"/>
          <w:b w:val="0"/>
          <w:bCs/>
          <w:sz w:val="28"/>
          <w:szCs w:val="28"/>
        </w:rPr>
      </w:pPr>
      <w:r>
        <w:rPr>
          <w:rFonts w:hint="eastAsia" w:ascii="宋体" w:hAnsi="宋体" w:cs="宋体"/>
          <w:b w:val="0"/>
          <w:bCs/>
          <w:sz w:val="28"/>
          <w:szCs w:val="28"/>
        </w:rPr>
        <w:t>根据对该企业的安全管理资料进行分析，其安全管理单元符合要求。</w:t>
      </w:r>
    </w:p>
    <w:p w14:paraId="5CF3829A">
      <w:pPr>
        <w:adjustRightInd w:val="0"/>
        <w:snapToGrid w:val="0"/>
        <w:spacing w:line="360" w:lineRule="auto"/>
        <w:ind w:firstLine="560" w:firstLineChars="200"/>
        <w:jc w:val="left"/>
        <w:rPr>
          <w:rFonts w:ascii="宋体" w:hAnsi="宋体" w:cs="宋体"/>
          <w:b w:val="0"/>
          <w:bCs/>
          <w:sz w:val="28"/>
          <w:szCs w:val="28"/>
        </w:rPr>
      </w:pPr>
      <w:r>
        <w:rPr>
          <w:rFonts w:hint="eastAsia" w:ascii="宋体" w:hAnsi="宋体" w:cs="宋体"/>
          <w:b w:val="0"/>
          <w:bCs/>
          <w:sz w:val="28"/>
          <w:szCs w:val="28"/>
        </w:rPr>
        <w:t>5、生产过程单元评论结果</w:t>
      </w:r>
    </w:p>
    <w:p w14:paraId="558B2670">
      <w:pPr>
        <w:pStyle w:val="87"/>
        <w:ind w:firstLine="560"/>
        <w:rPr>
          <w:rFonts w:ascii="宋体" w:hAnsi="宋体" w:eastAsia="宋体" w:cs="宋体"/>
          <w:b w:val="0"/>
          <w:bCs/>
          <w:kern w:val="2"/>
          <w:szCs w:val="28"/>
        </w:rPr>
      </w:pPr>
      <w:r>
        <w:rPr>
          <w:rFonts w:hint="eastAsia" w:ascii="宋体" w:hAnsi="宋体" w:eastAsia="宋体" w:cs="宋体"/>
          <w:b w:val="0"/>
          <w:bCs/>
          <w:kern w:val="2"/>
          <w:szCs w:val="28"/>
        </w:rPr>
        <w:t>该项目工艺过程各工序都存在危险有害因素，事故类型主要为火灾、爆炸。危险级别主要为Ⅲ级，明确了发生事故的触发条件并确定了应采取的相应工艺安全对策措施。</w:t>
      </w:r>
    </w:p>
    <w:p w14:paraId="486CB4B3">
      <w:pPr>
        <w:adjustRightInd w:val="0"/>
        <w:snapToGrid w:val="0"/>
        <w:spacing w:line="360" w:lineRule="auto"/>
        <w:ind w:firstLine="560" w:firstLineChars="200"/>
        <w:jc w:val="left"/>
        <w:rPr>
          <w:rFonts w:ascii="宋体" w:hAnsi="宋体" w:cs="宋体"/>
          <w:b w:val="0"/>
          <w:bCs/>
          <w:sz w:val="28"/>
          <w:szCs w:val="28"/>
        </w:rPr>
      </w:pPr>
      <w:r>
        <w:rPr>
          <w:rFonts w:hint="eastAsia" w:ascii="宋体" w:hAnsi="宋体" w:cs="宋体"/>
          <w:b w:val="0"/>
          <w:bCs/>
          <w:sz w:val="28"/>
          <w:szCs w:val="28"/>
        </w:rPr>
        <w:t>6、建筑施工单元评价结果</w:t>
      </w:r>
    </w:p>
    <w:p w14:paraId="197E1341">
      <w:pPr>
        <w:adjustRightInd w:val="0"/>
        <w:snapToGrid w:val="0"/>
        <w:spacing w:line="360" w:lineRule="auto"/>
        <w:ind w:firstLine="560" w:firstLineChars="200"/>
        <w:jc w:val="left"/>
        <w:rPr>
          <w:rFonts w:ascii="宋体" w:hAnsi="宋体" w:cs="宋体"/>
          <w:b w:val="0"/>
          <w:bCs/>
          <w:sz w:val="28"/>
          <w:szCs w:val="28"/>
        </w:rPr>
      </w:pPr>
      <w:r>
        <w:rPr>
          <w:rFonts w:hint="eastAsia" w:ascii="宋体" w:hAnsi="宋体" w:cs="宋体"/>
          <w:b w:val="0"/>
          <w:bCs/>
          <w:sz w:val="28"/>
          <w:szCs w:val="28"/>
        </w:rPr>
        <w:t>该项目的建筑施工阶段存在的潜在的主要危险有害因素有：高处坠落、物体打击、起重伤害、机械致害、厂内车辆致害、火灾、噪声和触电等，当企业采取防护措施后，同时在企业严格按规章制度运行的前提下，其风险在可接受范围内。</w:t>
      </w:r>
    </w:p>
    <w:p w14:paraId="38462003">
      <w:pPr>
        <w:adjustRightInd w:val="0"/>
        <w:snapToGrid w:val="0"/>
        <w:spacing w:line="360" w:lineRule="auto"/>
        <w:ind w:firstLine="560" w:firstLineChars="200"/>
        <w:jc w:val="left"/>
        <w:rPr>
          <w:rFonts w:ascii="宋体" w:hAnsi="宋体" w:cs="宋体"/>
          <w:b w:val="0"/>
          <w:bCs/>
          <w:sz w:val="28"/>
          <w:szCs w:val="28"/>
        </w:rPr>
      </w:pPr>
      <w:r>
        <w:rPr>
          <w:rFonts w:ascii="宋体" w:hAnsi="宋体" w:cs="宋体"/>
          <w:b w:val="0"/>
          <w:bCs/>
          <w:sz w:val="28"/>
          <w:szCs w:val="28"/>
        </w:rPr>
        <w:t>7</w:t>
      </w:r>
      <w:r>
        <w:rPr>
          <w:rFonts w:hint="eastAsia" w:ascii="宋体" w:hAnsi="宋体" w:cs="宋体"/>
          <w:b w:val="0"/>
          <w:bCs/>
          <w:sz w:val="28"/>
          <w:szCs w:val="28"/>
        </w:rPr>
        <w:t>、事故后果模拟分析</w:t>
      </w:r>
    </w:p>
    <w:p w14:paraId="1D9CB33F">
      <w:pPr>
        <w:adjustRightInd w:val="0"/>
        <w:snapToGrid w:val="0"/>
        <w:spacing w:line="360" w:lineRule="auto"/>
        <w:ind w:firstLine="560" w:firstLineChars="200"/>
        <w:jc w:val="left"/>
        <w:rPr>
          <w:rFonts w:ascii="宋体" w:hAnsi="宋体" w:cs="宋体"/>
          <w:b w:val="0"/>
          <w:bCs/>
          <w:sz w:val="28"/>
          <w:szCs w:val="28"/>
        </w:rPr>
      </w:pPr>
      <w:r>
        <w:rPr>
          <w:rFonts w:hint="eastAsia" w:ascii="宋体" w:hAnsi="宋体" w:cs="宋体"/>
          <w:b w:val="0"/>
          <w:bCs/>
          <w:sz w:val="28"/>
          <w:szCs w:val="28"/>
        </w:rPr>
        <w:t>根据对67电烘房/散热（计算药量5</w:t>
      </w:r>
      <w:r>
        <w:rPr>
          <w:rFonts w:ascii="宋体" w:hAnsi="宋体" w:cs="宋体"/>
          <w:b w:val="0"/>
          <w:bCs/>
          <w:sz w:val="28"/>
          <w:szCs w:val="28"/>
        </w:rPr>
        <w:t>00kg</w:t>
      </w:r>
      <w:r>
        <w:rPr>
          <w:rFonts w:hint="eastAsia" w:ascii="宋体" w:hAnsi="宋体" w:cs="宋体"/>
          <w:b w:val="0"/>
          <w:bCs/>
          <w:sz w:val="28"/>
          <w:szCs w:val="28"/>
        </w:rPr>
        <w:t>）进行事故后果模拟分析，当企业采取防护措施后，同时在企业严格按规章制度运行的前提下，其风险在可接受范围内。</w:t>
      </w:r>
    </w:p>
    <w:p w14:paraId="5A817E6F">
      <w:pPr>
        <w:keepNext/>
        <w:keepLines/>
        <w:spacing w:line="360" w:lineRule="auto"/>
        <w:outlineLvl w:val="1"/>
        <w:rPr>
          <w:rFonts w:ascii="黑体" w:hAnsi="宋体" w:eastAsia="黑体"/>
          <w:b w:val="0"/>
          <w:bCs/>
          <w:snapToGrid w:val="0"/>
          <w:sz w:val="30"/>
          <w:szCs w:val="30"/>
        </w:rPr>
      </w:pPr>
      <w:bookmarkStart w:id="641" w:name="_Toc15536"/>
      <w:r>
        <w:rPr>
          <w:rFonts w:hint="eastAsia" w:ascii="黑体" w:hAnsi="宋体" w:eastAsia="黑体"/>
          <w:b w:val="0"/>
          <w:bCs/>
          <w:snapToGrid w:val="0"/>
          <w:sz w:val="30"/>
          <w:szCs w:val="30"/>
        </w:rPr>
        <w:t>7.</w:t>
      </w:r>
      <w:r>
        <w:rPr>
          <w:rFonts w:ascii="黑体" w:hAnsi="宋体" w:eastAsia="黑体"/>
          <w:b w:val="0"/>
          <w:bCs/>
          <w:snapToGrid w:val="0"/>
          <w:sz w:val="30"/>
          <w:szCs w:val="30"/>
        </w:rPr>
        <w:t>3</w:t>
      </w:r>
      <w:r>
        <w:rPr>
          <w:rFonts w:hint="eastAsia" w:ascii="黑体" w:hAnsi="宋体" w:eastAsia="黑体"/>
          <w:b w:val="0"/>
          <w:bCs/>
          <w:snapToGrid w:val="0"/>
          <w:sz w:val="30"/>
          <w:szCs w:val="30"/>
        </w:rPr>
        <w:t>综合预评价结论</w:t>
      </w:r>
      <w:bookmarkEnd w:id="641"/>
    </w:p>
    <w:p w14:paraId="69A6C336">
      <w:pPr>
        <w:adjustRightInd w:val="0"/>
        <w:snapToGrid w:val="0"/>
        <w:spacing w:line="360" w:lineRule="auto"/>
        <w:ind w:firstLine="560" w:firstLineChars="200"/>
        <w:jc w:val="left"/>
        <w:rPr>
          <w:rFonts w:ascii="宋体" w:hAnsi="宋体"/>
          <w:b w:val="0"/>
          <w:bCs/>
          <w:sz w:val="28"/>
          <w:szCs w:val="28"/>
        </w:rPr>
      </w:pPr>
      <w:r>
        <w:rPr>
          <w:rFonts w:hint="eastAsia" w:ascii="宋体" w:hAnsi="宋体"/>
          <w:b w:val="0"/>
          <w:bCs/>
          <w:sz w:val="28"/>
          <w:szCs w:val="28"/>
        </w:rPr>
        <w:t>评价组通过对浏阳市太平复兴花炮厂（个人独资）厂房升级改造项目进行安全预评价，得出以下结论：</w:t>
      </w:r>
    </w:p>
    <w:p w14:paraId="26D90456">
      <w:pPr>
        <w:spacing w:line="360" w:lineRule="auto"/>
        <w:ind w:firstLine="562" w:firstLineChars="200"/>
        <w:rPr>
          <w:sz w:val="28"/>
          <w:szCs w:val="28"/>
        </w:rPr>
      </w:pPr>
      <w:r>
        <w:rPr>
          <w:rFonts w:hint="eastAsia"/>
          <w:sz w:val="28"/>
          <w:szCs w:val="28"/>
        </w:rPr>
        <w:t>浏阳市太平复兴花炮厂（个人独资）厂房升级改造项目的建设方案符合国家有关法律、法规和技术标准的要求，在落实了本报告提出的安全对策措施后，其安全风险可控，项目可行。</w:t>
      </w:r>
    </w:p>
    <w:p w14:paraId="2B22C1FE">
      <w:pPr>
        <w:spacing w:line="360" w:lineRule="auto"/>
        <w:ind w:firstLine="560" w:firstLineChars="200"/>
        <w:rPr>
          <w:rFonts w:ascii="宋体" w:hAnsi="宋体"/>
          <w:sz w:val="28"/>
          <w:szCs w:val="28"/>
        </w:rPr>
      </w:pPr>
      <w:r>
        <w:rPr>
          <w:rFonts w:hint="eastAsia"/>
          <w:b w:val="0"/>
          <w:bCs/>
          <w:sz w:val="28"/>
          <w:szCs w:val="28"/>
        </w:rPr>
        <w:t>注明：最终评价结果是建立在各项安全对策措施和手段有效落实的基础上，所以必须保证各项安全对策措施和手段的切实实施，才能最终达到安全水平。因此，建议项目建设单位，在委托设计单位进行设计时，除已考虑的安全措施外，对本报告所列出的安全对策措施必须根据技术要求进行落实。</w:t>
      </w:r>
      <w:r>
        <w:rPr>
          <w:rFonts w:hint="eastAsia" w:ascii="宋体" w:hAnsi="宋体"/>
          <w:sz w:val="28"/>
          <w:szCs w:val="28"/>
        </w:rPr>
        <w:t>（正文完）</w:t>
      </w:r>
    </w:p>
    <w:p w14:paraId="518FEFF3">
      <w:pPr>
        <w:adjustRightInd w:val="0"/>
        <w:snapToGrid w:val="0"/>
        <w:spacing w:before="240" w:beforeLines="100" w:line="360" w:lineRule="auto"/>
        <w:jc w:val="right"/>
        <w:rPr>
          <w:rFonts w:ascii="宋体" w:hAnsi="宋体" w:cs="宋体"/>
          <w:b w:val="0"/>
          <w:bCs/>
          <w:kern w:val="0"/>
          <w:sz w:val="28"/>
          <w:szCs w:val="28"/>
          <w:lang w:val="ru-RU"/>
        </w:rPr>
      </w:pPr>
      <w:r>
        <w:rPr>
          <w:rFonts w:hint="eastAsia" w:ascii="宋体" w:hAnsi="宋体" w:cs="宋体"/>
          <w:b w:val="0"/>
          <w:bCs/>
          <w:kern w:val="0"/>
          <w:sz w:val="28"/>
          <w:szCs w:val="28"/>
          <w:lang w:val="ru-RU"/>
        </w:rPr>
        <w:t>江西赣安安全生产科学技术咨询服务中心</w:t>
      </w:r>
    </w:p>
    <w:p w14:paraId="78C99FAB">
      <w:pPr>
        <w:wordWrap w:val="0"/>
        <w:adjustRightInd w:val="0"/>
        <w:snapToGrid w:val="0"/>
        <w:spacing w:line="360" w:lineRule="auto"/>
        <w:ind w:firstLine="6160" w:firstLineChars="2200"/>
        <w:jc w:val="right"/>
        <w:rPr>
          <w:rFonts w:ascii="宋体" w:hAnsi="宋体" w:cs="宋体"/>
          <w:b w:val="0"/>
          <w:bCs/>
          <w:kern w:val="0"/>
          <w:sz w:val="28"/>
          <w:szCs w:val="28"/>
          <w:lang w:val="ru-RU"/>
        </w:rPr>
      </w:pPr>
      <w:r>
        <w:rPr>
          <w:rFonts w:hint="eastAsia" w:ascii="宋体" w:hAnsi="宋体" w:cs="宋体"/>
          <w:b w:val="0"/>
          <w:bCs/>
          <w:kern w:val="0"/>
          <w:sz w:val="28"/>
          <w:szCs w:val="28"/>
          <w:lang w:val="ru-RU"/>
        </w:rPr>
        <w:t>202</w:t>
      </w:r>
      <w:r>
        <w:rPr>
          <w:rFonts w:hint="eastAsia" w:ascii="宋体" w:hAnsi="宋体" w:cs="宋体"/>
          <w:b w:val="0"/>
          <w:bCs/>
          <w:kern w:val="0"/>
          <w:sz w:val="28"/>
          <w:szCs w:val="28"/>
        </w:rPr>
        <w:t>6</w:t>
      </w:r>
      <w:r>
        <w:rPr>
          <w:rFonts w:ascii="宋体" w:hAnsi="宋体" w:cs="宋体"/>
          <w:b w:val="0"/>
          <w:bCs/>
          <w:kern w:val="0"/>
          <w:sz w:val="28"/>
          <w:szCs w:val="28"/>
          <w:lang w:val="ru-RU"/>
        </w:rPr>
        <w:t>年</w:t>
      </w:r>
      <w:r>
        <w:rPr>
          <w:rFonts w:hint="eastAsia" w:ascii="宋体" w:hAnsi="宋体" w:cs="宋体"/>
          <w:b w:val="0"/>
          <w:bCs/>
          <w:kern w:val="0"/>
          <w:sz w:val="28"/>
          <w:szCs w:val="28"/>
        </w:rPr>
        <w:t>9</w:t>
      </w:r>
      <w:r>
        <w:rPr>
          <w:rFonts w:ascii="宋体" w:hAnsi="宋体" w:cs="宋体"/>
          <w:b w:val="0"/>
          <w:bCs/>
          <w:kern w:val="0"/>
          <w:sz w:val="28"/>
          <w:szCs w:val="28"/>
          <w:lang w:val="ru-RU"/>
        </w:rPr>
        <w:t>月</w:t>
      </w:r>
      <w:r>
        <w:rPr>
          <w:rFonts w:hint="eastAsia" w:ascii="宋体" w:hAnsi="宋体" w:cs="宋体"/>
          <w:b w:val="0"/>
          <w:bCs/>
          <w:kern w:val="0"/>
          <w:sz w:val="28"/>
          <w:szCs w:val="28"/>
        </w:rPr>
        <w:t>2</w:t>
      </w:r>
      <w:r>
        <w:rPr>
          <w:rFonts w:ascii="宋体" w:hAnsi="宋体" w:cs="宋体"/>
          <w:b w:val="0"/>
          <w:bCs/>
          <w:kern w:val="0"/>
          <w:sz w:val="28"/>
          <w:szCs w:val="28"/>
          <w:lang w:val="ru-RU"/>
        </w:rPr>
        <w:t>日</w:t>
      </w:r>
      <w:bookmarkEnd w:id="0"/>
      <w:bookmarkEnd w:id="1"/>
      <w:bookmarkEnd w:id="2"/>
      <w:bookmarkEnd w:id="3"/>
      <w:bookmarkEnd w:id="4"/>
      <w:bookmarkStart w:id="642" w:name="_Toc11946"/>
      <w:bookmarkStart w:id="643" w:name="_Toc27285"/>
      <w:bookmarkStart w:id="644" w:name="_Toc1852"/>
    </w:p>
    <w:p w14:paraId="07DBA1B4">
      <w:pPr>
        <w:jc w:val="center"/>
        <w:rPr>
          <w:b w:val="0"/>
          <w:bCs/>
          <w:sz w:val="28"/>
          <w:szCs w:val="28"/>
        </w:rPr>
      </w:pPr>
      <w:r>
        <w:rPr>
          <w:b w:val="0"/>
          <w:bCs/>
          <w:sz w:val="28"/>
          <w:szCs w:val="28"/>
        </w:rPr>
        <w:t>项目组成员现场照片</w:t>
      </w:r>
    </w:p>
    <w:p w14:paraId="39E980D2">
      <w:pPr>
        <w:pStyle w:val="87"/>
        <w:ind w:firstLine="0" w:firstLineChars="0"/>
        <w:jc w:val="center"/>
      </w:pPr>
      <w:r>
        <w:drawing>
          <wp:inline distT="0" distB="0" distL="0" distR="0">
            <wp:extent cx="5376545" cy="4030345"/>
            <wp:effectExtent l="0" t="0" r="14605" b="8255"/>
            <wp:docPr id="47" name="图片 47" descr="D:\2026 赣安\9-9 太平复兴 预评价\现场照片\94336f9684306f2993f680f42b33e7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D:\2026 赣安\9-9 太平复兴 预评价\现场照片\94336f9684306f2993f680f42b33e71b.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376106" cy="4030293"/>
                    </a:xfrm>
                    <a:prstGeom prst="rect">
                      <a:avLst/>
                    </a:prstGeom>
                    <a:noFill/>
                    <a:ln>
                      <a:noFill/>
                    </a:ln>
                  </pic:spPr>
                </pic:pic>
              </a:graphicData>
            </a:graphic>
          </wp:inline>
        </w:drawing>
      </w:r>
      <w:r>
        <w:drawing>
          <wp:inline distT="0" distB="0" distL="0" distR="0">
            <wp:extent cx="5405755" cy="4052570"/>
            <wp:effectExtent l="0" t="0" r="4445" b="5080"/>
            <wp:docPr id="48" name="图片 48" descr="D:\2026 赣安\9-9 太平复兴 预评价\现场照片\a72da234f524da46ed81b2acd1b05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D:\2026 赣安\9-9 太平复兴 预评价\现场照片\a72da234f524da46ed81b2acd1b05650.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407772" cy="4054033"/>
                    </a:xfrm>
                    <a:prstGeom prst="rect">
                      <a:avLst/>
                    </a:prstGeom>
                    <a:noFill/>
                    <a:ln>
                      <a:noFill/>
                    </a:ln>
                  </pic:spPr>
                </pic:pic>
              </a:graphicData>
            </a:graphic>
          </wp:inline>
        </w:drawing>
      </w:r>
    </w:p>
    <w:p w14:paraId="08889D06">
      <w:pPr>
        <w:pStyle w:val="87"/>
        <w:ind w:firstLine="562"/>
      </w:pPr>
    </w:p>
    <w:p w14:paraId="78BF655E">
      <w:pPr>
        <w:pStyle w:val="3"/>
        <w:jc w:val="left"/>
        <w:rPr>
          <w:rFonts w:ascii="宋体" w:hAnsi="宋体" w:eastAsia="宋体" w:cs="宋体"/>
          <w:bCs/>
          <w:sz w:val="36"/>
          <w:szCs w:val="36"/>
        </w:rPr>
      </w:pPr>
      <w:bookmarkStart w:id="645" w:name="_Toc899"/>
      <w:r>
        <w:rPr>
          <w:rFonts w:hint="eastAsia" w:ascii="宋体" w:hAnsi="宋体" w:eastAsia="宋体" w:cs="宋体"/>
          <w:bCs/>
          <w:sz w:val="36"/>
          <w:szCs w:val="36"/>
        </w:rPr>
        <w:t>附 件</w:t>
      </w:r>
      <w:bookmarkEnd w:id="645"/>
    </w:p>
    <w:p w14:paraId="4CBFB5AA">
      <w:pPr>
        <w:numPr>
          <w:ilvl w:val="0"/>
          <w:numId w:val="22"/>
        </w:numPr>
        <w:tabs>
          <w:tab w:val="left" w:pos="132"/>
          <w:tab w:val="left" w:pos="993"/>
        </w:tabs>
        <w:spacing w:line="360" w:lineRule="auto"/>
        <w:ind w:left="130" w:firstLine="560" w:firstLineChars="200"/>
        <w:rPr>
          <w:rFonts w:ascii="宋体" w:hAnsi="宋体"/>
          <w:b w:val="0"/>
          <w:sz w:val="28"/>
          <w:szCs w:val="28"/>
        </w:rPr>
      </w:pPr>
      <w:r>
        <w:rPr>
          <w:rFonts w:hint="eastAsia" w:ascii="宋体" w:hAnsi="宋体"/>
          <w:b w:val="0"/>
          <w:sz w:val="28"/>
          <w:szCs w:val="28"/>
        </w:rPr>
        <w:t>安全评价委托书</w:t>
      </w:r>
    </w:p>
    <w:p w14:paraId="109ABA11">
      <w:pPr>
        <w:numPr>
          <w:ilvl w:val="0"/>
          <w:numId w:val="22"/>
        </w:numPr>
        <w:tabs>
          <w:tab w:val="left" w:pos="132"/>
          <w:tab w:val="left" w:pos="993"/>
        </w:tabs>
        <w:spacing w:line="360" w:lineRule="auto"/>
        <w:ind w:left="130" w:firstLine="560" w:firstLineChars="200"/>
        <w:rPr>
          <w:rFonts w:ascii="宋体" w:hAnsi="宋体"/>
          <w:b w:val="0"/>
          <w:sz w:val="28"/>
          <w:szCs w:val="28"/>
        </w:rPr>
      </w:pPr>
      <w:r>
        <w:rPr>
          <w:rFonts w:hint="eastAsia" w:ascii="宋体" w:hAnsi="宋体"/>
          <w:b w:val="0"/>
          <w:sz w:val="28"/>
          <w:szCs w:val="28"/>
        </w:rPr>
        <w:t>营业执照</w:t>
      </w:r>
    </w:p>
    <w:p w14:paraId="723125E9">
      <w:pPr>
        <w:numPr>
          <w:ilvl w:val="0"/>
          <w:numId w:val="22"/>
        </w:numPr>
        <w:tabs>
          <w:tab w:val="left" w:pos="132"/>
          <w:tab w:val="left" w:pos="993"/>
        </w:tabs>
        <w:spacing w:line="360" w:lineRule="auto"/>
        <w:ind w:left="130" w:firstLine="560" w:firstLineChars="200"/>
        <w:rPr>
          <w:rFonts w:ascii="宋体" w:hAnsi="宋体"/>
          <w:b w:val="0"/>
          <w:sz w:val="28"/>
          <w:szCs w:val="28"/>
        </w:rPr>
      </w:pPr>
      <w:r>
        <w:rPr>
          <w:rFonts w:hint="eastAsia" w:ascii="宋体" w:hAnsi="宋体"/>
          <w:b w:val="0"/>
          <w:sz w:val="28"/>
          <w:szCs w:val="28"/>
        </w:rPr>
        <w:t>烟花爆竹安全生产许可证</w:t>
      </w:r>
    </w:p>
    <w:p w14:paraId="193C3EE6">
      <w:pPr>
        <w:numPr>
          <w:ilvl w:val="0"/>
          <w:numId w:val="22"/>
        </w:numPr>
        <w:tabs>
          <w:tab w:val="left" w:pos="132"/>
          <w:tab w:val="left" w:pos="993"/>
        </w:tabs>
        <w:spacing w:line="360" w:lineRule="auto"/>
        <w:ind w:left="130" w:firstLine="560" w:firstLineChars="200"/>
        <w:rPr>
          <w:rFonts w:ascii="宋体" w:hAnsi="宋体"/>
          <w:b w:val="0"/>
          <w:sz w:val="28"/>
          <w:szCs w:val="28"/>
        </w:rPr>
      </w:pPr>
      <w:bookmarkStart w:id="646" w:name="OLE_LINK9"/>
      <w:bookmarkStart w:id="647" w:name="OLE_LINK10"/>
      <w:r>
        <w:rPr>
          <w:rFonts w:hint="eastAsia" w:ascii="宋体" w:hAnsi="宋体"/>
          <w:b w:val="0"/>
          <w:sz w:val="28"/>
          <w:szCs w:val="28"/>
        </w:rPr>
        <w:t>烟花爆竹生产企业扩、改建申请审批表</w:t>
      </w:r>
    </w:p>
    <w:bookmarkEnd w:id="646"/>
    <w:bookmarkEnd w:id="647"/>
    <w:p w14:paraId="40EB48E2">
      <w:pPr>
        <w:widowControl/>
        <w:numPr>
          <w:ilvl w:val="0"/>
          <w:numId w:val="22"/>
        </w:numPr>
        <w:tabs>
          <w:tab w:val="left" w:pos="132"/>
          <w:tab w:val="left" w:pos="993"/>
        </w:tabs>
        <w:spacing w:line="360" w:lineRule="auto"/>
        <w:ind w:left="130" w:firstLine="560" w:firstLineChars="200"/>
        <w:rPr>
          <w:rFonts w:ascii="宋体" w:hAnsi="宋体"/>
          <w:b w:val="0"/>
          <w:sz w:val="28"/>
          <w:szCs w:val="28"/>
        </w:rPr>
      </w:pPr>
      <w:r>
        <w:rPr>
          <w:rFonts w:hint="eastAsia" w:ascii="宋体" w:hAnsi="宋体"/>
          <w:b w:val="0"/>
          <w:sz w:val="28"/>
          <w:szCs w:val="28"/>
        </w:rPr>
        <w:t>企业投资项目备案告知承诺信息表</w:t>
      </w:r>
    </w:p>
    <w:p w14:paraId="2603E0AC">
      <w:pPr>
        <w:widowControl/>
        <w:numPr>
          <w:ilvl w:val="0"/>
          <w:numId w:val="22"/>
        </w:numPr>
        <w:tabs>
          <w:tab w:val="left" w:pos="132"/>
          <w:tab w:val="left" w:pos="993"/>
        </w:tabs>
        <w:spacing w:line="360" w:lineRule="auto"/>
        <w:ind w:left="130" w:firstLine="560" w:firstLineChars="200"/>
        <w:rPr>
          <w:rFonts w:ascii="宋体" w:hAnsi="宋体"/>
          <w:b w:val="0"/>
          <w:sz w:val="28"/>
          <w:szCs w:val="28"/>
        </w:rPr>
      </w:pPr>
      <w:r>
        <w:rPr>
          <w:rFonts w:hint="eastAsia" w:ascii="宋体" w:hAnsi="宋体"/>
          <w:b w:val="0"/>
          <w:sz w:val="28"/>
          <w:szCs w:val="28"/>
        </w:rPr>
        <w:t>《浏阳市太平复兴花炮厂（个人独资）厂房升级改造项目总平面布置图》（初步设计方案图）</w:t>
      </w:r>
    </w:p>
    <w:p w14:paraId="3E6E7F1F">
      <w:pPr>
        <w:wordWrap w:val="0"/>
        <w:adjustRightInd w:val="0"/>
        <w:snapToGrid w:val="0"/>
        <w:spacing w:line="360" w:lineRule="auto"/>
        <w:ind w:firstLine="6184" w:firstLineChars="2200"/>
        <w:jc w:val="right"/>
        <w:rPr>
          <w:rFonts w:ascii="Times New Roman" w:hAnsi="Times New Roman"/>
          <w:sz w:val="28"/>
          <w:szCs w:val="28"/>
        </w:rPr>
      </w:pPr>
      <w:r>
        <w:rPr>
          <w:rFonts w:ascii="Times New Roman" w:hAnsi="Times New Roman"/>
          <w:sz w:val="28"/>
          <w:szCs w:val="28"/>
        </w:rPr>
        <w:br w:type="page"/>
      </w:r>
    </w:p>
    <w:bookmarkEnd w:id="5"/>
    <w:bookmarkEnd w:id="6"/>
    <w:bookmarkEnd w:id="7"/>
    <w:bookmarkEnd w:id="8"/>
    <w:bookmarkEnd w:id="9"/>
    <w:bookmarkEnd w:id="10"/>
    <w:bookmarkEnd w:id="642"/>
    <w:bookmarkEnd w:id="643"/>
    <w:bookmarkEnd w:id="644"/>
    <w:p w14:paraId="4B0EE0F1">
      <w:pPr>
        <w:pStyle w:val="3"/>
        <w:jc w:val="left"/>
        <w:rPr>
          <w:rFonts w:ascii="宋体" w:hAnsi="宋体" w:eastAsia="宋体" w:cs="宋体"/>
          <w:bCs/>
          <w:sz w:val="36"/>
          <w:szCs w:val="36"/>
        </w:rPr>
        <w:sectPr>
          <w:footerReference r:id="rId12" w:type="default"/>
          <w:footerReference r:id="rId13" w:type="even"/>
          <w:pgSz w:w="11906" w:h="16838"/>
          <w:pgMar w:top="1387" w:right="1474" w:bottom="1701" w:left="1474" w:header="709" w:footer="907" w:gutter="0"/>
          <w:pgBorders>
            <w:top w:val="none" w:sz="0" w:space="0"/>
            <w:left w:val="none" w:sz="0" w:space="0"/>
            <w:bottom w:val="none" w:sz="0" w:space="0"/>
            <w:right w:val="none" w:sz="0" w:space="0"/>
          </w:pgBorders>
          <w:cols w:space="720" w:num="1"/>
          <w:docGrid w:linePitch="312" w:charSpace="0"/>
        </w:sectPr>
      </w:pPr>
      <w:bookmarkStart w:id="648" w:name="_Toc28993"/>
      <w:bookmarkStart w:id="649" w:name="_Toc14497"/>
      <w:bookmarkStart w:id="650" w:name="_Toc144559817"/>
      <w:bookmarkStart w:id="651" w:name="_Toc23428"/>
      <w:bookmarkStart w:id="652" w:name="_Toc2002"/>
    </w:p>
    <w:bookmarkEnd w:id="648"/>
    <w:bookmarkEnd w:id="649"/>
    <w:bookmarkEnd w:id="650"/>
    <w:bookmarkEnd w:id="651"/>
    <w:bookmarkEnd w:id="652"/>
    <w:p w14:paraId="747846D2">
      <w:pPr>
        <w:widowControl/>
        <w:tabs>
          <w:tab w:val="left" w:pos="132"/>
          <w:tab w:val="left" w:pos="993"/>
          <w:tab w:val="left" w:pos="3110"/>
        </w:tabs>
        <w:spacing w:line="360" w:lineRule="auto"/>
        <w:rPr>
          <w:rFonts w:ascii="宋体" w:hAnsi="宋体"/>
          <w:b w:val="0"/>
          <w:sz w:val="28"/>
          <w:szCs w:val="28"/>
        </w:rPr>
      </w:pPr>
      <w:r>
        <w:rPr>
          <w:rFonts w:hint="eastAsia" w:ascii="宋体" w:hAnsi="宋体"/>
          <w:b w:val="0"/>
          <w:sz w:val="28"/>
          <w:szCs w:val="28"/>
        </w:rPr>
        <w:t>安全评价委托书</w:t>
      </w:r>
    </w:p>
    <w:p w14:paraId="667C48AB">
      <w:pPr>
        <w:pStyle w:val="87"/>
        <w:ind w:firstLine="0" w:firstLineChars="0"/>
      </w:pPr>
      <w:r>
        <w:rPr>
          <w:rFonts w:hint="eastAsia"/>
        </w:rPr>
        <w:drawing>
          <wp:inline distT="0" distB="0" distL="114300" distR="114300">
            <wp:extent cx="5664200" cy="8022590"/>
            <wp:effectExtent l="0" t="0" r="12700" b="16510"/>
            <wp:docPr id="70" name="图片 70" descr="ZHOU-FOLDER_20260826_204414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ZHOU-FOLDER_20260826_204414_03"/>
                    <pic:cNvPicPr>
                      <a:picLocks noChangeAspect="1"/>
                    </pic:cNvPicPr>
                  </pic:nvPicPr>
                  <pic:blipFill>
                    <a:blip r:embed="rId28"/>
                    <a:stretch>
                      <a:fillRect/>
                    </a:stretch>
                  </pic:blipFill>
                  <pic:spPr>
                    <a:xfrm>
                      <a:off x="0" y="0"/>
                      <a:ext cx="5664200" cy="8022590"/>
                    </a:xfrm>
                    <a:prstGeom prst="rect">
                      <a:avLst/>
                    </a:prstGeom>
                  </pic:spPr>
                </pic:pic>
              </a:graphicData>
            </a:graphic>
          </wp:inline>
        </w:drawing>
      </w:r>
    </w:p>
    <w:p w14:paraId="635431EB">
      <w:pPr>
        <w:pStyle w:val="87"/>
        <w:ind w:firstLine="562"/>
        <w:rPr>
          <w:rFonts w:asciiTheme="minorEastAsia" w:hAnsiTheme="minorEastAsia" w:eastAsiaTheme="minorEastAsia"/>
          <w:b w:val="0"/>
          <w:bCs/>
        </w:rPr>
      </w:pPr>
      <w:r>
        <w:br w:type="page"/>
      </w:r>
      <w:r>
        <w:rPr>
          <w:rFonts w:hint="eastAsia" w:asciiTheme="minorEastAsia" w:hAnsiTheme="minorEastAsia" w:eastAsiaTheme="minorEastAsia"/>
          <w:b w:val="0"/>
          <w:bCs/>
        </w:rPr>
        <w:t>营业执照</w:t>
      </w:r>
    </w:p>
    <w:p w14:paraId="5CBDD45D">
      <w:pPr>
        <w:pStyle w:val="87"/>
        <w:ind w:firstLine="560"/>
        <w:rPr>
          <w:rFonts w:asciiTheme="minorEastAsia" w:hAnsiTheme="minorEastAsia" w:eastAsiaTheme="minorEastAsia"/>
          <w:b w:val="0"/>
          <w:bCs/>
        </w:rPr>
      </w:pPr>
      <w:r>
        <w:rPr>
          <w:rFonts w:hint="eastAsia" w:asciiTheme="minorEastAsia" w:hAnsiTheme="minorEastAsia" w:eastAsiaTheme="minorEastAsia"/>
          <w:b w:val="0"/>
          <w:bCs/>
        </w:rPr>
        <w:drawing>
          <wp:inline distT="0" distB="0" distL="114300" distR="114300">
            <wp:extent cx="5284470" cy="7673340"/>
            <wp:effectExtent l="0" t="0" r="11430" b="3810"/>
            <wp:docPr id="59" name="图片 59" descr="微信图片_20260823172745_8_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微信图片_20260823172745_8_823"/>
                    <pic:cNvPicPr>
                      <a:picLocks noChangeAspect="1"/>
                    </pic:cNvPicPr>
                  </pic:nvPicPr>
                  <pic:blipFill>
                    <a:blip r:embed="rId29"/>
                    <a:stretch>
                      <a:fillRect/>
                    </a:stretch>
                  </pic:blipFill>
                  <pic:spPr>
                    <a:xfrm rot="10800000">
                      <a:off x="0" y="0"/>
                      <a:ext cx="5284470" cy="7673340"/>
                    </a:xfrm>
                    <a:prstGeom prst="rect">
                      <a:avLst/>
                    </a:prstGeom>
                  </pic:spPr>
                </pic:pic>
              </a:graphicData>
            </a:graphic>
          </wp:inline>
        </w:drawing>
      </w:r>
    </w:p>
    <w:p w14:paraId="0B4023D2">
      <w:pPr>
        <w:pStyle w:val="87"/>
        <w:ind w:firstLine="0" w:firstLineChars="0"/>
        <w:rPr>
          <w:rFonts w:asciiTheme="minorEastAsia" w:hAnsiTheme="minorEastAsia" w:eastAsiaTheme="minorEastAsia"/>
          <w:b w:val="0"/>
          <w:bCs/>
        </w:rPr>
      </w:pPr>
    </w:p>
    <w:p w14:paraId="7F1EBA2C">
      <w:pPr>
        <w:pStyle w:val="87"/>
        <w:ind w:firstLine="0" w:firstLineChars="0"/>
      </w:pPr>
      <w:r>
        <w:br w:type="page"/>
      </w:r>
    </w:p>
    <w:p w14:paraId="34C34865">
      <w:pPr>
        <w:pStyle w:val="87"/>
        <w:ind w:firstLine="0" w:firstLineChars="0"/>
      </w:pPr>
    </w:p>
    <w:p w14:paraId="6EB8D2CD">
      <w:pPr>
        <w:pStyle w:val="87"/>
        <w:ind w:firstLine="0" w:firstLineChars="0"/>
        <w:rPr>
          <w:rFonts w:asciiTheme="minorEastAsia" w:hAnsiTheme="minorEastAsia" w:eastAsiaTheme="minorEastAsia"/>
          <w:b w:val="0"/>
          <w:bCs/>
        </w:rPr>
      </w:pPr>
      <w:r>
        <w:rPr>
          <w:rFonts w:hint="eastAsia" w:asciiTheme="minorEastAsia" w:hAnsiTheme="minorEastAsia" w:eastAsiaTheme="minorEastAsia"/>
          <w:b w:val="0"/>
          <w:bCs/>
        </w:rPr>
        <w:t>烟花爆竹安全生产许可证</w:t>
      </w:r>
    </w:p>
    <w:p w14:paraId="1376FB56">
      <w:pPr>
        <w:pStyle w:val="87"/>
        <w:ind w:firstLine="0" w:firstLineChars="0"/>
        <w:rPr>
          <w:rFonts w:asciiTheme="minorEastAsia" w:hAnsiTheme="minorEastAsia" w:eastAsiaTheme="minorEastAsia"/>
          <w:b w:val="0"/>
          <w:bCs/>
        </w:rPr>
      </w:pPr>
      <w:r>
        <w:drawing>
          <wp:inline distT="0" distB="0" distL="114300" distR="114300">
            <wp:extent cx="7710170" cy="5445760"/>
            <wp:effectExtent l="0" t="0" r="2540" b="5080"/>
            <wp:docPr id="6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5"/>
                    <pic:cNvPicPr>
                      <a:picLocks noChangeAspect="1"/>
                    </pic:cNvPicPr>
                  </pic:nvPicPr>
                  <pic:blipFill>
                    <a:blip r:embed="rId30"/>
                    <a:stretch>
                      <a:fillRect/>
                    </a:stretch>
                  </pic:blipFill>
                  <pic:spPr>
                    <a:xfrm rot="16200000">
                      <a:off x="0" y="0"/>
                      <a:ext cx="7710170" cy="5445760"/>
                    </a:xfrm>
                    <a:prstGeom prst="rect">
                      <a:avLst/>
                    </a:prstGeom>
                    <a:noFill/>
                    <a:ln>
                      <a:noFill/>
                    </a:ln>
                  </pic:spPr>
                </pic:pic>
              </a:graphicData>
            </a:graphic>
          </wp:inline>
        </w:drawing>
      </w:r>
    </w:p>
    <w:p w14:paraId="7CD7C9DE">
      <w:pPr>
        <w:pStyle w:val="87"/>
        <w:ind w:firstLine="0" w:firstLineChars="0"/>
        <w:rPr>
          <w:rFonts w:asciiTheme="minorEastAsia" w:hAnsiTheme="minorEastAsia" w:eastAsiaTheme="minorEastAsia"/>
          <w:b w:val="0"/>
          <w:bCs/>
          <w:color w:val="FF0000"/>
        </w:rPr>
      </w:pPr>
      <w:r>
        <w:rPr>
          <w:rFonts w:hint="eastAsia" w:asciiTheme="minorEastAsia" w:hAnsiTheme="minorEastAsia" w:eastAsiaTheme="minorEastAsia"/>
          <w:b w:val="0"/>
          <w:bCs/>
          <w:color w:val="000000" w:themeColor="text1"/>
          <w14:textFill>
            <w14:solidFill>
              <w14:schemeClr w14:val="tx1"/>
            </w14:solidFill>
          </w14:textFill>
        </w:rPr>
        <w:t>烟花爆竹生产企业扩、改建申请审批表</w:t>
      </w:r>
      <w:r>
        <w:rPr>
          <w:rFonts w:hint="eastAsia" w:asciiTheme="minorEastAsia" w:hAnsiTheme="minorEastAsia" w:eastAsiaTheme="minorEastAsia"/>
          <w:b w:val="0"/>
          <w:bCs/>
        </w:rPr>
        <w:drawing>
          <wp:anchor distT="0" distB="0" distL="114300" distR="114300" simplePos="0" relativeHeight="251682816" behindDoc="1" locked="0" layoutInCell="1" allowOverlap="1">
            <wp:simplePos x="0" y="0"/>
            <wp:positionH relativeFrom="column">
              <wp:posOffset>0</wp:posOffset>
            </wp:positionH>
            <wp:positionV relativeFrom="paragraph">
              <wp:posOffset>345440</wp:posOffset>
            </wp:positionV>
            <wp:extent cx="5533390" cy="7841615"/>
            <wp:effectExtent l="0" t="0" r="10160" b="6985"/>
            <wp:wrapNone/>
            <wp:docPr id="49" name="图片 49" descr="申请审批表（太平复兴）(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申请审批表（太平复兴）(1)_01"/>
                    <pic:cNvPicPr>
                      <a:picLocks noChangeAspect="1"/>
                    </pic:cNvPicPr>
                  </pic:nvPicPr>
                  <pic:blipFill>
                    <a:blip r:embed="rId31"/>
                    <a:stretch>
                      <a:fillRect/>
                    </a:stretch>
                  </pic:blipFill>
                  <pic:spPr>
                    <a:xfrm>
                      <a:off x="0" y="0"/>
                      <a:ext cx="5533390" cy="7841615"/>
                    </a:xfrm>
                    <a:prstGeom prst="rect">
                      <a:avLst/>
                    </a:prstGeom>
                  </pic:spPr>
                </pic:pic>
              </a:graphicData>
            </a:graphic>
          </wp:anchor>
        </w:drawing>
      </w:r>
    </w:p>
    <w:p w14:paraId="42B3870F">
      <w:pPr>
        <w:pStyle w:val="87"/>
        <w:ind w:firstLine="0" w:firstLineChars="0"/>
        <w:rPr>
          <w:rFonts w:asciiTheme="minorEastAsia" w:hAnsiTheme="minorEastAsia" w:eastAsiaTheme="minorEastAsia"/>
          <w:b w:val="0"/>
          <w:bCs/>
        </w:rPr>
      </w:pPr>
      <w:r>
        <w:rPr>
          <w:rFonts w:hint="eastAsia" w:asciiTheme="minorEastAsia" w:hAnsiTheme="minorEastAsia" w:eastAsiaTheme="minorEastAsia"/>
          <w:b w:val="0"/>
          <w:bCs/>
        </w:rPr>
        <w:drawing>
          <wp:inline distT="0" distB="0" distL="114300" distR="114300">
            <wp:extent cx="5569585" cy="8537575"/>
            <wp:effectExtent l="0" t="0" r="12065" b="15875"/>
            <wp:docPr id="4" name="图片 4" descr="申请审批表（太平复兴）(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申请审批表（太平复兴）(1)_02"/>
                    <pic:cNvPicPr>
                      <a:picLocks noChangeAspect="1"/>
                    </pic:cNvPicPr>
                  </pic:nvPicPr>
                  <pic:blipFill>
                    <a:blip r:embed="rId32"/>
                    <a:srcRect l="7144" t="4107" r="6806" b="2793"/>
                    <a:stretch>
                      <a:fillRect/>
                    </a:stretch>
                  </pic:blipFill>
                  <pic:spPr>
                    <a:xfrm>
                      <a:off x="0" y="0"/>
                      <a:ext cx="5569585" cy="8537575"/>
                    </a:xfrm>
                    <a:prstGeom prst="rect">
                      <a:avLst/>
                    </a:prstGeom>
                  </pic:spPr>
                </pic:pic>
              </a:graphicData>
            </a:graphic>
          </wp:inline>
        </w:drawing>
      </w:r>
      <w:r>
        <w:rPr>
          <w:rFonts w:hint="eastAsia" w:asciiTheme="minorEastAsia" w:hAnsiTheme="minorEastAsia" w:eastAsiaTheme="minorEastAsia"/>
          <w:b w:val="0"/>
          <w:bCs/>
        </w:rPr>
        <w:drawing>
          <wp:inline distT="0" distB="0" distL="114300" distR="114300">
            <wp:extent cx="5354320" cy="8022590"/>
            <wp:effectExtent l="0" t="0" r="17780" b="16510"/>
            <wp:docPr id="2" name="图片 2" descr="申请审批表（太平复兴）(1)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申请审批表（太平复兴）(1)_03"/>
                    <pic:cNvPicPr>
                      <a:picLocks noChangeAspect="1"/>
                    </pic:cNvPicPr>
                  </pic:nvPicPr>
                  <pic:blipFill>
                    <a:blip r:embed="rId33"/>
                    <a:srcRect l="5067" t="2501" r="5930" b="3348"/>
                    <a:stretch>
                      <a:fillRect/>
                    </a:stretch>
                  </pic:blipFill>
                  <pic:spPr>
                    <a:xfrm>
                      <a:off x="0" y="0"/>
                      <a:ext cx="5354320" cy="8022590"/>
                    </a:xfrm>
                    <a:prstGeom prst="rect">
                      <a:avLst/>
                    </a:prstGeom>
                  </pic:spPr>
                </pic:pic>
              </a:graphicData>
            </a:graphic>
          </wp:inline>
        </w:drawing>
      </w:r>
    </w:p>
    <w:p w14:paraId="4F08C077">
      <w:pPr>
        <w:pStyle w:val="87"/>
        <w:ind w:firstLine="0" w:firstLineChars="0"/>
        <w:rPr>
          <w:rFonts w:asciiTheme="minorEastAsia" w:hAnsiTheme="minorEastAsia" w:eastAsiaTheme="minorEastAsia"/>
          <w:b w:val="0"/>
          <w:bCs/>
        </w:rPr>
      </w:pPr>
    </w:p>
    <w:p w14:paraId="6F8B5EEA">
      <w:pPr>
        <w:pStyle w:val="87"/>
        <w:ind w:firstLine="0" w:firstLineChars="0"/>
      </w:pPr>
    </w:p>
    <w:p w14:paraId="25C26128">
      <w:pPr>
        <w:pStyle w:val="87"/>
        <w:ind w:firstLine="0" w:firstLineChars="0"/>
        <w:rPr>
          <w:rFonts w:asciiTheme="minorEastAsia" w:hAnsiTheme="minorEastAsia" w:eastAsiaTheme="minorEastAsia"/>
          <w:b w:val="0"/>
          <w:bCs/>
        </w:rPr>
      </w:pPr>
      <w:r>
        <w:rPr>
          <w:rFonts w:hint="eastAsia" w:asciiTheme="minorEastAsia" w:hAnsiTheme="minorEastAsia" w:eastAsiaTheme="minorEastAsia"/>
          <w:b w:val="0"/>
          <w:bCs/>
        </w:rPr>
        <w:t>企业投资项目备案告知承诺信息表</w:t>
      </w:r>
    </w:p>
    <w:p w14:paraId="638ADE45">
      <w:pPr>
        <w:pStyle w:val="87"/>
        <w:ind w:firstLine="0" w:firstLineChars="0"/>
      </w:pPr>
      <w:r>
        <w:rPr>
          <w:rFonts w:hint="eastAsia"/>
        </w:rPr>
        <w:drawing>
          <wp:inline distT="0" distB="0" distL="114300" distR="114300">
            <wp:extent cx="5688330" cy="8057515"/>
            <wp:effectExtent l="0" t="0" r="7620" b="635"/>
            <wp:docPr id="75" name="图片 75" descr="ZHOU-FOLDER_20260826_204414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ZHOU-FOLDER_20260826_204414_01"/>
                    <pic:cNvPicPr>
                      <a:picLocks noChangeAspect="1"/>
                    </pic:cNvPicPr>
                  </pic:nvPicPr>
                  <pic:blipFill>
                    <a:blip r:embed="rId34"/>
                    <a:stretch>
                      <a:fillRect/>
                    </a:stretch>
                  </pic:blipFill>
                  <pic:spPr>
                    <a:xfrm>
                      <a:off x="0" y="0"/>
                      <a:ext cx="5688330" cy="8057515"/>
                    </a:xfrm>
                    <a:prstGeom prst="rect">
                      <a:avLst/>
                    </a:prstGeom>
                  </pic:spPr>
                </pic:pic>
              </a:graphicData>
            </a:graphic>
          </wp:inline>
        </w:drawing>
      </w:r>
      <w:r>
        <w:br w:type="page"/>
      </w:r>
    </w:p>
    <w:p w14:paraId="1FD072AA">
      <w:pPr>
        <w:pStyle w:val="87"/>
        <w:ind w:firstLine="0" w:firstLineChars="0"/>
        <w:rPr>
          <w:rFonts w:asciiTheme="minorEastAsia" w:hAnsiTheme="minorEastAsia" w:eastAsiaTheme="minorEastAsia"/>
          <w:b w:val="0"/>
          <w:bCs/>
        </w:rPr>
      </w:pPr>
      <w:r>
        <w:rPr>
          <w:rFonts w:hint="eastAsia"/>
        </w:rPr>
        <w:drawing>
          <wp:inline distT="0" distB="0" distL="114300" distR="114300">
            <wp:extent cx="5664200" cy="8022590"/>
            <wp:effectExtent l="0" t="0" r="12700" b="16510"/>
            <wp:docPr id="72" name="图片 72" descr="ZHOU-FOLDER_20260826_204414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ZHOU-FOLDER_20260826_204414_02"/>
                    <pic:cNvPicPr>
                      <a:picLocks noChangeAspect="1"/>
                    </pic:cNvPicPr>
                  </pic:nvPicPr>
                  <pic:blipFill>
                    <a:blip r:embed="rId35"/>
                    <a:stretch>
                      <a:fillRect/>
                    </a:stretch>
                  </pic:blipFill>
                  <pic:spPr>
                    <a:xfrm>
                      <a:off x="0" y="0"/>
                      <a:ext cx="5664200" cy="8022590"/>
                    </a:xfrm>
                    <a:prstGeom prst="rect">
                      <a:avLst/>
                    </a:prstGeom>
                  </pic:spPr>
                </pic:pic>
              </a:graphicData>
            </a:graphic>
          </wp:inline>
        </w:drawing>
      </w:r>
    </w:p>
    <w:sectPr>
      <w:headerReference r:id="rId14" w:type="default"/>
      <w:footerReference r:id="rId15" w:type="default"/>
      <w:type w:val="continuous"/>
      <w:pgSz w:w="11906" w:h="16838"/>
      <w:pgMar w:top="1387" w:right="1474" w:bottom="1701" w:left="1474" w:header="709" w:footer="907"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等线 Light">
    <w:panose1 w:val="02010600030101010101"/>
    <w:charset w:val="86"/>
    <w:family w:val="auto"/>
    <w:pitch w:val="default"/>
    <w:sig w:usb0="A00002BF" w:usb1="38CF7CFA" w:usb2="00000016" w:usb3="00000000" w:csb0="0004000F" w:csb1="00000000"/>
  </w:font>
  <w:font w:name="隶书">
    <w:altName w:val="微软雅黑"/>
    <w:panose1 w:val="02010509060101010101"/>
    <w:charset w:val="86"/>
    <w:family w:val="modern"/>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宋体-18030">
    <w:altName w:val="宋体"/>
    <w:panose1 w:val="00000000000000000000"/>
    <w:charset w:val="86"/>
    <w:family w:val="moder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Verdana">
    <w:panose1 w:val="020B0604030504040204"/>
    <w:charset w:val="00"/>
    <w:family w:val="swiss"/>
    <w:pitch w:val="default"/>
    <w:sig w:usb0="A00006FF" w:usb1="4000205B" w:usb2="00000010" w:usb3="00000000" w:csb0="2000019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汉仪雁翎体简">
    <w:altName w:val="宋体"/>
    <w:panose1 w:val="00000000000000000000"/>
    <w:charset w:val="86"/>
    <w:family w:val="auto"/>
    <w:pitch w:val="default"/>
    <w:sig w:usb0="00000000" w:usb1="00000000" w:usb2="00000002"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Swis721 BT">
    <w:altName w:val="Yu Gothic UI"/>
    <w:panose1 w:val="020B0504020202020204"/>
    <w:charset w:val="00"/>
    <w:family w:val="swiss"/>
    <w:pitch w:val="default"/>
    <w:sig w:usb0="00000000" w:usb1="00000000" w:usb2="00000000" w:usb3="00000000" w:csb0="0000001B"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1C46D">
    <w:pPr>
      <w:pStyle w:val="55"/>
      <w:pBdr>
        <w:top w:val="single" w:color="auto" w:sz="4" w:space="1"/>
      </w:pBdr>
      <w:spacing w:line="360" w:lineRule="auto"/>
      <w:rPr>
        <w:rFonts w:ascii="宋体" w:hAnsi="宋体"/>
      </w:rPr>
    </w:pPr>
    <w:r>
      <w:rPr>
        <w:rFonts w:hint="eastAsia" w:ascii="宋体" w:hAnsi="宋体"/>
      </w:rPr>
      <w:t xml:space="preserve">江西赣安安全生产科学技术咨询服务中心                      </w:t>
    </w:r>
    <w:r>
      <w:rPr>
        <w:rFonts w:ascii="宋体" w:hAnsi="宋体"/>
      </w:rPr>
      <w:fldChar w:fldCharType="begin"/>
    </w:r>
    <w:r>
      <w:rPr>
        <w:rFonts w:ascii="宋体" w:hAnsi="宋体"/>
      </w:rPr>
      <w:instrText xml:space="preserve">PAGE   \* MERGEFORMAT</w:instrText>
    </w:r>
    <w:r>
      <w:rPr>
        <w:rFonts w:ascii="宋体" w:hAnsi="宋体"/>
      </w:rPr>
      <w:fldChar w:fldCharType="separate"/>
    </w:r>
    <w:r>
      <w:rPr>
        <w:rFonts w:ascii="宋体" w:hAnsi="宋体"/>
      </w:rPr>
      <w:t>II</w:t>
    </w:r>
    <w:r>
      <w:rPr>
        <w:rFonts w:ascii="宋体" w:hAnsi="宋体"/>
      </w:rPr>
      <w:fldChar w:fldCharType="end"/>
    </w:r>
    <w:r>
      <w:rPr>
        <w:rFonts w:hint="eastAsia" w:ascii="宋体" w:hAnsi="宋体"/>
      </w:rPr>
      <w:t xml:space="preserve">                                APJ﹣（赣）﹣002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A4C85">
    <w:pPr>
      <w:pStyle w:val="55"/>
      <w:framePr w:wrap="around" w:vAnchor="text" w:hAnchor="margin" w:xAlign="outside" w:y="1"/>
      <w:rPr>
        <w:rStyle w:val="94"/>
      </w:rPr>
    </w:pPr>
    <w:r>
      <w:fldChar w:fldCharType="begin"/>
    </w:r>
    <w:r>
      <w:rPr>
        <w:rStyle w:val="94"/>
      </w:rPr>
      <w:instrText xml:space="preserve">PAGE  </w:instrText>
    </w:r>
    <w:r>
      <w:fldChar w:fldCharType="end"/>
    </w:r>
  </w:p>
  <w:p w14:paraId="7A40ED58">
    <w:pPr>
      <w:pStyle w:val="55"/>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05DDE">
    <w:pPr>
      <w:pStyle w:val="55"/>
      <w:pBdr>
        <w:top w:val="single" w:color="auto" w:sz="4" w:space="1"/>
      </w:pBdr>
      <w:spacing w:line="360" w:lineRule="auto"/>
      <w:rPr>
        <w:rFonts w:ascii="宋体" w:hAnsi="宋体"/>
        <w:b w:val="0"/>
      </w:rPr>
    </w:pPr>
    <w:r>
      <w:rPr>
        <w:rFonts w:hint="eastAsia" w:ascii="宋体" w:hAnsi="宋体"/>
        <w:b w:val="0"/>
      </w:rPr>
      <w:t xml:space="preserve">江西赣安安全生产科学技术咨询服务中心              </w:t>
    </w:r>
    <w:r>
      <w:rPr>
        <w:rFonts w:ascii="宋体" w:hAnsi="宋体"/>
        <w:b w:val="0"/>
      </w:rPr>
      <w:fldChar w:fldCharType="begin"/>
    </w:r>
    <w:r>
      <w:rPr>
        <w:rFonts w:ascii="宋体" w:hAnsi="宋体"/>
        <w:b w:val="0"/>
      </w:rPr>
      <w:instrText xml:space="preserve">PAGE   \* MERGEFORMAT</w:instrText>
    </w:r>
    <w:r>
      <w:rPr>
        <w:rFonts w:ascii="宋体" w:hAnsi="宋体"/>
        <w:b w:val="0"/>
      </w:rPr>
      <w:fldChar w:fldCharType="separate"/>
    </w:r>
    <w:r>
      <w:rPr>
        <w:rFonts w:ascii="宋体" w:hAnsi="宋体"/>
        <w:b w:val="0"/>
      </w:rPr>
      <w:t>IV</w:t>
    </w:r>
    <w:r>
      <w:rPr>
        <w:rFonts w:ascii="宋体" w:hAnsi="宋体"/>
        <w:b w:val="0"/>
      </w:rPr>
      <w:fldChar w:fldCharType="end"/>
    </w:r>
    <w:r>
      <w:rPr>
        <w:rFonts w:hint="eastAsia" w:ascii="宋体" w:hAnsi="宋体"/>
        <w:b w:val="0"/>
      </w:rPr>
      <w:t xml:space="preserve">                           </w:t>
    </w:r>
    <w:r>
      <w:rPr>
        <w:rFonts w:ascii="宋体" w:hAnsi="宋体"/>
        <w:b w:val="0"/>
      </w:rPr>
      <w:t xml:space="preserve">   </w:t>
    </w:r>
    <w:r>
      <w:rPr>
        <w:rFonts w:hint="eastAsia" w:ascii="宋体" w:hAnsi="宋体"/>
        <w:b w:val="0"/>
      </w:rPr>
      <w:t xml:space="preserve"> APJ﹣（赣）﹣002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D5DF1">
    <w:pPr>
      <w:pStyle w:val="55"/>
      <w:pBdr>
        <w:top w:val="single" w:color="auto" w:sz="4" w:space="1"/>
      </w:pBdr>
      <w:spacing w:line="360" w:lineRule="auto"/>
      <w:rPr>
        <w:rFonts w:ascii="宋体" w:hAnsi="宋体"/>
        <w:b w:val="0"/>
      </w:rPr>
    </w:pPr>
    <w:r>
      <w:rPr>
        <w:rFonts w:hint="eastAsia" w:ascii="宋体" w:hAnsi="宋体"/>
        <w:b w:val="0"/>
      </w:rPr>
      <w:t xml:space="preserve">江西赣安安全生产科学技术咨询服务中心                    </w:t>
    </w:r>
    <w:r>
      <w:rPr>
        <w:rFonts w:ascii="宋体" w:hAnsi="宋体"/>
        <w:b w:val="0"/>
      </w:rPr>
      <w:fldChar w:fldCharType="begin"/>
    </w:r>
    <w:r>
      <w:rPr>
        <w:rFonts w:ascii="宋体" w:hAnsi="宋体"/>
        <w:b w:val="0"/>
      </w:rPr>
      <w:instrText xml:space="preserve">PAGE   \* MERGEFORMAT</w:instrText>
    </w:r>
    <w:r>
      <w:rPr>
        <w:rFonts w:ascii="宋体" w:hAnsi="宋体"/>
        <w:b w:val="0"/>
      </w:rPr>
      <w:fldChar w:fldCharType="separate"/>
    </w:r>
    <w:r>
      <w:rPr>
        <w:rFonts w:ascii="宋体" w:hAnsi="宋体"/>
        <w:b w:val="0"/>
      </w:rPr>
      <w:t>I</w:t>
    </w:r>
    <w:r>
      <w:rPr>
        <w:rFonts w:ascii="宋体" w:hAnsi="宋体"/>
        <w:b w:val="0"/>
      </w:rPr>
      <w:fldChar w:fldCharType="end"/>
    </w:r>
    <w:r>
      <w:rPr>
        <w:rFonts w:hint="eastAsia" w:ascii="宋体" w:hAnsi="宋体"/>
        <w:b w:val="0"/>
      </w:rPr>
      <w:t xml:space="preserve">      </w:t>
    </w:r>
    <w:r>
      <w:rPr>
        <w:rFonts w:hint="eastAsia" w:ascii="宋体" w:hAnsi="宋体"/>
        <w:b w:val="0"/>
        <w:lang w:val="en-US" w:eastAsia="zh-CN"/>
      </w:rPr>
      <w:t xml:space="preserve">        </w:t>
    </w:r>
    <w:r>
      <w:rPr>
        <w:rFonts w:hint="eastAsia" w:ascii="宋体" w:hAnsi="宋体"/>
        <w:b w:val="0"/>
      </w:rPr>
      <w:t xml:space="preserve">    </w:t>
    </w:r>
    <w:r>
      <w:rPr>
        <w:rFonts w:ascii="宋体" w:hAnsi="宋体"/>
        <w:b w:val="0"/>
      </w:rPr>
      <w:t xml:space="preserve"> </w:t>
    </w:r>
    <w:r>
      <w:rPr>
        <w:rFonts w:hint="eastAsia" w:ascii="宋体" w:hAnsi="宋体"/>
        <w:b w:val="0"/>
      </w:rPr>
      <w:t xml:space="preserve">       APJ﹣（赣）﹣002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69697">
    <w:pPr>
      <w:pStyle w:val="55"/>
      <w:pBdr>
        <w:top w:val="single" w:color="auto" w:sz="4" w:space="1"/>
      </w:pBdr>
      <w:spacing w:line="360" w:lineRule="auto"/>
      <w:rPr>
        <w:rFonts w:ascii="宋体" w:hAnsi="宋体"/>
        <w:b w:val="0"/>
      </w:rPr>
    </w:pPr>
    <w:r>
      <w:rPr>
        <w:rFonts w:hint="eastAsia" w:ascii="宋体" w:hAnsi="宋体"/>
        <w:b w:val="0"/>
      </w:rPr>
      <w:t xml:space="preserve">江西赣安安全生产科学技术咨询服务中心             </w:t>
    </w:r>
    <w:r>
      <w:rPr>
        <w:rFonts w:ascii="宋体" w:hAnsi="宋体"/>
        <w:b w:val="0"/>
      </w:rPr>
      <w:fldChar w:fldCharType="begin"/>
    </w:r>
    <w:r>
      <w:rPr>
        <w:rFonts w:ascii="宋体" w:hAnsi="宋体"/>
        <w:b w:val="0"/>
      </w:rPr>
      <w:instrText xml:space="preserve">PAGE   \* MERGEFORMAT</w:instrText>
    </w:r>
    <w:r>
      <w:rPr>
        <w:rFonts w:ascii="宋体" w:hAnsi="宋体"/>
        <w:b w:val="0"/>
      </w:rPr>
      <w:fldChar w:fldCharType="separate"/>
    </w:r>
    <w:r>
      <w:rPr>
        <w:rFonts w:ascii="宋体" w:hAnsi="宋体"/>
        <w:b w:val="0"/>
      </w:rPr>
      <w:t>116</w:t>
    </w:r>
    <w:r>
      <w:rPr>
        <w:rFonts w:ascii="宋体" w:hAnsi="宋体"/>
        <w:b w:val="0"/>
      </w:rPr>
      <w:fldChar w:fldCharType="end"/>
    </w:r>
    <w:r>
      <w:rPr>
        <w:rFonts w:hint="eastAsia" w:ascii="宋体" w:hAnsi="宋体"/>
        <w:b w:val="0"/>
      </w:rPr>
      <w:t xml:space="preserve">           </w:t>
    </w:r>
    <w:r>
      <w:rPr>
        <w:rFonts w:hint="eastAsia" w:ascii="宋体" w:hAnsi="宋体"/>
        <w:b w:val="0"/>
        <w:lang w:val="en-US" w:eastAsia="zh-CN"/>
      </w:rPr>
      <w:t xml:space="preserve">  </w:t>
    </w:r>
    <w:r>
      <w:rPr>
        <w:rFonts w:hint="eastAsia" w:ascii="宋体" w:hAnsi="宋体"/>
        <w:b w:val="0"/>
      </w:rPr>
      <w:t xml:space="preserve">                    APJ﹣（赣）﹣002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5CCF4">
    <w:pPr>
      <w:pBdr>
        <w:top w:val="single" w:color="auto" w:sz="4" w:space="1"/>
      </w:pBdr>
      <w:tabs>
        <w:tab w:val="center" w:pos="4153"/>
        <w:tab w:val="right" w:pos="8306"/>
      </w:tabs>
      <w:snapToGrid w:val="0"/>
      <w:spacing w:line="360" w:lineRule="auto"/>
      <w:jc w:val="center"/>
      <w:rPr>
        <w:rFonts w:ascii="宋体" w:hAnsi="宋体"/>
        <w:b w:val="0"/>
        <w:sz w:val="18"/>
        <w:szCs w:val="18"/>
        <w:lang w:val="zh-CN"/>
      </w:rPr>
    </w:pPr>
    <w:r>
      <w:rPr>
        <w:rFonts w:hint="eastAsia" w:ascii="宋体" w:hAnsi="宋体"/>
        <w:b w:val="0"/>
        <w:sz w:val="18"/>
        <w:szCs w:val="18"/>
        <w:lang w:val="zh-CN"/>
      </w:rPr>
      <w:t xml:space="preserve">江西赣安安全生产科学技术咨询服务中心                   </w:t>
    </w:r>
    <w:r>
      <w:rPr>
        <w:rFonts w:ascii="宋体" w:hAnsi="宋体"/>
        <w:b w:val="0"/>
        <w:sz w:val="18"/>
        <w:szCs w:val="18"/>
        <w:lang w:val="zh-CN"/>
      </w:rPr>
      <w:t xml:space="preserve"> </w:t>
    </w:r>
    <w:r>
      <w:rPr>
        <w:rFonts w:ascii="宋体" w:hAnsi="宋体"/>
        <w:b w:val="0"/>
        <w:sz w:val="18"/>
        <w:szCs w:val="18"/>
        <w:lang w:val="zh-CN"/>
      </w:rPr>
      <w:fldChar w:fldCharType="begin"/>
    </w:r>
    <w:r>
      <w:rPr>
        <w:rFonts w:ascii="宋体" w:hAnsi="宋体"/>
        <w:b w:val="0"/>
        <w:sz w:val="18"/>
        <w:szCs w:val="18"/>
        <w:lang w:val="zh-CN"/>
      </w:rPr>
      <w:instrText xml:space="preserve"> PAGE </w:instrText>
    </w:r>
    <w:r>
      <w:rPr>
        <w:rFonts w:ascii="宋体" w:hAnsi="宋体"/>
        <w:b w:val="0"/>
        <w:sz w:val="18"/>
        <w:szCs w:val="18"/>
        <w:lang w:val="zh-CN"/>
      </w:rPr>
      <w:fldChar w:fldCharType="separate"/>
    </w:r>
    <w:r>
      <w:rPr>
        <w:rFonts w:ascii="宋体" w:hAnsi="宋体"/>
        <w:b w:val="0"/>
        <w:sz w:val="18"/>
        <w:szCs w:val="18"/>
        <w:lang w:val="zh-CN"/>
      </w:rPr>
      <w:t>135</w:t>
    </w:r>
    <w:r>
      <w:rPr>
        <w:rFonts w:ascii="宋体" w:hAnsi="宋体"/>
        <w:b w:val="0"/>
        <w:sz w:val="18"/>
        <w:szCs w:val="18"/>
        <w:lang w:val="zh-CN"/>
      </w:rPr>
      <w:fldChar w:fldCharType="end"/>
    </w:r>
    <w:r>
      <w:rPr>
        <w:rFonts w:hint="eastAsia" w:ascii="宋体" w:hAnsi="宋体"/>
        <w:b w:val="0"/>
        <w:sz w:val="18"/>
        <w:szCs w:val="18"/>
        <w:lang w:val="zh-CN"/>
      </w:rPr>
      <w:t xml:space="preserve">                          APJ﹣（赣）﹣002</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005D5">
    <w:pPr>
      <w:pStyle w:val="70"/>
      <w:ind w:firstLine="120" w:firstLineChars="50"/>
      <w:rPr>
        <w:rFonts w:ascii="宋体" w:hAnsi="宋体"/>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27"/>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6D6F1480">
                          <w:r>
                            <w:t>*</w:t>
                          </w:r>
                        </w:p>
                      </w:txbxContent>
                    </wps:txbx>
                    <wps:bodyPr rot="0" vert="horz" wrap="none" lIns="0" tIns="0" rIns="0" bIns="0" anchor="t" anchorCtr="0" upright="1">
                      <a:spAutoFit/>
                    </wps:bodyPr>
                  </wps:wsp>
                </a:graphicData>
              </a:graphic>
            </wp:anchor>
          </w:drawing>
        </mc:Choice>
        <mc:Fallback>
          <w:pict>
            <v:shape id="文本框 127"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6pebnPAAAABQEAAA8AAAAAAAAAAQAgAAAAIgAAAGRycy9kb3ducmV2&#10;LnhtbFBLAQIUABQAAAAIAIdO4kDY30KEBQIAAAYEAAAOAAAAAAAAAAEAIAAAAB4BAABkcnMvZTJv&#10;RG9jLnhtbFBLBQYAAAAABgAGAFkBAACVBQAAAAA=&#10;">
              <v:fill on="f" focussize="0,0"/>
              <v:stroke on="f"/>
              <v:imagedata o:title=""/>
              <o:lock v:ext="edit" aspectratio="f"/>
              <v:textbox inset="0mm,0mm,0mm,0mm" style="mso-fit-shape-to-text:t;">
                <w:txbxContent>
                  <w:p w14:paraId="6D6F1480">
                    <w:r>
                      <w:t>*</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3880B">
    <w:pPr>
      <w:pStyle w:val="55"/>
      <w:rPr>
        <w:lang w:val="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EF79F">
    <w:pPr>
      <w:pStyle w:val="57"/>
      <w:jc w:val="both"/>
      <w:rPr>
        <w:rFonts w:ascii="Arial" w:hAnsi="Arial" w:cs="Arial"/>
      </w:rPr>
    </w:pPr>
    <w:r>
      <w:rPr>
        <w:rFonts w:hint="eastAsia" w:ascii="Arial" w:hAnsi="宋体" w:cs="Arial"/>
        <w:color w:val="000000"/>
      </w:rPr>
      <w:t xml:space="preserve">伊犁福顺竹烟花爆竹销售有限公司烟花爆竹仓库建设项目安全预评价报告                           </w:t>
    </w:r>
    <w:r>
      <w:rPr>
        <w:rFonts w:hint="eastAsia" w:ascii="宋体" w:hAnsi="宋体"/>
        <w:spacing w:val="-2"/>
      </w:rPr>
      <w:t>GAAP[2023]0***号</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11F09">
    <w:pPr>
      <w:pStyle w:val="57"/>
      <w:widowControl w:val="0"/>
      <w:pBdr>
        <w:top w:val="none" w:color="auto" w:sz="0" w:space="1"/>
        <w:left w:val="none" w:color="auto" w:sz="0" w:space="4"/>
        <w:bottom w:val="none" w:color="auto" w:sz="0" w:space="1"/>
        <w:right w:val="none" w:color="auto" w:sz="0" w:space="4"/>
        <w:between w:val="none" w:color="auto" w:sz="0" w:space="0"/>
      </w:pBdr>
      <w:snapToGrid w:val="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7A824">
    <w:pPr>
      <w:pStyle w:val="57"/>
      <w:jc w:val="both"/>
      <w:rPr>
        <w:rFonts w:asciiTheme="minorEastAsia" w:hAnsiTheme="minorEastAsia" w:eastAsiaTheme="minorEastAsia"/>
        <w:b w:val="0"/>
      </w:rPr>
    </w:pPr>
    <w:r>
      <w:rPr>
        <w:rFonts w:hint="eastAsia" w:ascii="宋体" w:hAnsi="宋体" w:eastAsia="宋体"/>
        <w:b w:val="0"/>
        <w:spacing w:val="-2"/>
      </w:rPr>
      <w:t xml:space="preserve">浏阳市太平复兴花炮厂（个人独资）厂房升级改造项目安全预评价报告 </w:t>
    </w:r>
    <w:r>
      <w:rPr>
        <w:rFonts w:ascii="宋体" w:hAnsi="宋体" w:eastAsia="宋体"/>
        <w:b w:val="0"/>
        <w:spacing w:val="-2"/>
      </w:rPr>
      <w:t xml:space="preserve">           </w:t>
    </w:r>
    <w:r>
      <w:rPr>
        <w:rFonts w:hint="eastAsia" w:ascii="宋体" w:hAnsi="宋体" w:eastAsia="宋体"/>
        <w:b w:val="0"/>
        <w:spacing w:val="-2"/>
      </w:rPr>
      <w:t xml:space="preserve">          </w:t>
    </w:r>
    <w:r>
      <w:rPr>
        <w:rFonts w:ascii="宋体" w:hAnsi="宋体" w:eastAsia="宋体"/>
        <w:b w:val="0"/>
        <w:spacing w:val="-2"/>
      </w:rPr>
      <w:t xml:space="preserve">  </w:t>
    </w:r>
    <w:r>
      <w:rPr>
        <w:rFonts w:hint="eastAsia" w:ascii="宋体" w:hAnsi="宋体" w:eastAsia="宋体"/>
        <w:b w:val="0"/>
        <w:spacing w:val="-2"/>
      </w:rPr>
      <w:t>GAAP[202</w:t>
    </w:r>
    <w:r>
      <w:rPr>
        <w:rFonts w:ascii="宋体" w:hAnsi="宋体" w:eastAsia="宋体"/>
        <w:b w:val="0"/>
        <w:spacing w:val="-2"/>
      </w:rPr>
      <w:t>6</w:t>
    </w:r>
    <w:r>
      <w:rPr>
        <w:rFonts w:hint="eastAsia" w:ascii="宋体" w:hAnsi="宋体" w:eastAsia="宋体"/>
        <w:b w:val="0"/>
        <w:spacing w:val="-2"/>
      </w:rPr>
      <w:t>]0</w:t>
    </w:r>
    <w:r>
      <w:rPr>
        <w:rFonts w:hint="eastAsia" w:ascii="宋体" w:hAnsi="宋体" w:eastAsia="宋体"/>
        <w:b w:val="0"/>
        <w:spacing w:val="-2"/>
        <w:lang w:val="en-US" w:eastAsia="zh-CN"/>
      </w:rPr>
      <w:t>303</w:t>
    </w:r>
    <w:r>
      <w:rPr>
        <w:rFonts w:hint="eastAsia" w:ascii="宋体" w:hAnsi="宋体" w:eastAsia="宋体"/>
        <w:b w:val="0"/>
        <w:spacing w:val="-2"/>
      </w:rPr>
      <w:t>号</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70E2B">
    <w:pPr>
      <w:pStyle w:val="57"/>
      <w:jc w:val="both"/>
      <w:rPr>
        <w:rFonts w:asciiTheme="minorEastAsia" w:hAnsiTheme="minorEastAsia" w:eastAsiaTheme="minorEastAsia"/>
        <w:b w:val="0"/>
        <w:color w:val="auto"/>
      </w:rPr>
    </w:pPr>
    <w:bookmarkStart w:id="653" w:name="OLE_LINK14"/>
    <w:bookmarkStart w:id="654" w:name="OLE_LINK1"/>
    <w:bookmarkStart w:id="655" w:name="OLE_LINK13"/>
    <w:bookmarkStart w:id="656" w:name="OLE_LINK2"/>
    <w:bookmarkStart w:id="657" w:name="_Hlk237353417"/>
    <w:r>
      <w:rPr>
        <w:rFonts w:hint="eastAsia" w:ascii="宋体" w:hAnsi="宋体" w:eastAsia="宋体"/>
        <w:b w:val="0"/>
        <w:spacing w:val="-2"/>
      </w:rPr>
      <w:t xml:space="preserve">浏阳市太平复兴花炮厂（个人独资）厂房升级改造项目安全预评价报告 </w:t>
    </w:r>
    <w:r>
      <w:rPr>
        <w:rFonts w:ascii="宋体" w:hAnsi="宋体" w:eastAsia="宋体"/>
        <w:b w:val="0"/>
        <w:spacing w:val="-2"/>
      </w:rPr>
      <w:t xml:space="preserve">                </w:t>
    </w:r>
    <w:r>
      <w:rPr>
        <w:rFonts w:hint="eastAsia" w:ascii="宋体" w:hAnsi="宋体" w:eastAsia="宋体"/>
        <w:b w:val="0"/>
        <w:spacing w:val="-2"/>
      </w:rPr>
      <w:t xml:space="preserve">    </w:t>
    </w:r>
    <w:r>
      <w:rPr>
        <w:rFonts w:ascii="宋体" w:hAnsi="宋体" w:eastAsia="宋体"/>
        <w:b w:val="0"/>
        <w:color w:val="auto"/>
        <w:spacing w:val="-2"/>
      </w:rPr>
      <w:t xml:space="preserve">    </w:t>
    </w:r>
    <w:r>
      <w:rPr>
        <w:rFonts w:hint="eastAsia" w:ascii="宋体" w:hAnsi="宋体" w:eastAsia="宋体"/>
        <w:b w:val="0"/>
        <w:color w:val="auto"/>
        <w:spacing w:val="-2"/>
      </w:rPr>
      <w:t>GAAP[202</w:t>
    </w:r>
    <w:r>
      <w:rPr>
        <w:rFonts w:ascii="宋体" w:hAnsi="宋体" w:eastAsia="宋体"/>
        <w:b w:val="0"/>
        <w:color w:val="auto"/>
        <w:spacing w:val="-2"/>
      </w:rPr>
      <w:t>6</w:t>
    </w:r>
    <w:r>
      <w:rPr>
        <w:rFonts w:hint="eastAsia" w:ascii="宋体" w:hAnsi="宋体" w:eastAsia="宋体"/>
        <w:b w:val="0"/>
        <w:color w:val="auto"/>
        <w:spacing w:val="-2"/>
      </w:rPr>
      <w:t>]0</w:t>
    </w:r>
    <w:r>
      <w:rPr>
        <w:rFonts w:hint="eastAsia" w:ascii="宋体" w:hAnsi="宋体" w:eastAsia="宋体"/>
        <w:b w:val="0"/>
        <w:color w:val="auto"/>
        <w:spacing w:val="-2"/>
        <w:lang w:val="en-US" w:eastAsia="zh-CN"/>
      </w:rPr>
      <w:t>303</w:t>
    </w:r>
    <w:r>
      <w:rPr>
        <w:rFonts w:hint="eastAsia" w:ascii="宋体" w:hAnsi="宋体" w:eastAsia="宋体"/>
        <w:b w:val="0"/>
        <w:color w:val="auto"/>
        <w:spacing w:val="-2"/>
      </w:rPr>
      <w:t>号</w:t>
    </w:r>
    <w:bookmarkEnd w:id="653"/>
    <w:bookmarkEnd w:id="654"/>
    <w:bookmarkEnd w:id="655"/>
    <w:bookmarkEnd w:id="656"/>
    <w:bookmarkEnd w:id="657"/>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ACC1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72F64B"/>
    <w:multiLevelType w:val="singleLevel"/>
    <w:tmpl w:val="9072F64B"/>
    <w:lvl w:ilvl="0" w:tentative="0">
      <w:start w:val="1"/>
      <w:numFmt w:val="decimal"/>
      <w:suff w:val="nothing"/>
      <w:lvlText w:val="（%1）"/>
      <w:lvlJc w:val="left"/>
      <w:pPr>
        <w:ind w:left="454" w:hanging="840"/>
      </w:pPr>
      <w:rPr>
        <w:rFonts w:hint="default"/>
      </w:rPr>
    </w:lvl>
  </w:abstractNum>
  <w:abstractNum w:abstractNumId="1">
    <w:nsid w:val="00000004"/>
    <w:multiLevelType w:val="multilevel"/>
    <w:tmpl w:val="00000004"/>
    <w:lvl w:ilvl="0" w:tentative="0">
      <w:start w:val="1"/>
      <w:numFmt w:val="decimal"/>
      <w:pStyle w:val="137"/>
      <w:lvlText w:val="%1"/>
      <w:lvlJc w:val="left"/>
      <w:pPr>
        <w:tabs>
          <w:tab w:val="left" w:pos="425"/>
        </w:tabs>
        <w:ind w:left="425" w:hanging="425"/>
      </w:pPr>
      <w:rPr>
        <w:rFonts w:hint="eastAsia" w:eastAsia="黑体"/>
        <w:b w:val="0"/>
        <w:i w:val="0"/>
        <w:sz w:val="21"/>
        <w:szCs w:val="21"/>
      </w:rPr>
    </w:lvl>
    <w:lvl w:ilvl="1" w:tentative="0">
      <w:start w:val="1"/>
      <w:numFmt w:val="decimal"/>
      <w:pStyle w:val="348"/>
      <w:lvlText w:val="%1.%2"/>
      <w:lvlJc w:val="left"/>
      <w:pPr>
        <w:tabs>
          <w:tab w:val="left" w:pos="992"/>
        </w:tabs>
        <w:ind w:left="992" w:hanging="567"/>
      </w:pPr>
      <w:rPr>
        <w:rFonts w:hint="eastAsia"/>
        <w:sz w:val="21"/>
        <w:szCs w:val="21"/>
      </w:rPr>
    </w:lvl>
    <w:lvl w:ilvl="2" w:tentative="0">
      <w:start w:val="1"/>
      <w:numFmt w:val="decimal"/>
      <w:pStyle w:val="346"/>
      <w:lvlText w:val="%1.%2.%3"/>
      <w:lvlJc w:val="left"/>
      <w:pPr>
        <w:tabs>
          <w:tab w:val="left" w:pos="157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0000000C"/>
    <w:multiLevelType w:val="multilevel"/>
    <w:tmpl w:val="0000000C"/>
    <w:lvl w:ilvl="0" w:tentative="0">
      <w:start w:val="2"/>
      <w:numFmt w:val="decimal"/>
      <w:pStyle w:val="162"/>
      <w:lvlText w:val="%1"/>
      <w:lvlJc w:val="left"/>
      <w:pPr>
        <w:tabs>
          <w:tab w:val="left" w:pos="360"/>
        </w:tabs>
        <w:ind w:left="0" w:firstLine="0"/>
      </w:pPr>
      <w:rPr>
        <w:rFonts w:hint="eastAsia"/>
      </w:rPr>
    </w:lvl>
    <w:lvl w:ilvl="1" w:tentative="0">
      <w:start w:val="1"/>
      <w:numFmt w:val="decimal"/>
      <w:lvlText w:val="%1.%2"/>
      <w:lvlJc w:val="left"/>
      <w:pPr>
        <w:tabs>
          <w:tab w:val="left" w:pos="360"/>
        </w:tabs>
        <w:ind w:left="0" w:firstLine="0"/>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3">
    <w:nsid w:val="080267E0"/>
    <w:multiLevelType w:val="multilevel"/>
    <w:tmpl w:val="080267E0"/>
    <w:lvl w:ilvl="0" w:tentative="0">
      <w:start w:val="1"/>
      <w:numFmt w:val="decimal"/>
      <w:pStyle w:val="47"/>
      <w:lvlText w:val="（%1）"/>
      <w:lvlJc w:val="left"/>
      <w:pPr>
        <w:ind w:left="1422" w:hanging="720"/>
      </w:pPr>
      <w:rPr>
        <w:rFonts w:hint="default"/>
      </w:rPr>
    </w:lvl>
    <w:lvl w:ilvl="1" w:tentative="0">
      <w:start w:val="1"/>
      <w:numFmt w:val="lowerLetter"/>
      <w:lvlText w:val="%2)"/>
      <w:lvlJc w:val="left"/>
      <w:pPr>
        <w:ind w:left="1542" w:hanging="420"/>
      </w:pPr>
    </w:lvl>
    <w:lvl w:ilvl="2" w:tentative="0">
      <w:start w:val="1"/>
      <w:numFmt w:val="lowerRoman"/>
      <w:lvlText w:val="%3."/>
      <w:lvlJc w:val="right"/>
      <w:pPr>
        <w:ind w:left="1962" w:hanging="420"/>
      </w:pPr>
    </w:lvl>
    <w:lvl w:ilvl="3" w:tentative="0">
      <w:start w:val="1"/>
      <w:numFmt w:val="decimal"/>
      <w:lvlText w:val="%4."/>
      <w:lvlJc w:val="left"/>
      <w:pPr>
        <w:ind w:left="2382" w:hanging="420"/>
      </w:pPr>
    </w:lvl>
    <w:lvl w:ilvl="4" w:tentative="0">
      <w:start w:val="1"/>
      <w:numFmt w:val="lowerLetter"/>
      <w:lvlText w:val="%5)"/>
      <w:lvlJc w:val="left"/>
      <w:pPr>
        <w:ind w:left="2802" w:hanging="420"/>
      </w:pPr>
    </w:lvl>
    <w:lvl w:ilvl="5" w:tentative="0">
      <w:start w:val="1"/>
      <w:numFmt w:val="lowerRoman"/>
      <w:lvlText w:val="%6."/>
      <w:lvlJc w:val="right"/>
      <w:pPr>
        <w:ind w:left="3222" w:hanging="420"/>
      </w:pPr>
    </w:lvl>
    <w:lvl w:ilvl="6" w:tentative="0">
      <w:start w:val="1"/>
      <w:numFmt w:val="decimal"/>
      <w:lvlText w:val="%7."/>
      <w:lvlJc w:val="left"/>
      <w:pPr>
        <w:ind w:left="3642" w:hanging="420"/>
      </w:pPr>
    </w:lvl>
    <w:lvl w:ilvl="7" w:tentative="0">
      <w:start w:val="1"/>
      <w:numFmt w:val="lowerLetter"/>
      <w:lvlText w:val="%8)"/>
      <w:lvlJc w:val="left"/>
      <w:pPr>
        <w:ind w:left="4062" w:hanging="420"/>
      </w:pPr>
    </w:lvl>
    <w:lvl w:ilvl="8" w:tentative="0">
      <w:start w:val="1"/>
      <w:numFmt w:val="lowerRoman"/>
      <w:lvlText w:val="%9."/>
      <w:lvlJc w:val="right"/>
      <w:pPr>
        <w:ind w:left="4482" w:hanging="420"/>
      </w:pPr>
    </w:lvl>
  </w:abstractNum>
  <w:abstractNum w:abstractNumId="4">
    <w:nsid w:val="0F5E494A"/>
    <w:multiLevelType w:val="multilevel"/>
    <w:tmpl w:val="0F5E494A"/>
    <w:lvl w:ilvl="0" w:tentative="0">
      <w:start w:val="1"/>
      <w:numFmt w:val="decimalEnclosedCircle"/>
      <w:lvlText w:val="%1"/>
      <w:lvlJc w:val="left"/>
      <w:pPr>
        <w:ind w:left="981" w:hanging="420"/>
      </w:pPr>
      <w:rPr>
        <w:rFonts w:hint="eastAsia" w:cs="Times New Roman"/>
      </w:rPr>
    </w:lvl>
    <w:lvl w:ilvl="1" w:tentative="0">
      <w:start w:val="1"/>
      <w:numFmt w:val="lowerLetter"/>
      <w:lvlText w:val="%2)"/>
      <w:lvlJc w:val="left"/>
      <w:pPr>
        <w:ind w:left="1401" w:hanging="420"/>
      </w:pPr>
      <w:rPr>
        <w:rFonts w:cs="Times New Roman"/>
      </w:rPr>
    </w:lvl>
    <w:lvl w:ilvl="2" w:tentative="0">
      <w:start w:val="1"/>
      <w:numFmt w:val="lowerRoman"/>
      <w:lvlText w:val="%3."/>
      <w:lvlJc w:val="right"/>
      <w:pPr>
        <w:ind w:left="1821" w:hanging="420"/>
      </w:pPr>
      <w:rPr>
        <w:rFonts w:cs="Times New Roman"/>
      </w:rPr>
    </w:lvl>
    <w:lvl w:ilvl="3" w:tentative="0">
      <w:start w:val="1"/>
      <w:numFmt w:val="decimal"/>
      <w:lvlText w:val="%4."/>
      <w:lvlJc w:val="left"/>
      <w:pPr>
        <w:ind w:left="2241" w:hanging="420"/>
      </w:pPr>
      <w:rPr>
        <w:rFonts w:cs="Times New Roman"/>
      </w:rPr>
    </w:lvl>
    <w:lvl w:ilvl="4" w:tentative="0">
      <w:start w:val="1"/>
      <w:numFmt w:val="lowerLetter"/>
      <w:lvlText w:val="%5)"/>
      <w:lvlJc w:val="left"/>
      <w:pPr>
        <w:ind w:left="2661" w:hanging="420"/>
      </w:pPr>
      <w:rPr>
        <w:rFonts w:cs="Times New Roman"/>
      </w:rPr>
    </w:lvl>
    <w:lvl w:ilvl="5" w:tentative="0">
      <w:start w:val="1"/>
      <w:numFmt w:val="lowerRoman"/>
      <w:lvlText w:val="%6."/>
      <w:lvlJc w:val="right"/>
      <w:pPr>
        <w:ind w:left="3081" w:hanging="420"/>
      </w:pPr>
      <w:rPr>
        <w:rFonts w:cs="Times New Roman"/>
      </w:rPr>
    </w:lvl>
    <w:lvl w:ilvl="6" w:tentative="0">
      <w:start w:val="1"/>
      <w:numFmt w:val="decimal"/>
      <w:lvlText w:val="%7."/>
      <w:lvlJc w:val="left"/>
      <w:pPr>
        <w:ind w:left="3501" w:hanging="420"/>
      </w:pPr>
      <w:rPr>
        <w:rFonts w:cs="Times New Roman"/>
      </w:rPr>
    </w:lvl>
    <w:lvl w:ilvl="7" w:tentative="0">
      <w:start w:val="1"/>
      <w:numFmt w:val="lowerLetter"/>
      <w:lvlText w:val="%8)"/>
      <w:lvlJc w:val="left"/>
      <w:pPr>
        <w:ind w:left="3921" w:hanging="420"/>
      </w:pPr>
      <w:rPr>
        <w:rFonts w:cs="Times New Roman"/>
      </w:rPr>
    </w:lvl>
    <w:lvl w:ilvl="8" w:tentative="0">
      <w:start w:val="1"/>
      <w:numFmt w:val="lowerRoman"/>
      <w:lvlText w:val="%9."/>
      <w:lvlJc w:val="right"/>
      <w:pPr>
        <w:ind w:left="4341" w:hanging="420"/>
      </w:pPr>
      <w:rPr>
        <w:rFonts w:cs="Times New Roman"/>
      </w:rPr>
    </w:lvl>
  </w:abstractNum>
  <w:abstractNum w:abstractNumId="5">
    <w:nsid w:val="1BE559C1"/>
    <w:multiLevelType w:val="multilevel"/>
    <w:tmpl w:val="1BE559C1"/>
    <w:lvl w:ilvl="0" w:tentative="0">
      <w:start w:val="1"/>
      <w:numFmt w:val="decimal"/>
      <w:pStyle w:val="40"/>
      <w:lvlText w:val="（%1）"/>
      <w:lvlJc w:val="left"/>
      <w:pPr>
        <w:ind w:left="1280" w:hanging="7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6">
    <w:nsid w:val="26624C3D"/>
    <w:multiLevelType w:val="singleLevel"/>
    <w:tmpl w:val="26624C3D"/>
    <w:lvl w:ilvl="0" w:tentative="0">
      <w:start w:val="1"/>
      <w:numFmt w:val="decimal"/>
      <w:pStyle w:val="36"/>
      <w:suff w:val="nothing"/>
      <w:lvlText w:val="%1）"/>
      <w:lvlJc w:val="left"/>
    </w:lvl>
  </w:abstractNum>
  <w:abstractNum w:abstractNumId="7">
    <w:nsid w:val="29C47111"/>
    <w:multiLevelType w:val="multilevel"/>
    <w:tmpl w:val="29C47111"/>
    <w:lvl w:ilvl="0" w:tentative="0">
      <w:start w:val="1"/>
      <w:numFmt w:val="decimal"/>
      <w:pStyle w:val="20"/>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2A8F7113"/>
    <w:multiLevelType w:val="multilevel"/>
    <w:tmpl w:val="2A8F7113"/>
    <w:lvl w:ilvl="0" w:tentative="0">
      <w:start w:val="1"/>
      <w:numFmt w:val="upperLetter"/>
      <w:suff w:val="space"/>
      <w:lvlText w:val="%1"/>
      <w:lvlJc w:val="left"/>
      <w:pPr>
        <w:ind w:left="623" w:hanging="425"/>
      </w:pPr>
      <w:rPr>
        <w:rFonts w:hint="eastAsia"/>
      </w:rPr>
    </w:lvl>
    <w:lvl w:ilvl="1" w:tentative="0">
      <w:start w:val="1"/>
      <w:numFmt w:val="decimal"/>
      <w:pStyle w:val="159"/>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9">
    <w:nsid w:val="2AF712EC"/>
    <w:multiLevelType w:val="multilevel"/>
    <w:tmpl w:val="2AF712EC"/>
    <w:lvl w:ilvl="0" w:tentative="0">
      <w:start w:val="1"/>
      <w:numFmt w:val="decimalEnclosedCircle"/>
      <w:pStyle w:val="46"/>
      <w:lvlText w:val="%1"/>
      <w:lvlJc w:val="left"/>
      <w:pPr>
        <w:ind w:left="920" w:hanging="36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0">
    <w:nsid w:val="3E8371D8"/>
    <w:multiLevelType w:val="multilevel"/>
    <w:tmpl w:val="3E8371D8"/>
    <w:lvl w:ilvl="0" w:tentative="0">
      <w:start w:val="1"/>
      <w:numFmt w:val="decimalEnclosedCircle"/>
      <w:pStyle w:val="65"/>
      <w:lvlText w:val="%1"/>
      <w:lvlJc w:val="left"/>
      <w:pPr>
        <w:ind w:left="920" w:hanging="36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1">
    <w:nsid w:val="44C50F90"/>
    <w:multiLevelType w:val="multilevel"/>
    <w:tmpl w:val="44C50F90"/>
    <w:lvl w:ilvl="0" w:tentative="0">
      <w:start w:val="1"/>
      <w:numFmt w:val="lowerLetter"/>
      <w:pStyle w:val="161"/>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lvlText w:val="%2)"/>
      <w:lvlJc w:val="left"/>
      <w:pPr>
        <w:tabs>
          <w:tab w:val="left" w:pos="1259"/>
        </w:tabs>
        <w:ind w:left="1259" w:hanging="420"/>
      </w:pPr>
      <w:rPr>
        <w:rFonts w:hint="eastAsia" w:ascii="宋体" w:hAnsi="宋体" w:eastAsia="宋体"/>
        <w:b w:val="0"/>
        <w:i w:val="0"/>
        <w:sz w:val="20"/>
      </w:rPr>
    </w:lvl>
    <w:lvl w:ilvl="2" w:tentative="0">
      <w:start w:val="1"/>
      <w:numFmt w:val="decimal"/>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12">
    <w:nsid w:val="45C85C20"/>
    <w:multiLevelType w:val="multilevel"/>
    <w:tmpl w:val="45C85C20"/>
    <w:lvl w:ilvl="0" w:tentative="0">
      <w:start w:val="1"/>
      <w:numFmt w:val="decimal"/>
      <w:lvlText w:val="(%1)"/>
      <w:lvlJc w:val="left"/>
      <w:pPr>
        <w:ind w:left="420" w:hanging="420"/>
      </w:pPr>
      <w:rPr>
        <w:rFonts w:hint="eastAsia"/>
      </w:rPr>
    </w:lvl>
    <w:lvl w:ilvl="1" w:tentative="0">
      <w:start w:val="1"/>
      <w:numFmt w:val="decimalEnclosedCircle"/>
      <w:lvlText w:val="%2"/>
      <w:lvlJc w:val="left"/>
      <w:pPr>
        <w:ind w:left="840" w:hanging="4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2415" w:hanging="1155"/>
      </w:pPr>
      <w:rPr>
        <w:rFonts w:hint="default"/>
      </w:r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5530643C"/>
    <w:multiLevelType w:val="singleLevel"/>
    <w:tmpl w:val="5530643C"/>
    <w:lvl w:ilvl="0" w:tentative="0">
      <w:start w:val="1"/>
      <w:numFmt w:val="decimal"/>
      <w:pStyle w:val="14"/>
      <w:suff w:val="nothing"/>
      <w:lvlText w:val="%1、"/>
      <w:lvlJc w:val="left"/>
    </w:lvl>
  </w:abstractNum>
  <w:abstractNum w:abstractNumId="14">
    <w:nsid w:val="566A8B1B"/>
    <w:multiLevelType w:val="singleLevel"/>
    <w:tmpl w:val="566A8B1B"/>
    <w:lvl w:ilvl="0" w:tentative="0">
      <w:start w:val="1"/>
      <w:numFmt w:val="decimal"/>
      <w:pStyle w:val="33"/>
      <w:suff w:val="nothing"/>
      <w:lvlText w:val="%1）"/>
      <w:lvlJc w:val="left"/>
      <w:pPr>
        <w:ind w:left="-128"/>
      </w:pPr>
    </w:lvl>
  </w:abstractNum>
  <w:abstractNum w:abstractNumId="15">
    <w:nsid w:val="584D59F4"/>
    <w:multiLevelType w:val="multilevel"/>
    <w:tmpl w:val="584D59F4"/>
    <w:lvl w:ilvl="0" w:tentative="0">
      <w:start w:val="1"/>
      <w:numFmt w:val="decimal"/>
      <w:pStyle w:val="574"/>
      <w:lvlText w:val="%1)"/>
      <w:lvlJc w:val="left"/>
      <w:pPr>
        <w:ind w:left="360" w:hanging="360"/>
      </w:pPr>
      <w:rPr>
        <w:rFonts w:hint="default"/>
      </w:rPr>
    </w:lvl>
    <w:lvl w:ilvl="1" w:tentative="0">
      <w:start w:val="1"/>
      <w:numFmt w:val="lowerLetter"/>
      <w:pStyle w:val="580"/>
      <w:lvlText w:val="%2)"/>
      <w:lvlJc w:val="left"/>
      <w:pPr>
        <w:ind w:left="840" w:hanging="420"/>
      </w:pPr>
    </w:lvl>
    <w:lvl w:ilvl="2" w:tentative="0">
      <w:start w:val="1"/>
      <w:numFmt w:val="lowerRoman"/>
      <w:pStyle w:val="581"/>
      <w:lvlText w:val="%3."/>
      <w:lvlJc w:val="right"/>
      <w:pPr>
        <w:ind w:left="1260" w:hanging="420"/>
      </w:pPr>
    </w:lvl>
    <w:lvl w:ilvl="3" w:tentative="0">
      <w:start w:val="1"/>
      <w:numFmt w:val="decimal"/>
      <w:pStyle w:val="575"/>
      <w:lvlText w:val="%4."/>
      <w:lvlJc w:val="left"/>
      <w:pPr>
        <w:ind w:left="1680" w:hanging="420"/>
      </w:pPr>
    </w:lvl>
    <w:lvl w:ilvl="4" w:tentative="0">
      <w:start w:val="1"/>
      <w:numFmt w:val="lowerLetter"/>
      <w:pStyle w:val="577"/>
      <w:lvlText w:val="%5)"/>
      <w:lvlJc w:val="left"/>
      <w:pPr>
        <w:ind w:left="2100" w:hanging="420"/>
      </w:pPr>
    </w:lvl>
    <w:lvl w:ilvl="5" w:tentative="0">
      <w:start w:val="1"/>
      <w:numFmt w:val="lowerRoman"/>
      <w:pStyle w:val="578"/>
      <w:lvlText w:val="%6."/>
      <w:lvlJc w:val="right"/>
      <w:pPr>
        <w:ind w:left="2520" w:hanging="420"/>
      </w:pPr>
    </w:lvl>
    <w:lvl w:ilvl="6" w:tentative="0">
      <w:start w:val="1"/>
      <w:numFmt w:val="decimal"/>
      <w:pStyle w:val="579"/>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5E121951"/>
    <w:multiLevelType w:val="singleLevel"/>
    <w:tmpl w:val="5E121951"/>
    <w:lvl w:ilvl="0" w:tentative="0">
      <w:start w:val="2"/>
      <w:numFmt w:val="decimal"/>
      <w:suff w:val="nothing"/>
      <w:lvlText w:val="（%1）"/>
      <w:lvlJc w:val="left"/>
    </w:lvl>
  </w:abstractNum>
  <w:abstractNum w:abstractNumId="17">
    <w:nsid w:val="646260FA"/>
    <w:multiLevelType w:val="multilevel"/>
    <w:tmpl w:val="646260FA"/>
    <w:lvl w:ilvl="0" w:tentative="0">
      <w:start w:val="1"/>
      <w:numFmt w:val="decimal"/>
      <w:pStyle w:val="160"/>
      <w:suff w:val="nothing"/>
      <w:lvlText w:val="表%1　"/>
      <w:lvlJc w:val="left"/>
      <w:pPr>
        <w:ind w:left="3885" w:firstLine="0"/>
      </w:pPr>
      <w:rPr>
        <w:rFonts w:hint="eastAsia" w:ascii="黑体" w:hAnsi="Times New Roman" w:eastAsia="黑体"/>
        <w:b w:val="0"/>
        <w:i w:val="0"/>
        <w:sz w:val="21"/>
      </w:rPr>
    </w:lvl>
    <w:lvl w:ilvl="1" w:tentative="0">
      <w:start w:val="1"/>
      <w:numFmt w:val="decimal"/>
      <w:lvlText w:val="%1.%2"/>
      <w:lvlJc w:val="left"/>
      <w:pPr>
        <w:tabs>
          <w:tab w:val="left" w:pos="4877"/>
        </w:tabs>
        <w:ind w:left="4877" w:hanging="567"/>
      </w:pPr>
      <w:rPr>
        <w:rFonts w:hint="eastAsia"/>
      </w:rPr>
    </w:lvl>
    <w:lvl w:ilvl="2" w:tentative="0">
      <w:start w:val="1"/>
      <w:numFmt w:val="decimal"/>
      <w:lvlText w:val="%1.%2.%3"/>
      <w:lvlJc w:val="left"/>
      <w:pPr>
        <w:tabs>
          <w:tab w:val="left" w:pos="5303"/>
        </w:tabs>
        <w:ind w:left="5303" w:hanging="567"/>
      </w:pPr>
      <w:rPr>
        <w:rFonts w:hint="eastAsia"/>
      </w:rPr>
    </w:lvl>
    <w:lvl w:ilvl="3" w:tentative="0">
      <w:start w:val="1"/>
      <w:numFmt w:val="decimal"/>
      <w:lvlText w:val="%1.%2.%3.%4"/>
      <w:lvlJc w:val="left"/>
      <w:pPr>
        <w:tabs>
          <w:tab w:val="left" w:pos="5869"/>
        </w:tabs>
        <w:ind w:left="5869" w:hanging="708"/>
      </w:pPr>
      <w:rPr>
        <w:rFonts w:hint="eastAsia"/>
      </w:rPr>
    </w:lvl>
    <w:lvl w:ilvl="4" w:tentative="0">
      <w:start w:val="1"/>
      <w:numFmt w:val="decimal"/>
      <w:lvlText w:val="%1.%2.%3.%4.%5"/>
      <w:lvlJc w:val="left"/>
      <w:pPr>
        <w:tabs>
          <w:tab w:val="left" w:pos="6436"/>
        </w:tabs>
        <w:ind w:left="6436" w:hanging="850"/>
      </w:pPr>
      <w:rPr>
        <w:rFonts w:hint="eastAsia"/>
      </w:rPr>
    </w:lvl>
    <w:lvl w:ilvl="5" w:tentative="0">
      <w:start w:val="1"/>
      <w:numFmt w:val="decimal"/>
      <w:lvlText w:val="%1.%2.%3.%4.%5.%6"/>
      <w:lvlJc w:val="left"/>
      <w:pPr>
        <w:tabs>
          <w:tab w:val="left" w:pos="7145"/>
        </w:tabs>
        <w:ind w:left="7145" w:hanging="1134"/>
      </w:pPr>
      <w:rPr>
        <w:rFonts w:hint="eastAsia"/>
      </w:rPr>
    </w:lvl>
    <w:lvl w:ilvl="6" w:tentative="0">
      <w:start w:val="1"/>
      <w:numFmt w:val="decimal"/>
      <w:lvlText w:val="%1.%2.%3.%4.%5.%6.%7"/>
      <w:lvlJc w:val="left"/>
      <w:pPr>
        <w:tabs>
          <w:tab w:val="left" w:pos="7712"/>
        </w:tabs>
        <w:ind w:left="7712" w:hanging="1276"/>
      </w:pPr>
      <w:rPr>
        <w:rFonts w:hint="eastAsia"/>
      </w:rPr>
    </w:lvl>
    <w:lvl w:ilvl="7" w:tentative="0">
      <w:start w:val="1"/>
      <w:numFmt w:val="decimal"/>
      <w:lvlText w:val="%1.%2.%3.%4.%5.%6.%7.%8"/>
      <w:lvlJc w:val="left"/>
      <w:pPr>
        <w:tabs>
          <w:tab w:val="left" w:pos="8279"/>
        </w:tabs>
        <w:ind w:left="8279" w:hanging="1418"/>
      </w:pPr>
      <w:rPr>
        <w:rFonts w:hint="eastAsia"/>
      </w:rPr>
    </w:lvl>
    <w:lvl w:ilvl="8" w:tentative="0">
      <w:start w:val="1"/>
      <w:numFmt w:val="decimal"/>
      <w:lvlText w:val="%1.%2.%3.%4.%5.%6.%7.%8.%9"/>
      <w:lvlJc w:val="left"/>
      <w:pPr>
        <w:tabs>
          <w:tab w:val="left" w:pos="8987"/>
        </w:tabs>
        <w:ind w:left="8987" w:hanging="1700"/>
      </w:pPr>
      <w:rPr>
        <w:rFonts w:hint="eastAsia"/>
      </w:rPr>
    </w:lvl>
  </w:abstractNum>
  <w:abstractNum w:abstractNumId="18">
    <w:nsid w:val="6AB57C44"/>
    <w:multiLevelType w:val="singleLevel"/>
    <w:tmpl w:val="6AB57C44"/>
    <w:lvl w:ilvl="0" w:tentative="0">
      <w:start w:val="2"/>
      <w:numFmt w:val="decimal"/>
      <w:suff w:val="nothing"/>
      <w:lvlText w:val="%1）"/>
      <w:lvlJc w:val="left"/>
    </w:lvl>
  </w:abstractNum>
  <w:abstractNum w:abstractNumId="19">
    <w:nsid w:val="6FC42D0B"/>
    <w:multiLevelType w:val="singleLevel"/>
    <w:tmpl w:val="6FC42D0B"/>
    <w:lvl w:ilvl="0" w:tentative="0">
      <w:start w:val="1"/>
      <w:numFmt w:val="decimal"/>
      <w:pStyle w:val="24"/>
      <w:suff w:val="nothing"/>
      <w:lvlText w:val="%1、"/>
      <w:lvlJc w:val="left"/>
    </w:lvl>
  </w:abstractNum>
  <w:abstractNum w:abstractNumId="20">
    <w:nsid w:val="714653CA"/>
    <w:multiLevelType w:val="multilevel"/>
    <w:tmpl w:val="714653CA"/>
    <w:lvl w:ilvl="0" w:tentative="0">
      <w:start w:val="1"/>
      <w:numFmt w:val="decimal"/>
      <w:lvlText w:val="%1."/>
      <w:lvlJc w:val="left"/>
      <w:pPr>
        <w:tabs>
          <w:tab w:val="left" w:pos="3110"/>
        </w:tabs>
        <w:ind w:left="3110" w:hanging="132"/>
      </w:pPr>
      <w:rPr>
        <w:rFonts w:hint="default"/>
      </w:rPr>
    </w:lvl>
    <w:lvl w:ilvl="1" w:tentative="0">
      <w:start w:val="1"/>
      <w:numFmt w:val="lowerLetter"/>
      <w:lvlText w:val="%2)"/>
      <w:lvlJc w:val="left"/>
      <w:pPr>
        <w:tabs>
          <w:tab w:val="left" w:pos="-264"/>
        </w:tabs>
        <w:ind w:left="-264" w:hanging="420"/>
      </w:pPr>
    </w:lvl>
    <w:lvl w:ilvl="2" w:tentative="0">
      <w:start w:val="1"/>
      <w:numFmt w:val="lowerRoman"/>
      <w:lvlText w:val="%3."/>
      <w:lvlJc w:val="right"/>
      <w:pPr>
        <w:tabs>
          <w:tab w:val="left" w:pos="156"/>
        </w:tabs>
        <w:ind w:left="156" w:hanging="420"/>
      </w:pPr>
    </w:lvl>
    <w:lvl w:ilvl="3" w:tentative="0">
      <w:start w:val="1"/>
      <w:numFmt w:val="decimal"/>
      <w:lvlText w:val="%4."/>
      <w:lvlJc w:val="left"/>
      <w:pPr>
        <w:tabs>
          <w:tab w:val="left" w:pos="576"/>
        </w:tabs>
        <w:ind w:left="576" w:hanging="420"/>
      </w:pPr>
    </w:lvl>
    <w:lvl w:ilvl="4" w:tentative="0">
      <w:start w:val="1"/>
      <w:numFmt w:val="lowerLetter"/>
      <w:lvlText w:val="%5)"/>
      <w:lvlJc w:val="left"/>
      <w:pPr>
        <w:tabs>
          <w:tab w:val="left" w:pos="996"/>
        </w:tabs>
        <w:ind w:left="996" w:hanging="420"/>
      </w:pPr>
    </w:lvl>
    <w:lvl w:ilvl="5" w:tentative="0">
      <w:start w:val="1"/>
      <w:numFmt w:val="lowerRoman"/>
      <w:lvlText w:val="%6."/>
      <w:lvlJc w:val="right"/>
      <w:pPr>
        <w:tabs>
          <w:tab w:val="left" w:pos="1416"/>
        </w:tabs>
        <w:ind w:left="1416" w:hanging="420"/>
      </w:pPr>
    </w:lvl>
    <w:lvl w:ilvl="6" w:tentative="0">
      <w:start w:val="1"/>
      <w:numFmt w:val="decimal"/>
      <w:lvlText w:val="%7."/>
      <w:lvlJc w:val="left"/>
      <w:pPr>
        <w:tabs>
          <w:tab w:val="left" w:pos="1836"/>
        </w:tabs>
        <w:ind w:left="1836" w:hanging="420"/>
      </w:pPr>
    </w:lvl>
    <w:lvl w:ilvl="7" w:tentative="0">
      <w:start w:val="1"/>
      <w:numFmt w:val="lowerLetter"/>
      <w:lvlText w:val="%8)"/>
      <w:lvlJc w:val="left"/>
      <w:pPr>
        <w:tabs>
          <w:tab w:val="left" w:pos="2256"/>
        </w:tabs>
        <w:ind w:left="2256" w:hanging="420"/>
      </w:pPr>
    </w:lvl>
    <w:lvl w:ilvl="8" w:tentative="0">
      <w:start w:val="1"/>
      <w:numFmt w:val="lowerRoman"/>
      <w:lvlText w:val="%9."/>
      <w:lvlJc w:val="right"/>
      <w:pPr>
        <w:tabs>
          <w:tab w:val="left" w:pos="2676"/>
        </w:tabs>
        <w:ind w:left="2676" w:hanging="420"/>
      </w:pPr>
    </w:lvl>
  </w:abstractNum>
  <w:abstractNum w:abstractNumId="21">
    <w:nsid w:val="77E26FFD"/>
    <w:multiLevelType w:val="multilevel"/>
    <w:tmpl w:val="77E26FFD"/>
    <w:lvl w:ilvl="0" w:tentative="0">
      <w:start w:val="1"/>
      <w:numFmt w:val="decimal"/>
      <w:lvlText w:val="%1)"/>
      <w:lvlJc w:val="left"/>
      <w:pPr>
        <w:ind w:left="981" w:hanging="420"/>
      </w:pPr>
      <w:rPr>
        <w:rFonts w:hint="eastAsia"/>
      </w:rPr>
    </w:lvl>
    <w:lvl w:ilvl="1" w:tentative="0">
      <w:start w:val="1"/>
      <w:numFmt w:val="decimalEnclosedCircle"/>
      <w:lvlText w:val="%2"/>
      <w:lvlJc w:val="left"/>
      <w:pPr>
        <w:ind w:left="1401" w:hanging="420"/>
      </w:pPr>
      <w:rPr>
        <w:rFonts w:hint="default"/>
      </w:rPr>
    </w:lvl>
    <w:lvl w:ilvl="2" w:tentative="0">
      <w:start w:val="1"/>
      <w:numFmt w:val="lowerRoman"/>
      <w:lvlText w:val="%3."/>
      <w:lvlJc w:val="right"/>
      <w:pPr>
        <w:ind w:left="1821" w:hanging="420"/>
      </w:pPr>
    </w:lvl>
    <w:lvl w:ilvl="3" w:tentative="0">
      <w:start w:val="1"/>
      <w:numFmt w:val="decimal"/>
      <w:lvlText w:val="%4."/>
      <w:lvlJc w:val="left"/>
      <w:pPr>
        <w:ind w:left="2241" w:hanging="420"/>
      </w:pPr>
    </w:lvl>
    <w:lvl w:ilvl="4" w:tentative="0">
      <w:start w:val="1"/>
      <w:numFmt w:val="lowerLetter"/>
      <w:lvlText w:val="%5)"/>
      <w:lvlJc w:val="left"/>
      <w:pPr>
        <w:ind w:left="2661" w:hanging="420"/>
      </w:pPr>
    </w:lvl>
    <w:lvl w:ilvl="5" w:tentative="0">
      <w:start w:val="1"/>
      <w:numFmt w:val="lowerRoman"/>
      <w:lvlText w:val="%6."/>
      <w:lvlJc w:val="right"/>
      <w:pPr>
        <w:ind w:left="3081" w:hanging="420"/>
      </w:pPr>
    </w:lvl>
    <w:lvl w:ilvl="6" w:tentative="0">
      <w:start w:val="1"/>
      <w:numFmt w:val="decimal"/>
      <w:lvlText w:val="%7."/>
      <w:lvlJc w:val="left"/>
      <w:pPr>
        <w:ind w:left="3501" w:hanging="420"/>
      </w:pPr>
    </w:lvl>
    <w:lvl w:ilvl="7" w:tentative="0">
      <w:start w:val="1"/>
      <w:numFmt w:val="lowerLetter"/>
      <w:lvlText w:val="%8)"/>
      <w:lvlJc w:val="left"/>
      <w:pPr>
        <w:ind w:left="3921" w:hanging="420"/>
      </w:pPr>
    </w:lvl>
    <w:lvl w:ilvl="8" w:tentative="0">
      <w:start w:val="1"/>
      <w:numFmt w:val="lowerRoman"/>
      <w:lvlText w:val="%9."/>
      <w:lvlJc w:val="right"/>
      <w:pPr>
        <w:ind w:left="4341" w:hanging="420"/>
      </w:pPr>
    </w:lvl>
  </w:abstractNum>
  <w:num w:numId="1">
    <w:abstractNumId w:val="13"/>
  </w:num>
  <w:num w:numId="2">
    <w:abstractNumId w:val="7"/>
  </w:num>
  <w:num w:numId="3">
    <w:abstractNumId w:val="19"/>
  </w:num>
  <w:num w:numId="4">
    <w:abstractNumId w:val="14"/>
  </w:num>
  <w:num w:numId="5">
    <w:abstractNumId w:val="6"/>
  </w:num>
  <w:num w:numId="6">
    <w:abstractNumId w:val="5"/>
  </w:num>
  <w:num w:numId="7">
    <w:abstractNumId w:val="9"/>
  </w:num>
  <w:num w:numId="8">
    <w:abstractNumId w:val="3"/>
  </w:num>
  <w:num w:numId="9">
    <w:abstractNumId w:val="10"/>
  </w:num>
  <w:num w:numId="10">
    <w:abstractNumId w:val="1"/>
  </w:num>
  <w:num w:numId="11">
    <w:abstractNumId w:val="8"/>
  </w:num>
  <w:num w:numId="12">
    <w:abstractNumId w:val="17"/>
  </w:num>
  <w:num w:numId="13">
    <w:abstractNumId w:val="11"/>
  </w:num>
  <w:num w:numId="14">
    <w:abstractNumId w:val="2"/>
  </w:num>
  <w:num w:numId="15">
    <w:abstractNumId w:val="15"/>
  </w:num>
  <w:num w:numId="16">
    <w:abstractNumId w:val="18"/>
  </w:num>
  <w:num w:numId="17">
    <w:abstractNumId w:val="21"/>
  </w:num>
  <w:num w:numId="18">
    <w:abstractNumId w:val="12"/>
  </w:num>
  <w:num w:numId="19">
    <w:abstractNumId w:val="4"/>
  </w:num>
  <w:num w:numId="20">
    <w:abstractNumId w:val="0"/>
  </w:num>
  <w:num w:numId="21">
    <w:abstractNumId w:val="16"/>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noPunctuationKerning w:val="1"/>
  <w:characterSpacingControl w:val="compressPunctuation"/>
  <w:doNotValidateAgainstSchema/>
  <w:doNotDemarcateInvalidXml/>
  <w:compat>
    <w:spaceForUL/>
    <w:balanceSingleByteDoubleByteWidth/>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xZDEwN2ZjOTY3NjYyY2E0Y2FmNWI2OWI4ZDRlMmEifQ=="/>
    <w:docVar w:name="KSO_WPS_MARK_KEY" w:val="4935e4d3-46a6-4ef4-a5f8-26ab32f0fb4c"/>
  </w:docVars>
  <w:rsids>
    <w:rsidRoot w:val="000E2E3A"/>
    <w:rsid w:val="00000D08"/>
    <w:rsid w:val="00000EE8"/>
    <w:rsid w:val="000010D8"/>
    <w:rsid w:val="0000364C"/>
    <w:rsid w:val="000038F7"/>
    <w:rsid w:val="00003A97"/>
    <w:rsid w:val="0000404F"/>
    <w:rsid w:val="00004383"/>
    <w:rsid w:val="00004F13"/>
    <w:rsid w:val="0000621C"/>
    <w:rsid w:val="0000761A"/>
    <w:rsid w:val="00010007"/>
    <w:rsid w:val="0001043B"/>
    <w:rsid w:val="00010C8F"/>
    <w:rsid w:val="00011BFD"/>
    <w:rsid w:val="000137BD"/>
    <w:rsid w:val="00014161"/>
    <w:rsid w:val="0001424C"/>
    <w:rsid w:val="00015532"/>
    <w:rsid w:val="00015CC9"/>
    <w:rsid w:val="00020011"/>
    <w:rsid w:val="000206AF"/>
    <w:rsid w:val="00020E56"/>
    <w:rsid w:val="0002278E"/>
    <w:rsid w:val="000238C0"/>
    <w:rsid w:val="00023D65"/>
    <w:rsid w:val="00023D6C"/>
    <w:rsid w:val="000242D5"/>
    <w:rsid w:val="000265A9"/>
    <w:rsid w:val="000277D4"/>
    <w:rsid w:val="00034EBA"/>
    <w:rsid w:val="00035D4F"/>
    <w:rsid w:val="00035F06"/>
    <w:rsid w:val="00035FC8"/>
    <w:rsid w:val="0003692A"/>
    <w:rsid w:val="00037197"/>
    <w:rsid w:val="000372FE"/>
    <w:rsid w:val="00037BED"/>
    <w:rsid w:val="00041168"/>
    <w:rsid w:val="00041C10"/>
    <w:rsid w:val="00042ADA"/>
    <w:rsid w:val="00042E28"/>
    <w:rsid w:val="00043522"/>
    <w:rsid w:val="000438F1"/>
    <w:rsid w:val="00043C15"/>
    <w:rsid w:val="00043ED1"/>
    <w:rsid w:val="0004423F"/>
    <w:rsid w:val="00044C85"/>
    <w:rsid w:val="00045267"/>
    <w:rsid w:val="00045EF1"/>
    <w:rsid w:val="00046AF8"/>
    <w:rsid w:val="00051E08"/>
    <w:rsid w:val="00053536"/>
    <w:rsid w:val="00053A40"/>
    <w:rsid w:val="00054446"/>
    <w:rsid w:val="0005523F"/>
    <w:rsid w:val="00055C58"/>
    <w:rsid w:val="00055FE2"/>
    <w:rsid w:val="00056754"/>
    <w:rsid w:val="00056A52"/>
    <w:rsid w:val="00056FB0"/>
    <w:rsid w:val="000606E5"/>
    <w:rsid w:val="000612C2"/>
    <w:rsid w:val="00061485"/>
    <w:rsid w:val="000615D0"/>
    <w:rsid w:val="00061633"/>
    <w:rsid w:val="00061B28"/>
    <w:rsid w:val="000621B1"/>
    <w:rsid w:val="0006233A"/>
    <w:rsid w:val="0006425C"/>
    <w:rsid w:val="00064CAB"/>
    <w:rsid w:val="000651EA"/>
    <w:rsid w:val="000653BB"/>
    <w:rsid w:val="00065617"/>
    <w:rsid w:val="00065BCF"/>
    <w:rsid w:val="0006727B"/>
    <w:rsid w:val="0006737B"/>
    <w:rsid w:val="000677FB"/>
    <w:rsid w:val="000715A3"/>
    <w:rsid w:val="0007194D"/>
    <w:rsid w:val="00071B29"/>
    <w:rsid w:val="000725F7"/>
    <w:rsid w:val="00072A1C"/>
    <w:rsid w:val="0007410F"/>
    <w:rsid w:val="000750CB"/>
    <w:rsid w:val="000753B3"/>
    <w:rsid w:val="00075AF3"/>
    <w:rsid w:val="000823F9"/>
    <w:rsid w:val="00082553"/>
    <w:rsid w:val="00082D37"/>
    <w:rsid w:val="000838AB"/>
    <w:rsid w:val="000838E0"/>
    <w:rsid w:val="00083AA5"/>
    <w:rsid w:val="000845EE"/>
    <w:rsid w:val="000848E7"/>
    <w:rsid w:val="00084E81"/>
    <w:rsid w:val="000853BE"/>
    <w:rsid w:val="000858AA"/>
    <w:rsid w:val="00085B0F"/>
    <w:rsid w:val="0008656E"/>
    <w:rsid w:val="00086661"/>
    <w:rsid w:val="000866B1"/>
    <w:rsid w:val="00086987"/>
    <w:rsid w:val="00087ACD"/>
    <w:rsid w:val="0009025F"/>
    <w:rsid w:val="000914E8"/>
    <w:rsid w:val="00091538"/>
    <w:rsid w:val="00091B7E"/>
    <w:rsid w:val="00093258"/>
    <w:rsid w:val="00093586"/>
    <w:rsid w:val="0009634E"/>
    <w:rsid w:val="0009787F"/>
    <w:rsid w:val="000A0259"/>
    <w:rsid w:val="000A025B"/>
    <w:rsid w:val="000A083F"/>
    <w:rsid w:val="000A0F2F"/>
    <w:rsid w:val="000A1159"/>
    <w:rsid w:val="000A1206"/>
    <w:rsid w:val="000A1E80"/>
    <w:rsid w:val="000A2E3F"/>
    <w:rsid w:val="000A3A9B"/>
    <w:rsid w:val="000A3D88"/>
    <w:rsid w:val="000A3F68"/>
    <w:rsid w:val="000A3F90"/>
    <w:rsid w:val="000A47B7"/>
    <w:rsid w:val="000A5000"/>
    <w:rsid w:val="000A5887"/>
    <w:rsid w:val="000A5D92"/>
    <w:rsid w:val="000A76E4"/>
    <w:rsid w:val="000A7C16"/>
    <w:rsid w:val="000B02F8"/>
    <w:rsid w:val="000B0384"/>
    <w:rsid w:val="000B0D54"/>
    <w:rsid w:val="000B30BD"/>
    <w:rsid w:val="000B3B9C"/>
    <w:rsid w:val="000B3FB9"/>
    <w:rsid w:val="000B4ACA"/>
    <w:rsid w:val="000B4C62"/>
    <w:rsid w:val="000B5644"/>
    <w:rsid w:val="000B5BE4"/>
    <w:rsid w:val="000B6162"/>
    <w:rsid w:val="000B713A"/>
    <w:rsid w:val="000C04E8"/>
    <w:rsid w:val="000C1E8A"/>
    <w:rsid w:val="000C3D32"/>
    <w:rsid w:val="000C3E10"/>
    <w:rsid w:val="000C4C26"/>
    <w:rsid w:val="000C509E"/>
    <w:rsid w:val="000C51FD"/>
    <w:rsid w:val="000C56E9"/>
    <w:rsid w:val="000C5D2F"/>
    <w:rsid w:val="000C6BF3"/>
    <w:rsid w:val="000C701E"/>
    <w:rsid w:val="000C778A"/>
    <w:rsid w:val="000D0E8D"/>
    <w:rsid w:val="000D1752"/>
    <w:rsid w:val="000D1FDE"/>
    <w:rsid w:val="000D27A7"/>
    <w:rsid w:val="000D3961"/>
    <w:rsid w:val="000D3D0E"/>
    <w:rsid w:val="000D493A"/>
    <w:rsid w:val="000D4BFC"/>
    <w:rsid w:val="000D50E6"/>
    <w:rsid w:val="000D5423"/>
    <w:rsid w:val="000D5517"/>
    <w:rsid w:val="000D5C9B"/>
    <w:rsid w:val="000D6CFC"/>
    <w:rsid w:val="000D6EEB"/>
    <w:rsid w:val="000E0284"/>
    <w:rsid w:val="000E087F"/>
    <w:rsid w:val="000E13CE"/>
    <w:rsid w:val="000E1646"/>
    <w:rsid w:val="000E180D"/>
    <w:rsid w:val="000E1B6E"/>
    <w:rsid w:val="000E27B8"/>
    <w:rsid w:val="000E2E3A"/>
    <w:rsid w:val="000E3A62"/>
    <w:rsid w:val="000E4442"/>
    <w:rsid w:val="000E54FA"/>
    <w:rsid w:val="000E7A25"/>
    <w:rsid w:val="000E7F8E"/>
    <w:rsid w:val="000F0FC6"/>
    <w:rsid w:val="000F110C"/>
    <w:rsid w:val="000F1854"/>
    <w:rsid w:val="000F1AE3"/>
    <w:rsid w:val="000F1FF3"/>
    <w:rsid w:val="000F2170"/>
    <w:rsid w:val="000F7263"/>
    <w:rsid w:val="000F745C"/>
    <w:rsid w:val="00100BB6"/>
    <w:rsid w:val="00101265"/>
    <w:rsid w:val="001013E9"/>
    <w:rsid w:val="00103499"/>
    <w:rsid w:val="0010424F"/>
    <w:rsid w:val="001107D7"/>
    <w:rsid w:val="00110E5B"/>
    <w:rsid w:val="00111AC3"/>
    <w:rsid w:val="001121F9"/>
    <w:rsid w:val="0011265C"/>
    <w:rsid w:val="00112ED7"/>
    <w:rsid w:val="0011361B"/>
    <w:rsid w:val="00113CC5"/>
    <w:rsid w:val="001146A6"/>
    <w:rsid w:val="00120357"/>
    <w:rsid w:val="001205F1"/>
    <w:rsid w:val="001206F1"/>
    <w:rsid w:val="00120A19"/>
    <w:rsid w:val="001217EE"/>
    <w:rsid w:val="00121D88"/>
    <w:rsid w:val="0012222F"/>
    <w:rsid w:val="00123721"/>
    <w:rsid w:val="00123803"/>
    <w:rsid w:val="001242DA"/>
    <w:rsid w:val="001255A2"/>
    <w:rsid w:val="0012561C"/>
    <w:rsid w:val="00126134"/>
    <w:rsid w:val="00126E91"/>
    <w:rsid w:val="00127682"/>
    <w:rsid w:val="0012779C"/>
    <w:rsid w:val="0013023A"/>
    <w:rsid w:val="001303E2"/>
    <w:rsid w:val="0013071E"/>
    <w:rsid w:val="00130C50"/>
    <w:rsid w:val="00131265"/>
    <w:rsid w:val="0013309A"/>
    <w:rsid w:val="001334BD"/>
    <w:rsid w:val="00133A33"/>
    <w:rsid w:val="0013780F"/>
    <w:rsid w:val="00137B94"/>
    <w:rsid w:val="00137CC2"/>
    <w:rsid w:val="00140D4A"/>
    <w:rsid w:val="00141501"/>
    <w:rsid w:val="00141F52"/>
    <w:rsid w:val="00142324"/>
    <w:rsid w:val="00142AAE"/>
    <w:rsid w:val="00142C5A"/>
    <w:rsid w:val="00142EE5"/>
    <w:rsid w:val="001439C5"/>
    <w:rsid w:val="00143A72"/>
    <w:rsid w:val="0014450C"/>
    <w:rsid w:val="00144D7E"/>
    <w:rsid w:val="00144DAD"/>
    <w:rsid w:val="00144F2E"/>
    <w:rsid w:val="0014561D"/>
    <w:rsid w:val="00146286"/>
    <w:rsid w:val="001466BA"/>
    <w:rsid w:val="00147E7C"/>
    <w:rsid w:val="001508E7"/>
    <w:rsid w:val="0015103F"/>
    <w:rsid w:val="001517ED"/>
    <w:rsid w:val="0015345E"/>
    <w:rsid w:val="00153A54"/>
    <w:rsid w:val="00153CD1"/>
    <w:rsid w:val="00154D20"/>
    <w:rsid w:val="00154F75"/>
    <w:rsid w:val="001561E7"/>
    <w:rsid w:val="00157FEF"/>
    <w:rsid w:val="0016008B"/>
    <w:rsid w:val="001601A6"/>
    <w:rsid w:val="00160312"/>
    <w:rsid w:val="00160C4C"/>
    <w:rsid w:val="00162362"/>
    <w:rsid w:val="00163527"/>
    <w:rsid w:val="00163698"/>
    <w:rsid w:val="00163B11"/>
    <w:rsid w:val="00164A88"/>
    <w:rsid w:val="00165DE6"/>
    <w:rsid w:val="00166C3A"/>
    <w:rsid w:val="00166C9F"/>
    <w:rsid w:val="00166F53"/>
    <w:rsid w:val="001676A2"/>
    <w:rsid w:val="00167941"/>
    <w:rsid w:val="001679EB"/>
    <w:rsid w:val="00171216"/>
    <w:rsid w:val="00171B78"/>
    <w:rsid w:val="001720B4"/>
    <w:rsid w:val="00172AE9"/>
    <w:rsid w:val="001744C3"/>
    <w:rsid w:val="00174743"/>
    <w:rsid w:val="00175586"/>
    <w:rsid w:val="001756D5"/>
    <w:rsid w:val="00175FD3"/>
    <w:rsid w:val="00176D40"/>
    <w:rsid w:val="00176DDD"/>
    <w:rsid w:val="001771F3"/>
    <w:rsid w:val="00177336"/>
    <w:rsid w:val="00177708"/>
    <w:rsid w:val="00177A0F"/>
    <w:rsid w:val="001806E5"/>
    <w:rsid w:val="00181200"/>
    <w:rsid w:val="00181287"/>
    <w:rsid w:val="00183083"/>
    <w:rsid w:val="001830A3"/>
    <w:rsid w:val="00183765"/>
    <w:rsid w:val="00184054"/>
    <w:rsid w:val="0018433F"/>
    <w:rsid w:val="00184684"/>
    <w:rsid w:val="00185AF9"/>
    <w:rsid w:val="001865A0"/>
    <w:rsid w:val="00186831"/>
    <w:rsid w:val="00186EA5"/>
    <w:rsid w:val="00187679"/>
    <w:rsid w:val="0019143E"/>
    <w:rsid w:val="00191C67"/>
    <w:rsid w:val="00192C81"/>
    <w:rsid w:val="001933C9"/>
    <w:rsid w:val="0019345A"/>
    <w:rsid w:val="00194757"/>
    <w:rsid w:val="001949B3"/>
    <w:rsid w:val="00195038"/>
    <w:rsid w:val="001960E6"/>
    <w:rsid w:val="00197A73"/>
    <w:rsid w:val="00197CD2"/>
    <w:rsid w:val="001A04FD"/>
    <w:rsid w:val="001A0500"/>
    <w:rsid w:val="001A1437"/>
    <w:rsid w:val="001A1E98"/>
    <w:rsid w:val="001A1F2F"/>
    <w:rsid w:val="001A24AB"/>
    <w:rsid w:val="001A2D78"/>
    <w:rsid w:val="001A3C31"/>
    <w:rsid w:val="001A400E"/>
    <w:rsid w:val="001A448E"/>
    <w:rsid w:val="001A479B"/>
    <w:rsid w:val="001A4831"/>
    <w:rsid w:val="001A496B"/>
    <w:rsid w:val="001A6252"/>
    <w:rsid w:val="001A7075"/>
    <w:rsid w:val="001A7B3E"/>
    <w:rsid w:val="001B067E"/>
    <w:rsid w:val="001B169F"/>
    <w:rsid w:val="001B1A46"/>
    <w:rsid w:val="001B1B78"/>
    <w:rsid w:val="001B1D86"/>
    <w:rsid w:val="001B2158"/>
    <w:rsid w:val="001B2469"/>
    <w:rsid w:val="001B2512"/>
    <w:rsid w:val="001C0182"/>
    <w:rsid w:val="001C0520"/>
    <w:rsid w:val="001C0AEE"/>
    <w:rsid w:val="001C2018"/>
    <w:rsid w:val="001C2267"/>
    <w:rsid w:val="001C24EA"/>
    <w:rsid w:val="001C31C8"/>
    <w:rsid w:val="001C3D2A"/>
    <w:rsid w:val="001C4822"/>
    <w:rsid w:val="001C6460"/>
    <w:rsid w:val="001C718B"/>
    <w:rsid w:val="001C7405"/>
    <w:rsid w:val="001C7DF7"/>
    <w:rsid w:val="001D00AB"/>
    <w:rsid w:val="001D0C22"/>
    <w:rsid w:val="001D2F88"/>
    <w:rsid w:val="001D322D"/>
    <w:rsid w:val="001D54FE"/>
    <w:rsid w:val="001D72A4"/>
    <w:rsid w:val="001D76A8"/>
    <w:rsid w:val="001D7920"/>
    <w:rsid w:val="001D7AC3"/>
    <w:rsid w:val="001E0CEF"/>
    <w:rsid w:val="001E14FE"/>
    <w:rsid w:val="001E279C"/>
    <w:rsid w:val="001E372A"/>
    <w:rsid w:val="001E432C"/>
    <w:rsid w:val="001E4E60"/>
    <w:rsid w:val="001E53E7"/>
    <w:rsid w:val="001E5992"/>
    <w:rsid w:val="001E61C0"/>
    <w:rsid w:val="001F0047"/>
    <w:rsid w:val="001F043C"/>
    <w:rsid w:val="001F04D6"/>
    <w:rsid w:val="001F08F2"/>
    <w:rsid w:val="001F1203"/>
    <w:rsid w:val="001F128D"/>
    <w:rsid w:val="001F1C07"/>
    <w:rsid w:val="001F1C21"/>
    <w:rsid w:val="001F27FD"/>
    <w:rsid w:val="001F2AB4"/>
    <w:rsid w:val="001F2FDF"/>
    <w:rsid w:val="001F35FA"/>
    <w:rsid w:val="001F47FA"/>
    <w:rsid w:val="001F48C9"/>
    <w:rsid w:val="001F527D"/>
    <w:rsid w:val="001F62F7"/>
    <w:rsid w:val="001F7021"/>
    <w:rsid w:val="001F755B"/>
    <w:rsid w:val="001F763B"/>
    <w:rsid w:val="0020093D"/>
    <w:rsid w:val="00201040"/>
    <w:rsid w:val="0020127C"/>
    <w:rsid w:val="00201718"/>
    <w:rsid w:val="00203329"/>
    <w:rsid w:val="0020423A"/>
    <w:rsid w:val="00204346"/>
    <w:rsid w:val="00204619"/>
    <w:rsid w:val="00204857"/>
    <w:rsid w:val="002062C4"/>
    <w:rsid w:val="00206723"/>
    <w:rsid w:val="00206DE5"/>
    <w:rsid w:val="002076F9"/>
    <w:rsid w:val="00210100"/>
    <w:rsid w:val="002104FB"/>
    <w:rsid w:val="0021058C"/>
    <w:rsid w:val="0021061C"/>
    <w:rsid w:val="0021076A"/>
    <w:rsid w:val="00213B02"/>
    <w:rsid w:val="00213EA0"/>
    <w:rsid w:val="00214DFC"/>
    <w:rsid w:val="0021542B"/>
    <w:rsid w:val="00216D96"/>
    <w:rsid w:val="00217634"/>
    <w:rsid w:val="00221259"/>
    <w:rsid w:val="00221481"/>
    <w:rsid w:val="00222423"/>
    <w:rsid w:val="002225B7"/>
    <w:rsid w:val="00222BF8"/>
    <w:rsid w:val="00222E7A"/>
    <w:rsid w:val="002231A1"/>
    <w:rsid w:val="002233F4"/>
    <w:rsid w:val="00223AE6"/>
    <w:rsid w:val="00224253"/>
    <w:rsid w:val="0022436A"/>
    <w:rsid w:val="00225556"/>
    <w:rsid w:val="00225E98"/>
    <w:rsid w:val="00226338"/>
    <w:rsid w:val="002304CA"/>
    <w:rsid w:val="002305B2"/>
    <w:rsid w:val="00230767"/>
    <w:rsid w:val="00231BB5"/>
    <w:rsid w:val="00231C91"/>
    <w:rsid w:val="002323E8"/>
    <w:rsid w:val="0023344D"/>
    <w:rsid w:val="00234FE0"/>
    <w:rsid w:val="00236263"/>
    <w:rsid w:val="00236A1C"/>
    <w:rsid w:val="00237192"/>
    <w:rsid w:val="00237F7F"/>
    <w:rsid w:val="002401C1"/>
    <w:rsid w:val="0024152A"/>
    <w:rsid w:val="00242E8B"/>
    <w:rsid w:val="002437A6"/>
    <w:rsid w:val="002450A1"/>
    <w:rsid w:val="002454BD"/>
    <w:rsid w:val="00246695"/>
    <w:rsid w:val="00246AAD"/>
    <w:rsid w:val="00246DA0"/>
    <w:rsid w:val="0024755C"/>
    <w:rsid w:val="002477AD"/>
    <w:rsid w:val="00247D2D"/>
    <w:rsid w:val="00250422"/>
    <w:rsid w:val="002506A4"/>
    <w:rsid w:val="002510AD"/>
    <w:rsid w:val="00251A9E"/>
    <w:rsid w:val="00252176"/>
    <w:rsid w:val="002522D5"/>
    <w:rsid w:val="00252DBE"/>
    <w:rsid w:val="00252FD2"/>
    <w:rsid w:val="00253C54"/>
    <w:rsid w:val="0025450B"/>
    <w:rsid w:val="00254A04"/>
    <w:rsid w:val="00255CC7"/>
    <w:rsid w:val="0025628A"/>
    <w:rsid w:val="002569B9"/>
    <w:rsid w:val="00256DAD"/>
    <w:rsid w:val="00260C40"/>
    <w:rsid w:val="00261581"/>
    <w:rsid w:val="00262381"/>
    <w:rsid w:val="002628AC"/>
    <w:rsid w:val="0026355B"/>
    <w:rsid w:val="002636CB"/>
    <w:rsid w:val="00264A0F"/>
    <w:rsid w:val="00264B92"/>
    <w:rsid w:val="00264D5D"/>
    <w:rsid w:val="00264F88"/>
    <w:rsid w:val="002653A1"/>
    <w:rsid w:val="00265621"/>
    <w:rsid w:val="00266BD5"/>
    <w:rsid w:val="0027134F"/>
    <w:rsid w:val="0027155D"/>
    <w:rsid w:val="0027221E"/>
    <w:rsid w:val="00272327"/>
    <w:rsid w:val="00272848"/>
    <w:rsid w:val="0027330A"/>
    <w:rsid w:val="002733EB"/>
    <w:rsid w:val="0027356B"/>
    <w:rsid w:val="00273B83"/>
    <w:rsid w:val="00273C70"/>
    <w:rsid w:val="00274076"/>
    <w:rsid w:val="00274368"/>
    <w:rsid w:val="00275296"/>
    <w:rsid w:val="00275C6E"/>
    <w:rsid w:val="00276191"/>
    <w:rsid w:val="00276360"/>
    <w:rsid w:val="0027776B"/>
    <w:rsid w:val="00277F43"/>
    <w:rsid w:val="00280B69"/>
    <w:rsid w:val="002811C4"/>
    <w:rsid w:val="00281302"/>
    <w:rsid w:val="00281EE9"/>
    <w:rsid w:val="002824C3"/>
    <w:rsid w:val="002824EA"/>
    <w:rsid w:val="00284639"/>
    <w:rsid w:val="0028478F"/>
    <w:rsid w:val="0028494C"/>
    <w:rsid w:val="00286A06"/>
    <w:rsid w:val="00286C1E"/>
    <w:rsid w:val="00286DCC"/>
    <w:rsid w:val="002877C4"/>
    <w:rsid w:val="00287C6E"/>
    <w:rsid w:val="00287DD3"/>
    <w:rsid w:val="002909E8"/>
    <w:rsid w:val="00291F4F"/>
    <w:rsid w:val="00293093"/>
    <w:rsid w:val="002933A9"/>
    <w:rsid w:val="00294135"/>
    <w:rsid w:val="002944F8"/>
    <w:rsid w:val="00295254"/>
    <w:rsid w:val="0029563D"/>
    <w:rsid w:val="00295A15"/>
    <w:rsid w:val="0029626A"/>
    <w:rsid w:val="00296499"/>
    <w:rsid w:val="002976AB"/>
    <w:rsid w:val="002A071E"/>
    <w:rsid w:val="002A1201"/>
    <w:rsid w:val="002A303A"/>
    <w:rsid w:val="002A355E"/>
    <w:rsid w:val="002A3600"/>
    <w:rsid w:val="002A4457"/>
    <w:rsid w:val="002A4D8C"/>
    <w:rsid w:val="002A4E83"/>
    <w:rsid w:val="002A59EE"/>
    <w:rsid w:val="002A68E4"/>
    <w:rsid w:val="002A6F7D"/>
    <w:rsid w:val="002A7144"/>
    <w:rsid w:val="002A74BF"/>
    <w:rsid w:val="002B04CC"/>
    <w:rsid w:val="002B09DA"/>
    <w:rsid w:val="002B0E1A"/>
    <w:rsid w:val="002B1940"/>
    <w:rsid w:val="002B2FCA"/>
    <w:rsid w:val="002B3C0B"/>
    <w:rsid w:val="002B3CA4"/>
    <w:rsid w:val="002B3EB2"/>
    <w:rsid w:val="002B6476"/>
    <w:rsid w:val="002B6CEE"/>
    <w:rsid w:val="002B7BD1"/>
    <w:rsid w:val="002C026E"/>
    <w:rsid w:val="002C02AE"/>
    <w:rsid w:val="002C107C"/>
    <w:rsid w:val="002C1CDB"/>
    <w:rsid w:val="002C2103"/>
    <w:rsid w:val="002C3606"/>
    <w:rsid w:val="002C40AC"/>
    <w:rsid w:val="002C55DC"/>
    <w:rsid w:val="002C6147"/>
    <w:rsid w:val="002C6AD6"/>
    <w:rsid w:val="002C6CEA"/>
    <w:rsid w:val="002C79EF"/>
    <w:rsid w:val="002C7EE2"/>
    <w:rsid w:val="002D04DA"/>
    <w:rsid w:val="002D092D"/>
    <w:rsid w:val="002D1217"/>
    <w:rsid w:val="002D1DC5"/>
    <w:rsid w:val="002D2A99"/>
    <w:rsid w:val="002D3105"/>
    <w:rsid w:val="002D33FF"/>
    <w:rsid w:val="002D3B09"/>
    <w:rsid w:val="002D3E51"/>
    <w:rsid w:val="002D4266"/>
    <w:rsid w:val="002D4579"/>
    <w:rsid w:val="002D528F"/>
    <w:rsid w:val="002D5AA4"/>
    <w:rsid w:val="002D5AE6"/>
    <w:rsid w:val="002D5E93"/>
    <w:rsid w:val="002D60CC"/>
    <w:rsid w:val="002D6ABE"/>
    <w:rsid w:val="002D7C93"/>
    <w:rsid w:val="002D7FF8"/>
    <w:rsid w:val="002E1838"/>
    <w:rsid w:val="002E21AE"/>
    <w:rsid w:val="002E38B1"/>
    <w:rsid w:val="002E3AA7"/>
    <w:rsid w:val="002E3B32"/>
    <w:rsid w:val="002E3C02"/>
    <w:rsid w:val="002E3E1C"/>
    <w:rsid w:val="002E3E5B"/>
    <w:rsid w:val="002E48D7"/>
    <w:rsid w:val="002E4E49"/>
    <w:rsid w:val="002E5B34"/>
    <w:rsid w:val="002E64B7"/>
    <w:rsid w:val="002E6884"/>
    <w:rsid w:val="002E6AE2"/>
    <w:rsid w:val="002E6E1C"/>
    <w:rsid w:val="002E7C00"/>
    <w:rsid w:val="002E7C5C"/>
    <w:rsid w:val="002F0BAA"/>
    <w:rsid w:val="002F0FFE"/>
    <w:rsid w:val="002F1DE3"/>
    <w:rsid w:val="002F28A8"/>
    <w:rsid w:val="002F33ED"/>
    <w:rsid w:val="002F41AB"/>
    <w:rsid w:val="002F7635"/>
    <w:rsid w:val="0030004A"/>
    <w:rsid w:val="00300F0C"/>
    <w:rsid w:val="00300F48"/>
    <w:rsid w:val="0030120F"/>
    <w:rsid w:val="0030142F"/>
    <w:rsid w:val="00301C00"/>
    <w:rsid w:val="00302E5A"/>
    <w:rsid w:val="003031B2"/>
    <w:rsid w:val="00303DD9"/>
    <w:rsid w:val="003040FE"/>
    <w:rsid w:val="00304194"/>
    <w:rsid w:val="003045BE"/>
    <w:rsid w:val="00304939"/>
    <w:rsid w:val="00306A51"/>
    <w:rsid w:val="00307D3A"/>
    <w:rsid w:val="00310256"/>
    <w:rsid w:val="003106BF"/>
    <w:rsid w:val="00310760"/>
    <w:rsid w:val="003108AF"/>
    <w:rsid w:val="00310BA1"/>
    <w:rsid w:val="00310C46"/>
    <w:rsid w:val="00310D06"/>
    <w:rsid w:val="00312BB8"/>
    <w:rsid w:val="00312CA6"/>
    <w:rsid w:val="003130CE"/>
    <w:rsid w:val="003146D1"/>
    <w:rsid w:val="00315292"/>
    <w:rsid w:val="003155D7"/>
    <w:rsid w:val="00315BCD"/>
    <w:rsid w:val="003163FC"/>
    <w:rsid w:val="00317538"/>
    <w:rsid w:val="00317864"/>
    <w:rsid w:val="00317880"/>
    <w:rsid w:val="00317C07"/>
    <w:rsid w:val="00317CFB"/>
    <w:rsid w:val="00320317"/>
    <w:rsid w:val="00322024"/>
    <w:rsid w:val="00322A03"/>
    <w:rsid w:val="003238D9"/>
    <w:rsid w:val="00324292"/>
    <w:rsid w:val="0032464D"/>
    <w:rsid w:val="0032492F"/>
    <w:rsid w:val="003250D2"/>
    <w:rsid w:val="0032534C"/>
    <w:rsid w:val="00325A75"/>
    <w:rsid w:val="00325CBC"/>
    <w:rsid w:val="00326C44"/>
    <w:rsid w:val="00326E04"/>
    <w:rsid w:val="00331579"/>
    <w:rsid w:val="003316E1"/>
    <w:rsid w:val="003317EF"/>
    <w:rsid w:val="00331821"/>
    <w:rsid w:val="00331C05"/>
    <w:rsid w:val="00331FE5"/>
    <w:rsid w:val="00332C3C"/>
    <w:rsid w:val="00333580"/>
    <w:rsid w:val="00334B0F"/>
    <w:rsid w:val="0033694C"/>
    <w:rsid w:val="0034153D"/>
    <w:rsid w:val="003426A9"/>
    <w:rsid w:val="003427A3"/>
    <w:rsid w:val="00343405"/>
    <w:rsid w:val="003437F4"/>
    <w:rsid w:val="00343BC1"/>
    <w:rsid w:val="0034524A"/>
    <w:rsid w:val="003468E4"/>
    <w:rsid w:val="00346F39"/>
    <w:rsid w:val="00346F55"/>
    <w:rsid w:val="00346FBE"/>
    <w:rsid w:val="00347541"/>
    <w:rsid w:val="00347867"/>
    <w:rsid w:val="00350BBC"/>
    <w:rsid w:val="003511CD"/>
    <w:rsid w:val="0035130B"/>
    <w:rsid w:val="0035244F"/>
    <w:rsid w:val="00352750"/>
    <w:rsid w:val="0035289E"/>
    <w:rsid w:val="0035295F"/>
    <w:rsid w:val="003534E8"/>
    <w:rsid w:val="00353FC3"/>
    <w:rsid w:val="003551E7"/>
    <w:rsid w:val="00355230"/>
    <w:rsid w:val="00355952"/>
    <w:rsid w:val="00356157"/>
    <w:rsid w:val="00356360"/>
    <w:rsid w:val="003566FE"/>
    <w:rsid w:val="0035768F"/>
    <w:rsid w:val="0035786C"/>
    <w:rsid w:val="00357C20"/>
    <w:rsid w:val="003600A7"/>
    <w:rsid w:val="003614D7"/>
    <w:rsid w:val="00362242"/>
    <w:rsid w:val="0036305C"/>
    <w:rsid w:val="0036380D"/>
    <w:rsid w:val="00363D51"/>
    <w:rsid w:val="00364422"/>
    <w:rsid w:val="003644D7"/>
    <w:rsid w:val="00364F8E"/>
    <w:rsid w:val="00366478"/>
    <w:rsid w:val="00366A0C"/>
    <w:rsid w:val="003674FB"/>
    <w:rsid w:val="0036751C"/>
    <w:rsid w:val="00367A32"/>
    <w:rsid w:val="00367C4C"/>
    <w:rsid w:val="003701BF"/>
    <w:rsid w:val="00371755"/>
    <w:rsid w:val="00371E89"/>
    <w:rsid w:val="00372573"/>
    <w:rsid w:val="00372875"/>
    <w:rsid w:val="00374002"/>
    <w:rsid w:val="00374904"/>
    <w:rsid w:val="00375909"/>
    <w:rsid w:val="00375CB2"/>
    <w:rsid w:val="00376621"/>
    <w:rsid w:val="00377CBB"/>
    <w:rsid w:val="00380A01"/>
    <w:rsid w:val="00380FDD"/>
    <w:rsid w:val="003814D7"/>
    <w:rsid w:val="003816F1"/>
    <w:rsid w:val="003823AB"/>
    <w:rsid w:val="00382AAA"/>
    <w:rsid w:val="00382ACC"/>
    <w:rsid w:val="0038301D"/>
    <w:rsid w:val="00384066"/>
    <w:rsid w:val="0038482B"/>
    <w:rsid w:val="003854FE"/>
    <w:rsid w:val="00386F62"/>
    <w:rsid w:val="003876BF"/>
    <w:rsid w:val="0038796E"/>
    <w:rsid w:val="00387B10"/>
    <w:rsid w:val="00387D90"/>
    <w:rsid w:val="00391056"/>
    <w:rsid w:val="00391C6D"/>
    <w:rsid w:val="00392278"/>
    <w:rsid w:val="0039359F"/>
    <w:rsid w:val="003937E4"/>
    <w:rsid w:val="00393AB0"/>
    <w:rsid w:val="0039409D"/>
    <w:rsid w:val="00396E1A"/>
    <w:rsid w:val="00397BDB"/>
    <w:rsid w:val="003A033B"/>
    <w:rsid w:val="003A0371"/>
    <w:rsid w:val="003A0C68"/>
    <w:rsid w:val="003A1404"/>
    <w:rsid w:val="003A1BD5"/>
    <w:rsid w:val="003A1DC4"/>
    <w:rsid w:val="003A2167"/>
    <w:rsid w:val="003A22BA"/>
    <w:rsid w:val="003A2B2C"/>
    <w:rsid w:val="003A3386"/>
    <w:rsid w:val="003A440E"/>
    <w:rsid w:val="003A6E4C"/>
    <w:rsid w:val="003B2373"/>
    <w:rsid w:val="003B3CF5"/>
    <w:rsid w:val="003B5069"/>
    <w:rsid w:val="003B5237"/>
    <w:rsid w:val="003B6EA9"/>
    <w:rsid w:val="003B7BBE"/>
    <w:rsid w:val="003C1671"/>
    <w:rsid w:val="003C1FF9"/>
    <w:rsid w:val="003C2EB3"/>
    <w:rsid w:val="003C3B19"/>
    <w:rsid w:val="003C3C06"/>
    <w:rsid w:val="003C4050"/>
    <w:rsid w:val="003C4198"/>
    <w:rsid w:val="003C4368"/>
    <w:rsid w:val="003C47F0"/>
    <w:rsid w:val="003C54F3"/>
    <w:rsid w:val="003C617A"/>
    <w:rsid w:val="003C6495"/>
    <w:rsid w:val="003C6D70"/>
    <w:rsid w:val="003C76A1"/>
    <w:rsid w:val="003C76B7"/>
    <w:rsid w:val="003D017D"/>
    <w:rsid w:val="003D0553"/>
    <w:rsid w:val="003D19BA"/>
    <w:rsid w:val="003D2BE9"/>
    <w:rsid w:val="003D2C7B"/>
    <w:rsid w:val="003D5E1C"/>
    <w:rsid w:val="003D7119"/>
    <w:rsid w:val="003E0792"/>
    <w:rsid w:val="003E10C8"/>
    <w:rsid w:val="003E13E5"/>
    <w:rsid w:val="003E330D"/>
    <w:rsid w:val="003E392C"/>
    <w:rsid w:val="003E3C13"/>
    <w:rsid w:val="003E61BF"/>
    <w:rsid w:val="003E7654"/>
    <w:rsid w:val="003F0572"/>
    <w:rsid w:val="003F1124"/>
    <w:rsid w:val="003F15C1"/>
    <w:rsid w:val="003F22DE"/>
    <w:rsid w:val="003F299C"/>
    <w:rsid w:val="003F3666"/>
    <w:rsid w:val="003F3D5E"/>
    <w:rsid w:val="003F4B3B"/>
    <w:rsid w:val="003F5364"/>
    <w:rsid w:val="003F79CD"/>
    <w:rsid w:val="003F7D46"/>
    <w:rsid w:val="0040021B"/>
    <w:rsid w:val="00400285"/>
    <w:rsid w:val="00401662"/>
    <w:rsid w:val="0040229D"/>
    <w:rsid w:val="0040256C"/>
    <w:rsid w:val="00403E18"/>
    <w:rsid w:val="0040404C"/>
    <w:rsid w:val="00405282"/>
    <w:rsid w:val="00411C2D"/>
    <w:rsid w:val="0041247D"/>
    <w:rsid w:val="00412ABB"/>
    <w:rsid w:val="00412D06"/>
    <w:rsid w:val="00413476"/>
    <w:rsid w:val="0041350F"/>
    <w:rsid w:val="00414213"/>
    <w:rsid w:val="00415E1B"/>
    <w:rsid w:val="004160BD"/>
    <w:rsid w:val="0041619A"/>
    <w:rsid w:val="004174C0"/>
    <w:rsid w:val="00422207"/>
    <w:rsid w:val="004223D9"/>
    <w:rsid w:val="0042272A"/>
    <w:rsid w:val="00422A0D"/>
    <w:rsid w:val="00422C55"/>
    <w:rsid w:val="004233A4"/>
    <w:rsid w:val="00423A44"/>
    <w:rsid w:val="004245DD"/>
    <w:rsid w:val="00424804"/>
    <w:rsid w:val="00425CED"/>
    <w:rsid w:val="004267A0"/>
    <w:rsid w:val="00426B81"/>
    <w:rsid w:val="0042716C"/>
    <w:rsid w:val="00430376"/>
    <w:rsid w:val="00431A05"/>
    <w:rsid w:val="00432AE1"/>
    <w:rsid w:val="00432E4D"/>
    <w:rsid w:val="00432FB3"/>
    <w:rsid w:val="0043384A"/>
    <w:rsid w:val="00433CE2"/>
    <w:rsid w:val="0043483F"/>
    <w:rsid w:val="004352F1"/>
    <w:rsid w:val="00435AAC"/>
    <w:rsid w:val="004375DA"/>
    <w:rsid w:val="00437FBC"/>
    <w:rsid w:val="00441848"/>
    <w:rsid w:val="004422A1"/>
    <w:rsid w:val="004427D2"/>
    <w:rsid w:val="00442A20"/>
    <w:rsid w:val="004438DE"/>
    <w:rsid w:val="004441C4"/>
    <w:rsid w:val="00445287"/>
    <w:rsid w:val="004454B1"/>
    <w:rsid w:val="00445BC2"/>
    <w:rsid w:val="00445EB0"/>
    <w:rsid w:val="00446F49"/>
    <w:rsid w:val="004504F4"/>
    <w:rsid w:val="00451203"/>
    <w:rsid w:val="00451C3C"/>
    <w:rsid w:val="00452559"/>
    <w:rsid w:val="004529DE"/>
    <w:rsid w:val="00452F86"/>
    <w:rsid w:val="00453E76"/>
    <w:rsid w:val="004544DF"/>
    <w:rsid w:val="0045475E"/>
    <w:rsid w:val="00454EF4"/>
    <w:rsid w:val="00455245"/>
    <w:rsid w:val="00455527"/>
    <w:rsid w:val="004568DC"/>
    <w:rsid w:val="00456F40"/>
    <w:rsid w:val="004571B8"/>
    <w:rsid w:val="00460207"/>
    <w:rsid w:val="00461DEC"/>
    <w:rsid w:val="00462863"/>
    <w:rsid w:val="00462FAE"/>
    <w:rsid w:val="0046363E"/>
    <w:rsid w:val="00463663"/>
    <w:rsid w:val="004639D7"/>
    <w:rsid w:val="00463EF8"/>
    <w:rsid w:val="0046523B"/>
    <w:rsid w:val="004666A6"/>
    <w:rsid w:val="0046755B"/>
    <w:rsid w:val="00467D16"/>
    <w:rsid w:val="00467DBC"/>
    <w:rsid w:val="00470029"/>
    <w:rsid w:val="00471F00"/>
    <w:rsid w:val="00473517"/>
    <w:rsid w:val="004740D9"/>
    <w:rsid w:val="00474F93"/>
    <w:rsid w:val="00476A05"/>
    <w:rsid w:val="00476F9F"/>
    <w:rsid w:val="00477A8E"/>
    <w:rsid w:val="00480B26"/>
    <w:rsid w:val="00480D55"/>
    <w:rsid w:val="00481540"/>
    <w:rsid w:val="004831A2"/>
    <w:rsid w:val="0048387B"/>
    <w:rsid w:val="004852AB"/>
    <w:rsid w:val="0048535E"/>
    <w:rsid w:val="00486EC8"/>
    <w:rsid w:val="004938AD"/>
    <w:rsid w:val="00493964"/>
    <w:rsid w:val="0049489D"/>
    <w:rsid w:val="004953E4"/>
    <w:rsid w:val="00495718"/>
    <w:rsid w:val="00495A81"/>
    <w:rsid w:val="0049662B"/>
    <w:rsid w:val="00496A31"/>
    <w:rsid w:val="0049731C"/>
    <w:rsid w:val="004A0F8F"/>
    <w:rsid w:val="004A20A3"/>
    <w:rsid w:val="004A468A"/>
    <w:rsid w:val="004A4B84"/>
    <w:rsid w:val="004A5027"/>
    <w:rsid w:val="004A57B2"/>
    <w:rsid w:val="004A5B97"/>
    <w:rsid w:val="004A6682"/>
    <w:rsid w:val="004A6BDA"/>
    <w:rsid w:val="004A7A51"/>
    <w:rsid w:val="004B0075"/>
    <w:rsid w:val="004B095B"/>
    <w:rsid w:val="004B0B75"/>
    <w:rsid w:val="004B0E85"/>
    <w:rsid w:val="004B114D"/>
    <w:rsid w:val="004B1A38"/>
    <w:rsid w:val="004B3ED3"/>
    <w:rsid w:val="004B6522"/>
    <w:rsid w:val="004B6A7B"/>
    <w:rsid w:val="004B6FDE"/>
    <w:rsid w:val="004B7131"/>
    <w:rsid w:val="004B72AB"/>
    <w:rsid w:val="004C0A1A"/>
    <w:rsid w:val="004C11EA"/>
    <w:rsid w:val="004C1393"/>
    <w:rsid w:val="004C2067"/>
    <w:rsid w:val="004C2185"/>
    <w:rsid w:val="004C2475"/>
    <w:rsid w:val="004C2866"/>
    <w:rsid w:val="004C2BCA"/>
    <w:rsid w:val="004C348D"/>
    <w:rsid w:val="004C5185"/>
    <w:rsid w:val="004C5685"/>
    <w:rsid w:val="004C5881"/>
    <w:rsid w:val="004C74D3"/>
    <w:rsid w:val="004C7D69"/>
    <w:rsid w:val="004D02F0"/>
    <w:rsid w:val="004D075E"/>
    <w:rsid w:val="004D0FBF"/>
    <w:rsid w:val="004D189A"/>
    <w:rsid w:val="004D419C"/>
    <w:rsid w:val="004D4E93"/>
    <w:rsid w:val="004D514E"/>
    <w:rsid w:val="004D5208"/>
    <w:rsid w:val="004D5842"/>
    <w:rsid w:val="004D59DD"/>
    <w:rsid w:val="004D5A95"/>
    <w:rsid w:val="004E0067"/>
    <w:rsid w:val="004E0863"/>
    <w:rsid w:val="004E1726"/>
    <w:rsid w:val="004E195E"/>
    <w:rsid w:val="004E1C00"/>
    <w:rsid w:val="004E30B8"/>
    <w:rsid w:val="004E3659"/>
    <w:rsid w:val="004E3DA7"/>
    <w:rsid w:val="004E43C5"/>
    <w:rsid w:val="004E4BF6"/>
    <w:rsid w:val="004E4E43"/>
    <w:rsid w:val="004E5083"/>
    <w:rsid w:val="004E517A"/>
    <w:rsid w:val="004E53F0"/>
    <w:rsid w:val="004E7F28"/>
    <w:rsid w:val="004F0B8A"/>
    <w:rsid w:val="004F18A4"/>
    <w:rsid w:val="004F275C"/>
    <w:rsid w:val="004F27C7"/>
    <w:rsid w:val="004F2AC6"/>
    <w:rsid w:val="004F2E09"/>
    <w:rsid w:val="004F337E"/>
    <w:rsid w:val="004F33C3"/>
    <w:rsid w:val="004F3717"/>
    <w:rsid w:val="004F4708"/>
    <w:rsid w:val="004F62E9"/>
    <w:rsid w:val="004F6F19"/>
    <w:rsid w:val="004F776A"/>
    <w:rsid w:val="004F7AFE"/>
    <w:rsid w:val="004F7BB3"/>
    <w:rsid w:val="004F7ED1"/>
    <w:rsid w:val="00500289"/>
    <w:rsid w:val="00500AD9"/>
    <w:rsid w:val="00501A7B"/>
    <w:rsid w:val="0050228C"/>
    <w:rsid w:val="005042EB"/>
    <w:rsid w:val="005054D1"/>
    <w:rsid w:val="00505A18"/>
    <w:rsid w:val="00505B7C"/>
    <w:rsid w:val="0051065F"/>
    <w:rsid w:val="00511427"/>
    <w:rsid w:val="005128DE"/>
    <w:rsid w:val="00512DE1"/>
    <w:rsid w:val="00513E68"/>
    <w:rsid w:val="00514152"/>
    <w:rsid w:val="00514E0C"/>
    <w:rsid w:val="00515475"/>
    <w:rsid w:val="00515FB7"/>
    <w:rsid w:val="0051609D"/>
    <w:rsid w:val="00520066"/>
    <w:rsid w:val="00520B71"/>
    <w:rsid w:val="00520C40"/>
    <w:rsid w:val="005215D9"/>
    <w:rsid w:val="005228E4"/>
    <w:rsid w:val="00522965"/>
    <w:rsid w:val="00525EB3"/>
    <w:rsid w:val="0053133A"/>
    <w:rsid w:val="0053134C"/>
    <w:rsid w:val="00531A0A"/>
    <w:rsid w:val="00531CB6"/>
    <w:rsid w:val="00531EC7"/>
    <w:rsid w:val="0053415B"/>
    <w:rsid w:val="0053566B"/>
    <w:rsid w:val="00535EE9"/>
    <w:rsid w:val="00536247"/>
    <w:rsid w:val="005367A0"/>
    <w:rsid w:val="005372E6"/>
    <w:rsid w:val="00537333"/>
    <w:rsid w:val="00537472"/>
    <w:rsid w:val="00542C14"/>
    <w:rsid w:val="00542D44"/>
    <w:rsid w:val="00543AB4"/>
    <w:rsid w:val="00544FD6"/>
    <w:rsid w:val="00545353"/>
    <w:rsid w:val="005467B9"/>
    <w:rsid w:val="00547794"/>
    <w:rsid w:val="00547991"/>
    <w:rsid w:val="00547A47"/>
    <w:rsid w:val="00550837"/>
    <w:rsid w:val="005514D7"/>
    <w:rsid w:val="005517D0"/>
    <w:rsid w:val="005518B0"/>
    <w:rsid w:val="0055326A"/>
    <w:rsid w:val="00553C0E"/>
    <w:rsid w:val="00554FBD"/>
    <w:rsid w:val="005562CB"/>
    <w:rsid w:val="005577ED"/>
    <w:rsid w:val="00560601"/>
    <w:rsid w:val="00560AFD"/>
    <w:rsid w:val="00560C96"/>
    <w:rsid w:val="00560EE4"/>
    <w:rsid w:val="005622F9"/>
    <w:rsid w:val="0056231F"/>
    <w:rsid w:val="00562477"/>
    <w:rsid w:val="0056285D"/>
    <w:rsid w:val="00564A47"/>
    <w:rsid w:val="005664B7"/>
    <w:rsid w:val="005671D4"/>
    <w:rsid w:val="0056798E"/>
    <w:rsid w:val="00570438"/>
    <w:rsid w:val="00570DB0"/>
    <w:rsid w:val="005712E5"/>
    <w:rsid w:val="00573D5D"/>
    <w:rsid w:val="0057491E"/>
    <w:rsid w:val="00575558"/>
    <w:rsid w:val="00577215"/>
    <w:rsid w:val="0058126C"/>
    <w:rsid w:val="005818DE"/>
    <w:rsid w:val="00581EAC"/>
    <w:rsid w:val="00582687"/>
    <w:rsid w:val="00584C1C"/>
    <w:rsid w:val="00585081"/>
    <w:rsid w:val="005852D4"/>
    <w:rsid w:val="00585506"/>
    <w:rsid w:val="00585F4C"/>
    <w:rsid w:val="005863F2"/>
    <w:rsid w:val="005868B5"/>
    <w:rsid w:val="00586C7A"/>
    <w:rsid w:val="00590498"/>
    <w:rsid w:val="00590630"/>
    <w:rsid w:val="0059126D"/>
    <w:rsid w:val="0059135C"/>
    <w:rsid w:val="00591946"/>
    <w:rsid w:val="005935C2"/>
    <w:rsid w:val="005938C0"/>
    <w:rsid w:val="00593BBF"/>
    <w:rsid w:val="00595B99"/>
    <w:rsid w:val="00595D91"/>
    <w:rsid w:val="00596B5C"/>
    <w:rsid w:val="0059750A"/>
    <w:rsid w:val="005976B3"/>
    <w:rsid w:val="00597A3B"/>
    <w:rsid w:val="00597E8C"/>
    <w:rsid w:val="005A02AE"/>
    <w:rsid w:val="005A061C"/>
    <w:rsid w:val="005A1587"/>
    <w:rsid w:val="005A19B7"/>
    <w:rsid w:val="005A1F57"/>
    <w:rsid w:val="005A23AC"/>
    <w:rsid w:val="005A2592"/>
    <w:rsid w:val="005A321C"/>
    <w:rsid w:val="005A39B2"/>
    <w:rsid w:val="005A3B07"/>
    <w:rsid w:val="005A404D"/>
    <w:rsid w:val="005A42A8"/>
    <w:rsid w:val="005A44B7"/>
    <w:rsid w:val="005A5C92"/>
    <w:rsid w:val="005A5D7C"/>
    <w:rsid w:val="005A6A01"/>
    <w:rsid w:val="005A6B1C"/>
    <w:rsid w:val="005A7277"/>
    <w:rsid w:val="005A7421"/>
    <w:rsid w:val="005A76E1"/>
    <w:rsid w:val="005A7D08"/>
    <w:rsid w:val="005B0A26"/>
    <w:rsid w:val="005B1FD3"/>
    <w:rsid w:val="005B2A59"/>
    <w:rsid w:val="005B3DB8"/>
    <w:rsid w:val="005B3F12"/>
    <w:rsid w:val="005B4275"/>
    <w:rsid w:val="005B4EB1"/>
    <w:rsid w:val="005B4FD4"/>
    <w:rsid w:val="005B565A"/>
    <w:rsid w:val="005B6A81"/>
    <w:rsid w:val="005B6BE3"/>
    <w:rsid w:val="005B6C56"/>
    <w:rsid w:val="005B788F"/>
    <w:rsid w:val="005B7B20"/>
    <w:rsid w:val="005B7ED1"/>
    <w:rsid w:val="005C0270"/>
    <w:rsid w:val="005C07AC"/>
    <w:rsid w:val="005C11B2"/>
    <w:rsid w:val="005C14B3"/>
    <w:rsid w:val="005C25D9"/>
    <w:rsid w:val="005C2A24"/>
    <w:rsid w:val="005C3ACD"/>
    <w:rsid w:val="005C3F08"/>
    <w:rsid w:val="005C3F89"/>
    <w:rsid w:val="005C4FB6"/>
    <w:rsid w:val="005C6302"/>
    <w:rsid w:val="005C65AE"/>
    <w:rsid w:val="005C6E70"/>
    <w:rsid w:val="005C7FBA"/>
    <w:rsid w:val="005D07E8"/>
    <w:rsid w:val="005D0AE4"/>
    <w:rsid w:val="005D1774"/>
    <w:rsid w:val="005D1AFA"/>
    <w:rsid w:val="005D1F45"/>
    <w:rsid w:val="005D206D"/>
    <w:rsid w:val="005D23CF"/>
    <w:rsid w:val="005D2684"/>
    <w:rsid w:val="005D2C43"/>
    <w:rsid w:val="005D2C4D"/>
    <w:rsid w:val="005D2FD4"/>
    <w:rsid w:val="005D3B03"/>
    <w:rsid w:val="005D3F99"/>
    <w:rsid w:val="005D466A"/>
    <w:rsid w:val="005D4741"/>
    <w:rsid w:val="005D483B"/>
    <w:rsid w:val="005D4AE5"/>
    <w:rsid w:val="005D4FA2"/>
    <w:rsid w:val="005D6BEF"/>
    <w:rsid w:val="005D7058"/>
    <w:rsid w:val="005D71F3"/>
    <w:rsid w:val="005D7464"/>
    <w:rsid w:val="005D7749"/>
    <w:rsid w:val="005E0257"/>
    <w:rsid w:val="005E1F0A"/>
    <w:rsid w:val="005E1FF7"/>
    <w:rsid w:val="005E2451"/>
    <w:rsid w:val="005E3F06"/>
    <w:rsid w:val="005E4A59"/>
    <w:rsid w:val="005E642B"/>
    <w:rsid w:val="005E7F68"/>
    <w:rsid w:val="005F055C"/>
    <w:rsid w:val="005F11C1"/>
    <w:rsid w:val="005F1608"/>
    <w:rsid w:val="005F1FDC"/>
    <w:rsid w:val="005F28D5"/>
    <w:rsid w:val="005F3127"/>
    <w:rsid w:val="005F447B"/>
    <w:rsid w:val="005F49FE"/>
    <w:rsid w:val="005F4D27"/>
    <w:rsid w:val="005F5190"/>
    <w:rsid w:val="005F5720"/>
    <w:rsid w:val="005F6F1D"/>
    <w:rsid w:val="00600732"/>
    <w:rsid w:val="00601087"/>
    <w:rsid w:val="00601C98"/>
    <w:rsid w:val="00601DC0"/>
    <w:rsid w:val="00602AC5"/>
    <w:rsid w:val="00603BBD"/>
    <w:rsid w:val="006056DB"/>
    <w:rsid w:val="00605890"/>
    <w:rsid w:val="0060597B"/>
    <w:rsid w:val="00606A8B"/>
    <w:rsid w:val="006079CC"/>
    <w:rsid w:val="00607B6A"/>
    <w:rsid w:val="00607C87"/>
    <w:rsid w:val="0061183F"/>
    <w:rsid w:val="00611A5E"/>
    <w:rsid w:val="00612913"/>
    <w:rsid w:val="00612BC4"/>
    <w:rsid w:val="00612C84"/>
    <w:rsid w:val="0061355C"/>
    <w:rsid w:val="0061367F"/>
    <w:rsid w:val="00613750"/>
    <w:rsid w:val="00614167"/>
    <w:rsid w:val="00614DEB"/>
    <w:rsid w:val="0061618D"/>
    <w:rsid w:val="006162C8"/>
    <w:rsid w:val="0061631B"/>
    <w:rsid w:val="00617FC4"/>
    <w:rsid w:val="006218C1"/>
    <w:rsid w:val="00621C19"/>
    <w:rsid w:val="006225B8"/>
    <w:rsid w:val="00622C38"/>
    <w:rsid w:val="0062339A"/>
    <w:rsid w:val="006244FC"/>
    <w:rsid w:val="006252EC"/>
    <w:rsid w:val="00625640"/>
    <w:rsid w:val="00625DE6"/>
    <w:rsid w:val="006262F1"/>
    <w:rsid w:val="00627135"/>
    <w:rsid w:val="00627C10"/>
    <w:rsid w:val="00627D53"/>
    <w:rsid w:val="0063148E"/>
    <w:rsid w:val="00631BFF"/>
    <w:rsid w:val="00631E2F"/>
    <w:rsid w:val="006329D7"/>
    <w:rsid w:val="00632C62"/>
    <w:rsid w:val="006334CF"/>
    <w:rsid w:val="006336E3"/>
    <w:rsid w:val="006340D5"/>
    <w:rsid w:val="00634F80"/>
    <w:rsid w:val="0063789D"/>
    <w:rsid w:val="006378C8"/>
    <w:rsid w:val="0064186C"/>
    <w:rsid w:val="00641C62"/>
    <w:rsid w:val="0064208C"/>
    <w:rsid w:val="006420F1"/>
    <w:rsid w:val="00642318"/>
    <w:rsid w:val="00642EF5"/>
    <w:rsid w:val="00642F74"/>
    <w:rsid w:val="00642FD9"/>
    <w:rsid w:val="00643580"/>
    <w:rsid w:val="00644B74"/>
    <w:rsid w:val="00644C79"/>
    <w:rsid w:val="00645931"/>
    <w:rsid w:val="00645CA9"/>
    <w:rsid w:val="006462EA"/>
    <w:rsid w:val="0064741E"/>
    <w:rsid w:val="00650CE8"/>
    <w:rsid w:val="00651530"/>
    <w:rsid w:val="00652686"/>
    <w:rsid w:val="00652F8A"/>
    <w:rsid w:val="00653767"/>
    <w:rsid w:val="00656751"/>
    <w:rsid w:val="006568B1"/>
    <w:rsid w:val="006600B7"/>
    <w:rsid w:val="006620D4"/>
    <w:rsid w:val="00662E02"/>
    <w:rsid w:val="0066436B"/>
    <w:rsid w:val="00664824"/>
    <w:rsid w:val="00664B18"/>
    <w:rsid w:val="0066545F"/>
    <w:rsid w:val="0066588A"/>
    <w:rsid w:val="00665A2E"/>
    <w:rsid w:val="006665A7"/>
    <w:rsid w:val="00667344"/>
    <w:rsid w:val="00667D06"/>
    <w:rsid w:val="00667EB6"/>
    <w:rsid w:val="00670EC7"/>
    <w:rsid w:val="00671970"/>
    <w:rsid w:val="0067202F"/>
    <w:rsid w:val="00672709"/>
    <w:rsid w:val="00672B69"/>
    <w:rsid w:val="00672B76"/>
    <w:rsid w:val="006732A3"/>
    <w:rsid w:val="006739C8"/>
    <w:rsid w:val="00673DBD"/>
    <w:rsid w:val="006744C0"/>
    <w:rsid w:val="006752FC"/>
    <w:rsid w:val="00675369"/>
    <w:rsid w:val="00675F5D"/>
    <w:rsid w:val="00676537"/>
    <w:rsid w:val="00676A75"/>
    <w:rsid w:val="0067797A"/>
    <w:rsid w:val="00677CA6"/>
    <w:rsid w:val="00680825"/>
    <w:rsid w:val="0068189B"/>
    <w:rsid w:val="00681CF4"/>
    <w:rsid w:val="00681F11"/>
    <w:rsid w:val="00683D61"/>
    <w:rsid w:val="00684901"/>
    <w:rsid w:val="00684DD6"/>
    <w:rsid w:val="00686AD9"/>
    <w:rsid w:val="006879B7"/>
    <w:rsid w:val="00687E8F"/>
    <w:rsid w:val="00687FE1"/>
    <w:rsid w:val="00690521"/>
    <w:rsid w:val="00690A17"/>
    <w:rsid w:val="00691C0C"/>
    <w:rsid w:val="006924BF"/>
    <w:rsid w:val="00692611"/>
    <w:rsid w:val="00693F55"/>
    <w:rsid w:val="0069456E"/>
    <w:rsid w:val="0069546E"/>
    <w:rsid w:val="00695C1F"/>
    <w:rsid w:val="00695F7A"/>
    <w:rsid w:val="00696D12"/>
    <w:rsid w:val="00697489"/>
    <w:rsid w:val="006979E6"/>
    <w:rsid w:val="00697A20"/>
    <w:rsid w:val="006A04D9"/>
    <w:rsid w:val="006A0B9E"/>
    <w:rsid w:val="006A0C4C"/>
    <w:rsid w:val="006A12F8"/>
    <w:rsid w:val="006A173C"/>
    <w:rsid w:val="006A1DBB"/>
    <w:rsid w:val="006A20D2"/>
    <w:rsid w:val="006A23F5"/>
    <w:rsid w:val="006A2AEC"/>
    <w:rsid w:val="006A2D46"/>
    <w:rsid w:val="006A2E61"/>
    <w:rsid w:val="006A32F8"/>
    <w:rsid w:val="006A45CA"/>
    <w:rsid w:val="006A46C3"/>
    <w:rsid w:val="006A4A7D"/>
    <w:rsid w:val="006A4F98"/>
    <w:rsid w:val="006A5082"/>
    <w:rsid w:val="006A6513"/>
    <w:rsid w:val="006A65DC"/>
    <w:rsid w:val="006A6872"/>
    <w:rsid w:val="006A774E"/>
    <w:rsid w:val="006A79C3"/>
    <w:rsid w:val="006A7ACD"/>
    <w:rsid w:val="006B05A2"/>
    <w:rsid w:val="006B0BFC"/>
    <w:rsid w:val="006B117A"/>
    <w:rsid w:val="006B1213"/>
    <w:rsid w:val="006B164B"/>
    <w:rsid w:val="006B2F54"/>
    <w:rsid w:val="006B30D1"/>
    <w:rsid w:val="006B322F"/>
    <w:rsid w:val="006B4DC2"/>
    <w:rsid w:val="006B52F5"/>
    <w:rsid w:val="006B54AE"/>
    <w:rsid w:val="006B6382"/>
    <w:rsid w:val="006B75A0"/>
    <w:rsid w:val="006C047B"/>
    <w:rsid w:val="006C1570"/>
    <w:rsid w:val="006C215A"/>
    <w:rsid w:val="006C2542"/>
    <w:rsid w:val="006C2A0D"/>
    <w:rsid w:val="006C41A2"/>
    <w:rsid w:val="006C4D1D"/>
    <w:rsid w:val="006C6F6F"/>
    <w:rsid w:val="006C7E0A"/>
    <w:rsid w:val="006D0D06"/>
    <w:rsid w:val="006D0F44"/>
    <w:rsid w:val="006D1F20"/>
    <w:rsid w:val="006D2444"/>
    <w:rsid w:val="006D2AB0"/>
    <w:rsid w:val="006D336E"/>
    <w:rsid w:val="006D3805"/>
    <w:rsid w:val="006D445D"/>
    <w:rsid w:val="006D4CF3"/>
    <w:rsid w:val="006D52BB"/>
    <w:rsid w:val="006D73A0"/>
    <w:rsid w:val="006E033F"/>
    <w:rsid w:val="006E03DD"/>
    <w:rsid w:val="006E043D"/>
    <w:rsid w:val="006E06B5"/>
    <w:rsid w:val="006E0B54"/>
    <w:rsid w:val="006E0EFC"/>
    <w:rsid w:val="006E24C7"/>
    <w:rsid w:val="006E3820"/>
    <w:rsid w:val="006E3DFE"/>
    <w:rsid w:val="006E5E23"/>
    <w:rsid w:val="006E645B"/>
    <w:rsid w:val="006E78AA"/>
    <w:rsid w:val="006F00EB"/>
    <w:rsid w:val="006F08E2"/>
    <w:rsid w:val="006F0E9F"/>
    <w:rsid w:val="006F0F84"/>
    <w:rsid w:val="006F1282"/>
    <w:rsid w:val="006F1CF3"/>
    <w:rsid w:val="006F1E1E"/>
    <w:rsid w:val="006F23D0"/>
    <w:rsid w:val="006F2F71"/>
    <w:rsid w:val="006F304F"/>
    <w:rsid w:val="006F49BA"/>
    <w:rsid w:val="006F547C"/>
    <w:rsid w:val="006F554B"/>
    <w:rsid w:val="006F60F8"/>
    <w:rsid w:val="006F621D"/>
    <w:rsid w:val="006F6250"/>
    <w:rsid w:val="006F639D"/>
    <w:rsid w:val="006F64E8"/>
    <w:rsid w:val="006F74D3"/>
    <w:rsid w:val="006F760E"/>
    <w:rsid w:val="006F7FAD"/>
    <w:rsid w:val="007007FE"/>
    <w:rsid w:val="0070237E"/>
    <w:rsid w:val="00702A1D"/>
    <w:rsid w:val="00703741"/>
    <w:rsid w:val="00704F4E"/>
    <w:rsid w:val="007065B5"/>
    <w:rsid w:val="0070670C"/>
    <w:rsid w:val="00706DFF"/>
    <w:rsid w:val="0070730F"/>
    <w:rsid w:val="00711599"/>
    <w:rsid w:val="00711ABA"/>
    <w:rsid w:val="0071207A"/>
    <w:rsid w:val="0071218F"/>
    <w:rsid w:val="00712197"/>
    <w:rsid w:val="0071268F"/>
    <w:rsid w:val="007129B2"/>
    <w:rsid w:val="00712EE6"/>
    <w:rsid w:val="00713379"/>
    <w:rsid w:val="00713FCF"/>
    <w:rsid w:val="0071454E"/>
    <w:rsid w:val="00714AEF"/>
    <w:rsid w:val="00714F7D"/>
    <w:rsid w:val="007159B5"/>
    <w:rsid w:val="00715D67"/>
    <w:rsid w:val="00716534"/>
    <w:rsid w:val="00716699"/>
    <w:rsid w:val="00717816"/>
    <w:rsid w:val="007204FC"/>
    <w:rsid w:val="00720993"/>
    <w:rsid w:val="00721424"/>
    <w:rsid w:val="00721DD0"/>
    <w:rsid w:val="00721F79"/>
    <w:rsid w:val="007220CD"/>
    <w:rsid w:val="00722D42"/>
    <w:rsid w:val="0072393E"/>
    <w:rsid w:val="007251ED"/>
    <w:rsid w:val="00727092"/>
    <w:rsid w:val="007271AB"/>
    <w:rsid w:val="00731149"/>
    <w:rsid w:val="00731AD0"/>
    <w:rsid w:val="007326C0"/>
    <w:rsid w:val="00733119"/>
    <w:rsid w:val="0073435D"/>
    <w:rsid w:val="0073478B"/>
    <w:rsid w:val="00736E51"/>
    <w:rsid w:val="007372A0"/>
    <w:rsid w:val="007378C8"/>
    <w:rsid w:val="00737A3C"/>
    <w:rsid w:val="00740D99"/>
    <w:rsid w:val="00741244"/>
    <w:rsid w:val="00741C6D"/>
    <w:rsid w:val="007421A7"/>
    <w:rsid w:val="007434A6"/>
    <w:rsid w:val="00743766"/>
    <w:rsid w:val="00743DAA"/>
    <w:rsid w:val="00745CD0"/>
    <w:rsid w:val="00745ED4"/>
    <w:rsid w:val="007464E1"/>
    <w:rsid w:val="00746510"/>
    <w:rsid w:val="0074695B"/>
    <w:rsid w:val="00750803"/>
    <w:rsid w:val="00750969"/>
    <w:rsid w:val="00750B73"/>
    <w:rsid w:val="00750D55"/>
    <w:rsid w:val="007527C3"/>
    <w:rsid w:val="007529FC"/>
    <w:rsid w:val="007549CF"/>
    <w:rsid w:val="00755187"/>
    <w:rsid w:val="007556E1"/>
    <w:rsid w:val="00756017"/>
    <w:rsid w:val="007566FB"/>
    <w:rsid w:val="007574CC"/>
    <w:rsid w:val="00757C8A"/>
    <w:rsid w:val="00757FCD"/>
    <w:rsid w:val="007600F6"/>
    <w:rsid w:val="00761198"/>
    <w:rsid w:val="00761864"/>
    <w:rsid w:val="00761AC0"/>
    <w:rsid w:val="00762A3C"/>
    <w:rsid w:val="00762B37"/>
    <w:rsid w:val="007631B1"/>
    <w:rsid w:val="007632F6"/>
    <w:rsid w:val="007638B8"/>
    <w:rsid w:val="007638F8"/>
    <w:rsid w:val="0076497D"/>
    <w:rsid w:val="00765674"/>
    <w:rsid w:val="007669F9"/>
    <w:rsid w:val="00767686"/>
    <w:rsid w:val="007676D5"/>
    <w:rsid w:val="00767AF7"/>
    <w:rsid w:val="00767E4D"/>
    <w:rsid w:val="00767FF1"/>
    <w:rsid w:val="007700DB"/>
    <w:rsid w:val="0077057C"/>
    <w:rsid w:val="0077094B"/>
    <w:rsid w:val="00770B0E"/>
    <w:rsid w:val="0077249F"/>
    <w:rsid w:val="00773563"/>
    <w:rsid w:val="00773C89"/>
    <w:rsid w:val="00773E2F"/>
    <w:rsid w:val="00774A70"/>
    <w:rsid w:val="00775157"/>
    <w:rsid w:val="00777116"/>
    <w:rsid w:val="007773F4"/>
    <w:rsid w:val="00777D48"/>
    <w:rsid w:val="0078027A"/>
    <w:rsid w:val="00780546"/>
    <w:rsid w:val="00780D7B"/>
    <w:rsid w:val="00781F01"/>
    <w:rsid w:val="00781FBE"/>
    <w:rsid w:val="0078207F"/>
    <w:rsid w:val="00782092"/>
    <w:rsid w:val="00782340"/>
    <w:rsid w:val="007834BA"/>
    <w:rsid w:val="007840FA"/>
    <w:rsid w:val="007843BB"/>
    <w:rsid w:val="00784904"/>
    <w:rsid w:val="00785116"/>
    <w:rsid w:val="00786FB2"/>
    <w:rsid w:val="0078733C"/>
    <w:rsid w:val="00787574"/>
    <w:rsid w:val="00787A52"/>
    <w:rsid w:val="00787E67"/>
    <w:rsid w:val="00790F65"/>
    <w:rsid w:val="00792ABD"/>
    <w:rsid w:val="00793C50"/>
    <w:rsid w:val="00793F02"/>
    <w:rsid w:val="007942F5"/>
    <w:rsid w:val="00795451"/>
    <w:rsid w:val="00796072"/>
    <w:rsid w:val="0079634A"/>
    <w:rsid w:val="007970D1"/>
    <w:rsid w:val="007971F1"/>
    <w:rsid w:val="00797918"/>
    <w:rsid w:val="00797AB2"/>
    <w:rsid w:val="007A14B3"/>
    <w:rsid w:val="007A2224"/>
    <w:rsid w:val="007A23AE"/>
    <w:rsid w:val="007A2617"/>
    <w:rsid w:val="007A287F"/>
    <w:rsid w:val="007A3A2E"/>
    <w:rsid w:val="007A5537"/>
    <w:rsid w:val="007A5E09"/>
    <w:rsid w:val="007B02F2"/>
    <w:rsid w:val="007B1757"/>
    <w:rsid w:val="007B2545"/>
    <w:rsid w:val="007B25D6"/>
    <w:rsid w:val="007B26F4"/>
    <w:rsid w:val="007B28E8"/>
    <w:rsid w:val="007B31A6"/>
    <w:rsid w:val="007B3201"/>
    <w:rsid w:val="007B5755"/>
    <w:rsid w:val="007B6EED"/>
    <w:rsid w:val="007B70D2"/>
    <w:rsid w:val="007B70FF"/>
    <w:rsid w:val="007B7966"/>
    <w:rsid w:val="007B799C"/>
    <w:rsid w:val="007B7C62"/>
    <w:rsid w:val="007C0BA7"/>
    <w:rsid w:val="007C1F84"/>
    <w:rsid w:val="007C28FC"/>
    <w:rsid w:val="007C2B5D"/>
    <w:rsid w:val="007C2BB0"/>
    <w:rsid w:val="007C34F5"/>
    <w:rsid w:val="007C3EBF"/>
    <w:rsid w:val="007C4316"/>
    <w:rsid w:val="007C44E7"/>
    <w:rsid w:val="007C45CF"/>
    <w:rsid w:val="007C4C22"/>
    <w:rsid w:val="007C5522"/>
    <w:rsid w:val="007C683B"/>
    <w:rsid w:val="007C71AB"/>
    <w:rsid w:val="007C7F6D"/>
    <w:rsid w:val="007D027F"/>
    <w:rsid w:val="007D04B8"/>
    <w:rsid w:val="007D0528"/>
    <w:rsid w:val="007D08E0"/>
    <w:rsid w:val="007D0959"/>
    <w:rsid w:val="007D127C"/>
    <w:rsid w:val="007D2576"/>
    <w:rsid w:val="007D25D5"/>
    <w:rsid w:val="007D37FB"/>
    <w:rsid w:val="007D43F2"/>
    <w:rsid w:val="007D514E"/>
    <w:rsid w:val="007D585B"/>
    <w:rsid w:val="007D5CB4"/>
    <w:rsid w:val="007D5E93"/>
    <w:rsid w:val="007D5F2F"/>
    <w:rsid w:val="007D6D42"/>
    <w:rsid w:val="007D76FA"/>
    <w:rsid w:val="007E0FCA"/>
    <w:rsid w:val="007E146E"/>
    <w:rsid w:val="007E1DB7"/>
    <w:rsid w:val="007E2113"/>
    <w:rsid w:val="007E2C92"/>
    <w:rsid w:val="007E33C9"/>
    <w:rsid w:val="007E3868"/>
    <w:rsid w:val="007E51B4"/>
    <w:rsid w:val="007E5622"/>
    <w:rsid w:val="007E5D94"/>
    <w:rsid w:val="007E6547"/>
    <w:rsid w:val="007E6922"/>
    <w:rsid w:val="007F01F8"/>
    <w:rsid w:val="007F0D33"/>
    <w:rsid w:val="007F149F"/>
    <w:rsid w:val="007F14C7"/>
    <w:rsid w:val="007F2067"/>
    <w:rsid w:val="007F293B"/>
    <w:rsid w:val="007F2DB4"/>
    <w:rsid w:val="007F3279"/>
    <w:rsid w:val="007F478A"/>
    <w:rsid w:val="007F53BE"/>
    <w:rsid w:val="007F55E8"/>
    <w:rsid w:val="007F6B26"/>
    <w:rsid w:val="007F740C"/>
    <w:rsid w:val="007F75D0"/>
    <w:rsid w:val="008002A2"/>
    <w:rsid w:val="00800580"/>
    <w:rsid w:val="00800583"/>
    <w:rsid w:val="00800688"/>
    <w:rsid w:val="00801860"/>
    <w:rsid w:val="00802290"/>
    <w:rsid w:val="00802BF7"/>
    <w:rsid w:val="00803490"/>
    <w:rsid w:val="00804318"/>
    <w:rsid w:val="00804C15"/>
    <w:rsid w:val="00806443"/>
    <w:rsid w:val="00807FD6"/>
    <w:rsid w:val="0081010D"/>
    <w:rsid w:val="00810509"/>
    <w:rsid w:val="0081060F"/>
    <w:rsid w:val="008110FC"/>
    <w:rsid w:val="0081214D"/>
    <w:rsid w:val="00812217"/>
    <w:rsid w:val="00812462"/>
    <w:rsid w:val="008125B9"/>
    <w:rsid w:val="00813B95"/>
    <w:rsid w:val="008144D7"/>
    <w:rsid w:val="008158A9"/>
    <w:rsid w:val="0081632A"/>
    <w:rsid w:val="008168CB"/>
    <w:rsid w:val="00820ABE"/>
    <w:rsid w:val="008218C6"/>
    <w:rsid w:val="00822482"/>
    <w:rsid w:val="00822640"/>
    <w:rsid w:val="00822874"/>
    <w:rsid w:val="00822BBC"/>
    <w:rsid w:val="0082334B"/>
    <w:rsid w:val="0082361A"/>
    <w:rsid w:val="00823867"/>
    <w:rsid w:val="00825FE7"/>
    <w:rsid w:val="00826EB0"/>
    <w:rsid w:val="00826F91"/>
    <w:rsid w:val="0082709C"/>
    <w:rsid w:val="00827565"/>
    <w:rsid w:val="00827908"/>
    <w:rsid w:val="00827CFA"/>
    <w:rsid w:val="0083006E"/>
    <w:rsid w:val="00830A2B"/>
    <w:rsid w:val="0083110A"/>
    <w:rsid w:val="00831335"/>
    <w:rsid w:val="0083202E"/>
    <w:rsid w:val="00832FD9"/>
    <w:rsid w:val="00833584"/>
    <w:rsid w:val="00834288"/>
    <w:rsid w:val="0083584B"/>
    <w:rsid w:val="00835E14"/>
    <w:rsid w:val="0083776E"/>
    <w:rsid w:val="00837CF3"/>
    <w:rsid w:val="00841549"/>
    <w:rsid w:val="0084179D"/>
    <w:rsid w:val="00843A5C"/>
    <w:rsid w:val="00843FCC"/>
    <w:rsid w:val="00844374"/>
    <w:rsid w:val="00844B88"/>
    <w:rsid w:val="00845289"/>
    <w:rsid w:val="00845CD4"/>
    <w:rsid w:val="0084637F"/>
    <w:rsid w:val="008474F6"/>
    <w:rsid w:val="00850F56"/>
    <w:rsid w:val="008529E7"/>
    <w:rsid w:val="00852B82"/>
    <w:rsid w:val="0085515E"/>
    <w:rsid w:val="00855274"/>
    <w:rsid w:val="00855453"/>
    <w:rsid w:val="0085693C"/>
    <w:rsid w:val="00857AFE"/>
    <w:rsid w:val="00857B09"/>
    <w:rsid w:val="008609A9"/>
    <w:rsid w:val="00861B4B"/>
    <w:rsid w:val="00861D1B"/>
    <w:rsid w:val="00863E7B"/>
    <w:rsid w:val="00866A02"/>
    <w:rsid w:val="00866E24"/>
    <w:rsid w:val="00867098"/>
    <w:rsid w:val="0086731F"/>
    <w:rsid w:val="00867894"/>
    <w:rsid w:val="008700CF"/>
    <w:rsid w:val="008710F2"/>
    <w:rsid w:val="008734ED"/>
    <w:rsid w:val="00873DF7"/>
    <w:rsid w:val="00873E73"/>
    <w:rsid w:val="008740FE"/>
    <w:rsid w:val="008742BA"/>
    <w:rsid w:val="008762C0"/>
    <w:rsid w:val="008768C1"/>
    <w:rsid w:val="00876C90"/>
    <w:rsid w:val="00876EF3"/>
    <w:rsid w:val="00877974"/>
    <w:rsid w:val="008805B0"/>
    <w:rsid w:val="0088199C"/>
    <w:rsid w:val="00881C26"/>
    <w:rsid w:val="0088228A"/>
    <w:rsid w:val="00883105"/>
    <w:rsid w:val="00884684"/>
    <w:rsid w:val="00884CAF"/>
    <w:rsid w:val="0088525A"/>
    <w:rsid w:val="008858AB"/>
    <w:rsid w:val="0088706D"/>
    <w:rsid w:val="00887251"/>
    <w:rsid w:val="00890175"/>
    <w:rsid w:val="008905E7"/>
    <w:rsid w:val="00890A74"/>
    <w:rsid w:val="00890AE7"/>
    <w:rsid w:val="00890D51"/>
    <w:rsid w:val="00892A6F"/>
    <w:rsid w:val="00892F5C"/>
    <w:rsid w:val="008932A2"/>
    <w:rsid w:val="00893A6C"/>
    <w:rsid w:val="00893B17"/>
    <w:rsid w:val="00894243"/>
    <w:rsid w:val="00895025"/>
    <w:rsid w:val="00897786"/>
    <w:rsid w:val="008978B9"/>
    <w:rsid w:val="00897DB6"/>
    <w:rsid w:val="008A0D30"/>
    <w:rsid w:val="008A15FA"/>
    <w:rsid w:val="008A1A34"/>
    <w:rsid w:val="008A1E02"/>
    <w:rsid w:val="008A2FAA"/>
    <w:rsid w:val="008A361F"/>
    <w:rsid w:val="008A3B42"/>
    <w:rsid w:val="008A67F6"/>
    <w:rsid w:val="008A685E"/>
    <w:rsid w:val="008A794A"/>
    <w:rsid w:val="008B0259"/>
    <w:rsid w:val="008B04DB"/>
    <w:rsid w:val="008B0AFF"/>
    <w:rsid w:val="008B0C77"/>
    <w:rsid w:val="008B2065"/>
    <w:rsid w:val="008B3394"/>
    <w:rsid w:val="008B3AA7"/>
    <w:rsid w:val="008B3AD2"/>
    <w:rsid w:val="008B4B20"/>
    <w:rsid w:val="008B5025"/>
    <w:rsid w:val="008B5AE4"/>
    <w:rsid w:val="008B5DA5"/>
    <w:rsid w:val="008B69F4"/>
    <w:rsid w:val="008B70FF"/>
    <w:rsid w:val="008B7CB4"/>
    <w:rsid w:val="008C0119"/>
    <w:rsid w:val="008C1055"/>
    <w:rsid w:val="008C2001"/>
    <w:rsid w:val="008C2D40"/>
    <w:rsid w:val="008C2E4E"/>
    <w:rsid w:val="008C2F47"/>
    <w:rsid w:val="008C3673"/>
    <w:rsid w:val="008C3A0C"/>
    <w:rsid w:val="008C4831"/>
    <w:rsid w:val="008C49E3"/>
    <w:rsid w:val="008C6347"/>
    <w:rsid w:val="008C6F1E"/>
    <w:rsid w:val="008C7AA2"/>
    <w:rsid w:val="008D00DC"/>
    <w:rsid w:val="008D0698"/>
    <w:rsid w:val="008D2FD2"/>
    <w:rsid w:val="008D435D"/>
    <w:rsid w:val="008D44A3"/>
    <w:rsid w:val="008D4DA9"/>
    <w:rsid w:val="008D57FF"/>
    <w:rsid w:val="008D5B63"/>
    <w:rsid w:val="008D6AA3"/>
    <w:rsid w:val="008D70DB"/>
    <w:rsid w:val="008D782D"/>
    <w:rsid w:val="008E1BE0"/>
    <w:rsid w:val="008E1C25"/>
    <w:rsid w:val="008E1D0D"/>
    <w:rsid w:val="008E1E50"/>
    <w:rsid w:val="008E1EC0"/>
    <w:rsid w:val="008E2EAC"/>
    <w:rsid w:val="008E4237"/>
    <w:rsid w:val="008E429B"/>
    <w:rsid w:val="008E5E6D"/>
    <w:rsid w:val="008E6F03"/>
    <w:rsid w:val="008F00CA"/>
    <w:rsid w:val="008F0A00"/>
    <w:rsid w:val="008F1BFB"/>
    <w:rsid w:val="008F30F9"/>
    <w:rsid w:val="008F43AB"/>
    <w:rsid w:val="008F43C5"/>
    <w:rsid w:val="008F4452"/>
    <w:rsid w:val="008F4B6D"/>
    <w:rsid w:val="008F6187"/>
    <w:rsid w:val="008F6AD4"/>
    <w:rsid w:val="008F6C66"/>
    <w:rsid w:val="008F7EEB"/>
    <w:rsid w:val="009006B1"/>
    <w:rsid w:val="00901088"/>
    <w:rsid w:val="00901D7A"/>
    <w:rsid w:val="00902351"/>
    <w:rsid w:val="00902717"/>
    <w:rsid w:val="0090294A"/>
    <w:rsid w:val="00902D94"/>
    <w:rsid w:val="0090493E"/>
    <w:rsid w:val="00904C39"/>
    <w:rsid w:val="00904C99"/>
    <w:rsid w:val="00904CEA"/>
    <w:rsid w:val="00905623"/>
    <w:rsid w:val="00905765"/>
    <w:rsid w:val="0090579B"/>
    <w:rsid w:val="0090587D"/>
    <w:rsid w:val="00906AFC"/>
    <w:rsid w:val="00906EA3"/>
    <w:rsid w:val="009075AF"/>
    <w:rsid w:val="00907A74"/>
    <w:rsid w:val="0091041B"/>
    <w:rsid w:val="00910517"/>
    <w:rsid w:val="00910569"/>
    <w:rsid w:val="0091090D"/>
    <w:rsid w:val="009114DB"/>
    <w:rsid w:val="0091215D"/>
    <w:rsid w:val="0091419D"/>
    <w:rsid w:val="0091420E"/>
    <w:rsid w:val="009143EE"/>
    <w:rsid w:val="00915FE2"/>
    <w:rsid w:val="0091636D"/>
    <w:rsid w:val="00916A85"/>
    <w:rsid w:val="009174ED"/>
    <w:rsid w:val="00917C48"/>
    <w:rsid w:val="00917CFE"/>
    <w:rsid w:val="00920284"/>
    <w:rsid w:val="00920E1A"/>
    <w:rsid w:val="00921394"/>
    <w:rsid w:val="0092237F"/>
    <w:rsid w:val="009226D9"/>
    <w:rsid w:val="009229C5"/>
    <w:rsid w:val="00922AB6"/>
    <w:rsid w:val="009239ED"/>
    <w:rsid w:val="00924EC8"/>
    <w:rsid w:val="00924EE7"/>
    <w:rsid w:val="0092535F"/>
    <w:rsid w:val="00926849"/>
    <w:rsid w:val="009269F4"/>
    <w:rsid w:val="009271EE"/>
    <w:rsid w:val="00927417"/>
    <w:rsid w:val="009313DD"/>
    <w:rsid w:val="0093174D"/>
    <w:rsid w:val="00931879"/>
    <w:rsid w:val="009319D1"/>
    <w:rsid w:val="00931ED5"/>
    <w:rsid w:val="00933B82"/>
    <w:rsid w:val="009351BA"/>
    <w:rsid w:val="00935B1C"/>
    <w:rsid w:val="009360DE"/>
    <w:rsid w:val="0093623F"/>
    <w:rsid w:val="00936CD9"/>
    <w:rsid w:val="0093726B"/>
    <w:rsid w:val="00940B68"/>
    <w:rsid w:val="00940E97"/>
    <w:rsid w:val="0094147D"/>
    <w:rsid w:val="00941932"/>
    <w:rsid w:val="00942065"/>
    <w:rsid w:val="00943557"/>
    <w:rsid w:val="00943CEA"/>
    <w:rsid w:val="009447AC"/>
    <w:rsid w:val="0094492F"/>
    <w:rsid w:val="00944A3B"/>
    <w:rsid w:val="00945A8B"/>
    <w:rsid w:val="00945F66"/>
    <w:rsid w:val="00946C20"/>
    <w:rsid w:val="00947ECA"/>
    <w:rsid w:val="00950153"/>
    <w:rsid w:val="00950B34"/>
    <w:rsid w:val="009515CE"/>
    <w:rsid w:val="00951874"/>
    <w:rsid w:val="009520DB"/>
    <w:rsid w:val="00952149"/>
    <w:rsid w:val="00952543"/>
    <w:rsid w:val="00952617"/>
    <w:rsid w:val="00952E42"/>
    <w:rsid w:val="0095310D"/>
    <w:rsid w:val="00953498"/>
    <w:rsid w:val="00953F7C"/>
    <w:rsid w:val="00954926"/>
    <w:rsid w:val="00954CD9"/>
    <w:rsid w:val="00955120"/>
    <w:rsid w:val="009557D5"/>
    <w:rsid w:val="00955ABE"/>
    <w:rsid w:val="00956B29"/>
    <w:rsid w:val="009607D9"/>
    <w:rsid w:val="00960D11"/>
    <w:rsid w:val="0096154B"/>
    <w:rsid w:val="00962A22"/>
    <w:rsid w:val="00962CB1"/>
    <w:rsid w:val="00962DFE"/>
    <w:rsid w:val="00963195"/>
    <w:rsid w:val="00964A07"/>
    <w:rsid w:val="00965457"/>
    <w:rsid w:val="00965705"/>
    <w:rsid w:val="0096575F"/>
    <w:rsid w:val="00966859"/>
    <w:rsid w:val="00966AA5"/>
    <w:rsid w:val="00970B93"/>
    <w:rsid w:val="00971B74"/>
    <w:rsid w:val="00972326"/>
    <w:rsid w:val="00972D75"/>
    <w:rsid w:val="00972DE0"/>
    <w:rsid w:val="00972ED0"/>
    <w:rsid w:val="00974498"/>
    <w:rsid w:val="00975DDE"/>
    <w:rsid w:val="0097611F"/>
    <w:rsid w:val="0098022A"/>
    <w:rsid w:val="009808AD"/>
    <w:rsid w:val="00980AB2"/>
    <w:rsid w:val="00980E92"/>
    <w:rsid w:val="0098182A"/>
    <w:rsid w:val="00981AB9"/>
    <w:rsid w:val="009830E0"/>
    <w:rsid w:val="00984EA1"/>
    <w:rsid w:val="00985909"/>
    <w:rsid w:val="00986C7D"/>
    <w:rsid w:val="00986DB3"/>
    <w:rsid w:val="00987364"/>
    <w:rsid w:val="009914B0"/>
    <w:rsid w:val="00991852"/>
    <w:rsid w:val="00991C27"/>
    <w:rsid w:val="00992A18"/>
    <w:rsid w:val="00992E35"/>
    <w:rsid w:val="009933C4"/>
    <w:rsid w:val="00993409"/>
    <w:rsid w:val="00993DDA"/>
    <w:rsid w:val="00994D93"/>
    <w:rsid w:val="009950A5"/>
    <w:rsid w:val="0099510A"/>
    <w:rsid w:val="0099564F"/>
    <w:rsid w:val="00995E4B"/>
    <w:rsid w:val="00996EA5"/>
    <w:rsid w:val="009972CA"/>
    <w:rsid w:val="00997DA4"/>
    <w:rsid w:val="009A071E"/>
    <w:rsid w:val="009A0E8C"/>
    <w:rsid w:val="009A4CBB"/>
    <w:rsid w:val="009A5B20"/>
    <w:rsid w:val="009A6F78"/>
    <w:rsid w:val="009B07BE"/>
    <w:rsid w:val="009B0809"/>
    <w:rsid w:val="009B0CCB"/>
    <w:rsid w:val="009B2654"/>
    <w:rsid w:val="009B3152"/>
    <w:rsid w:val="009B3A8B"/>
    <w:rsid w:val="009B3B8B"/>
    <w:rsid w:val="009B4456"/>
    <w:rsid w:val="009B518F"/>
    <w:rsid w:val="009B5A10"/>
    <w:rsid w:val="009B60C2"/>
    <w:rsid w:val="009B6743"/>
    <w:rsid w:val="009B6AA5"/>
    <w:rsid w:val="009B6D04"/>
    <w:rsid w:val="009B6D65"/>
    <w:rsid w:val="009B6D86"/>
    <w:rsid w:val="009B6FA2"/>
    <w:rsid w:val="009B7037"/>
    <w:rsid w:val="009B7BFB"/>
    <w:rsid w:val="009C0E59"/>
    <w:rsid w:val="009C1B91"/>
    <w:rsid w:val="009C35B0"/>
    <w:rsid w:val="009C35C8"/>
    <w:rsid w:val="009C3684"/>
    <w:rsid w:val="009C4EC1"/>
    <w:rsid w:val="009C71DC"/>
    <w:rsid w:val="009C7492"/>
    <w:rsid w:val="009C787C"/>
    <w:rsid w:val="009C7909"/>
    <w:rsid w:val="009D0330"/>
    <w:rsid w:val="009D0440"/>
    <w:rsid w:val="009D0A30"/>
    <w:rsid w:val="009D0DFB"/>
    <w:rsid w:val="009D0E07"/>
    <w:rsid w:val="009D10C6"/>
    <w:rsid w:val="009D1103"/>
    <w:rsid w:val="009D1412"/>
    <w:rsid w:val="009D235B"/>
    <w:rsid w:val="009D338D"/>
    <w:rsid w:val="009D3F12"/>
    <w:rsid w:val="009D46EA"/>
    <w:rsid w:val="009D5C95"/>
    <w:rsid w:val="009D5E83"/>
    <w:rsid w:val="009D7518"/>
    <w:rsid w:val="009E0979"/>
    <w:rsid w:val="009E1749"/>
    <w:rsid w:val="009E2211"/>
    <w:rsid w:val="009E276C"/>
    <w:rsid w:val="009E289F"/>
    <w:rsid w:val="009E2BD4"/>
    <w:rsid w:val="009E2BD5"/>
    <w:rsid w:val="009E2EC0"/>
    <w:rsid w:val="009E3872"/>
    <w:rsid w:val="009E4C62"/>
    <w:rsid w:val="009E5582"/>
    <w:rsid w:val="009E5C05"/>
    <w:rsid w:val="009E5C1E"/>
    <w:rsid w:val="009E669C"/>
    <w:rsid w:val="009E6802"/>
    <w:rsid w:val="009E6BC1"/>
    <w:rsid w:val="009E6D60"/>
    <w:rsid w:val="009F02A5"/>
    <w:rsid w:val="009F1232"/>
    <w:rsid w:val="009F2061"/>
    <w:rsid w:val="009F2765"/>
    <w:rsid w:val="009F2DC8"/>
    <w:rsid w:val="009F2F53"/>
    <w:rsid w:val="009F3D22"/>
    <w:rsid w:val="009F4BDA"/>
    <w:rsid w:val="009F5B7E"/>
    <w:rsid w:val="009F5DEE"/>
    <w:rsid w:val="009F78A4"/>
    <w:rsid w:val="009F7E29"/>
    <w:rsid w:val="00A000E6"/>
    <w:rsid w:val="00A011CE"/>
    <w:rsid w:val="00A01924"/>
    <w:rsid w:val="00A0240C"/>
    <w:rsid w:val="00A027A0"/>
    <w:rsid w:val="00A02B71"/>
    <w:rsid w:val="00A02CFB"/>
    <w:rsid w:val="00A031D0"/>
    <w:rsid w:val="00A036FA"/>
    <w:rsid w:val="00A03CA1"/>
    <w:rsid w:val="00A04450"/>
    <w:rsid w:val="00A0625F"/>
    <w:rsid w:val="00A0631B"/>
    <w:rsid w:val="00A063FC"/>
    <w:rsid w:val="00A10E0E"/>
    <w:rsid w:val="00A11D53"/>
    <w:rsid w:val="00A12991"/>
    <w:rsid w:val="00A130A5"/>
    <w:rsid w:val="00A1380C"/>
    <w:rsid w:val="00A13DE2"/>
    <w:rsid w:val="00A1563F"/>
    <w:rsid w:val="00A16295"/>
    <w:rsid w:val="00A168FF"/>
    <w:rsid w:val="00A17BFB"/>
    <w:rsid w:val="00A20A70"/>
    <w:rsid w:val="00A2151C"/>
    <w:rsid w:val="00A23252"/>
    <w:rsid w:val="00A239C7"/>
    <w:rsid w:val="00A23E12"/>
    <w:rsid w:val="00A24537"/>
    <w:rsid w:val="00A24996"/>
    <w:rsid w:val="00A260A1"/>
    <w:rsid w:val="00A262AA"/>
    <w:rsid w:val="00A26B56"/>
    <w:rsid w:val="00A26CAF"/>
    <w:rsid w:val="00A27F9A"/>
    <w:rsid w:val="00A302A7"/>
    <w:rsid w:val="00A3067D"/>
    <w:rsid w:val="00A320F5"/>
    <w:rsid w:val="00A34790"/>
    <w:rsid w:val="00A35899"/>
    <w:rsid w:val="00A35D5B"/>
    <w:rsid w:val="00A36354"/>
    <w:rsid w:val="00A36453"/>
    <w:rsid w:val="00A365A9"/>
    <w:rsid w:val="00A36C85"/>
    <w:rsid w:val="00A405B4"/>
    <w:rsid w:val="00A40C6A"/>
    <w:rsid w:val="00A40F6A"/>
    <w:rsid w:val="00A41098"/>
    <w:rsid w:val="00A41180"/>
    <w:rsid w:val="00A412AD"/>
    <w:rsid w:val="00A41F7D"/>
    <w:rsid w:val="00A42128"/>
    <w:rsid w:val="00A43639"/>
    <w:rsid w:val="00A43C2F"/>
    <w:rsid w:val="00A44A1D"/>
    <w:rsid w:val="00A45151"/>
    <w:rsid w:val="00A4552D"/>
    <w:rsid w:val="00A45A4D"/>
    <w:rsid w:val="00A45A93"/>
    <w:rsid w:val="00A45BF3"/>
    <w:rsid w:val="00A45ECB"/>
    <w:rsid w:val="00A469B6"/>
    <w:rsid w:val="00A50158"/>
    <w:rsid w:val="00A50387"/>
    <w:rsid w:val="00A503A6"/>
    <w:rsid w:val="00A536A6"/>
    <w:rsid w:val="00A54920"/>
    <w:rsid w:val="00A54C59"/>
    <w:rsid w:val="00A54D19"/>
    <w:rsid w:val="00A554B9"/>
    <w:rsid w:val="00A56174"/>
    <w:rsid w:val="00A56374"/>
    <w:rsid w:val="00A566C8"/>
    <w:rsid w:val="00A56F6B"/>
    <w:rsid w:val="00A5730B"/>
    <w:rsid w:val="00A574F1"/>
    <w:rsid w:val="00A57551"/>
    <w:rsid w:val="00A62020"/>
    <w:rsid w:val="00A6338D"/>
    <w:rsid w:val="00A6505A"/>
    <w:rsid w:val="00A65B70"/>
    <w:rsid w:val="00A65C3B"/>
    <w:rsid w:val="00A66119"/>
    <w:rsid w:val="00A66672"/>
    <w:rsid w:val="00A66724"/>
    <w:rsid w:val="00A703A4"/>
    <w:rsid w:val="00A703C8"/>
    <w:rsid w:val="00A70417"/>
    <w:rsid w:val="00A717CA"/>
    <w:rsid w:val="00A71FC7"/>
    <w:rsid w:val="00A731C6"/>
    <w:rsid w:val="00A73310"/>
    <w:rsid w:val="00A7359D"/>
    <w:rsid w:val="00A73794"/>
    <w:rsid w:val="00A73E54"/>
    <w:rsid w:val="00A7420A"/>
    <w:rsid w:val="00A74C79"/>
    <w:rsid w:val="00A74DD3"/>
    <w:rsid w:val="00A74F18"/>
    <w:rsid w:val="00A76372"/>
    <w:rsid w:val="00A76573"/>
    <w:rsid w:val="00A76AF7"/>
    <w:rsid w:val="00A7705A"/>
    <w:rsid w:val="00A80197"/>
    <w:rsid w:val="00A80352"/>
    <w:rsid w:val="00A8136B"/>
    <w:rsid w:val="00A81627"/>
    <w:rsid w:val="00A820F0"/>
    <w:rsid w:val="00A82251"/>
    <w:rsid w:val="00A83014"/>
    <w:rsid w:val="00A831CB"/>
    <w:rsid w:val="00A83808"/>
    <w:rsid w:val="00A84B85"/>
    <w:rsid w:val="00A84E6D"/>
    <w:rsid w:val="00A84EE0"/>
    <w:rsid w:val="00A86276"/>
    <w:rsid w:val="00A87D88"/>
    <w:rsid w:val="00A90D2A"/>
    <w:rsid w:val="00A9178F"/>
    <w:rsid w:val="00A9268D"/>
    <w:rsid w:val="00A9301D"/>
    <w:rsid w:val="00A93552"/>
    <w:rsid w:val="00A94724"/>
    <w:rsid w:val="00A94DDE"/>
    <w:rsid w:val="00A951C2"/>
    <w:rsid w:val="00A957CC"/>
    <w:rsid w:val="00A95D28"/>
    <w:rsid w:val="00A9613D"/>
    <w:rsid w:val="00A9713E"/>
    <w:rsid w:val="00AA04F8"/>
    <w:rsid w:val="00AA10D9"/>
    <w:rsid w:val="00AA1C88"/>
    <w:rsid w:val="00AA244E"/>
    <w:rsid w:val="00AA25DA"/>
    <w:rsid w:val="00AA44D5"/>
    <w:rsid w:val="00AA47DF"/>
    <w:rsid w:val="00AA4F61"/>
    <w:rsid w:val="00AA5C12"/>
    <w:rsid w:val="00AA6090"/>
    <w:rsid w:val="00AA68C5"/>
    <w:rsid w:val="00AA6F90"/>
    <w:rsid w:val="00AA72F8"/>
    <w:rsid w:val="00AA7BBF"/>
    <w:rsid w:val="00AB0425"/>
    <w:rsid w:val="00AB093D"/>
    <w:rsid w:val="00AB24FC"/>
    <w:rsid w:val="00AB2AFC"/>
    <w:rsid w:val="00AB3610"/>
    <w:rsid w:val="00AB3D9A"/>
    <w:rsid w:val="00AB3E26"/>
    <w:rsid w:val="00AB44ED"/>
    <w:rsid w:val="00AB48D1"/>
    <w:rsid w:val="00AB52B7"/>
    <w:rsid w:val="00AB59CF"/>
    <w:rsid w:val="00AB774B"/>
    <w:rsid w:val="00AB7801"/>
    <w:rsid w:val="00AC405C"/>
    <w:rsid w:val="00AC4CD7"/>
    <w:rsid w:val="00AC6679"/>
    <w:rsid w:val="00AC772A"/>
    <w:rsid w:val="00AD06FA"/>
    <w:rsid w:val="00AD211C"/>
    <w:rsid w:val="00AD2731"/>
    <w:rsid w:val="00AD3169"/>
    <w:rsid w:val="00AD3299"/>
    <w:rsid w:val="00AD403D"/>
    <w:rsid w:val="00AD5FCF"/>
    <w:rsid w:val="00AD6CD3"/>
    <w:rsid w:val="00AD6E00"/>
    <w:rsid w:val="00AD75B1"/>
    <w:rsid w:val="00AD7DE9"/>
    <w:rsid w:val="00AE08DB"/>
    <w:rsid w:val="00AE0AEA"/>
    <w:rsid w:val="00AE1B5C"/>
    <w:rsid w:val="00AE20AC"/>
    <w:rsid w:val="00AE2456"/>
    <w:rsid w:val="00AE4020"/>
    <w:rsid w:val="00AE55B1"/>
    <w:rsid w:val="00AE6B94"/>
    <w:rsid w:val="00AE6E78"/>
    <w:rsid w:val="00AE7158"/>
    <w:rsid w:val="00AE7BF7"/>
    <w:rsid w:val="00AF0344"/>
    <w:rsid w:val="00AF08A3"/>
    <w:rsid w:val="00AF137C"/>
    <w:rsid w:val="00AF1613"/>
    <w:rsid w:val="00AF1C73"/>
    <w:rsid w:val="00AF1EE2"/>
    <w:rsid w:val="00AF24E8"/>
    <w:rsid w:val="00AF35A2"/>
    <w:rsid w:val="00AF3A73"/>
    <w:rsid w:val="00AF471C"/>
    <w:rsid w:val="00AF51AD"/>
    <w:rsid w:val="00AF5231"/>
    <w:rsid w:val="00AF5B91"/>
    <w:rsid w:val="00AF5E16"/>
    <w:rsid w:val="00AF608C"/>
    <w:rsid w:val="00AF6D0C"/>
    <w:rsid w:val="00B00C48"/>
    <w:rsid w:val="00B02042"/>
    <w:rsid w:val="00B0217A"/>
    <w:rsid w:val="00B026C4"/>
    <w:rsid w:val="00B02A5C"/>
    <w:rsid w:val="00B031BB"/>
    <w:rsid w:val="00B04036"/>
    <w:rsid w:val="00B04212"/>
    <w:rsid w:val="00B04A16"/>
    <w:rsid w:val="00B060B6"/>
    <w:rsid w:val="00B06F8D"/>
    <w:rsid w:val="00B1098D"/>
    <w:rsid w:val="00B11746"/>
    <w:rsid w:val="00B125A2"/>
    <w:rsid w:val="00B13642"/>
    <w:rsid w:val="00B13E3E"/>
    <w:rsid w:val="00B149F3"/>
    <w:rsid w:val="00B14C44"/>
    <w:rsid w:val="00B14C5A"/>
    <w:rsid w:val="00B15224"/>
    <w:rsid w:val="00B1562A"/>
    <w:rsid w:val="00B159EE"/>
    <w:rsid w:val="00B16009"/>
    <w:rsid w:val="00B16ACC"/>
    <w:rsid w:val="00B17A41"/>
    <w:rsid w:val="00B216BF"/>
    <w:rsid w:val="00B21AA2"/>
    <w:rsid w:val="00B225D1"/>
    <w:rsid w:val="00B2282C"/>
    <w:rsid w:val="00B22B71"/>
    <w:rsid w:val="00B236ED"/>
    <w:rsid w:val="00B245E6"/>
    <w:rsid w:val="00B2570C"/>
    <w:rsid w:val="00B26017"/>
    <w:rsid w:val="00B260AF"/>
    <w:rsid w:val="00B262AB"/>
    <w:rsid w:val="00B26E96"/>
    <w:rsid w:val="00B27411"/>
    <w:rsid w:val="00B30200"/>
    <w:rsid w:val="00B3083F"/>
    <w:rsid w:val="00B30ABB"/>
    <w:rsid w:val="00B3168F"/>
    <w:rsid w:val="00B32A4A"/>
    <w:rsid w:val="00B33725"/>
    <w:rsid w:val="00B3447F"/>
    <w:rsid w:val="00B35389"/>
    <w:rsid w:val="00B353BA"/>
    <w:rsid w:val="00B36795"/>
    <w:rsid w:val="00B42028"/>
    <w:rsid w:val="00B43830"/>
    <w:rsid w:val="00B43D68"/>
    <w:rsid w:val="00B448D4"/>
    <w:rsid w:val="00B45624"/>
    <w:rsid w:val="00B456E4"/>
    <w:rsid w:val="00B4723D"/>
    <w:rsid w:val="00B47B82"/>
    <w:rsid w:val="00B47F74"/>
    <w:rsid w:val="00B5138B"/>
    <w:rsid w:val="00B515E2"/>
    <w:rsid w:val="00B51F3B"/>
    <w:rsid w:val="00B52B48"/>
    <w:rsid w:val="00B5385F"/>
    <w:rsid w:val="00B556CE"/>
    <w:rsid w:val="00B55E82"/>
    <w:rsid w:val="00B619A0"/>
    <w:rsid w:val="00B622A5"/>
    <w:rsid w:val="00B63919"/>
    <w:rsid w:val="00B648B2"/>
    <w:rsid w:val="00B67084"/>
    <w:rsid w:val="00B67D2D"/>
    <w:rsid w:val="00B705FD"/>
    <w:rsid w:val="00B711B7"/>
    <w:rsid w:val="00B71BF4"/>
    <w:rsid w:val="00B72065"/>
    <w:rsid w:val="00B736B0"/>
    <w:rsid w:val="00B7385C"/>
    <w:rsid w:val="00B74279"/>
    <w:rsid w:val="00B74B56"/>
    <w:rsid w:val="00B74EC0"/>
    <w:rsid w:val="00B756E1"/>
    <w:rsid w:val="00B77362"/>
    <w:rsid w:val="00B77865"/>
    <w:rsid w:val="00B779F4"/>
    <w:rsid w:val="00B8014B"/>
    <w:rsid w:val="00B80785"/>
    <w:rsid w:val="00B8136A"/>
    <w:rsid w:val="00B81683"/>
    <w:rsid w:val="00B81A71"/>
    <w:rsid w:val="00B81E19"/>
    <w:rsid w:val="00B81E93"/>
    <w:rsid w:val="00B82A07"/>
    <w:rsid w:val="00B82F80"/>
    <w:rsid w:val="00B8350E"/>
    <w:rsid w:val="00B835F5"/>
    <w:rsid w:val="00B836FF"/>
    <w:rsid w:val="00B837C8"/>
    <w:rsid w:val="00B83C8A"/>
    <w:rsid w:val="00B84236"/>
    <w:rsid w:val="00B842B7"/>
    <w:rsid w:val="00B845BF"/>
    <w:rsid w:val="00B846A7"/>
    <w:rsid w:val="00B84FFA"/>
    <w:rsid w:val="00B85ACC"/>
    <w:rsid w:val="00B85D7A"/>
    <w:rsid w:val="00B86AE0"/>
    <w:rsid w:val="00B87575"/>
    <w:rsid w:val="00B9092C"/>
    <w:rsid w:val="00B921CD"/>
    <w:rsid w:val="00B9440C"/>
    <w:rsid w:val="00B9482D"/>
    <w:rsid w:val="00B954A3"/>
    <w:rsid w:val="00B95A1B"/>
    <w:rsid w:val="00B95ACD"/>
    <w:rsid w:val="00B96332"/>
    <w:rsid w:val="00B96D2C"/>
    <w:rsid w:val="00B97314"/>
    <w:rsid w:val="00BA046E"/>
    <w:rsid w:val="00BA084A"/>
    <w:rsid w:val="00BA1AA0"/>
    <w:rsid w:val="00BA3159"/>
    <w:rsid w:val="00BA472E"/>
    <w:rsid w:val="00BA531B"/>
    <w:rsid w:val="00BA5492"/>
    <w:rsid w:val="00BA6050"/>
    <w:rsid w:val="00BA6E2C"/>
    <w:rsid w:val="00BA6F80"/>
    <w:rsid w:val="00BB11BC"/>
    <w:rsid w:val="00BB17F2"/>
    <w:rsid w:val="00BB3161"/>
    <w:rsid w:val="00BB3A8C"/>
    <w:rsid w:val="00BB3AD2"/>
    <w:rsid w:val="00BB4EC9"/>
    <w:rsid w:val="00BB5B3A"/>
    <w:rsid w:val="00BB6013"/>
    <w:rsid w:val="00BB6783"/>
    <w:rsid w:val="00BB67BB"/>
    <w:rsid w:val="00BB71C1"/>
    <w:rsid w:val="00BC1973"/>
    <w:rsid w:val="00BC26A3"/>
    <w:rsid w:val="00BC2E83"/>
    <w:rsid w:val="00BC3194"/>
    <w:rsid w:val="00BC35CF"/>
    <w:rsid w:val="00BC3C8B"/>
    <w:rsid w:val="00BC4527"/>
    <w:rsid w:val="00BC4697"/>
    <w:rsid w:val="00BC5170"/>
    <w:rsid w:val="00BC638C"/>
    <w:rsid w:val="00BD06D1"/>
    <w:rsid w:val="00BD095F"/>
    <w:rsid w:val="00BD0AA9"/>
    <w:rsid w:val="00BD0B13"/>
    <w:rsid w:val="00BD1775"/>
    <w:rsid w:val="00BD1F88"/>
    <w:rsid w:val="00BD2A67"/>
    <w:rsid w:val="00BD3075"/>
    <w:rsid w:val="00BD3A5C"/>
    <w:rsid w:val="00BD4E5F"/>
    <w:rsid w:val="00BD4FE7"/>
    <w:rsid w:val="00BD5212"/>
    <w:rsid w:val="00BD52F1"/>
    <w:rsid w:val="00BD623B"/>
    <w:rsid w:val="00BD6EEE"/>
    <w:rsid w:val="00BD70C0"/>
    <w:rsid w:val="00BD71D3"/>
    <w:rsid w:val="00BD7D29"/>
    <w:rsid w:val="00BE0BB6"/>
    <w:rsid w:val="00BE0DC3"/>
    <w:rsid w:val="00BE1A15"/>
    <w:rsid w:val="00BE23CE"/>
    <w:rsid w:val="00BE33A9"/>
    <w:rsid w:val="00BE376B"/>
    <w:rsid w:val="00BE4076"/>
    <w:rsid w:val="00BE491F"/>
    <w:rsid w:val="00BE4929"/>
    <w:rsid w:val="00BE4D1B"/>
    <w:rsid w:val="00BE678F"/>
    <w:rsid w:val="00BE6D78"/>
    <w:rsid w:val="00BF00C6"/>
    <w:rsid w:val="00BF0346"/>
    <w:rsid w:val="00BF127E"/>
    <w:rsid w:val="00BF2612"/>
    <w:rsid w:val="00BF4316"/>
    <w:rsid w:val="00BF4C1D"/>
    <w:rsid w:val="00BF574A"/>
    <w:rsid w:val="00BF7060"/>
    <w:rsid w:val="00BF7101"/>
    <w:rsid w:val="00C011BD"/>
    <w:rsid w:val="00C017D4"/>
    <w:rsid w:val="00C01E03"/>
    <w:rsid w:val="00C02075"/>
    <w:rsid w:val="00C0246A"/>
    <w:rsid w:val="00C02544"/>
    <w:rsid w:val="00C04500"/>
    <w:rsid w:val="00C04A3F"/>
    <w:rsid w:val="00C0595A"/>
    <w:rsid w:val="00C06183"/>
    <w:rsid w:val="00C102D8"/>
    <w:rsid w:val="00C110B3"/>
    <w:rsid w:val="00C1159F"/>
    <w:rsid w:val="00C115B4"/>
    <w:rsid w:val="00C1229C"/>
    <w:rsid w:val="00C14534"/>
    <w:rsid w:val="00C14AE7"/>
    <w:rsid w:val="00C15119"/>
    <w:rsid w:val="00C15584"/>
    <w:rsid w:val="00C15875"/>
    <w:rsid w:val="00C1624E"/>
    <w:rsid w:val="00C16A52"/>
    <w:rsid w:val="00C1722C"/>
    <w:rsid w:val="00C17437"/>
    <w:rsid w:val="00C206C3"/>
    <w:rsid w:val="00C21A5E"/>
    <w:rsid w:val="00C23EAC"/>
    <w:rsid w:val="00C24C5E"/>
    <w:rsid w:val="00C24FB0"/>
    <w:rsid w:val="00C251D6"/>
    <w:rsid w:val="00C25217"/>
    <w:rsid w:val="00C25A09"/>
    <w:rsid w:val="00C273EF"/>
    <w:rsid w:val="00C312F4"/>
    <w:rsid w:val="00C31729"/>
    <w:rsid w:val="00C3402C"/>
    <w:rsid w:val="00C34767"/>
    <w:rsid w:val="00C34DE4"/>
    <w:rsid w:val="00C36CED"/>
    <w:rsid w:val="00C40621"/>
    <w:rsid w:val="00C407CC"/>
    <w:rsid w:val="00C408DE"/>
    <w:rsid w:val="00C40C2F"/>
    <w:rsid w:val="00C41BA6"/>
    <w:rsid w:val="00C426A3"/>
    <w:rsid w:val="00C42E08"/>
    <w:rsid w:val="00C433F8"/>
    <w:rsid w:val="00C439D6"/>
    <w:rsid w:val="00C44732"/>
    <w:rsid w:val="00C46F75"/>
    <w:rsid w:val="00C50275"/>
    <w:rsid w:val="00C511BE"/>
    <w:rsid w:val="00C52BE1"/>
    <w:rsid w:val="00C52CE4"/>
    <w:rsid w:val="00C52D08"/>
    <w:rsid w:val="00C53049"/>
    <w:rsid w:val="00C53AFC"/>
    <w:rsid w:val="00C568B4"/>
    <w:rsid w:val="00C569F8"/>
    <w:rsid w:val="00C60296"/>
    <w:rsid w:val="00C60363"/>
    <w:rsid w:val="00C61ACA"/>
    <w:rsid w:val="00C63406"/>
    <w:rsid w:val="00C6354E"/>
    <w:rsid w:val="00C63568"/>
    <w:rsid w:val="00C6476D"/>
    <w:rsid w:val="00C64ABB"/>
    <w:rsid w:val="00C64BDF"/>
    <w:rsid w:val="00C64F68"/>
    <w:rsid w:val="00C65809"/>
    <w:rsid w:val="00C66496"/>
    <w:rsid w:val="00C66721"/>
    <w:rsid w:val="00C6711C"/>
    <w:rsid w:val="00C67B1F"/>
    <w:rsid w:val="00C70394"/>
    <w:rsid w:val="00C70D02"/>
    <w:rsid w:val="00C70FBD"/>
    <w:rsid w:val="00C718E0"/>
    <w:rsid w:val="00C7243C"/>
    <w:rsid w:val="00C726AE"/>
    <w:rsid w:val="00C75671"/>
    <w:rsid w:val="00C75E85"/>
    <w:rsid w:val="00C763B9"/>
    <w:rsid w:val="00C7640A"/>
    <w:rsid w:val="00C777D1"/>
    <w:rsid w:val="00C77A23"/>
    <w:rsid w:val="00C80248"/>
    <w:rsid w:val="00C8123F"/>
    <w:rsid w:val="00C81A1E"/>
    <w:rsid w:val="00C81D4B"/>
    <w:rsid w:val="00C822B6"/>
    <w:rsid w:val="00C839F5"/>
    <w:rsid w:val="00C84F7C"/>
    <w:rsid w:val="00C85C8D"/>
    <w:rsid w:val="00C860B3"/>
    <w:rsid w:val="00C861CE"/>
    <w:rsid w:val="00C866CC"/>
    <w:rsid w:val="00C869F3"/>
    <w:rsid w:val="00C86D60"/>
    <w:rsid w:val="00C876CC"/>
    <w:rsid w:val="00C87944"/>
    <w:rsid w:val="00C902C2"/>
    <w:rsid w:val="00C916F2"/>
    <w:rsid w:val="00C91953"/>
    <w:rsid w:val="00C92277"/>
    <w:rsid w:val="00C927DB"/>
    <w:rsid w:val="00C933EE"/>
    <w:rsid w:val="00C93852"/>
    <w:rsid w:val="00C93876"/>
    <w:rsid w:val="00C9430E"/>
    <w:rsid w:val="00C94ABE"/>
    <w:rsid w:val="00C95058"/>
    <w:rsid w:val="00C96738"/>
    <w:rsid w:val="00C96D26"/>
    <w:rsid w:val="00C97DD3"/>
    <w:rsid w:val="00CA0094"/>
    <w:rsid w:val="00CA050A"/>
    <w:rsid w:val="00CA07D0"/>
    <w:rsid w:val="00CA1368"/>
    <w:rsid w:val="00CA1A3E"/>
    <w:rsid w:val="00CA24A8"/>
    <w:rsid w:val="00CA3338"/>
    <w:rsid w:val="00CA36DB"/>
    <w:rsid w:val="00CA448B"/>
    <w:rsid w:val="00CA48D5"/>
    <w:rsid w:val="00CA4B9D"/>
    <w:rsid w:val="00CA4BAC"/>
    <w:rsid w:val="00CA5223"/>
    <w:rsid w:val="00CA5EC6"/>
    <w:rsid w:val="00CA61AE"/>
    <w:rsid w:val="00CA631C"/>
    <w:rsid w:val="00CA6C83"/>
    <w:rsid w:val="00CA6C86"/>
    <w:rsid w:val="00CA6D05"/>
    <w:rsid w:val="00CA6E34"/>
    <w:rsid w:val="00CA7AC1"/>
    <w:rsid w:val="00CB0323"/>
    <w:rsid w:val="00CB06F7"/>
    <w:rsid w:val="00CB211A"/>
    <w:rsid w:val="00CB28BA"/>
    <w:rsid w:val="00CB2A6E"/>
    <w:rsid w:val="00CB3B03"/>
    <w:rsid w:val="00CB489E"/>
    <w:rsid w:val="00CB529F"/>
    <w:rsid w:val="00CB61A6"/>
    <w:rsid w:val="00CB6AFA"/>
    <w:rsid w:val="00CB6F55"/>
    <w:rsid w:val="00CB74EF"/>
    <w:rsid w:val="00CC0284"/>
    <w:rsid w:val="00CC0437"/>
    <w:rsid w:val="00CC0A29"/>
    <w:rsid w:val="00CC0C00"/>
    <w:rsid w:val="00CC1812"/>
    <w:rsid w:val="00CC1F12"/>
    <w:rsid w:val="00CC250E"/>
    <w:rsid w:val="00CC2561"/>
    <w:rsid w:val="00CC2D5E"/>
    <w:rsid w:val="00CC302D"/>
    <w:rsid w:val="00CC322C"/>
    <w:rsid w:val="00CC3D93"/>
    <w:rsid w:val="00CC4511"/>
    <w:rsid w:val="00CC4578"/>
    <w:rsid w:val="00CC4595"/>
    <w:rsid w:val="00CC5B22"/>
    <w:rsid w:val="00CC5EFF"/>
    <w:rsid w:val="00CC6039"/>
    <w:rsid w:val="00CC64A1"/>
    <w:rsid w:val="00CC7195"/>
    <w:rsid w:val="00CD02FE"/>
    <w:rsid w:val="00CD073D"/>
    <w:rsid w:val="00CD123E"/>
    <w:rsid w:val="00CD21E9"/>
    <w:rsid w:val="00CD23A7"/>
    <w:rsid w:val="00CD2EB9"/>
    <w:rsid w:val="00CD3089"/>
    <w:rsid w:val="00CD33CE"/>
    <w:rsid w:val="00CD36F2"/>
    <w:rsid w:val="00CD3AFA"/>
    <w:rsid w:val="00CD4A96"/>
    <w:rsid w:val="00CD4BE5"/>
    <w:rsid w:val="00CD5357"/>
    <w:rsid w:val="00CD5D9A"/>
    <w:rsid w:val="00CD68F7"/>
    <w:rsid w:val="00CE030D"/>
    <w:rsid w:val="00CE0F32"/>
    <w:rsid w:val="00CE168F"/>
    <w:rsid w:val="00CE19CB"/>
    <w:rsid w:val="00CE2805"/>
    <w:rsid w:val="00CE36E9"/>
    <w:rsid w:val="00CE531B"/>
    <w:rsid w:val="00CE7474"/>
    <w:rsid w:val="00CE7BE3"/>
    <w:rsid w:val="00CF03F0"/>
    <w:rsid w:val="00CF13DB"/>
    <w:rsid w:val="00CF4500"/>
    <w:rsid w:val="00CF4965"/>
    <w:rsid w:val="00CF4EE9"/>
    <w:rsid w:val="00CF5EC7"/>
    <w:rsid w:val="00CF6966"/>
    <w:rsid w:val="00CF707C"/>
    <w:rsid w:val="00D0137D"/>
    <w:rsid w:val="00D014E3"/>
    <w:rsid w:val="00D01A1B"/>
    <w:rsid w:val="00D023F4"/>
    <w:rsid w:val="00D03C7E"/>
    <w:rsid w:val="00D03EF1"/>
    <w:rsid w:val="00D04A67"/>
    <w:rsid w:val="00D05BBE"/>
    <w:rsid w:val="00D062F4"/>
    <w:rsid w:val="00D0676C"/>
    <w:rsid w:val="00D06BBF"/>
    <w:rsid w:val="00D06BFE"/>
    <w:rsid w:val="00D071D4"/>
    <w:rsid w:val="00D07CE1"/>
    <w:rsid w:val="00D07D15"/>
    <w:rsid w:val="00D07D65"/>
    <w:rsid w:val="00D1000F"/>
    <w:rsid w:val="00D1008F"/>
    <w:rsid w:val="00D10343"/>
    <w:rsid w:val="00D10727"/>
    <w:rsid w:val="00D10AD4"/>
    <w:rsid w:val="00D115A5"/>
    <w:rsid w:val="00D12C36"/>
    <w:rsid w:val="00D12C8D"/>
    <w:rsid w:val="00D135BD"/>
    <w:rsid w:val="00D15604"/>
    <w:rsid w:val="00D1571E"/>
    <w:rsid w:val="00D20866"/>
    <w:rsid w:val="00D20983"/>
    <w:rsid w:val="00D21C91"/>
    <w:rsid w:val="00D2433A"/>
    <w:rsid w:val="00D2452E"/>
    <w:rsid w:val="00D24B25"/>
    <w:rsid w:val="00D25CE2"/>
    <w:rsid w:val="00D27ADA"/>
    <w:rsid w:val="00D27D2C"/>
    <w:rsid w:val="00D27D89"/>
    <w:rsid w:val="00D301B7"/>
    <w:rsid w:val="00D30D35"/>
    <w:rsid w:val="00D30DD7"/>
    <w:rsid w:val="00D324FE"/>
    <w:rsid w:val="00D32DDE"/>
    <w:rsid w:val="00D32FF3"/>
    <w:rsid w:val="00D331FE"/>
    <w:rsid w:val="00D33283"/>
    <w:rsid w:val="00D33803"/>
    <w:rsid w:val="00D34581"/>
    <w:rsid w:val="00D348C8"/>
    <w:rsid w:val="00D34C9F"/>
    <w:rsid w:val="00D36051"/>
    <w:rsid w:val="00D36B02"/>
    <w:rsid w:val="00D3714B"/>
    <w:rsid w:val="00D40047"/>
    <w:rsid w:val="00D405C7"/>
    <w:rsid w:val="00D406C6"/>
    <w:rsid w:val="00D42CBE"/>
    <w:rsid w:val="00D42D71"/>
    <w:rsid w:val="00D43D13"/>
    <w:rsid w:val="00D43E4E"/>
    <w:rsid w:val="00D442AF"/>
    <w:rsid w:val="00D446E1"/>
    <w:rsid w:val="00D4487D"/>
    <w:rsid w:val="00D454C9"/>
    <w:rsid w:val="00D456C3"/>
    <w:rsid w:val="00D45C89"/>
    <w:rsid w:val="00D46238"/>
    <w:rsid w:val="00D46E1A"/>
    <w:rsid w:val="00D47361"/>
    <w:rsid w:val="00D4786A"/>
    <w:rsid w:val="00D51228"/>
    <w:rsid w:val="00D51A0F"/>
    <w:rsid w:val="00D53B05"/>
    <w:rsid w:val="00D54916"/>
    <w:rsid w:val="00D54C3F"/>
    <w:rsid w:val="00D54DDC"/>
    <w:rsid w:val="00D558D5"/>
    <w:rsid w:val="00D56E73"/>
    <w:rsid w:val="00D56F66"/>
    <w:rsid w:val="00D5704B"/>
    <w:rsid w:val="00D5704F"/>
    <w:rsid w:val="00D576A6"/>
    <w:rsid w:val="00D604F5"/>
    <w:rsid w:val="00D61A14"/>
    <w:rsid w:val="00D62030"/>
    <w:rsid w:val="00D62340"/>
    <w:rsid w:val="00D63027"/>
    <w:rsid w:val="00D639E6"/>
    <w:rsid w:val="00D646BD"/>
    <w:rsid w:val="00D64B0A"/>
    <w:rsid w:val="00D64D9C"/>
    <w:rsid w:val="00D64FF8"/>
    <w:rsid w:val="00D650D7"/>
    <w:rsid w:val="00D65309"/>
    <w:rsid w:val="00D666F3"/>
    <w:rsid w:val="00D66770"/>
    <w:rsid w:val="00D66978"/>
    <w:rsid w:val="00D67682"/>
    <w:rsid w:val="00D7019D"/>
    <w:rsid w:val="00D70839"/>
    <w:rsid w:val="00D70C54"/>
    <w:rsid w:val="00D71436"/>
    <w:rsid w:val="00D71523"/>
    <w:rsid w:val="00D71E24"/>
    <w:rsid w:val="00D724B9"/>
    <w:rsid w:val="00D7258C"/>
    <w:rsid w:val="00D73151"/>
    <w:rsid w:val="00D74035"/>
    <w:rsid w:val="00D74F55"/>
    <w:rsid w:val="00D75035"/>
    <w:rsid w:val="00D75246"/>
    <w:rsid w:val="00D75E6F"/>
    <w:rsid w:val="00D763CD"/>
    <w:rsid w:val="00D763D0"/>
    <w:rsid w:val="00D77123"/>
    <w:rsid w:val="00D80004"/>
    <w:rsid w:val="00D80202"/>
    <w:rsid w:val="00D80288"/>
    <w:rsid w:val="00D819F1"/>
    <w:rsid w:val="00D81B59"/>
    <w:rsid w:val="00D821E8"/>
    <w:rsid w:val="00D82887"/>
    <w:rsid w:val="00D82AB0"/>
    <w:rsid w:val="00D840E0"/>
    <w:rsid w:val="00D84C42"/>
    <w:rsid w:val="00D8510A"/>
    <w:rsid w:val="00D85579"/>
    <w:rsid w:val="00D861C6"/>
    <w:rsid w:val="00D869C7"/>
    <w:rsid w:val="00D86D2C"/>
    <w:rsid w:val="00D87CF0"/>
    <w:rsid w:val="00D90B31"/>
    <w:rsid w:val="00D91771"/>
    <w:rsid w:val="00D9315F"/>
    <w:rsid w:val="00D933DF"/>
    <w:rsid w:val="00D93632"/>
    <w:rsid w:val="00D942CF"/>
    <w:rsid w:val="00D9435C"/>
    <w:rsid w:val="00D9519C"/>
    <w:rsid w:val="00D96D77"/>
    <w:rsid w:val="00DA00FB"/>
    <w:rsid w:val="00DA0532"/>
    <w:rsid w:val="00DA091B"/>
    <w:rsid w:val="00DA09D6"/>
    <w:rsid w:val="00DA10E6"/>
    <w:rsid w:val="00DA123D"/>
    <w:rsid w:val="00DA165E"/>
    <w:rsid w:val="00DA1D78"/>
    <w:rsid w:val="00DA264A"/>
    <w:rsid w:val="00DA3F05"/>
    <w:rsid w:val="00DA45E8"/>
    <w:rsid w:val="00DA469F"/>
    <w:rsid w:val="00DA4DF2"/>
    <w:rsid w:val="00DA5099"/>
    <w:rsid w:val="00DA5318"/>
    <w:rsid w:val="00DA586D"/>
    <w:rsid w:val="00DB08D4"/>
    <w:rsid w:val="00DB0B41"/>
    <w:rsid w:val="00DB0D98"/>
    <w:rsid w:val="00DB0E35"/>
    <w:rsid w:val="00DB10E0"/>
    <w:rsid w:val="00DB12F4"/>
    <w:rsid w:val="00DB13CF"/>
    <w:rsid w:val="00DB16DF"/>
    <w:rsid w:val="00DB16E7"/>
    <w:rsid w:val="00DB25A7"/>
    <w:rsid w:val="00DB2FE9"/>
    <w:rsid w:val="00DB339F"/>
    <w:rsid w:val="00DB4887"/>
    <w:rsid w:val="00DB4CC9"/>
    <w:rsid w:val="00DB512F"/>
    <w:rsid w:val="00DB536F"/>
    <w:rsid w:val="00DB553D"/>
    <w:rsid w:val="00DB578F"/>
    <w:rsid w:val="00DB60B6"/>
    <w:rsid w:val="00DB64E6"/>
    <w:rsid w:val="00DB65DB"/>
    <w:rsid w:val="00DB7550"/>
    <w:rsid w:val="00DB7D42"/>
    <w:rsid w:val="00DB7D93"/>
    <w:rsid w:val="00DB7E92"/>
    <w:rsid w:val="00DC0132"/>
    <w:rsid w:val="00DC1300"/>
    <w:rsid w:val="00DC15AF"/>
    <w:rsid w:val="00DC1802"/>
    <w:rsid w:val="00DC1CBB"/>
    <w:rsid w:val="00DC253A"/>
    <w:rsid w:val="00DC44E6"/>
    <w:rsid w:val="00DC4ECB"/>
    <w:rsid w:val="00DC6C4C"/>
    <w:rsid w:val="00DC6FFD"/>
    <w:rsid w:val="00DC7333"/>
    <w:rsid w:val="00DC7A73"/>
    <w:rsid w:val="00DD0955"/>
    <w:rsid w:val="00DD0A95"/>
    <w:rsid w:val="00DD0A9A"/>
    <w:rsid w:val="00DD177A"/>
    <w:rsid w:val="00DD1CF2"/>
    <w:rsid w:val="00DD1FB7"/>
    <w:rsid w:val="00DD27F2"/>
    <w:rsid w:val="00DD2D72"/>
    <w:rsid w:val="00DD354C"/>
    <w:rsid w:val="00DD54BB"/>
    <w:rsid w:val="00DD5510"/>
    <w:rsid w:val="00DD6326"/>
    <w:rsid w:val="00DD6B4C"/>
    <w:rsid w:val="00DD74AA"/>
    <w:rsid w:val="00DD76C9"/>
    <w:rsid w:val="00DE00B7"/>
    <w:rsid w:val="00DE0DDA"/>
    <w:rsid w:val="00DE1FA5"/>
    <w:rsid w:val="00DE22D3"/>
    <w:rsid w:val="00DE3393"/>
    <w:rsid w:val="00DE4223"/>
    <w:rsid w:val="00DE5999"/>
    <w:rsid w:val="00DE6C2D"/>
    <w:rsid w:val="00DE7618"/>
    <w:rsid w:val="00DE7D69"/>
    <w:rsid w:val="00DF0502"/>
    <w:rsid w:val="00DF2301"/>
    <w:rsid w:val="00DF2E36"/>
    <w:rsid w:val="00DF2EE4"/>
    <w:rsid w:val="00DF3C8B"/>
    <w:rsid w:val="00DF40B5"/>
    <w:rsid w:val="00DF4398"/>
    <w:rsid w:val="00DF5008"/>
    <w:rsid w:val="00DF549A"/>
    <w:rsid w:val="00DF68CC"/>
    <w:rsid w:val="00DF6941"/>
    <w:rsid w:val="00DF6C7B"/>
    <w:rsid w:val="00DF73C0"/>
    <w:rsid w:val="00E003E1"/>
    <w:rsid w:val="00E0090F"/>
    <w:rsid w:val="00E0115A"/>
    <w:rsid w:val="00E02084"/>
    <w:rsid w:val="00E02286"/>
    <w:rsid w:val="00E034B6"/>
    <w:rsid w:val="00E03549"/>
    <w:rsid w:val="00E0446F"/>
    <w:rsid w:val="00E048D6"/>
    <w:rsid w:val="00E04E71"/>
    <w:rsid w:val="00E05A34"/>
    <w:rsid w:val="00E060B8"/>
    <w:rsid w:val="00E06230"/>
    <w:rsid w:val="00E06589"/>
    <w:rsid w:val="00E06649"/>
    <w:rsid w:val="00E068AF"/>
    <w:rsid w:val="00E074A4"/>
    <w:rsid w:val="00E10365"/>
    <w:rsid w:val="00E1083C"/>
    <w:rsid w:val="00E10876"/>
    <w:rsid w:val="00E10A13"/>
    <w:rsid w:val="00E12408"/>
    <w:rsid w:val="00E14578"/>
    <w:rsid w:val="00E15431"/>
    <w:rsid w:val="00E15BAE"/>
    <w:rsid w:val="00E1663E"/>
    <w:rsid w:val="00E16774"/>
    <w:rsid w:val="00E17A15"/>
    <w:rsid w:val="00E21252"/>
    <w:rsid w:val="00E22501"/>
    <w:rsid w:val="00E23959"/>
    <w:rsid w:val="00E24ED8"/>
    <w:rsid w:val="00E2780D"/>
    <w:rsid w:val="00E27AAA"/>
    <w:rsid w:val="00E27AB0"/>
    <w:rsid w:val="00E30383"/>
    <w:rsid w:val="00E30AB8"/>
    <w:rsid w:val="00E30EA0"/>
    <w:rsid w:val="00E3188F"/>
    <w:rsid w:val="00E33913"/>
    <w:rsid w:val="00E33B7D"/>
    <w:rsid w:val="00E33C56"/>
    <w:rsid w:val="00E341A1"/>
    <w:rsid w:val="00E34A69"/>
    <w:rsid w:val="00E35732"/>
    <w:rsid w:val="00E35825"/>
    <w:rsid w:val="00E37C01"/>
    <w:rsid w:val="00E417FA"/>
    <w:rsid w:val="00E41FEA"/>
    <w:rsid w:val="00E422D1"/>
    <w:rsid w:val="00E423F7"/>
    <w:rsid w:val="00E4265F"/>
    <w:rsid w:val="00E42E7B"/>
    <w:rsid w:val="00E43BAD"/>
    <w:rsid w:val="00E44862"/>
    <w:rsid w:val="00E45BCF"/>
    <w:rsid w:val="00E45DDB"/>
    <w:rsid w:val="00E4689A"/>
    <w:rsid w:val="00E47FDB"/>
    <w:rsid w:val="00E5066F"/>
    <w:rsid w:val="00E515B3"/>
    <w:rsid w:val="00E51720"/>
    <w:rsid w:val="00E51BF3"/>
    <w:rsid w:val="00E51E73"/>
    <w:rsid w:val="00E52077"/>
    <w:rsid w:val="00E53CD9"/>
    <w:rsid w:val="00E549DC"/>
    <w:rsid w:val="00E54B06"/>
    <w:rsid w:val="00E55106"/>
    <w:rsid w:val="00E5522B"/>
    <w:rsid w:val="00E55615"/>
    <w:rsid w:val="00E569B4"/>
    <w:rsid w:val="00E56A44"/>
    <w:rsid w:val="00E604D7"/>
    <w:rsid w:val="00E6156A"/>
    <w:rsid w:val="00E61E94"/>
    <w:rsid w:val="00E6281C"/>
    <w:rsid w:val="00E62B4D"/>
    <w:rsid w:val="00E62DD0"/>
    <w:rsid w:val="00E6370C"/>
    <w:rsid w:val="00E644AC"/>
    <w:rsid w:val="00E64EE5"/>
    <w:rsid w:val="00E6546B"/>
    <w:rsid w:val="00E65D29"/>
    <w:rsid w:val="00E668C5"/>
    <w:rsid w:val="00E66EAE"/>
    <w:rsid w:val="00E674B2"/>
    <w:rsid w:val="00E67F31"/>
    <w:rsid w:val="00E70771"/>
    <w:rsid w:val="00E709F5"/>
    <w:rsid w:val="00E70C76"/>
    <w:rsid w:val="00E71F34"/>
    <w:rsid w:val="00E71F4A"/>
    <w:rsid w:val="00E72100"/>
    <w:rsid w:val="00E72A61"/>
    <w:rsid w:val="00E73126"/>
    <w:rsid w:val="00E741EE"/>
    <w:rsid w:val="00E74513"/>
    <w:rsid w:val="00E7487B"/>
    <w:rsid w:val="00E749F9"/>
    <w:rsid w:val="00E74E07"/>
    <w:rsid w:val="00E74E21"/>
    <w:rsid w:val="00E74E76"/>
    <w:rsid w:val="00E75141"/>
    <w:rsid w:val="00E75A6A"/>
    <w:rsid w:val="00E75F1E"/>
    <w:rsid w:val="00E761ED"/>
    <w:rsid w:val="00E76A13"/>
    <w:rsid w:val="00E76F3E"/>
    <w:rsid w:val="00E80526"/>
    <w:rsid w:val="00E80E17"/>
    <w:rsid w:val="00E81B96"/>
    <w:rsid w:val="00E825CB"/>
    <w:rsid w:val="00E83318"/>
    <w:rsid w:val="00E836E6"/>
    <w:rsid w:val="00E843B9"/>
    <w:rsid w:val="00E84AA6"/>
    <w:rsid w:val="00E84DE7"/>
    <w:rsid w:val="00E85AEE"/>
    <w:rsid w:val="00E8624B"/>
    <w:rsid w:val="00E86480"/>
    <w:rsid w:val="00E8718C"/>
    <w:rsid w:val="00E903D4"/>
    <w:rsid w:val="00E90975"/>
    <w:rsid w:val="00E91285"/>
    <w:rsid w:val="00E9172D"/>
    <w:rsid w:val="00E91E84"/>
    <w:rsid w:val="00E91EC7"/>
    <w:rsid w:val="00E920B9"/>
    <w:rsid w:val="00E93F51"/>
    <w:rsid w:val="00E94074"/>
    <w:rsid w:val="00E948D2"/>
    <w:rsid w:val="00E958E8"/>
    <w:rsid w:val="00E95C70"/>
    <w:rsid w:val="00E96D65"/>
    <w:rsid w:val="00E97675"/>
    <w:rsid w:val="00E978FE"/>
    <w:rsid w:val="00EA00A5"/>
    <w:rsid w:val="00EA2247"/>
    <w:rsid w:val="00EA2D8B"/>
    <w:rsid w:val="00EA3947"/>
    <w:rsid w:val="00EA44D7"/>
    <w:rsid w:val="00EA44F6"/>
    <w:rsid w:val="00EA483B"/>
    <w:rsid w:val="00EA4C48"/>
    <w:rsid w:val="00EA5F6E"/>
    <w:rsid w:val="00EB0380"/>
    <w:rsid w:val="00EB0AEB"/>
    <w:rsid w:val="00EB0CF9"/>
    <w:rsid w:val="00EB1583"/>
    <w:rsid w:val="00EB30BF"/>
    <w:rsid w:val="00EB3C57"/>
    <w:rsid w:val="00EB56F0"/>
    <w:rsid w:val="00EB5966"/>
    <w:rsid w:val="00EB5BDE"/>
    <w:rsid w:val="00EB5E1C"/>
    <w:rsid w:val="00EB617C"/>
    <w:rsid w:val="00EB6E49"/>
    <w:rsid w:val="00EB737A"/>
    <w:rsid w:val="00EB74A0"/>
    <w:rsid w:val="00EB756C"/>
    <w:rsid w:val="00EC0071"/>
    <w:rsid w:val="00EC00B0"/>
    <w:rsid w:val="00EC025E"/>
    <w:rsid w:val="00EC05FD"/>
    <w:rsid w:val="00EC107A"/>
    <w:rsid w:val="00EC202C"/>
    <w:rsid w:val="00EC28CD"/>
    <w:rsid w:val="00EC32D3"/>
    <w:rsid w:val="00EC3BC9"/>
    <w:rsid w:val="00EC4985"/>
    <w:rsid w:val="00EC4FE8"/>
    <w:rsid w:val="00EC5083"/>
    <w:rsid w:val="00EC5187"/>
    <w:rsid w:val="00EC5A40"/>
    <w:rsid w:val="00EC6F23"/>
    <w:rsid w:val="00EC72E3"/>
    <w:rsid w:val="00EC74A5"/>
    <w:rsid w:val="00EC74B0"/>
    <w:rsid w:val="00EC769E"/>
    <w:rsid w:val="00EC7E1C"/>
    <w:rsid w:val="00ED15DB"/>
    <w:rsid w:val="00ED16A9"/>
    <w:rsid w:val="00ED1969"/>
    <w:rsid w:val="00ED1AD5"/>
    <w:rsid w:val="00ED1D06"/>
    <w:rsid w:val="00ED1D19"/>
    <w:rsid w:val="00ED20D8"/>
    <w:rsid w:val="00ED24A2"/>
    <w:rsid w:val="00ED24F2"/>
    <w:rsid w:val="00ED2764"/>
    <w:rsid w:val="00ED3F9C"/>
    <w:rsid w:val="00ED548F"/>
    <w:rsid w:val="00ED68FD"/>
    <w:rsid w:val="00ED6E85"/>
    <w:rsid w:val="00ED756A"/>
    <w:rsid w:val="00ED76BF"/>
    <w:rsid w:val="00EE0150"/>
    <w:rsid w:val="00EE0533"/>
    <w:rsid w:val="00EE0B00"/>
    <w:rsid w:val="00EE0BE7"/>
    <w:rsid w:val="00EE14A9"/>
    <w:rsid w:val="00EE1854"/>
    <w:rsid w:val="00EE1F43"/>
    <w:rsid w:val="00EE1FBD"/>
    <w:rsid w:val="00EE4411"/>
    <w:rsid w:val="00EE5CF3"/>
    <w:rsid w:val="00EE5E26"/>
    <w:rsid w:val="00EE5E82"/>
    <w:rsid w:val="00EE6817"/>
    <w:rsid w:val="00EE6B46"/>
    <w:rsid w:val="00EF028D"/>
    <w:rsid w:val="00EF0B26"/>
    <w:rsid w:val="00EF0C3A"/>
    <w:rsid w:val="00EF0DE8"/>
    <w:rsid w:val="00EF0E4B"/>
    <w:rsid w:val="00EF10B1"/>
    <w:rsid w:val="00EF30F2"/>
    <w:rsid w:val="00EF33DE"/>
    <w:rsid w:val="00EF3C0A"/>
    <w:rsid w:val="00EF4265"/>
    <w:rsid w:val="00EF431E"/>
    <w:rsid w:val="00EF467C"/>
    <w:rsid w:val="00EF5835"/>
    <w:rsid w:val="00EF681F"/>
    <w:rsid w:val="00EF78EA"/>
    <w:rsid w:val="00EF7C2A"/>
    <w:rsid w:val="00EF7F50"/>
    <w:rsid w:val="00F00B4E"/>
    <w:rsid w:val="00F01953"/>
    <w:rsid w:val="00F032BF"/>
    <w:rsid w:val="00F04703"/>
    <w:rsid w:val="00F059A7"/>
    <w:rsid w:val="00F05E54"/>
    <w:rsid w:val="00F06B47"/>
    <w:rsid w:val="00F0741E"/>
    <w:rsid w:val="00F07466"/>
    <w:rsid w:val="00F077DF"/>
    <w:rsid w:val="00F0788F"/>
    <w:rsid w:val="00F07C33"/>
    <w:rsid w:val="00F07F14"/>
    <w:rsid w:val="00F1011A"/>
    <w:rsid w:val="00F11765"/>
    <w:rsid w:val="00F11C0C"/>
    <w:rsid w:val="00F11D17"/>
    <w:rsid w:val="00F11EBB"/>
    <w:rsid w:val="00F121A3"/>
    <w:rsid w:val="00F12ADA"/>
    <w:rsid w:val="00F13532"/>
    <w:rsid w:val="00F138D4"/>
    <w:rsid w:val="00F13B09"/>
    <w:rsid w:val="00F1452F"/>
    <w:rsid w:val="00F15DD8"/>
    <w:rsid w:val="00F1700F"/>
    <w:rsid w:val="00F17632"/>
    <w:rsid w:val="00F17E8A"/>
    <w:rsid w:val="00F2122D"/>
    <w:rsid w:val="00F21CFB"/>
    <w:rsid w:val="00F23A88"/>
    <w:rsid w:val="00F24705"/>
    <w:rsid w:val="00F24A36"/>
    <w:rsid w:val="00F256A1"/>
    <w:rsid w:val="00F258F3"/>
    <w:rsid w:val="00F25A84"/>
    <w:rsid w:val="00F278DB"/>
    <w:rsid w:val="00F27CE5"/>
    <w:rsid w:val="00F303E1"/>
    <w:rsid w:val="00F305E2"/>
    <w:rsid w:val="00F30822"/>
    <w:rsid w:val="00F31A1B"/>
    <w:rsid w:val="00F32728"/>
    <w:rsid w:val="00F32A6B"/>
    <w:rsid w:val="00F32D86"/>
    <w:rsid w:val="00F332D5"/>
    <w:rsid w:val="00F3421B"/>
    <w:rsid w:val="00F36198"/>
    <w:rsid w:val="00F37412"/>
    <w:rsid w:val="00F37977"/>
    <w:rsid w:val="00F407D5"/>
    <w:rsid w:val="00F408A4"/>
    <w:rsid w:val="00F41DD5"/>
    <w:rsid w:val="00F420E2"/>
    <w:rsid w:val="00F420F3"/>
    <w:rsid w:val="00F43091"/>
    <w:rsid w:val="00F43768"/>
    <w:rsid w:val="00F4486F"/>
    <w:rsid w:val="00F476B1"/>
    <w:rsid w:val="00F4773D"/>
    <w:rsid w:val="00F4780D"/>
    <w:rsid w:val="00F47F88"/>
    <w:rsid w:val="00F50081"/>
    <w:rsid w:val="00F502D3"/>
    <w:rsid w:val="00F505FC"/>
    <w:rsid w:val="00F521E4"/>
    <w:rsid w:val="00F52A8D"/>
    <w:rsid w:val="00F52AE8"/>
    <w:rsid w:val="00F52D55"/>
    <w:rsid w:val="00F532A1"/>
    <w:rsid w:val="00F54781"/>
    <w:rsid w:val="00F55645"/>
    <w:rsid w:val="00F56B4F"/>
    <w:rsid w:val="00F575AB"/>
    <w:rsid w:val="00F57C43"/>
    <w:rsid w:val="00F602CB"/>
    <w:rsid w:val="00F60E5E"/>
    <w:rsid w:val="00F61092"/>
    <w:rsid w:val="00F612F4"/>
    <w:rsid w:val="00F620F2"/>
    <w:rsid w:val="00F6274B"/>
    <w:rsid w:val="00F64447"/>
    <w:rsid w:val="00F667B2"/>
    <w:rsid w:val="00F6779F"/>
    <w:rsid w:val="00F67952"/>
    <w:rsid w:val="00F70397"/>
    <w:rsid w:val="00F703EC"/>
    <w:rsid w:val="00F706DF"/>
    <w:rsid w:val="00F70CB7"/>
    <w:rsid w:val="00F723EF"/>
    <w:rsid w:val="00F72C3E"/>
    <w:rsid w:val="00F736C9"/>
    <w:rsid w:val="00F73D54"/>
    <w:rsid w:val="00F74388"/>
    <w:rsid w:val="00F744BD"/>
    <w:rsid w:val="00F74803"/>
    <w:rsid w:val="00F75A6A"/>
    <w:rsid w:val="00F75C90"/>
    <w:rsid w:val="00F76C05"/>
    <w:rsid w:val="00F7717A"/>
    <w:rsid w:val="00F7755B"/>
    <w:rsid w:val="00F77DF8"/>
    <w:rsid w:val="00F80471"/>
    <w:rsid w:val="00F814B8"/>
    <w:rsid w:val="00F8173B"/>
    <w:rsid w:val="00F81874"/>
    <w:rsid w:val="00F81BB7"/>
    <w:rsid w:val="00F81FEB"/>
    <w:rsid w:val="00F82199"/>
    <w:rsid w:val="00F834FA"/>
    <w:rsid w:val="00F846AB"/>
    <w:rsid w:val="00F84F2E"/>
    <w:rsid w:val="00F862FF"/>
    <w:rsid w:val="00F8640E"/>
    <w:rsid w:val="00F868BD"/>
    <w:rsid w:val="00F86922"/>
    <w:rsid w:val="00F869A4"/>
    <w:rsid w:val="00F879C7"/>
    <w:rsid w:val="00F87EB1"/>
    <w:rsid w:val="00F902BD"/>
    <w:rsid w:val="00F91979"/>
    <w:rsid w:val="00F9652C"/>
    <w:rsid w:val="00F969A0"/>
    <w:rsid w:val="00F97F52"/>
    <w:rsid w:val="00FA23D6"/>
    <w:rsid w:val="00FA2F39"/>
    <w:rsid w:val="00FA3434"/>
    <w:rsid w:val="00FA37F6"/>
    <w:rsid w:val="00FA3CDD"/>
    <w:rsid w:val="00FA3D13"/>
    <w:rsid w:val="00FA3FD8"/>
    <w:rsid w:val="00FA4028"/>
    <w:rsid w:val="00FA589B"/>
    <w:rsid w:val="00FA6C1A"/>
    <w:rsid w:val="00FB03FB"/>
    <w:rsid w:val="00FB0591"/>
    <w:rsid w:val="00FB11BE"/>
    <w:rsid w:val="00FB1BC5"/>
    <w:rsid w:val="00FB2B84"/>
    <w:rsid w:val="00FB2F02"/>
    <w:rsid w:val="00FB3DF0"/>
    <w:rsid w:val="00FB4B84"/>
    <w:rsid w:val="00FB56A6"/>
    <w:rsid w:val="00FB6CDC"/>
    <w:rsid w:val="00FB7496"/>
    <w:rsid w:val="00FC168F"/>
    <w:rsid w:val="00FC1956"/>
    <w:rsid w:val="00FC1ABF"/>
    <w:rsid w:val="00FC32C7"/>
    <w:rsid w:val="00FC4116"/>
    <w:rsid w:val="00FC5401"/>
    <w:rsid w:val="00FC54A9"/>
    <w:rsid w:val="00FC5B48"/>
    <w:rsid w:val="00FC6447"/>
    <w:rsid w:val="00FC6D62"/>
    <w:rsid w:val="00FC71B0"/>
    <w:rsid w:val="00FC7A2C"/>
    <w:rsid w:val="00FC7E5F"/>
    <w:rsid w:val="00FD103D"/>
    <w:rsid w:val="00FD2CEB"/>
    <w:rsid w:val="00FD3117"/>
    <w:rsid w:val="00FD3C19"/>
    <w:rsid w:val="00FD63DF"/>
    <w:rsid w:val="00FD6960"/>
    <w:rsid w:val="00FD6D9A"/>
    <w:rsid w:val="00FD7511"/>
    <w:rsid w:val="00FD7AAD"/>
    <w:rsid w:val="00FE0B85"/>
    <w:rsid w:val="00FE0F3D"/>
    <w:rsid w:val="00FE1EC0"/>
    <w:rsid w:val="00FE274B"/>
    <w:rsid w:val="00FE2927"/>
    <w:rsid w:val="00FE2B61"/>
    <w:rsid w:val="00FE3238"/>
    <w:rsid w:val="00FE36D0"/>
    <w:rsid w:val="00FE499F"/>
    <w:rsid w:val="00FE65A6"/>
    <w:rsid w:val="00FE7EEC"/>
    <w:rsid w:val="00FF0A75"/>
    <w:rsid w:val="00FF154A"/>
    <w:rsid w:val="00FF17AB"/>
    <w:rsid w:val="00FF1836"/>
    <w:rsid w:val="00FF184C"/>
    <w:rsid w:val="00FF194A"/>
    <w:rsid w:val="00FF1B9C"/>
    <w:rsid w:val="00FF2221"/>
    <w:rsid w:val="00FF37FB"/>
    <w:rsid w:val="00FF3FDB"/>
    <w:rsid w:val="00FF5F01"/>
    <w:rsid w:val="00FF643F"/>
    <w:rsid w:val="00FF6C44"/>
    <w:rsid w:val="00FF714D"/>
    <w:rsid w:val="00FF7C6A"/>
    <w:rsid w:val="00FF7D5F"/>
    <w:rsid w:val="010C02AA"/>
    <w:rsid w:val="01761E20"/>
    <w:rsid w:val="01A26771"/>
    <w:rsid w:val="022E6257"/>
    <w:rsid w:val="023B6BC5"/>
    <w:rsid w:val="02A05376"/>
    <w:rsid w:val="02B95284"/>
    <w:rsid w:val="038F541B"/>
    <w:rsid w:val="03A01111"/>
    <w:rsid w:val="03E13735"/>
    <w:rsid w:val="03F4702C"/>
    <w:rsid w:val="041F054D"/>
    <w:rsid w:val="04473600"/>
    <w:rsid w:val="048F6ADF"/>
    <w:rsid w:val="04D035F5"/>
    <w:rsid w:val="050B6E9A"/>
    <w:rsid w:val="05177476"/>
    <w:rsid w:val="05957A92"/>
    <w:rsid w:val="05B61F52"/>
    <w:rsid w:val="05BF66C8"/>
    <w:rsid w:val="05D62A5F"/>
    <w:rsid w:val="060E3837"/>
    <w:rsid w:val="06797B51"/>
    <w:rsid w:val="069158AE"/>
    <w:rsid w:val="06DF2215"/>
    <w:rsid w:val="070752C8"/>
    <w:rsid w:val="07133C6D"/>
    <w:rsid w:val="07750484"/>
    <w:rsid w:val="08674270"/>
    <w:rsid w:val="0895676B"/>
    <w:rsid w:val="08986F03"/>
    <w:rsid w:val="08DC4C5E"/>
    <w:rsid w:val="09F2400E"/>
    <w:rsid w:val="0A7333A0"/>
    <w:rsid w:val="0B2A4141"/>
    <w:rsid w:val="0B534F80"/>
    <w:rsid w:val="0B8701D2"/>
    <w:rsid w:val="0BB772BD"/>
    <w:rsid w:val="0BBE064B"/>
    <w:rsid w:val="0C37674B"/>
    <w:rsid w:val="0CE42333"/>
    <w:rsid w:val="0CF97F92"/>
    <w:rsid w:val="0D3861DB"/>
    <w:rsid w:val="0D847672"/>
    <w:rsid w:val="0E55371B"/>
    <w:rsid w:val="0E57521D"/>
    <w:rsid w:val="0EB319AD"/>
    <w:rsid w:val="0F0D292C"/>
    <w:rsid w:val="10AF0EAA"/>
    <w:rsid w:val="10BE10ED"/>
    <w:rsid w:val="10EC5C5A"/>
    <w:rsid w:val="11514EC7"/>
    <w:rsid w:val="11B56943"/>
    <w:rsid w:val="11F30AA2"/>
    <w:rsid w:val="12173925"/>
    <w:rsid w:val="127A1044"/>
    <w:rsid w:val="129C1D6E"/>
    <w:rsid w:val="12C86253"/>
    <w:rsid w:val="12E070F9"/>
    <w:rsid w:val="12F6691D"/>
    <w:rsid w:val="13101D0E"/>
    <w:rsid w:val="13251E1F"/>
    <w:rsid w:val="13440467"/>
    <w:rsid w:val="134625A4"/>
    <w:rsid w:val="139D148E"/>
    <w:rsid w:val="13E23670"/>
    <w:rsid w:val="144D6A10"/>
    <w:rsid w:val="14E22005"/>
    <w:rsid w:val="14E47969"/>
    <w:rsid w:val="158C2764"/>
    <w:rsid w:val="159643E7"/>
    <w:rsid w:val="15DF7B3C"/>
    <w:rsid w:val="16096967"/>
    <w:rsid w:val="16401419"/>
    <w:rsid w:val="16563D34"/>
    <w:rsid w:val="1696388A"/>
    <w:rsid w:val="17471E3D"/>
    <w:rsid w:val="17E31439"/>
    <w:rsid w:val="182C5699"/>
    <w:rsid w:val="18C9274F"/>
    <w:rsid w:val="190A0F64"/>
    <w:rsid w:val="19AC26A4"/>
    <w:rsid w:val="1A09570F"/>
    <w:rsid w:val="1A141D7E"/>
    <w:rsid w:val="1A381C2E"/>
    <w:rsid w:val="1A6745A4"/>
    <w:rsid w:val="1ACE2B10"/>
    <w:rsid w:val="1AD459DC"/>
    <w:rsid w:val="1B076102"/>
    <w:rsid w:val="1B23671D"/>
    <w:rsid w:val="1B4C5230"/>
    <w:rsid w:val="1B7A28EB"/>
    <w:rsid w:val="1C183DA8"/>
    <w:rsid w:val="1C362480"/>
    <w:rsid w:val="1C5F5CA5"/>
    <w:rsid w:val="1C7F3E27"/>
    <w:rsid w:val="1CF92E8D"/>
    <w:rsid w:val="1D0970D3"/>
    <w:rsid w:val="1DB51187"/>
    <w:rsid w:val="1DC87ED6"/>
    <w:rsid w:val="1F454BE6"/>
    <w:rsid w:val="1F545D03"/>
    <w:rsid w:val="1F787EBF"/>
    <w:rsid w:val="1F9A4AD4"/>
    <w:rsid w:val="1FB57B5F"/>
    <w:rsid w:val="20547378"/>
    <w:rsid w:val="20914EF8"/>
    <w:rsid w:val="20A43E5C"/>
    <w:rsid w:val="20B147CB"/>
    <w:rsid w:val="20B94FE6"/>
    <w:rsid w:val="20E71F9A"/>
    <w:rsid w:val="222C6D2E"/>
    <w:rsid w:val="227D6FB3"/>
    <w:rsid w:val="22B71C07"/>
    <w:rsid w:val="22F43BF4"/>
    <w:rsid w:val="234A59A0"/>
    <w:rsid w:val="235D4796"/>
    <w:rsid w:val="23C10881"/>
    <w:rsid w:val="23FF13A9"/>
    <w:rsid w:val="256270E3"/>
    <w:rsid w:val="256F255E"/>
    <w:rsid w:val="25C96113"/>
    <w:rsid w:val="26213859"/>
    <w:rsid w:val="263C2D81"/>
    <w:rsid w:val="266E541F"/>
    <w:rsid w:val="268B161A"/>
    <w:rsid w:val="26B50B9A"/>
    <w:rsid w:val="26BE379D"/>
    <w:rsid w:val="26C16DEA"/>
    <w:rsid w:val="27182FD4"/>
    <w:rsid w:val="272E0923"/>
    <w:rsid w:val="274D5008"/>
    <w:rsid w:val="2753282F"/>
    <w:rsid w:val="277C1CB6"/>
    <w:rsid w:val="27CD1EEF"/>
    <w:rsid w:val="281713B7"/>
    <w:rsid w:val="28377363"/>
    <w:rsid w:val="2860099E"/>
    <w:rsid w:val="28706D19"/>
    <w:rsid w:val="2888100C"/>
    <w:rsid w:val="28E53263"/>
    <w:rsid w:val="292B5DF8"/>
    <w:rsid w:val="29387837"/>
    <w:rsid w:val="294B5D88"/>
    <w:rsid w:val="29A53780"/>
    <w:rsid w:val="29D15596"/>
    <w:rsid w:val="2AA93985"/>
    <w:rsid w:val="2AE8703B"/>
    <w:rsid w:val="2B034509"/>
    <w:rsid w:val="2B463886"/>
    <w:rsid w:val="2BC058C2"/>
    <w:rsid w:val="2BF0264B"/>
    <w:rsid w:val="2C296719"/>
    <w:rsid w:val="2C35307A"/>
    <w:rsid w:val="2C972DA0"/>
    <w:rsid w:val="2CBA420E"/>
    <w:rsid w:val="2CF018FD"/>
    <w:rsid w:val="2D1B54A6"/>
    <w:rsid w:val="2E3C1B78"/>
    <w:rsid w:val="2E6B5FB9"/>
    <w:rsid w:val="2EC61441"/>
    <w:rsid w:val="2F555061"/>
    <w:rsid w:val="2F8F10FF"/>
    <w:rsid w:val="2FB65B9E"/>
    <w:rsid w:val="2FC54455"/>
    <w:rsid w:val="300E12F2"/>
    <w:rsid w:val="301B3A0F"/>
    <w:rsid w:val="30223C02"/>
    <w:rsid w:val="30463939"/>
    <w:rsid w:val="30E634B0"/>
    <w:rsid w:val="3123252F"/>
    <w:rsid w:val="31264419"/>
    <w:rsid w:val="315653E4"/>
    <w:rsid w:val="315A2315"/>
    <w:rsid w:val="315E3BB3"/>
    <w:rsid w:val="318D26EA"/>
    <w:rsid w:val="31C917FE"/>
    <w:rsid w:val="31D10829"/>
    <w:rsid w:val="32D57EA5"/>
    <w:rsid w:val="335F3C12"/>
    <w:rsid w:val="33F60B22"/>
    <w:rsid w:val="344243BC"/>
    <w:rsid w:val="344E6452"/>
    <w:rsid w:val="348F6779"/>
    <w:rsid w:val="34B728BD"/>
    <w:rsid w:val="34BA2473"/>
    <w:rsid w:val="34C75F13"/>
    <w:rsid w:val="34CB5A03"/>
    <w:rsid w:val="34FD36E3"/>
    <w:rsid w:val="35AB1686"/>
    <w:rsid w:val="35BE0A3B"/>
    <w:rsid w:val="36323860"/>
    <w:rsid w:val="36401AD9"/>
    <w:rsid w:val="37272C1E"/>
    <w:rsid w:val="373B58CD"/>
    <w:rsid w:val="374C0952"/>
    <w:rsid w:val="379A3C68"/>
    <w:rsid w:val="37A17316"/>
    <w:rsid w:val="37B207B5"/>
    <w:rsid w:val="37E91363"/>
    <w:rsid w:val="38B95B73"/>
    <w:rsid w:val="38C1190F"/>
    <w:rsid w:val="38DF436A"/>
    <w:rsid w:val="392D2345"/>
    <w:rsid w:val="397C551E"/>
    <w:rsid w:val="397E0A00"/>
    <w:rsid w:val="39B90520"/>
    <w:rsid w:val="39BC591B"/>
    <w:rsid w:val="39E135D3"/>
    <w:rsid w:val="3A7C46B2"/>
    <w:rsid w:val="3ABC7B9C"/>
    <w:rsid w:val="3AC8766C"/>
    <w:rsid w:val="3ADD36E4"/>
    <w:rsid w:val="3AF45588"/>
    <w:rsid w:val="3AF92B9E"/>
    <w:rsid w:val="3B1D23BA"/>
    <w:rsid w:val="3B250D52"/>
    <w:rsid w:val="3B3911ED"/>
    <w:rsid w:val="3B491094"/>
    <w:rsid w:val="3B691AD2"/>
    <w:rsid w:val="3BF07AFD"/>
    <w:rsid w:val="3C025A83"/>
    <w:rsid w:val="3C812E4B"/>
    <w:rsid w:val="3D17266E"/>
    <w:rsid w:val="3D436353"/>
    <w:rsid w:val="3D6D517E"/>
    <w:rsid w:val="3DB35286"/>
    <w:rsid w:val="3DBC4045"/>
    <w:rsid w:val="3E85182D"/>
    <w:rsid w:val="3EBA30EE"/>
    <w:rsid w:val="40955117"/>
    <w:rsid w:val="40D9705C"/>
    <w:rsid w:val="41390D56"/>
    <w:rsid w:val="41C932CA"/>
    <w:rsid w:val="423A2BD3"/>
    <w:rsid w:val="42471B37"/>
    <w:rsid w:val="42903DE8"/>
    <w:rsid w:val="42EB7271"/>
    <w:rsid w:val="42FB0A4C"/>
    <w:rsid w:val="432A5FEB"/>
    <w:rsid w:val="434370AD"/>
    <w:rsid w:val="43D2038C"/>
    <w:rsid w:val="43E73EDC"/>
    <w:rsid w:val="440A3494"/>
    <w:rsid w:val="442360A8"/>
    <w:rsid w:val="4467501D"/>
    <w:rsid w:val="45233473"/>
    <w:rsid w:val="45371880"/>
    <w:rsid w:val="45496339"/>
    <w:rsid w:val="45A656D1"/>
    <w:rsid w:val="45C73FC5"/>
    <w:rsid w:val="45DF2FE0"/>
    <w:rsid w:val="46945619"/>
    <w:rsid w:val="4709222E"/>
    <w:rsid w:val="4737240B"/>
    <w:rsid w:val="473C4440"/>
    <w:rsid w:val="47F866B8"/>
    <w:rsid w:val="482A2CA1"/>
    <w:rsid w:val="483376F0"/>
    <w:rsid w:val="48AE321A"/>
    <w:rsid w:val="48C20DDF"/>
    <w:rsid w:val="49357497"/>
    <w:rsid w:val="49366D6C"/>
    <w:rsid w:val="49A45B5C"/>
    <w:rsid w:val="49A81A17"/>
    <w:rsid w:val="49DF11B1"/>
    <w:rsid w:val="4A2937E2"/>
    <w:rsid w:val="4AC4402F"/>
    <w:rsid w:val="4AE5600E"/>
    <w:rsid w:val="4B87799C"/>
    <w:rsid w:val="4B8A1D1C"/>
    <w:rsid w:val="4BCA05DC"/>
    <w:rsid w:val="4BF0032F"/>
    <w:rsid w:val="4C6B780F"/>
    <w:rsid w:val="4CA1649F"/>
    <w:rsid w:val="4CA839D7"/>
    <w:rsid w:val="4D3218C2"/>
    <w:rsid w:val="4DB35F19"/>
    <w:rsid w:val="4DB96AE9"/>
    <w:rsid w:val="4E021312"/>
    <w:rsid w:val="4E6B4CDD"/>
    <w:rsid w:val="4E8C5D65"/>
    <w:rsid w:val="4EA43EFD"/>
    <w:rsid w:val="4EB3158A"/>
    <w:rsid w:val="4F2F40B5"/>
    <w:rsid w:val="4F6775C9"/>
    <w:rsid w:val="4F6B3C13"/>
    <w:rsid w:val="4F8F6AD2"/>
    <w:rsid w:val="4FA50A99"/>
    <w:rsid w:val="4FAE1D52"/>
    <w:rsid w:val="4FCB33AA"/>
    <w:rsid w:val="4FD14235"/>
    <w:rsid w:val="4FEF53D0"/>
    <w:rsid w:val="50E83EC0"/>
    <w:rsid w:val="50F10148"/>
    <w:rsid w:val="51875841"/>
    <w:rsid w:val="52055852"/>
    <w:rsid w:val="52285DEB"/>
    <w:rsid w:val="52383978"/>
    <w:rsid w:val="528261F1"/>
    <w:rsid w:val="52927709"/>
    <w:rsid w:val="52B61649"/>
    <w:rsid w:val="52E15F9A"/>
    <w:rsid w:val="52E8032A"/>
    <w:rsid w:val="52ED287F"/>
    <w:rsid w:val="531C7D89"/>
    <w:rsid w:val="53D31D87"/>
    <w:rsid w:val="543B6D42"/>
    <w:rsid w:val="54D44008"/>
    <w:rsid w:val="556D1D67"/>
    <w:rsid w:val="55A021A2"/>
    <w:rsid w:val="55DC3FD5"/>
    <w:rsid w:val="55F81F79"/>
    <w:rsid w:val="563B19F4"/>
    <w:rsid w:val="5689497F"/>
    <w:rsid w:val="574D00A2"/>
    <w:rsid w:val="577D0987"/>
    <w:rsid w:val="59D93E6F"/>
    <w:rsid w:val="59DA4191"/>
    <w:rsid w:val="59E978DD"/>
    <w:rsid w:val="5A084FC7"/>
    <w:rsid w:val="5A726088"/>
    <w:rsid w:val="5AD84127"/>
    <w:rsid w:val="5B1F7B09"/>
    <w:rsid w:val="5B5E63DA"/>
    <w:rsid w:val="5B6063A8"/>
    <w:rsid w:val="5C0F51D6"/>
    <w:rsid w:val="5C266C5B"/>
    <w:rsid w:val="5C2C5472"/>
    <w:rsid w:val="5C910581"/>
    <w:rsid w:val="5CB63FF4"/>
    <w:rsid w:val="5CE2303B"/>
    <w:rsid w:val="5D9B2D51"/>
    <w:rsid w:val="5DC15346"/>
    <w:rsid w:val="5E1B6804"/>
    <w:rsid w:val="5F100333"/>
    <w:rsid w:val="5F943DA1"/>
    <w:rsid w:val="5F950838"/>
    <w:rsid w:val="5F9E7398"/>
    <w:rsid w:val="5FAD5B82"/>
    <w:rsid w:val="607246D5"/>
    <w:rsid w:val="60F77D06"/>
    <w:rsid w:val="61310BF4"/>
    <w:rsid w:val="615269E1"/>
    <w:rsid w:val="615D7134"/>
    <w:rsid w:val="61761FA3"/>
    <w:rsid w:val="61D6188B"/>
    <w:rsid w:val="62614A02"/>
    <w:rsid w:val="627503B5"/>
    <w:rsid w:val="63336361"/>
    <w:rsid w:val="63AB0246"/>
    <w:rsid w:val="6497295D"/>
    <w:rsid w:val="64CB1E9E"/>
    <w:rsid w:val="64FF2EA9"/>
    <w:rsid w:val="66007FA8"/>
    <w:rsid w:val="66442670"/>
    <w:rsid w:val="665054B9"/>
    <w:rsid w:val="666F397B"/>
    <w:rsid w:val="66836FBD"/>
    <w:rsid w:val="668F5FE1"/>
    <w:rsid w:val="66A03D4A"/>
    <w:rsid w:val="66AE4673"/>
    <w:rsid w:val="66CE47A9"/>
    <w:rsid w:val="67000C8D"/>
    <w:rsid w:val="67FC76A6"/>
    <w:rsid w:val="6828211C"/>
    <w:rsid w:val="684921C0"/>
    <w:rsid w:val="68B24209"/>
    <w:rsid w:val="68DE733A"/>
    <w:rsid w:val="69234E9B"/>
    <w:rsid w:val="69342E70"/>
    <w:rsid w:val="695157D0"/>
    <w:rsid w:val="698834E3"/>
    <w:rsid w:val="6A054C65"/>
    <w:rsid w:val="6A1707C7"/>
    <w:rsid w:val="6A261FFA"/>
    <w:rsid w:val="6A48608D"/>
    <w:rsid w:val="6A5E356A"/>
    <w:rsid w:val="6AFA5417"/>
    <w:rsid w:val="6B680BAF"/>
    <w:rsid w:val="6B6A4927"/>
    <w:rsid w:val="6B961BC0"/>
    <w:rsid w:val="6BC245B7"/>
    <w:rsid w:val="6C127D27"/>
    <w:rsid w:val="6C354F35"/>
    <w:rsid w:val="6C717404"/>
    <w:rsid w:val="6D133BE5"/>
    <w:rsid w:val="6D214A1F"/>
    <w:rsid w:val="6D2D7C4D"/>
    <w:rsid w:val="6D761CA9"/>
    <w:rsid w:val="6E564C9D"/>
    <w:rsid w:val="6E865F1C"/>
    <w:rsid w:val="6EA41EA3"/>
    <w:rsid w:val="6EC30F1E"/>
    <w:rsid w:val="6EDE7B06"/>
    <w:rsid w:val="6F3B3759"/>
    <w:rsid w:val="6FC01934"/>
    <w:rsid w:val="6FEF189F"/>
    <w:rsid w:val="70076BE8"/>
    <w:rsid w:val="701D465E"/>
    <w:rsid w:val="70313C65"/>
    <w:rsid w:val="709E5098"/>
    <w:rsid w:val="70AE175A"/>
    <w:rsid w:val="71E71C37"/>
    <w:rsid w:val="71EE385B"/>
    <w:rsid w:val="721D416D"/>
    <w:rsid w:val="721F3C46"/>
    <w:rsid w:val="72966949"/>
    <w:rsid w:val="729A1F96"/>
    <w:rsid w:val="72BA43E6"/>
    <w:rsid w:val="72C45265"/>
    <w:rsid w:val="72EA6EEF"/>
    <w:rsid w:val="72F378F8"/>
    <w:rsid w:val="73117D7E"/>
    <w:rsid w:val="734D7198"/>
    <w:rsid w:val="737524FB"/>
    <w:rsid w:val="737A01A3"/>
    <w:rsid w:val="73814F04"/>
    <w:rsid w:val="74157DD5"/>
    <w:rsid w:val="74186ED0"/>
    <w:rsid w:val="74B33C04"/>
    <w:rsid w:val="74D53014"/>
    <w:rsid w:val="750862B4"/>
    <w:rsid w:val="75567199"/>
    <w:rsid w:val="75BC3FB3"/>
    <w:rsid w:val="75EA2FC5"/>
    <w:rsid w:val="75ED062E"/>
    <w:rsid w:val="75F61BD9"/>
    <w:rsid w:val="76116A13"/>
    <w:rsid w:val="763B54E9"/>
    <w:rsid w:val="76530DD9"/>
    <w:rsid w:val="76973911"/>
    <w:rsid w:val="76ED1619"/>
    <w:rsid w:val="782407F3"/>
    <w:rsid w:val="78547024"/>
    <w:rsid w:val="786C7F30"/>
    <w:rsid w:val="786F522E"/>
    <w:rsid w:val="78770683"/>
    <w:rsid w:val="78DC45ED"/>
    <w:rsid w:val="78E0447A"/>
    <w:rsid w:val="78FA19E0"/>
    <w:rsid w:val="790939D1"/>
    <w:rsid w:val="7999141E"/>
    <w:rsid w:val="79B73F9E"/>
    <w:rsid w:val="79B87C50"/>
    <w:rsid w:val="7A0B3779"/>
    <w:rsid w:val="7A523D9A"/>
    <w:rsid w:val="7AA65250"/>
    <w:rsid w:val="7AF16E13"/>
    <w:rsid w:val="7AF949CB"/>
    <w:rsid w:val="7B5B5D25"/>
    <w:rsid w:val="7BDA540C"/>
    <w:rsid w:val="7C1D7921"/>
    <w:rsid w:val="7C3612D6"/>
    <w:rsid w:val="7C931AAC"/>
    <w:rsid w:val="7CA3405B"/>
    <w:rsid w:val="7CD2057E"/>
    <w:rsid w:val="7CD91059"/>
    <w:rsid w:val="7D2012E9"/>
    <w:rsid w:val="7D276B1C"/>
    <w:rsid w:val="7D967C15"/>
    <w:rsid w:val="7DA21D8D"/>
    <w:rsid w:val="7E0D45E7"/>
    <w:rsid w:val="7E375114"/>
    <w:rsid w:val="7EF649F8"/>
    <w:rsid w:val="7F1C1F84"/>
    <w:rsid w:val="7F594F87"/>
    <w:rsid w:val="7FCA19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uiPriority="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uiPriority="1" w:semiHidden="0" w:name="Default Paragraph Font"/>
    <w:lsdException w:qFormat="1" w:unhideWhenUsed="0" w:uiPriority="0" w:semiHidden="0" w:name="Body Text"/>
    <w:lsdException w:qFormat="1" w:unhideWhenUsed="0" w:uiPriority="99"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iPriority="0" w:name="HTML Acronym"/>
    <w:lsdException w:qFormat="1" w:unhideWhenUsed="0" w:uiPriority="0" w:semiHidden="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qFormat="1" w:unhideWhenUsed="0" w:uiPriority="0" w:semiHidden="0"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b/>
      <w:kern w:val="2"/>
      <w:sz w:val="21"/>
      <w:szCs w:val="24"/>
      <w:u w:color="FF0000"/>
      <w:lang w:val="en-US" w:eastAsia="zh-CN" w:bidi="ar-SA"/>
    </w:rPr>
  </w:style>
  <w:style w:type="paragraph" w:styleId="3">
    <w:name w:val="heading 1"/>
    <w:basedOn w:val="1"/>
    <w:next w:val="1"/>
    <w:link w:val="101"/>
    <w:qFormat/>
    <w:uiPriority w:val="0"/>
    <w:pPr>
      <w:keepNext/>
      <w:spacing w:line="360" w:lineRule="auto"/>
      <w:outlineLvl w:val="0"/>
    </w:pPr>
    <w:rPr>
      <w:rFonts w:eastAsia="仿宋_GB2312"/>
      <w:sz w:val="44"/>
    </w:rPr>
  </w:style>
  <w:style w:type="paragraph" w:styleId="4">
    <w:name w:val="heading 2"/>
    <w:basedOn w:val="1"/>
    <w:next w:val="1"/>
    <w:link w:val="102"/>
    <w:qFormat/>
    <w:uiPriority w:val="0"/>
    <w:pPr>
      <w:keepNext/>
      <w:keepLines/>
      <w:widowControl/>
      <w:spacing w:line="360" w:lineRule="auto"/>
      <w:jc w:val="left"/>
      <w:outlineLvl w:val="1"/>
    </w:pPr>
    <w:rPr>
      <w:rFonts w:ascii="宋体" w:hAnsi="Arial" w:eastAsia="仿宋_GB2312"/>
      <w:kern w:val="0"/>
      <w:sz w:val="30"/>
      <w:szCs w:val="20"/>
    </w:rPr>
  </w:style>
  <w:style w:type="paragraph" w:styleId="5">
    <w:name w:val="heading 3"/>
    <w:basedOn w:val="1"/>
    <w:next w:val="1"/>
    <w:link w:val="103"/>
    <w:qFormat/>
    <w:uiPriority w:val="0"/>
    <w:pPr>
      <w:keepNext/>
      <w:keepLines/>
      <w:widowControl/>
      <w:spacing w:line="360" w:lineRule="auto"/>
      <w:jc w:val="left"/>
      <w:outlineLvl w:val="2"/>
    </w:pPr>
    <w:rPr>
      <w:rFonts w:eastAsia="仿宋_GB2312"/>
      <w:bCs/>
      <w:sz w:val="28"/>
    </w:rPr>
  </w:style>
  <w:style w:type="paragraph" w:styleId="6">
    <w:name w:val="heading 4"/>
    <w:basedOn w:val="1"/>
    <w:next w:val="1"/>
    <w:link w:val="104"/>
    <w:qFormat/>
    <w:uiPriority w:val="0"/>
    <w:pPr>
      <w:keepNext/>
      <w:keepLines/>
      <w:widowControl/>
      <w:spacing w:before="280" w:after="290" w:line="376" w:lineRule="auto"/>
      <w:jc w:val="left"/>
      <w:outlineLvl w:val="3"/>
    </w:pPr>
    <w:rPr>
      <w:rFonts w:ascii="Arial" w:hAnsi="Arial"/>
      <w:b w:val="0"/>
      <w:bCs/>
      <w:kern w:val="0"/>
      <w:sz w:val="28"/>
      <w:szCs w:val="20"/>
    </w:rPr>
  </w:style>
  <w:style w:type="paragraph" w:styleId="7">
    <w:name w:val="heading 5"/>
    <w:basedOn w:val="1"/>
    <w:next w:val="1"/>
    <w:link w:val="105"/>
    <w:qFormat/>
    <w:uiPriority w:val="0"/>
    <w:pPr>
      <w:keepNext/>
      <w:keepLines/>
      <w:widowControl/>
      <w:spacing w:before="280" w:after="290" w:line="376" w:lineRule="auto"/>
      <w:jc w:val="left"/>
      <w:outlineLvl w:val="4"/>
    </w:pPr>
    <w:rPr>
      <w:b w:val="0"/>
      <w:kern w:val="0"/>
      <w:sz w:val="28"/>
      <w:szCs w:val="20"/>
    </w:rPr>
  </w:style>
  <w:style w:type="paragraph" w:styleId="8">
    <w:name w:val="heading 6"/>
    <w:basedOn w:val="1"/>
    <w:next w:val="1"/>
    <w:link w:val="106"/>
    <w:qFormat/>
    <w:uiPriority w:val="0"/>
    <w:pPr>
      <w:keepNext/>
      <w:spacing w:line="360" w:lineRule="auto"/>
      <w:jc w:val="center"/>
      <w:outlineLvl w:val="5"/>
    </w:pPr>
    <w:rPr>
      <w:b w:val="0"/>
      <w:bCs/>
      <w:sz w:val="28"/>
    </w:rPr>
  </w:style>
  <w:style w:type="paragraph" w:styleId="9">
    <w:name w:val="heading 7"/>
    <w:basedOn w:val="1"/>
    <w:next w:val="1"/>
    <w:link w:val="107"/>
    <w:qFormat/>
    <w:uiPriority w:val="0"/>
    <w:pPr>
      <w:keepNext/>
      <w:outlineLvl w:val="6"/>
    </w:pPr>
    <w:rPr>
      <w:sz w:val="15"/>
    </w:rPr>
  </w:style>
  <w:style w:type="paragraph" w:styleId="10">
    <w:name w:val="heading 8"/>
    <w:basedOn w:val="1"/>
    <w:next w:val="1"/>
    <w:link w:val="262"/>
    <w:qFormat/>
    <w:uiPriority w:val="0"/>
    <w:pPr>
      <w:keepNext/>
      <w:keepLines/>
      <w:adjustRightInd w:val="0"/>
      <w:spacing w:before="240" w:after="64" w:line="320" w:lineRule="atLeast"/>
      <w:textAlignment w:val="baseline"/>
      <w:outlineLvl w:val="7"/>
    </w:pPr>
    <w:rPr>
      <w:rFonts w:ascii="Arial" w:hAnsi="Arial" w:eastAsia="黑体"/>
      <w:b w:val="0"/>
      <w:kern w:val="0"/>
      <w:sz w:val="24"/>
      <w:szCs w:val="20"/>
    </w:rPr>
  </w:style>
  <w:style w:type="paragraph" w:styleId="11">
    <w:name w:val="heading 9"/>
    <w:basedOn w:val="1"/>
    <w:next w:val="1"/>
    <w:link w:val="263"/>
    <w:qFormat/>
    <w:uiPriority w:val="0"/>
    <w:pPr>
      <w:keepNext/>
      <w:keepLines/>
      <w:adjustRightInd w:val="0"/>
      <w:spacing w:before="240" w:after="64" w:line="320" w:lineRule="atLeast"/>
      <w:textAlignment w:val="baseline"/>
      <w:outlineLvl w:val="8"/>
    </w:pPr>
    <w:rPr>
      <w:rFonts w:ascii="Arial" w:hAnsi="Arial" w:eastAsia="黑体"/>
      <w:b w:val="0"/>
      <w:kern w:val="0"/>
      <w:sz w:val="28"/>
      <w:szCs w:val="20"/>
    </w:rPr>
  </w:style>
  <w:style w:type="character" w:default="1" w:styleId="91">
    <w:name w:val="Default Paragraph Font"/>
    <w:unhideWhenUsed/>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519"/>
    <w:autoRedefine/>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autoRedefine/>
    <w:qFormat/>
    <w:uiPriority w:val="0"/>
    <w:pPr>
      <w:ind w:left="100" w:leftChars="400" w:hanging="200" w:hangingChars="200"/>
      <w:contextualSpacing/>
    </w:pPr>
    <w:rPr>
      <w:rFonts w:ascii="Times New Roman" w:hAnsi="Times New Roman"/>
      <w:b w:val="0"/>
      <w:szCs w:val="20"/>
    </w:rPr>
  </w:style>
  <w:style w:type="paragraph" w:styleId="13">
    <w:name w:val="toc 7"/>
    <w:basedOn w:val="1"/>
    <w:next w:val="1"/>
    <w:qFormat/>
    <w:uiPriority w:val="39"/>
    <w:pPr>
      <w:ind w:left="1260"/>
      <w:jc w:val="left"/>
    </w:pPr>
    <w:rPr>
      <w:rFonts w:cs="Calibri"/>
      <w:b w:val="0"/>
      <w:sz w:val="18"/>
      <w:szCs w:val="18"/>
    </w:rPr>
  </w:style>
  <w:style w:type="paragraph" w:styleId="14">
    <w:name w:val="List Number 2"/>
    <w:basedOn w:val="1"/>
    <w:autoRedefine/>
    <w:qFormat/>
    <w:uiPriority w:val="0"/>
    <w:pPr>
      <w:numPr>
        <w:ilvl w:val="0"/>
        <w:numId w:val="1"/>
      </w:numPr>
      <w:tabs>
        <w:tab w:val="left" w:pos="780"/>
      </w:tabs>
      <w:contextualSpacing/>
    </w:pPr>
    <w:rPr>
      <w:rFonts w:ascii="Times New Roman" w:hAnsi="Times New Roman"/>
      <w:b w:val="0"/>
      <w:szCs w:val="20"/>
    </w:rPr>
  </w:style>
  <w:style w:type="paragraph" w:styleId="15">
    <w:name w:val="table of authorities"/>
    <w:basedOn w:val="1"/>
    <w:next w:val="1"/>
    <w:autoRedefine/>
    <w:qFormat/>
    <w:uiPriority w:val="0"/>
    <w:pPr>
      <w:ind w:left="420" w:leftChars="200"/>
    </w:pPr>
    <w:rPr>
      <w:rFonts w:ascii="Times New Roman" w:hAnsi="Times New Roman"/>
      <w:b w:val="0"/>
      <w:szCs w:val="20"/>
    </w:rPr>
  </w:style>
  <w:style w:type="paragraph" w:styleId="16">
    <w:name w:val="Note Heading"/>
    <w:basedOn w:val="1"/>
    <w:next w:val="1"/>
    <w:link w:val="482"/>
    <w:qFormat/>
    <w:uiPriority w:val="0"/>
    <w:pPr>
      <w:jc w:val="center"/>
    </w:pPr>
    <w:rPr>
      <w:rFonts w:ascii="宋体" w:hAnsi="Times New Roman"/>
      <w:b w:val="0"/>
      <w:szCs w:val="20"/>
    </w:rPr>
  </w:style>
  <w:style w:type="paragraph" w:styleId="17">
    <w:name w:val="List Bullet 4"/>
    <w:basedOn w:val="1"/>
    <w:autoRedefine/>
    <w:qFormat/>
    <w:uiPriority w:val="0"/>
    <w:pPr>
      <w:tabs>
        <w:tab w:val="left" w:pos="1620"/>
      </w:tabs>
      <w:ind w:left="360" w:hanging="360"/>
      <w:contextualSpacing/>
    </w:pPr>
    <w:rPr>
      <w:rFonts w:ascii="Times New Roman" w:hAnsi="Times New Roman"/>
      <w:b w:val="0"/>
      <w:szCs w:val="20"/>
    </w:rPr>
  </w:style>
  <w:style w:type="paragraph" w:styleId="18">
    <w:name w:val="index 8"/>
    <w:basedOn w:val="1"/>
    <w:next w:val="1"/>
    <w:link w:val="528"/>
    <w:qFormat/>
    <w:uiPriority w:val="0"/>
    <w:pPr>
      <w:ind w:firstLine="538" w:firstLineChars="192"/>
    </w:pPr>
    <w:rPr>
      <w:rFonts w:ascii="Times New Roman" w:hAnsi="Times New Roman"/>
      <w:b w:val="0"/>
      <w:sz w:val="28"/>
      <w:szCs w:val="20"/>
    </w:rPr>
  </w:style>
  <w:style w:type="paragraph" w:styleId="19">
    <w:name w:val="E-mail Signature"/>
    <w:basedOn w:val="1"/>
    <w:link w:val="520"/>
    <w:autoRedefine/>
    <w:qFormat/>
    <w:uiPriority w:val="0"/>
    <w:rPr>
      <w:rFonts w:ascii="Times New Roman" w:hAnsi="Times New Roman"/>
      <w:b w:val="0"/>
      <w:szCs w:val="20"/>
    </w:rPr>
  </w:style>
  <w:style w:type="paragraph" w:styleId="20">
    <w:name w:val="List Number"/>
    <w:basedOn w:val="1"/>
    <w:qFormat/>
    <w:uiPriority w:val="0"/>
    <w:pPr>
      <w:numPr>
        <w:ilvl w:val="0"/>
        <w:numId w:val="2"/>
      </w:numPr>
      <w:tabs>
        <w:tab w:val="left" w:pos="360"/>
      </w:tabs>
      <w:contextualSpacing/>
    </w:pPr>
    <w:rPr>
      <w:rFonts w:ascii="Times New Roman" w:hAnsi="Times New Roman"/>
      <w:b w:val="0"/>
      <w:szCs w:val="20"/>
    </w:rPr>
  </w:style>
  <w:style w:type="paragraph" w:styleId="21">
    <w:name w:val="Normal Indent"/>
    <w:basedOn w:val="1"/>
    <w:qFormat/>
    <w:uiPriority w:val="0"/>
    <w:pPr>
      <w:widowControl/>
      <w:spacing w:line="360" w:lineRule="auto"/>
      <w:ind w:firstLine="560" w:firstLineChars="200"/>
      <w:jc w:val="left"/>
    </w:pPr>
    <w:rPr>
      <w:kern w:val="0"/>
      <w:sz w:val="28"/>
      <w:szCs w:val="20"/>
    </w:rPr>
  </w:style>
  <w:style w:type="paragraph" w:styleId="22">
    <w:name w:val="caption"/>
    <w:basedOn w:val="1"/>
    <w:next w:val="1"/>
    <w:qFormat/>
    <w:uiPriority w:val="0"/>
    <w:pPr>
      <w:spacing w:before="152" w:after="160"/>
    </w:pPr>
    <w:rPr>
      <w:rFonts w:ascii="Arial" w:hAnsi="Arial" w:eastAsia="黑体" w:cs="Arial"/>
      <w:b w:val="0"/>
      <w:sz w:val="20"/>
      <w:szCs w:val="20"/>
    </w:rPr>
  </w:style>
  <w:style w:type="paragraph" w:styleId="23">
    <w:name w:val="index 5"/>
    <w:basedOn w:val="1"/>
    <w:next w:val="1"/>
    <w:autoRedefine/>
    <w:qFormat/>
    <w:uiPriority w:val="0"/>
    <w:pPr>
      <w:ind w:left="800" w:leftChars="800"/>
    </w:pPr>
    <w:rPr>
      <w:rFonts w:ascii="Times New Roman" w:hAnsi="Times New Roman"/>
      <w:b w:val="0"/>
      <w:szCs w:val="20"/>
    </w:rPr>
  </w:style>
  <w:style w:type="paragraph" w:styleId="24">
    <w:name w:val="List Bullet"/>
    <w:basedOn w:val="1"/>
    <w:autoRedefine/>
    <w:qFormat/>
    <w:uiPriority w:val="0"/>
    <w:pPr>
      <w:numPr>
        <w:ilvl w:val="0"/>
        <w:numId w:val="3"/>
      </w:numPr>
      <w:tabs>
        <w:tab w:val="left" w:pos="360"/>
      </w:tabs>
      <w:contextualSpacing/>
    </w:pPr>
    <w:rPr>
      <w:rFonts w:ascii="Times New Roman" w:hAnsi="Times New Roman"/>
      <w:b w:val="0"/>
      <w:szCs w:val="20"/>
    </w:rPr>
  </w:style>
  <w:style w:type="paragraph" w:styleId="25">
    <w:name w:val="envelope address"/>
    <w:basedOn w:val="1"/>
    <w:qFormat/>
    <w:uiPriority w:val="0"/>
    <w:pPr>
      <w:framePr w:w="7920" w:h="1980" w:hRule="exact" w:hSpace="180" w:wrap="auto" w:vAnchor="margin" w:hAnchor="page" w:xAlign="center" w:yAlign="bottom"/>
      <w:snapToGrid w:val="0"/>
      <w:ind w:left="100" w:leftChars="1400"/>
    </w:pPr>
    <w:rPr>
      <w:rFonts w:ascii="等线 Light" w:hAnsi="等线 Light" w:eastAsia="等线 Light"/>
      <w:b w:val="0"/>
      <w:sz w:val="24"/>
    </w:rPr>
  </w:style>
  <w:style w:type="paragraph" w:styleId="26">
    <w:name w:val="Document Map"/>
    <w:basedOn w:val="1"/>
    <w:link w:val="108"/>
    <w:qFormat/>
    <w:uiPriority w:val="0"/>
    <w:pPr>
      <w:shd w:val="clear" w:color="auto" w:fill="000080"/>
      <w:spacing w:line="360" w:lineRule="auto"/>
    </w:pPr>
    <w:rPr>
      <w:rFonts w:eastAsia="仿宋_GB2312"/>
      <w:b w:val="0"/>
      <w:sz w:val="24"/>
    </w:rPr>
  </w:style>
  <w:style w:type="paragraph" w:styleId="27">
    <w:name w:val="toa heading"/>
    <w:basedOn w:val="1"/>
    <w:next w:val="1"/>
    <w:autoRedefine/>
    <w:qFormat/>
    <w:uiPriority w:val="0"/>
    <w:pPr>
      <w:spacing w:before="120"/>
    </w:pPr>
    <w:rPr>
      <w:rFonts w:ascii="等线 Light" w:hAnsi="等线 Light"/>
      <w:b w:val="0"/>
      <w:sz w:val="24"/>
    </w:rPr>
  </w:style>
  <w:style w:type="paragraph" w:styleId="28">
    <w:name w:val="annotation text"/>
    <w:basedOn w:val="1"/>
    <w:link w:val="109"/>
    <w:qFormat/>
    <w:uiPriority w:val="0"/>
    <w:pPr>
      <w:jc w:val="left"/>
    </w:pPr>
    <w:rPr>
      <w:rFonts w:eastAsia="隶书"/>
    </w:rPr>
  </w:style>
  <w:style w:type="paragraph" w:styleId="29">
    <w:name w:val="index 6"/>
    <w:basedOn w:val="1"/>
    <w:next w:val="1"/>
    <w:autoRedefine/>
    <w:qFormat/>
    <w:uiPriority w:val="0"/>
    <w:pPr>
      <w:ind w:left="1000" w:leftChars="1000"/>
    </w:pPr>
    <w:rPr>
      <w:rFonts w:ascii="Times New Roman" w:hAnsi="Times New Roman"/>
      <w:b w:val="0"/>
      <w:szCs w:val="20"/>
    </w:rPr>
  </w:style>
  <w:style w:type="paragraph" w:styleId="30">
    <w:name w:val="Salutation"/>
    <w:basedOn w:val="1"/>
    <w:next w:val="1"/>
    <w:link w:val="521"/>
    <w:autoRedefine/>
    <w:qFormat/>
    <w:uiPriority w:val="0"/>
    <w:rPr>
      <w:rFonts w:ascii="Times New Roman" w:hAnsi="Times New Roman"/>
      <w:b w:val="0"/>
      <w:szCs w:val="20"/>
    </w:rPr>
  </w:style>
  <w:style w:type="paragraph" w:styleId="31">
    <w:name w:val="Body Text 3"/>
    <w:basedOn w:val="1"/>
    <w:link w:val="110"/>
    <w:qFormat/>
    <w:uiPriority w:val="0"/>
    <w:rPr>
      <w:sz w:val="28"/>
    </w:rPr>
  </w:style>
  <w:style w:type="paragraph" w:styleId="32">
    <w:name w:val="Closing"/>
    <w:basedOn w:val="1"/>
    <w:link w:val="522"/>
    <w:autoRedefine/>
    <w:qFormat/>
    <w:uiPriority w:val="0"/>
    <w:pPr>
      <w:ind w:left="100" w:leftChars="2100"/>
    </w:pPr>
    <w:rPr>
      <w:rFonts w:ascii="Times New Roman" w:hAnsi="Times New Roman"/>
      <w:b w:val="0"/>
      <w:szCs w:val="20"/>
    </w:rPr>
  </w:style>
  <w:style w:type="paragraph" w:styleId="33">
    <w:name w:val="List Bullet 3"/>
    <w:basedOn w:val="1"/>
    <w:autoRedefine/>
    <w:qFormat/>
    <w:uiPriority w:val="0"/>
    <w:pPr>
      <w:numPr>
        <w:ilvl w:val="0"/>
        <w:numId w:val="4"/>
      </w:numPr>
      <w:tabs>
        <w:tab w:val="left" w:pos="1200"/>
      </w:tabs>
      <w:contextualSpacing/>
    </w:pPr>
    <w:rPr>
      <w:rFonts w:ascii="Times New Roman" w:hAnsi="Times New Roman"/>
      <w:b w:val="0"/>
      <w:szCs w:val="20"/>
    </w:rPr>
  </w:style>
  <w:style w:type="paragraph" w:styleId="34">
    <w:name w:val="Body Text"/>
    <w:basedOn w:val="1"/>
    <w:link w:val="111"/>
    <w:qFormat/>
    <w:uiPriority w:val="0"/>
    <w:rPr>
      <w:rFonts w:ascii="仿宋_GB2312"/>
      <w:b w:val="0"/>
      <w:sz w:val="28"/>
      <w:szCs w:val="28"/>
    </w:rPr>
  </w:style>
  <w:style w:type="paragraph" w:styleId="35">
    <w:name w:val="Body Text Indent"/>
    <w:basedOn w:val="1"/>
    <w:link w:val="100"/>
    <w:qFormat/>
    <w:uiPriority w:val="99"/>
    <w:pPr>
      <w:widowControl/>
      <w:spacing w:line="360" w:lineRule="auto"/>
      <w:ind w:firstLine="570"/>
    </w:pPr>
    <w:rPr>
      <w:rFonts w:eastAsia="隶书"/>
      <w:kern w:val="0"/>
      <w:sz w:val="28"/>
      <w:szCs w:val="20"/>
    </w:rPr>
  </w:style>
  <w:style w:type="paragraph" w:styleId="36">
    <w:name w:val="List Number 3"/>
    <w:basedOn w:val="1"/>
    <w:autoRedefine/>
    <w:qFormat/>
    <w:uiPriority w:val="0"/>
    <w:pPr>
      <w:numPr>
        <w:ilvl w:val="0"/>
        <w:numId w:val="5"/>
      </w:numPr>
      <w:tabs>
        <w:tab w:val="left" w:pos="1200"/>
      </w:tabs>
      <w:contextualSpacing/>
    </w:pPr>
    <w:rPr>
      <w:rFonts w:ascii="Times New Roman" w:hAnsi="Times New Roman"/>
      <w:b w:val="0"/>
      <w:szCs w:val="20"/>
    </w:rPr>
  </w:style>
  <w:style w:type="paragraph" w:styleId="37">
    <w:name w:val="List 2"/>
    <w:basedOn w:val="1"/>
    <w:autoRedefine/>
    <w:qFormat/>
    <w:uiPriority w:val="0"/>
    <w:pPr>
      <w:ind w:left="100" w:leftChars="200" w:hanging="200" w:hangingChars="200"/>
      <w:contextualSpacing/>
    </w:pPr>
    <w:rPr>
      <w:rFonts w:ascii="Times New Roman" w:hAnsi="Times New Roman"/>
      <w:b w:val="0"/>
      <w:szCs w:val="20"/>
    </w:rPr>
  </w:style>
  <w:style w:type="paragraph" w:styleId="38">
    <w:name w:val="List Continue"/>
    <w:basedOn w:val="1"/>
    <w:autoRedefine/>
    <w:qFormat/>
    <w:uiPriority w:val="0"/>
    <w:pPr>
      <w:spacing w:after="120"/>
      <w:ind w:left="420" w:leftChars="200"/>
      <w:contextualSpacing/>
    </w:pPr>
    <w:rPr>
      <w:rFonts w:ascii="Times New Roman" w:hAnsi="Times New Roman"/>
      <w:b w:val="0"/>
      <w:szCs w:val="20"/>
    </w:rPr>
  </w:style>
  <w:style w:type="paragraph" w:styleId="39">
    <w:name w:val="Block Text"/>
    <w:basedOn w:val="1"/>
    <w:qFormat/>
    <w:uiPriority w:val="0"/>
    <w:pPr>
      <w:ind w:left="-108" w:leftChars="-51" w:right="-93" w:rightChars="-44"/>
      <w:jc w:val="center"/>
    </w:pPr>
    <w:rPr>
      <w:rFonts w:eastAsia="楷体_GB2312"/>
      <w:spacing w:val="-6"/>
      <w:sz w:val="28"/>
    </w:rPr>
  </w:style>
  <w:style w:type="paragraph" w:styleId="40">
    <w:name w:val="List Bullet 2"/>
    <w:basedOn w:val="1"/>
    <w:qFormat/>
    <w:uiPriority w:val="0"/>
    <w:pPr>
      <w:numPr>
        <w:ilvl w:val="0"/>
        <w:numId w:val="6"/>
      </w:numPr>
      <w:tabs>
        <w:tab w:val="left" w:pos="780"/>
      </w:tabs>
      <w:contextualSpacing/>
    </w:pPr>
    <w:rPr>
      <w:rFonts w:ascii="Times New Roman" w:hAnsi="Times New Roman"/>
      <w:b w:val="0"/>
      <w:szCs w:val="20"/>
    </w:rPr>
  </w:style>
  <w:style w:type="paragraph" w:styleId="41">
    <w:name w:val="HTML Address"/>
    <w:basedOn w:val="1"/>
    <w:link w:val="523"/>
    <w:autoRedefine/>
    <w:qFormat/>
    <w:uiPriority w:val="0"/>
    <w:rPr>
      <w:rFonts w:ascii="Times New Roman" w:hAnsi="Times New Roman"/>
      <w:b w:val="0"/>
      <w:i/>
      <w:iCs/>
      <w:szCs w:val="20"/>
    </w:rPr>
  </w:style>
  <w:style w:type="paragraph" w:styleId="42">
    <w:name w:val="index 4"/>
    <w:basedOn w:val="1"/>
    <w:next w:val="1"/>
    <w:autoRedefine/>
    <w:qFormat/>
    <w:uiPriority w:val="0"/>
    <w:pPr>
      <w:ind w:left="600" w:leftChars="600"/>
    </w:pPr>
    <w:rPr>
      <w:rFonts w:ascii="Times New Roman" w:hAnsi="Times New Roman"/>
      <w:b w:val="0"/>
      <w:szCs w:val="20"/>
    </w:rPr>
  </w:style>
  <w:style w:type="paragraph" w:styleId="43">
    <w:name w:val="toc 5"/>
    <w:basedOn w:val="1"/>
    <w:next w:val="1"/>
    <w:qFormat/>
    <w:uiPriority w:val="39"/>
    <w:pPr>
      <w:ind w:left="840"/>
      <w:jc w:val="left"/>
    </w:pPr>
    <w:rPr>
      <w:rFonts w:cs="Calibri"/>
      <w:b w:val="0"/>
      <w:sz w:val="18"/>
      <w:szCs w:val="18"/>
    </w:rPr>
  </w:style>
  <w:style w:type="paragraph" w:styleId="44">
    <w:name w:val="toc 3"/>
    <w:basedOn w:val="1"/>
    <w:next w:val="1"/>
    <w:qFormat/>
    <w:uiPriority w:val="39"/>
    <w:pPr>
      <w:ind w:left="420"/>
      <w:jc w:val="left"/>
    </w:pPr>
    <w:rPr>
      <w:rFonts w:cs="Calibri"/>
      <w:b w:val="0"/>
      <w:i/>
      <w:iCs/>
      <w:sz w:val="20"/>
      <w:szCs w:val="20"/>
    </w:rPr>
  </w:style>
  <w:style w:type="paragraph" w:styleId="45">
    <w:name w:val="Plain Text"/>
    <w:basedOn w:val="1"/>
    <w:link w:val="112"/>
    <w:qFormat/>
    <w:uiPriority w:val="0"/>
    <w:rPr>
      <w:rFonts w:ascii="宋体" w:hAnsi="Courier New"/>
      <w:b w:val="0"/>
      <w:szCs w:val="21"/>
    </w:rPr>
  </w:style>
  <w:style w:type="paragraph" w:styleId="46">
    <w:name w:val="List Bullet 5"/>
    <w:basedOn w:val="1"/>
    <w:autoRedefine/>
    <w:qFormat/>
    <w:uiPriority w:val="0"/>
    <w:pPr>
      <w:numPr>
        <w:ilvl w:val="0"/>
        <w:numId w:val="7"/>
      </w:numPr>
      <w:tabs>
        <w:tab w:val="left" w:pos="2040"/>
      </w:tabs>
      <w:contextualSpacing/>
    </w:pPr>
    <w:rPr>
      <w:rFonts w:ascii="Times New Roman" w:hAnsi="Times New Roman"/>
      <w:b w:val="0"/>
      <w:szCs w:val="20"/>
    </w:rPr>
  </w:style>
  <w:style w:type="paragraph" w:styleId="47">
    <w:name w:val="List Number 4"/>
    <w:basedOn w:val="1"/>
    <w:autoRedefine/>
    <w:qFormat/>
    <w:uiPriority w:val="0"/>
    <w:pPr>
      <w:numPr>
        <w:ilvl w:val="0"/>
        <w:numId w:val="8"/>
      </w:numPr>
      <w:tabs>
        <w:tab w:val="left" w:pos="1620"/>
      </w:tabs>
      <w:contextualSpacing/>
    </w:pPr>
    <w:rPr>
      <w:rFonts w:ascii="Times New Roman" w:hAnsi="Times New Roman"/>
      <w:b w:val="0"/>
      <w:szCs w:val="20"/>
    </w:rPr>
  </w:style>
  <w:style w:type="paragraph" w:styleId="48">
    <w:name w:val="toc 8"/>
    <w:basedOn w:val="1"/>
    <w:next w:val="1"/>
    <w:qFormat/>
    <w:uiPriority w:val="39"/>
    <w:pPr>
      <w:ind w:left="1470"/>
      <w:jc w:val="left"/>
    </w:pPr>
    <w:rPr>
      <w:rFonts w:cs="Calibri"/>
      <w:b w:val="0"/>
      <w:sz w:val="18"/>
      <w:szCs w:val="18"/>
    </w:rPr>
  </w:style>
  <w:style w:type="paragraph" w:styleId="49">
    <w:name w:val="index 3"/>
    <w:basedOn w:val="1"/>
    <w:next w:val="1"/>
    <w:autoRedefine/>
    <w:qFormat/>
    <w:uiPriority w:val="0"/>
    <w:pPr>
      <w:ind w:left="400" w:leftChars="400"/>
    </w:pPr>
    <w:rPr>
      <w:rFonts w:ascii="Times New Roman" w:hAnsi="Times New Roman"/>
      <w:b w:val="0"/>
      <w:szCs w:val="20"/>
    </w:rPr>
  </w:style>
  <w:style w:type="paragraph" w:styleId="50">
    <w:name w:val="Date"/>
    <w:basedOn w:val="1"/>
    <w:next w:val="1"/>
    <w:link w:val="113"/>
    <w:qFormat/>
    <w:uiPriority w:val="0"/>
    <w:pPr>
      <w:ind w:left="100" w:leftChars="2500"/>
    </w:pPr>
    <w:rPr>
      <w:sz w:val="28"/>
    </w:rPr>
  </w:style>
  <w:style w:type="paragraph" w:styleId="51">
    <w:name w:val="Body Text Indent 2"/>
    <w:basedOn w:val="1"/>
    <w:link w:val="114"/>
    <w:qFormat/>
    <w:uiPriority w:val="0"/>
    <w:pPr>
      <w:spacing w:line="360" w:lineRule="auto"/>
      <w:ind w:left="275" w:leftChars="100"/>
    </w:pPr>
    <w:rPr>
      <w:rFonts w:ascii="宋体" w:hAnsi="宋体" w:eastAsia="隶书"/>
      <w:sz w:val="28"/>
    </w:rPr>
  </w:style>
  <w:style w:type="paragraph" w:styleId="52">
    <w:name w:val="endnote text"/>
    <w:basedOn w:val="1"/>
    <w:link w:val="524"/>
    <w:autoRedefine/>
    <w:qFormat/>
    <w:uiPriority w:val="0"/>
    <w:pPr>
      <w:snapToGrid w:val="0"/>
      <w:jc w:val="left"/>
    </w:pPr>
    <w:rPr>
      <w:rFonts w:ascii="Times New Roman" w:hAnsi="Times New Roman"/>
      <w:b w:val="0"/>
    </w:rPr>
  </w:style>
  <w:style w:type="paragraph" w:styleId="53">
    <w:name w:val="List Continue 5"/>
    <w:basedOn w:val="1"/>
    <w:autoRedefine/>
    <w:qFormat/>
    <w:uiPriority w:val="0"/>
    <w:pPr>
      <w:spacing w:after="120"/>
      <w:ind w:left="2100" w:leftChars="1000"/>
      <w:contextualSpacing/>
    </w:pPr>
    <w:rPr>
      <w:rFonts w:ascii="Times New Roman" w:hAnsi="Times New Roman"/>
      <w:b w:val="0"/>
      <w:szCs w:val="20"/>
    </w:rPr>
  </w:style>
  <w:style w:type="paragraph" w:styleId="54">
    <w:name w:val="Balloon Text"/>
    <w:basedOn w:val="1"/>
    <w:link w:val="115"/>
    <w:qFormat/>
    <w:uiPriority w:val="0"/>
    <w:rPr>
      <w:sz w:val="18"/>
      <w:szCs w:val="18"/>
    </w:rPr>
  </w:style>
  <w:style w:type="paragraph" w:styleId="55">
    <w:name w:val="footer"/>
    <w:basedOn w:val="1"/>
    <w:link w:val="116"/>
    <w:qFormat/>
    <w:uiPriority w:val="99"/>
    <w:pPr>
      <w:widowControl/>
      <w:tabs>
        <w:tab w:val="center" w:pos="4153"/>
        <w:tab w:val="right" w:pos="8306"/>
      </w:tabs>
      <w:snapToGrid w:val="0"/>
      <w:jc w:val="left"/>
    </w:pPr>
    <w:rPr>
      <w:kern w:val="0"/>
      <w:sz w:val="18"/>
      <w:szCs w:val="20"/>
    </w:rPr>
  </w:style>
  <w:style w:type="paragraph" w:styleId="56">
    <w:name w:val="envelope return"/>
    <w:basedOn w:val="1"/>
    <w:autoRedefine/>
    <w:qFormat/>
    <w:uiPriority w:val="0"/>
    <w:pPr>
      <w:snapToGrid w:val="0"/>
    </w:pPr>
    <w:rPr>
      <w:rFonts w:ascii="等线 Light" w:hAnsi="等线 Light" w:eastAsia="等线 Light"/>
      <w:b w:val="0"/>
      <w:szCs w:val="20"/>
    </w:rPr>
  </w:style>
  <w:style w:type="paragraph" w:styleId="57">
    <w:name w:val="header"/>
    <w:basedOn w:val="1"/>
    <w:link w:val="117"/>
    <w:qFormat/>
    <w:uiPriority w:val="0"/>
    <w:pPr>
      <w:pBdr>
        <w:bottom w:val="single" w:color="auto" w:sz="6" w:space="1"/>
      </w:pBdr>
      <w:tabs>
        <w:tab w:val="center" w:pos="4153"/>
        <w:tab w:val="right" w:pos="8306"/>
      </w:tabs>
      <w:snapToGrid w:val="0"/>
      <w:jc w:val="center"/>
    </w:pPr>
    <w:rPr>
      <w:rFonts w:eastAsia="隶书"/>
      <w:sz w:val="18"/>
      <w:szCs w:val="18"/>
    </w:rPr>
  </w:style>
  <w:style w:type="paragraph" w:styleId="58">
    <w:name w:val="Signature"/>
    <w:basedOn w:val="1"/>
    <w:link w:val="525"/>
    <w:autoRedefine/>
    <w:qFormat/>
    <w:uiPriority w:val="0"/>
    <w:pPr>
      <w:ind w:left="100" w:leftChars="2100"/>
    </w:pPr>
    <w:rPr>
      <w:rFonts w:ascii="Times New Roman" w:hAnsi="Times New Roman"/>
      <w:b w:val="0"/>
      <w:szCs w:val="20"/>
    </w:rPr>
  </w:style>
  <w:style w:type="paragraph" w:styleId="59">
    <w:name w:val="toc 1"/>
    <w:basedOn w:val="1"/>
    <w:next w:val="1"/>
    <w:qFormat/>
    <w:uiPriority w:val="39"/>
    <w:pPr>
      <w:spacing w:before="120" w:after="120"/>
      <w:jc w:val="left"/>
    </w:pPr>
    <w:rPr>
      <w:rFonts w:cs="Calibri"/>
      <w:bCs/>
      <w:caps/>
      <w:sz w:val="20"/>
      <w:szCs w:val="20"/>
    </w:rPr>
  </w:style>
  <w:style w:type="paragraph" w:styleId="60">
    <w:name w:val="List Continue 4"/>
    <w:basedOn w:val="1"/>
    <w:autoRedefine/>
    <w:qFormat/>
    <w:uiPriority w:val="0"/>
    <w:pPr>
      <w:spacing w:after="120"/>
      <w:ind w:left="1680" w:leftChars="800"/>
      <w:contextualSpacing/>
    </w:pPr>
    <w:rPr>
      <w:rFonts w:ascii="Times New Roman" w:hAnsi="Times New Roman"/>
      <w:b w:val="0"/>
      <w:szCs w:val="20"/>
    </w:rPr>
  </w:style>
  <w:style w:type="paragraph" w:styleId="61">
    <w:name w:val="toc 4"/>
    <w:basedOn w:val="1"/>
    <w:next w:val="1"/>
    <w:qFormat/>
    <w:uiPriority w:val="39"/>
    <w:pPr>
      <w:ind w:left="630"/>
      <w:jc w:val="left"/>
    </w:pPr>
    <w:rPr>
      <w:rFonts w:cs="Calibri"/>
      <w:b w:val="0"/>
      <w:sz w:val="18"/>
      <w:szCs w:val="18"/>
    </w:rPr>
  </w:style>
  <w:style w:type="paragraph" w:styleId="62">
    <w:name w:val="index heading"/>
    <w:basedOn w:val="1"/>
    <w:next w:val="63"/>
    <w:qFormat/>
    <w:uiPriority w:val="0"/>
    <w:rPr>
      <w:rFonts w:ascii="Times New Roman" w:hAnsi="Times New Roman"/>
      <w:b w:val="0"/>
    </w:rPr>
  </w:style>
  <w:style w:type="paragraph" w:styleId="63">
    <w:name w:val="index 1"/>
    <w:basedOn w:val="1"/>
    <w:next w:val="1"/>
    <w:qFormat/>
    <w:uiPriority w:val="0"/>
    <w:pPr>
      <w:jc w:val="center"/>
    </w:pPr>
    <w:rPr>
      <w:rFonts w:ascii="宋体" w:hAnsi="宋体"/>
      <w:b w:val="0"/>
      <w:color w:val="000000"/>
      <w:sz w:val="24"/>
      <w:szCs w:val="28"/>
    </w:rPr>
  </w:style>
  <w:style w:type="paragraph" w:styleId="64">
    <w:name w:val="Subtitle"/>
    <w:basedOn w:val="1"/>
    <w:next w:val="1"/>
    <w:link w:val="359"/>
    <w:qFormat/>
    <w:uiPriority w:val="0"/>
    <w:pPr>
      <w:spacing w:before="240" w:after="60" w:line="312" w:lineRule="auto"/>
      <w:jc w:val="center"/>
      <w:outlineLvl w:val="1"/>
    </w:pPr>
    <w:rPr>
      <w:rFonts w:ascii="Cambria" w:hAnsi="Cambria"/>
      <w:bCs/>
      <w:kern w:val="28"/>
      <w:sz w:val="32"/>
      <w:szCs w:val="32"/>
    </w:rPr>
  </w:style>
  <w:style w:type="paragraph" w:styleId="65">
    <w:name w:val="List Number 5"/>
    <w:basedOn w:val="1"/>
    <w:autoRedefine/>
    <w:qFormat/>
    <w:uiPriority w:val="0"/>
    <w:pPr>
      <w:numPr>
        <w:ilvl w:val="0"/>
        <w:numId w:val="9"/>
      </w:numPr>
      <w:tabs>
        <w:tab w:val="left" w:pos="2040"/>
      </w:tabs>
      <w:contextualSpacing/>
    </w:pPr>
    <w:rPr>
      <w:rFonts w:ascii="Times New Roman" w:hAnsi="Times New Roman"/>
      <w:b w:val="0"/>
      <w:szCs w:val="20"/>
    </w:rPr>
  </w:style>
  <w:style w:type="paragraph" w:styleId="66">
    <w:name w:val="List"/>
    <w:basedOn w:val="1"/>
    <w:next w:val="1"/>
    <w:qFormat/>
    <w:uiPriority w:val="0"/>
    <w:pPr>
      <w:widowControl/>
      <w:overflowPunct w:val="0"/>
      <w:autoSpaceDE w:val="0"/>
      <w:autoSpaceDN w:val="0"/>
      <w:adjustRightInd w:val="0"/>
      <w:spacing w:line="360" w:lineRule="auto"/>
      <w:jc w:val="center"/>
      <w:textAlignment w:val="baseline"/>
    </w:pPr>
    <w:rPr>
      <w:rFonts w:ascii="Times New Roman" w:hAnsi="Times New Roman"/>
      <w:b w:val="0"/>
      <w:kern w:val="0"/>
      <w:szCs w:val="20"/>
      <w:lang w:val="en-GB"/>
    </w:rPr>
  </w:style>
  <w:style w:type="paragraph" w:styleId="67">
    <w:name w:val="footnote text"/>
    <w:basedOn w:val="1"/>
    <w:link w:val="118"/>
    <w:qFormat/>
    <w:uiPriority w:val="0"/>
    <w:pPr>
      <w:snapToGrid w:val="0"/>
      <w:jc w:val="left"/>
    </w:pPr>
    <w:rPr>
      <w:b w:val="0"/>
      <w:sz w:val="18"/>
      <w:szCs w:val="18"/>
    </w:rPr>
  </w:style>
  <w:style w:type="paragraph" w:styleId="68">
    <w:name w:val="toc 6"/>
    <w:basedOn w:val="1"/>
    <w:next w:val="1"/>
    <w:qFormat/>
    <w:uiPriority w:val="39"/>
    <w:pPr>
      <w:ind w:left="1050"/>
      <w:jc w:val="left"/>
    </w:pPr>
    <w:rPr>
      <w:rFonts w:cs="Calibri"/>
      <w:b w:val="0"/>
      <w:sz w:val="18"/>
      <w:szCs w:val="18"/>
    </w:rPr>
  </w:style>
  <w:style w:type="paragraph" w:styleId="69">
    <w:name w:val="List 5"/>
    <w:basedOn w:val="1"/>
    <w:autoRedefine/>
    <w:qFormat/>
    <w:uiPriority w:val="0"/>
    <w:pPr>
      <w:ind w:left="100" w:leftChars="800" w:hanging="200" w:hangingChars="200"/>
      <w:contextualSpacing/>
    </w:pPr>
    <w:rPr>
      <w:rFonts w:ascii="Times New Roman" w:hAnsi="Times New Roman"/>
      <w:b w:val="0"/>
      <w:szCs w:val="20"/>
    </w:rPr>
  </w:style>
  <w:style w:type="paragraph" w:styleId="70">
    <w:name w:val="Body Text Indent 3"/>
    <w:basedOn w:val="1"/>
    <w:link w:val="119"/>
    <w:qFormat/>
    <w:uiPriority w:val="0"/>
    <w:pPr>
      <w:spacing w:line="0" w:lineRule="atLeast"/>
      <w:ind w:firstLine="630"/>
    </w:pPr>
    <w:rPr>
      <w:b w:val="0"/>
      <w:sz w:val="28"/>
    </w:rPr>
  </w:style>
  <w:style w:type="paragraph" w:styleId="71">
    <w:name w:val="index 7"/>
    <w:basedOn w:val="1"/>
    <w:next w:val="1"/>
    <w:autoRedefine/>
    <w:qFormat/>
    <w:uiPriority w:val="0"/>
    <w:pPr>
      <w:ind w:left="1200" w:leftChars="1200"/>
    </w:pPr>
    <w:rPr>
      <w:rFonts w:ascii="Times New Roman" w:hAnsi="Times New Roman"/>
      <w:b w:val="0"/>
      <w:szCs w:val="20"/>
    </w:rPr>
  </w:style>
  <w:style w:type="paragraph" w:styleId="72">
    <w:name w:val="index 9"/>
    <w:basedOn w:val="1"/>
    <w:next w:val="1"/>
    <w:autoRedefine/>
    <w:qFormat/>
    <w:uiPriority w:val="0"/>
    <w:pPr>
      <w:ind w:left="1600" w:leftChars="1600"/>
    </w:pPr>
    <w:rPr>
      <w:rFonts w:ascii="Times New Roman" w:hAnsi="Times New Roman"/>
      <w:b w:val="0"/>
      <w:szCs w:val="20"/>
    </w:rPr>
  </w:style>
  <w:style w:type="paragraph" w:styleId="73">
    <w:name w:val="table of figures"/>
    <w:basedOn w:val="1"/>
    <w:next w:val="1"/>
    <w:autoRedefine/>
    <w:qFormat/>
    <w:uiPriority w:val="0"/>
    <w:pPr>
      <w:ind w:left="200" w:leftChars="200" w:hanging="200" w:hangingChars="200"/>
    </w:pPr>
    <w:rPr>
      <w:rFonts w:ascii="Times New Roman" w:hAnsi="Times New Roman"/>
      <w:b w:val="0"/>
      <w:szCs w:val="20"/>
    </w:rPr>
  </w:style>
  <w:style w:type="paragraph" w:styleId="74">
    <w:name w:val="toc 2"/>
    <w:basedOn w:val="1"/>
    <w:next w:val="1"/>
    <w:qFormat/>
    <w:uiPriority w:val="39"/>
    <w:pPr>
      <w:ind w:left="210"/>
      <w:jc w:val="left"/>
    </w:pPr>
    <w:rPr>
      <w:rFonts w:cs="Calibri"/>
      <w:b w:val="0"/>
      <w:smallCaps/>
      <w:sz w:val="20"/>
      <w:szCs w:val="20"/>
    </w:rPr>
  </w:style>
  <w:style w:type="paragraph" w:styleId="75">
    <w:name w:val="toc 9"/>
    <w:basedOn w:val="1"/>
    <w:next w:val="1"/>
    <w:qFormat/>
    <w:uiPriority w:val="39"/>
    <w:pPr>
      <w:ind w:left="1680"/>
      <w:jc w:val="left"/>
    </w:pPr>
    <w:rPr>
      <w:rFonts w:cs="Calibri"/>
      <w:b w:val="0"/>
      <w:sz w:val="18"/>
      <w:szCs w:val="18"/>
    </w:rPr>
  </w:style>
  <w:style w:type="paragraph" w:styleId="76">
    <w:name w:val="Body Text 2"/>
    <w:basedOn w:val="1"/>
    <w:link w:val="120"/>
    <w:qFormat/>
    <w:uiPriority w:val="0"/>
    <w:rPr>
      <w:b w:val="0"/>
      <w:sz w:val="24"/>
    </w:rPr>
  </w:style>
  <w:style w:type="paragraph" w:styleId="77">
    <w:name w:val="List 4"/>
    <w:basedOn w:val="1"/>
    <w:qFormat/>
    <w:uiPriority w:val="0"/>
    <w:pPr>
      <w:ind w:left="100" w:leftChars="600" w:hanging="200" w:hangingChars="200"/>
      <w:contextualSpacing/>
    </w:pPr>
    <w:rPr>
      <w:rFonts w:ascii="Times New Roman" w:hAnsi="Times New Roman"/>
      <w:b w:val="0"/>
      <w:szCs w:val="20"/>
    </w:rPr>
  </w:style>
  <w:style w:type="paragraph" w:styleId="78">
    <w:name w:val="List Continue 2"/>
    <w:basedOn w:val="1"/>
    <w:autoRedefine/>
    <w:qFormat/>
    <w:uiPriority w:val="0"/>
    <w:pPr>
      <w:spacing w:after="120"/>
      <w:ind w:left="840" w:leftChars="400"/>
      <w:contextualSpacing/>
    </w:pPr>
    <w:rPr>
      <w:rFonts w:ascii="Times New Roman" w:hAnsi="Times New Roman"/>
      <w:b w:val="0"/>
      <w:szCs w:val="20"/>
    </w:rPr>
  </w:style>
  <w:style w:type="paragraph" w:styleId="79">
    <w:name w:val="Message Header"/>
    <w:basedOn w:val="1"/>
    <w:link w:val="526"/>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等线 Light" w:hAnsi="等线 Light" w:eastAsia="等线 Light"/>
      <w:b w:val="0"/>
      <w:sz w:val="24"/>
    </w:rPr>
  </w:style>
  <w:style w:type="paragraph" w:styleId="80">
    <w:name w:val="HTML Preformatted"/>
    <w:basedOn w:val="1"/>
    <w:link w:val="351"/>
    <w:qFormat/>
    <w:uiPriority w:val="0"/>
    <w:rPr>
      <w:rFonts w:ascii="Courier New" w:hAnsi="Courier New" w:cs="Courier New"/>
      <w:b w:val="0"/>
      <w:sz w:val="20"/>
      <w:szCs w:val="20"/>
    </w:rPr>
  </w:style>
  <w:style w:type="paragraph" w:styleId="81">
    <w:name w:val="Normal (Web)"/>
    <w:basedOn w:val="1"/>
    <w:qFormat/>
    <w:uiPriority w:val="0"/>
    <w:pPr>
      <w:widowControl/>
      <w:spacing w:before="100" w:beforeAutospacing="1" w:after="100" w:afterAutospacing="1"/>
      <w:jc w:val="left"/>
    </w:pPr>
    <w:rPr>
      <w:rFonts w:ascii="宋体" w:hAnsi="宋体" w:cs="宋体"/>
      <w:b w:val="0"/>
      <w:kern w:val="0"/>
      <w:sz w:val="24"/>
    </w:rPr>
  </w:style>
  <w:style w:type="paragraph" w:styleId="82">
    <w:name w:val="List Continue 3"/>
    <w:basedOn w:val="1"/>
    <w:autoRedefine/>
    <w:qFormat/>
    <w:uiPriority w:val="0"/>
    <w:pPr>
      <w:spacing w:after="120"/>
      <w:ind w:left="1260" w:leftChars="600"/>
      <w:contextualSpacing/>
    </w:pPr>
    <w:rPr>
      <w:rFonts w:ascii="Times New Roman" w:hAnsi="Times New Roman"/>
      <w:b w:val="0"/>
      <w:szCs w:val="20"/>
    </w:rPr>
  </w:style>
  <w:style w:type="paragraph" w:styleId="83">
    <w:name w:val="index 2"/>
    <w:basedOn w:val="1"/>
    <w:next w:val="1"/>
    <w:qFormat/>
    <w:uiPriority w:val="0"/>
    <w:pPr>
      <w:ind w:left="200" w:leftChars="200"/>
    </w:pPr>
    <w:rPr>
      <w:rFonts w:ascii="Times New Roman" w:hAnsi="Times New Roman"/>
      <w:b w:val="0"/>
      <w:szCs w:val="20"/>
    </w:rPr>
  </w:style>
  <w:style w:type="paragraph" w:styleId="84">
    <w:name w:val="Title"/>
    <w:basedOn w:val="1"/>
    <w:next w:val="1"/>
    <w:link w:val="210"/>
    <w:qFormat/>
    <w:uiPriority w:val="0"/>
    <w:pPr>
      <w:spacing w:before="240" w:after="60"/>
      <w:jc w:val="center"/>
      <w:outlineLvl w:val="0"/>
    </w:pPr>
    <w:rPr>
      <w:rFonts w:ascii="Cambria" w:hAnsi="Cambria"/>
      <w:bCs/>
      <w:sz w:val="32"/>
      <w:szCs w:val="32"/>
    </w:rPr>
  </w:style>
  <w:style w:type="paragraph" w:styleId="85">
    <w:name w:val="annotation subject"/>
    <w:basedOn w:val="28"/>
    <w:next w:val="28"/>
    <w:link w:val="121"/>
    <w:qFormat/>
    <w:uiPriority w:val="0"/>
    <w:rPr>
      <w:bCs/>
    </w:rPr>
  </w:style>
  <w:style w:type="paragraph" w:styleId="86">
    <w:name w:val="Body Text First Indent"/>
    <w:basedOn w:val="34"/>
    <w:next w:val="1"/>
    <w:link w:val="122"/>
    <w:qFormat/>
    <w:uiPriority w:val="0"/>
    <w:pPr>
      <w:spacing w:after="120"/>
      <w:ind w:firstLine="420" w:firstLineChars="100"/>
    </w:pPr>
    <w:rPr>
      <w:rFonts w:ascii="Times New Roman" w:eastAsia="隶书"/>
      <w:b/>
      <w:sz w:val="21"/>
      <w:szCs w:val="24"/>
    </w:rPr>
  </w:style>
  <w:style w:type="paragraph" w:styleId="87">
    <w:name w:val="Body Text First Indent 2"/>
    <w:basedOn w:val="35"/>
    <w:link w:val="334"/>
    <w:qFormat/>
    <w:uiPriority w:val="0"/>
    <w:pPr>
      <w:ind w:firstLine="420" w:firstLineChars="200"/>
    </w:pPr>
  </w:style>
  <w:style w:type="table" w:styleId="89">
    <w:name w:val="Table Grid"/>
    <w:basedOn w:val="88"/>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90">
    <w:name w:val="Table Grid 7"/>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character" w:styleId="92">
    <w:name w:val="Strong"/>
    <w:qFormat/>
    <w:uiPriority w:val="0"/>
    <w:rPr>
      <w:b/>
      <w:bCs/>
    </w:rPr>
  </w:style>
  <w:style w:type="character" w:styleId="93">
    <w:name w:val="endnote reference"/>
    <w:autoRedefine/>
    <w:qFormat/>
    <w:uiPriority w:val="0"/>
    <w:rPr>
      <w:vertAlign w:val="superscript"/>
    </w:rPr>
  </w:style>
  <w:style w:type="character" w:styleId="94">
    <w:name w:val="page number"/>
    <w:basedOn w:val="91"/>
    <w:qFormat/>
    <w:uiPriority w:val="0"/>
    <w:rPr>
      <w:rFonts w:eastAsia="宋体"/>
      <w:sz w:val="24"/>
    </w:rPr>
  </w:style>
  <w:style w:type="character" w:styleId="95">
    <w:name w:val="FollowedHyperlink"/>
    <w:qFormat/>
    <w:uiPriority w:val="99"/>
    <w:rPr>
      <w:color w:val="800080"/>
      <w:u w:val="single"/>
    </w:rPr>
  </w:style>
  <w:style w:type="character" w:styleId="96">
    <w:name w:val="Emphasis"/>
    <w:basedOn w:val="91"/>
    <w:qFormat/>
    <w:uiPriority w:val="20"/>
    <w:rPr>
      <w:color w:val="CC0000"/>
    </w:rPr>
  </w:style>
  <w:style w:type="character" w:styleId="97">
    <w:name w:val="line number"/>
    <w:basedOn w:val="91"/>
    <w:qFormat/>
    <w:uiPriority w:val="0"/>
  </w:style>
  <w:style w:type="character" w:styleId="98">
    <w:name w:val="Hyperlink"/>
    <w:qFormat/>
    <w:uiPriority w:val="99"/>
    <w:rPr>
      <w:color w:val="0000FF"/>
      <w:u w:val="single"/>
    </w:rPr>
  </w:style>
  <w:style w:type="character" w:styleId="99">
    <w:name w:val="annotation reference"/>
    <w:qFormat/>
    <w:uiPriority w:val="0"/>
    <w:rPr>
      <w:sz w:val="21"/>
      <w:szCs w:val="21"/>
    </w:rPr>
  </w:style>
  <w:style w:type="character" w:customStyle="1" w:styleId="100">
    <w:name w:val="正文文本缩进 Char2"/>
    <w:link w:val="35"/>
    <w:qFormat/>
    <w:uiPriority w:val="0"/>
    <w:rPr>
      <w:rFonts w:eastAsia="隶书"/>
      <w:b/>
      <w:sz w:val="28"/>
      <w:u w:color="FF0000"/>
      <w:lang w:val="en-US" w:eastAsia="zh-CN" w:bidi="ar-SA"/>
    </w:rPr>
  </w:style>
  <w:style w:type="character" w:customStyle="1" w:styleId="101">
    <w:name w:val="标题 1 Char1"/>
    <w:link w:val="3"/>
    <w:qFormat/>
    <w:uiPriority w:val="0"/>
    <w:rPr>
      <w:rFonts w:ascii="Calibri" w:hAnsi="Calibri" w:eastAsia="仿宋_GB2312"/>
      <w:b/>
      <w:kern w:val="2"/>
      <w:sz w:val="44"/>
      <w:szCs w:val="24"/>
      <w:u w:color="FF0000"/>
    </w:rPr>
  </w:style>
  <w:style w:type="character" w:customStyle="1" w:styleId="102">
    <w:name w:val="标题 2 Char2"/>
    <w:link w:val="4"/>
    <w:qFormat/>
    <w:locked/>
    <w:uiPriority w:val="0"/>
    <w:rPr>
      <w:rFonts w:ascii="宋体" w:hAnsi="Arial" w:eastAsia="仿宋_GB2312"/>
      <w:b/>
      <w:sz w:val="30"/>
      <w:u w:color="FF0000"/>
    </w:rPr>
  </w:style>
  <w:style w:type="character" w:customStyle="1" w:styleId="103">
    <w:name w:val="标题 3 Char2"/>
    <w:link w:val="5"/>
    <w:qFormat/>
    <w:uiPriority w:val="0"/>
    <w:rPr>
      <w:rFonts w:eastAsia="仿宋_GB2312"/>
      <w:b/>
      <w:bCs/>
      <w:kern w:val="2"/>
      <w:sz w:val="28"/>
      <w:szCs w:val="24"/>
      <w:u w:color="FF0000"/>
      <w:lang w:val="en-US" w:eastAsia="zh-CN" w:bidi="ar-SA"/>
    </w:rPr>
  </w:style>
  <w:style w:type="character" w:customStyle="1" w:styleId="104">
    <w:name w:val="标题 4 Char1"/>
    <w:link w:val="6"/>
    <w:qFormat/>
    <w:uiPriority w:val="0"/>
    <w:rPr>
      <w:rFonts w:ascii="Arial" w:hAnsi="Arial"/>
      <w:bCs/>
      <w:sz w:val="28"/>
      <w:u w:color="FF0000"/>
    </w:rPr>
  </w:style>
  <w:style w:type="character" w:customStyle="1" w:styleId="105">
    <w:name w:val="标题 5 Char1"/>
    <w:link w:val="7"/>
    <w:qFormat/>
    <w:uiPriority w:val="0"/>
    <w:rPr>
      <w:rFonts w:ascii="Calibri" w:hAnsi="Calibri"/>
      <w:sz w:val="28"/>
      <w:u w:color="FF0000"/>
    </w:rPr>
  </w:style>
  <w:style w:type="character" w:customStyle="1" w:styleId="106">
    <w:name w:val="标题 6 Char1"/>
    <w:link w:val="8"/>
    <w:qFormat/>
    <w:uiPriority w:val="0"/>
    <w:rPr>
      <w:rFonts w:ascii="Calibri" w:hAnsi="Calibri"/>
      <w:bCs/>
      <w:kern w:val="2"/>
      <w:sz w:val="28"/>
      <w:szCs w:val="24"/>
      <w:u w:color="FF0000"/>
    </w:rPr>
  </w:style>
  <w:style w:type="character" w:customStyle="1" w:styleId="107">
    <w:name w:val="标题 7 Char1"/>
    <w:link w:val="9"/>
    <w:qFormat/>
    <w:uiPriority w:val="0"/>
    <w:rPr>
      <w:rFonts w:ascii="Calibri" w:hAnsi="Calibri"/>
      <w:b/>
      <w:kern w:val="2"/>
      <w:sz w:val="15"/>
      <w:szCs w:val="24"/>
      <w:u w:color="FF0000"/>
    </w:rPr>
  </w:style>
  <w:style w:type="character" w:customStyle="1" w:styleId="108">
    <w:name w:val="文档结构图 Char2"/>
    <w:link w:val="26"/>
    <w:qFormat/>
    <w:uiPriority w:val="0"/>
    <w:rPr>
      <w:rFonts w:ascii="Calibri" w:hAnsi="Calibri" w:eastAsia="仿宋_GB2312"/>
      <w:kern w:val="2"/>
      <w:sz w:val="24"/>
      <w:szCs w:val="24"/>
      <w:u w:color="FF0000"/>
      <w:shd w:val="clear" w:color="auto" w:fill="000080"/>
    </w:rPr>
  </w:style>
  <w:style w:type="character" w:customStyle="1" w:styleId="109">
    <w:name w:val="批注文字 Char2"/>
    <w:link w:val="28"/>
    <w:qFormat/>
    <w:uiPriority w:val="99"/>
    <w:rPr>
      <w:rFonts w:eastAsia="隶书"/>
      <w:b/>
      <w:kern w:val="2"/>
      <w:sz w:val="21"/>
      <w:szCs w:val="24"/>
      <w:u w:color="FF0000"/>
    </w:rPr>
  </w:style>
  <w:style w:type="character" w:customStyle="1" w:styleId="110">
    <w:name w:val="正文文本 3 Char2"/>
    <w:link w:val="31"/>
    <w:qFormat/>
    <w:uiPriority w:val="0"/>
    <w:rPr>
      <w:rFonts w:ascii="Calibri" w:hAnsi="Calibri"/>
      <w:b/>
      <w:kern w:val="2"/>
      <w:sz w:val="28"/>
      <w:szCs w:val="24"/>
      <w:u w:color="FF0000"/>
    </w:rPr>
  </w:style>
  <w:style w:type="character" w:customStyle="1" w:styleId="111">
    <w:name w:val="正文文本 Char3"/>
    <w:link w:val="34"/>
    <w:qFormat/>
    <w:uiPriority w:val="0"/>
    <w:rPr>
      <w:rFonts w:ascii="仿宋_GB2312"/>
      <w:kern w:val="2"/>
      <w:sz w:val="28"/>
      <w:szCs w:val="28"/>
      <w:u w:color="FF0000"/>
    </w:rPr>
  </w:style>
  <w:style w:type="character" w:customStyle="1" w:styleId="112">
    <w:name w:val="纯文本 Char3"/>
    <w:link w:val="45"/>
    <w:qFormat/>
    <w:uiPriority w:val="0"/>
    <w:rPr>
      <w:rFonts w:ascii="宋体" w:hAnsi="Courier New" w:eastAsia="宋体"/>
      <w:kern w:val="2"/>
      <w:sz w:val="21"/>
      <w:szCs w:val="21"/>
      <w:u w:color="FF0000"/>
      <w:lang w:val="en-US" w:eastAsia="zh-CN" w:bidi="ar-SA"/>
    </w:rPr>
  </w:style>
  <w:style w:type="character" w:customStyle="1" w:styleId="113">
    <w:name w:val="日期 Char2"/>
    <w:link w:val="50"/>
    <w:qFormat/>
    <w:uiPriority w:val="0"/>
    <w:rPr>
      <w:rFonts w:ascii="Calibri" w:hAnsi="Calibri"/>
      <w:b/>
      <w:kern w:val="2"/>
      <w:sz w:val="28"/>
      <w:szCs w:val="24"/>
      <w:u w:color="FF0000"/>
    </w:rPr>
  </w:style>
  <w:style w:type="character" w:customStyle="1" w:styleId="114">
    <w:name w:val="正文文本缩进 2 Char2"/>
    <w:link w:val="51"/>
    <w:qFormat/>
    <w:uiPriority w:val="0"/>
    <w:rPr>
      <w:rFonts w:ascii="宋体" w:hAnsi="宋体" w:eastAsia="隶书"/>
      <w:b/>
      <w:kern w:val="2"/>
      <w:sz w:val="28"/>
      <w:szCs w:val="24"/>
      <w:u w:color="FF0000"/>
      <w:lang w:val="en-US" w:eastAsia="zh-CN" w:bidi="ar-SA"/>
    </w:rPr>
  </w:style>
  <w:style w:type="character" w:customStyle="1" w:styleId="115">
    <w:name w:val="批注框文本 Char2"/>
    <w:link w:val="54"/>
    <w:qFormat/>
    <w:uiPriority w:val="0"/>
    <w:rPr>
      <w:rFonts w:ascii="Calibri" w:hAnsi="Calibri"/>
      <w:b/>
      <w:kern w:val="2"/>
      <w:sz w:val="18"/>
      <w:szCs w:val="18"/>
      <w:u w:color="FF0000"/>
    </w:rPr>
  </w:style>
  <w:style w:type="character" w:customStyle="1" w:styleId="116">
    <w:name w:val="页脚 Char2"/>
    <w:link w:val="55"/>
    <w:qFormat/>
    <w:uiPriority w:val="99"/>
    <w:rPr>
      <w:b/>
      <w:sz w:val="18"/>
      <w:u w:color="FF0000"/>
    </w:rPr>
  </w:style>
  <w:style w:type="character" w:customStyle="1" w:styleId="117">
    <w:name w:val="页眉 Char2"/>
    <w:link w:val="57"/>
    <w:qFormat/>
    <w:uiPriority w:val="0"/>
    <w:rPr>
      <w:rFonts w:eastAsia="隶书"/>
      <w:b/>
      <w:kern w:val="2"/>
      <w:sz w:val="18"/>
      <w:szCs w:val="18"/>
      <w:u w:color="FF0000"/>
      <w:lang w:val="en-US" w:eastAsia="zh-CN" w:bidi="ar-SA"/>
    </w:rPr>
  </w:style>
  <w:style w:type="character" w:customStyle="1" w:styleId="118">
    <w:name w:val="脚注文本 Char2"/>
    <w:link w:val="67"/>
    <w:qFormat/>
    <w:uiPriority w:val="0"/>
    <w:rPr>
      <w:rFonts w:ascii="Calibri" w:hAnsi="Calibri"/>
      <w:kern w:val="2"/>
      <w:sz w:val="18"/>
      <w:szCs w:val="18"/>
      <w:u w:color="FF0000"/>
    </w:rPr>
  </w:style>
  <w:style w:type="character" w:customStyle="1" w:styleId="119">
    <w:name w:val="正文文本缩进 3 Char2"/>
    <w:link w:val="70"/>
    <w:qFormat/>
    <w:uiPriority w:val="0"/>
    <w:rPr>
      <w:rFonts w:ascii="Calibri" w:hAnsi="Calibri"/>
      <w:kern w:val="2"/>
      <w:sz w:val="28"/>
      <w:szCs w:val="24"/>
      <w:u w:color="FF0000"/>
    </w:rPr>
  </w:style>
  <w:style w:type="character" w:customStyle="1" w:styleId="120">
    <w:name w:val="正文文本 2 Char2"/>
    <w:link w:val="76"/>
    <w:qFormat/>
    <w:uiPriority w:val="0"/>
    <w:rPr>
      <w:rFonts w:ascii="Calibri" w:hAnsi="Calibri"/>
      <w:kern w:val="2"/>
      <w:sz w:val="24"/>
      <w:szCs w:val="24"/>
      <w:u w:color="FF0000"/>
    </w:rPr>
  </w:style>
  <w:style w:type="character" w:customStyle="1" w:styleId="121">
    <w:name w:val="批注主题 Char2"/>
    <w:link w:val="85"/>
    <w:qFormat/>
    <w:uiPriority w:val="99"/>
    <w:rPr>
      <w:rFonts w:eastAsia="隶书"/>
      <w:b/>
      <w:bCs/>
      <w:kern w:val="2"/>
      <w:sz w:val="21"/>
      <w:szCs w:val="24"/>
      <w:u w:color="FF0000"/>
      <w:lang w:val="en-US" w:eastAsia="zh-CN" w:bidi="ar-SA"/>
    </w:rPr>
  </w:style>
  <w:style w:type="character" w:customStyle="1" w:styleId="122">
    <w:name w:val="正文首行缩进 Char2"/>
    <w:basedOn w:val="91"/>
    <w:link w:val="86"/>
    <w:qFormat/>
    <w:uiPriority w:val="0"/>
    <w:rPr>
      <w:rFonts w:ascii="Times New Roman" w:eastAsia="隶书"/>
      <w:b/>
      <w:kern w:val="2"/>
      <w:sz w:val="21"/>
      <w:szCs w:val="24"/>
      <w:u w:color="FF0000"/>
    </w:rPr>
  </w:style>
  <w:style w:type="character" w:customStyle="1" w:styleId="123">
    <w:name w:val="Char Char3"/>
    <w:qFormat/>
    <w:uiPriority w:val="0"/>
    <w:rPr>
      <w:rFonts w:eastAsia="仿宋_GB2312"/>
      <w:b/>
      <w:bCs/>
      <w:kern w:val="2"/>
      <w:sz w:val="28"/>
      <w:szCs w:val="24"/>
      <w:u w:color="FF0000"/>
    </w:rPr>
  </w:style>
  <w:style w:type="character" w:customStyle="1" w:styleId="124">
    <w:name w:val="Char Char5"/>
    <w:qFormat/>
    <w:uiPriority w:val="0"/>
    <w:rPr>
      <w:rFonts w:eastAsia="宋体"/>
      <w:color w:val="000000"/>
      <w:kern w:val="2"/>
      <w:sz w:val="18"/>
      <w:lang w:val="en-US" w:eastAsia="zh-CN" w:bidi="ar-SA"/>
    </w:rPr>
  </w:style>
  <w:style w:type="character" w:customStyle="1" w:styleId="125">
    <w:name w:val="正文文字缩进 Char1"/>
    <w:qFormat/>
    <w:uiPriority w:val="0"/>
    <w:rPr>
      <w:rFonts w:eastAsia="宋体"/>
      <w:kern w:val="2"/>
      <w:sz w:val="28"/>
      <w:szCs w:val="24"/>
      <w:lang w:val="en-US" w:eastAsia="zh-CN" w:bidi="ar-SA"/>
    </w:rPr>
  </w:style>
  <w:style w:type="character" w:customStyle="1" w:styleId="126">
    <w:name w:val="zw1"/>
    <w:qFormat/>
    <w:uiPriority w:val="0"/>
    <w:rPr>
      <w:rFonts w:hint="eastAsia" w:ascii="宋体" w:hAnsi="宋体" w:eastAsia="宋体"/>
      <w:sz w:val="22"/>
      <w:szCs w:val="22"/>
    </w:rPr>
  </w:style>
  <w:style w:type="character" w:customStyle="1" w:styleId="127">
    <w:name w:val="font41"/>
    <w:qFormat/>
    <w:uiPriority w:val="0"/>
    <w:rPr>
      <w:rFonts w:hint="default" w:ascii="Times New Roman" w:hAnsi="Times New Roman" w:cs="Times New Roman"/>
      <w:color w:val="000000"/>
      <w:sz w:val="22"/>
      <w:szCs w:val="22"/>
      <w:u w:val="none"/>
      <w:vertAlign w:val="superscript"/>
    </w:rPr>
  </w:style>
  <w:style w:type="character" w:customStyle="1" w:styleId="128">
    <w:name w:val="font21"/>
    <w:qFormat/>
    <w:uiPriority w:val="0"/>
    <w:rPr>
      <w:rFonts w:hint="eastAsia" w:ascii="宋体" w:hAnsi="宋体" w:eastAsia="宋体" w:cs="宋体"/>
      <w:color w:val="000000"/>
      <w:sz w:val="24"/>
      <w:szCs w:val="24"/>
      <w:u w:val="none"/>
    </w:rPr>
  </w:style>
  <w:style w:type="character" w:customStyle="1" w:styleId="129">
    <w:name w:val="font51"/>
    <w:qFormat/>
    <w:uiPriority w:val="0"/>
    <w:rPr>
      <w:rFonts w:hint="eastAsia" w:ascii="宋体" w:hAnsi="宋体" w:eastAsia="宋体" w:cs="宋体"/>
      <w:color w:val="000000"/>
      <w:sz w:val="28"/>
      <w:szCs w:val="28"/>
      <w:u w:val="none"/>
    </w:rPr>
  </w:style>
  <w:style w:type="character" w:customStyle="1" w:styleId="130">
    <w:name w:val="bt21"/>
    <w:qFormat/>
    <w:uiPriority w:val="0"/>
    <w:rPr>
      <w:rFonts w:hint="eastAsia" w:ascii="黑体" w:eastAsia="黑体"/>
      <w:sz w:val="24"/>
      <w:szCs w:val="24"/>
    </w:rPr>
  </w:style>
  <w:style w:type="character" w:customStyle="1" w:styleId="131">
    <w:name w:val="正文文字缩进 Char Char"/>
    <w:qFormat/>
    <w:uiPriority w:val="0"/>
    <w:rPr>
      <w:rFonts w:eastAsia="宋体"/>
      <w:kern w:val="2"/>
      <w:sz w:val="28"/>
      <w:szCs w:val="24"/>
      <w:lang w:val="en-US" w:eastAsia="zh-CN" w:bidi="ar-SA"/>
    </w:rPr>
  </w:style>
  <w:style w:type="character" w:customStyle="1" w:styleId="132">
    <w:name w:val="font11"/>
    <w:qFormat/>
    <w:uiPriority w:val="0"/>
    <w:rPr>
      <w:rFonts w:hint="eastAsia" w:ascii="宋体" w:hAnsi="宋体" w:eastAsia="宋体" w:cs="宋体"/>
      <w:color w:val="000000"/>
      <w:sz w:val="24"/>
      <w:szCs w:val="24"/>
      <w:u w:val="none"/>
      <w:vertAlign w:val="superscript"/>
    </w:rPr>
  </w:style>
  <w:style w:type="character" w:customStyle="1" w:styleId="133">
    <w:name w:val="font01"/>
    <w:basedOn w:val="91"/>
    <w:qFormat/>
    <w:uiPriority w:val="0"/>
    <w:rPr>
      <w:rFonts w:hint="eastAsia" w:ascii="宋体" w:hAnsi="宋体" w:eastAsia="宋体" w:cs="宋体"/>
      <w:color w:val="000000"/>
      <w:sz w:val="24"/>
      <w:szCs w:val="24"/>
      <w:u w:val="none"/>
      <w:vertAlign w:val="superscript"/>
    </w:rPr>
  </w:style>
  <w:style w:type="character" w:customStyle="1" w:styleId="134">
    <w:name w:val="font31"/>
    <w:qFormat/>
    <w:uiPriority w:val="0"/>
    <w:rPr>
      <w:rFonts w:hint="default" w:ascii="Times New Roman" w:hAnsi="Times New Roman" w:cs="Times New Roman"/>
      <w:color w:val="000000"/>
      <w:sz w:val="22"/>
      <w:szCs w:val="22"/>
      <w:u w:val="none"/>
      <w:vertAlign w:val="superscript"/>
    </w:rPr>
  </w:style>
  <w:style w:type="character" w:customStyle="1" w:styleId="135">
    <w:name w:val="bt11"/>
    <w:qFormat/>
    <w:uiPriority w:val="0"/>
    <w:rPr>
      <w:rFonts w:hint="eastAsia" w:ascii="黑体" w:eastAsia="黑体"/>
      <w:color w:val="000000"/>
      <w:sz w:val="28"/>
      <w:szCs w:val="28"/>
    </w:rPr>
  </w:style>
  <w:style w:type="character" w:customStyle="1" w:styleId="136">
    <w:name w:val="style441"/>
    <w:qFormat/>
    <w:uiPriority w:val="0"/>
    <w:rPr>
      <w:sz w:val="18"/>
      <w:szCs w:val="18"/>
    </w:rPr>
  </w:style>
  <w:style w:type="paragraph" w:customStyle="1" w:styleId="137">
    <w:name w:val="标准文件_附录标识"/>
    <w:next w:val="34"/>
    <w:qFormat/>
    <w:uiPriority w:val="0"/>
    <w:pPr>
      <w:numPr>
        <w:ilvl w:val="0"/>
        <w:numId w:val="10"/>
      </w:numPr>
      <w:shd w:val="clear" w:color="FFFFFF" w:fill="FFFFFF"/>
      <w:tabs>
        <w:tab w:val="left" w:pos="6405"/>
        <w:tab w:val="clear" w:pos="425"/>
      </w:tabs>
      <w:spacing w:before="640" w:after="160"/>
      <w:jc w:val="center"/>
      <w:outlineLvl w:val="0"/>
    </w:pPr>
    <w:rPr>
      <w:rFonts w:ascii="黑体" w:hAnsi="Calibri" w:eastAsia="黑体" w:cs="Times New Roman"/>
      <w:kern w:val="2"/>
      <w:sz w:val="21"/>
      <w:szCs w:val="24"/>
      <w:u w:color="FF0000"/>
      <w:lang w:val="en-US" w:eastAsia="zh-CN" w:bidi="ar-SA"/>
    </w:rPr>
  </w:style>
  <w:style w:type="paragraph" w:customStyle="1" w:styleId="138">
    <w:name w:val="3级"/>
    <w:basedOn w:val="139"/>
    <w:qFormat/>
    <w:uiPriority w:val="0"/>
    <w:pPr>
      <w:tabs>
        <w:tab w:val="right" w:leader="dot" w:pos="9198"/>
        <w:tab w:val="right" w:leader="dot" w:pos="9403"/>
        <w:tab w:val="right" w:leader="middleDot" w:pos="9628"/>
      </w:tabs>
      <w:ind w:firstLine="560"/>
      <w:jc w:val="both"/>
      <w:outlineLvl w:val="2"/>
    </w:pPr>
    <w:rPr>
      <w:rFonts w:cs="宋体-18030"/>
      <w:bCs/>
      <w:smallCaps w:val="0"/>
    </w:rPr>
  </w:style>
  <w:style w:type="paragraph" w:customStyle="1" w:styleId="139">
    <w:name w:val="2级"/>
    <w:basedOn w:val="74"/>
    <w:qFormat/>
    <w:uiPriority w:val="0"/>
    <w:pPr>
      <w:tabs>
        <w:tab w:val="right" w:leader="dot" w:pos="9403"/>
        <w:tab w:val="right" w:leader="middleDot" w:pos="9628"/>
      </w:tabs>
      <w:spacing w:before="100" w:beforeAutospacing="1" w:after="100" w:afterAutospacing="1"/>
      <w:ind w:left="0"/>
      <w:outlineLvl w:val="1"/>
    </w:pPr>
    <w:rPr>
      <w:rFonts w:hAnsi="宋体"/>
      <w:b/>
      <w:szCs w:val="44"/>
    </w:rPr>
  </w:style>
  <w:style w:type="paragraph" w:customStyle="1" w:styleId="140">
    <w:name w:val="xl51"/>
    <w:basedOn w:val="1"/>
    <w:qFormat/>
    <w:uiPriority w:val="0"/>
    <w:pPr>
      <w:widowControl/>
      <w:adjustRightInd w:val="0"/>
      <w:spacing w:before="100" w:beforeAutospacing="1" w:after="100" w:afterAutospacing="1" w:line="360" w:lineRule="atLeast"/>
      <w:jc w:val="center"/>
      <w:textAlignment w:val="baseline"/>
    </w:pPr>
    <w:rPr>
      <w:rFonts w:hint="eastAsia" w:ascii="仿宋_GB2312" w:hAnsi="宋体" w:eastAsia="仿宋_GB2312"/>
      <w:bCs/>
      <w:kern w:val="0"/>
      <w:sz w:val="32"/>
      <w:szCs w:val="32"/>
    </w:rPr>
  </w:style>
  <w:style w:type="paragraph" w:customStyle="1" w:styleId="141">
    <w:name w:val="样式1"/>
    <w:basedOn w:val="1"/>
    <w:link w:val="354"/>
    <w:qFormat/>
    <w:uiPriority w:val="0"/>
    <w:pPr>
      <w:spacing w:line="360" w:lineRule="auto"/>
      <w:jc w:val="center"/>
    </w:pPr>
    <w:rPr>
      <w:rFonts w:ascii="仿宋_GB2312" w:eastAsia="仿宋_GB2312"/>
      <w:sz w:val="44"/>
    </w:rPr>
  </w:style>
  <w:style w:type="paragraph" w:customStyle="1" w:styleId="142">
    <w:name w:val="二级条标题"/>
    <w:basedOn w:val="1"/>
    <w:next w:val="1"/>
    <w:qFormat/>
    <w:uiPriority w:val="0"/>
    <w:pPr>
      <w:tabs>
        <w:tab w:val="left" w:pos="5400"/>
      </w:tabs>
      <w:jc w:val="center"/>
      <w:outlineLvl w:val="3"/>
    </w:pPr>
    <w:rPr>
      <w:rFonts w:ascii="黑体" w:eastAsia="黑体"/>
      <w:b w:val="0"/>
      <w:szCs w:val="20"/>
    </w:rPr>
  </w:style>
  <w:style w:type="paragraph" w:customStyle="1" w:styleId="143">
    <w:name w:val="段"/>
    <w:link w:val="492"/>
    <w:qFormat/>
    <w:uiPriority w:val="0"/>
    <w:pPr>
      <w:autoSpaceDE w:val="0"/>
      <w:autoSpaceDN w:val="0"/>
      <w:ind w:firstLine="200" w:firstLineChars="200"/>
      <w:jc w:val="both"/>
    </w:pPr>
    <w:rPr>
      <w:rFonts w:ascii="宋体" w:hAnsi="Calibri" w:eastAsia="宋体" w:cs="Times New Roman"/>
      <w:kern w:val="2"/>
      <w:sz w:val="21"/>
      <w:szCs w:val="24"/>
      <w:u w:color="FF0000"/>
      <w:lang w:val="en-US" w:eastAsia="zh-CN" w:bidi="ar-SA"/>
    </w:rPr>
  </w:style>
  <w:style w:type="paragraph" w:customStyle="1" w:styleId="144">
    <w:name w:val="a"/>
    <w:basedOn w:val="1"/>
    <w:qFormat/>
    <w:uiPriority w:val="0"/>
    <w:pPr>
      <w:widowControl/>
      <w:spacing w:before="100" w:beforeAutospacing="1" w:after="100" w:afterAutospacing="1"/>
      <w:jc w:val="left"/>
    </w:pPr>
    <w:rPr>
      <w:rFonts w:ascii="宋体" w:hAnsi="宋体" w:cs="宋体"/>
      <w:b w:val="0"/>
      <w:kern w:val="0"/>
      <w:sz w:val="24"/>
    </w:rPr>
  </w:style>
  <w:style w:type="paragraph" w:customStyle="1" w:styleId="145">
    <w:name w:val="封面标准文稿编辑信息"/>
    <w:qFormat/>
    <w:uiPriority w:val="0"/>
    <w:pPr>
      <w:spacing w:before="180" w:line="180" w:lineRule="exact"/>
      <w:jc w:val="center"/>
    </w:pPr>
    <w:rPr>
      <w:rFonts w:ascii="宋体" w:hAnsi="Calibri" w:eastAsia="宋体" w:cs="Times New Roman"/>
      <w:kern w:val="2"/>
      <w:sz w:val="21"/>
      <w:szCs w:val="24"/>
      <w:u w:color="FF0000"/>
      <w:lang w:val="en-US" w:eastAsia="zh-CN" w:bidi="ar-SA"/>
    </w:rPr>
  </w:style>
  <w:style w:type="paragraph" w:customStyle="1" w:styleId="146">
    <w:name w:val="默认段落字体 Para Char"/>
    <w:basedOn w:val="1"/>
    <w:qFormat/>
    <w:uiPriority w:val="0"/>
    <w:pPr>
      <w:spacing w:line="360" w:lineRule="auto"/>
      <w:ind w:firstLine="200" w:firstLineChars="200"/>
    </w:pPr>
  </w:style>
  <w:style w:type="paragraph" w:customStyle="1" w:styleId="147">
    <w:name w:val="正文文本缩进1"/>
    <w:basedOn w:val="1"/>
    <w:qFormat/>
    <w:uiPriority w:val="0"/>
    <w:pPr>
      <w:widowControl/>
      <w:spacing w:line="360" w:lineRule="auto"/>
      <w:ind w:firstLine="570"/>
    </w:pPr>
    <w:rPr>
      <w:rFonts w:eastAsia="隶书"/>
      <w:b w:val="0"/>
      <w:kern w:val="0"/>
      <w:sz w:val="28"/>
      <w:szCs w:val="20"/>
    </w:rPr>
  </w:style>
  <w:style w:type="paragraph" w:customStyle="1" w:styleId="148">
    <w:name w:val="一级条标题"/>
    <w:basedOn w:val="1"/>
    <w:next w:val="143"/>
    <w:qFormat/>
    <w:uiPriority w:val="0"/>
    <w:pPr>
      <w:tabs>
        <w:tab w:val="left" w:pos="5400"/>
      </w:tabs>
      <w:jc w:val="center"/>
      <w:outlineLvl w:val="2"/>
    </w:pPr>
    <w:rPr>
      <w:rFonts w:ascii="黑体" w:eastAsia="黑体"/>
      <w:b w:val="0"/>
      <w:szCs w:val="20"/>
    </w:rPr>
  </w:style>
  <w:style w:type="paragraph" w:customStyle="1" w:styleId="149">
    <w:name w:val="xl33"/>
    <w:basedOn w:val="1"/>
    <w:qFormat/>
    <w:uiPriority w:val="0"/>
    <w:pPr>
      <w:widowControl/>
      <w:pBdr>
        <w:bottom w:val="single" w:color="auto" w:sz="4" w:space="0"/>
      </w:pBdr>
      <w:spacing w:before="100" w:after="100"/>
      <w:jc w:val="center"/>
    </w:pPr>
    <w:rPr>
      <w:rFonts w:ascii="Arial Unicode MS" w:hAnsi="Arial Unicode MS" w:eastAsia="Arial Unicode MS"/>
      <w:b w:val="0"/>
      <w:kern w:val="0"/>
      <w:sz w:val="24"/>
      <w:szCs w:val="20"/>
    </w:rPr>
  </w:style>
  <w:style w:type="paragraph" w:customStyle="1" w:styleId="150">
    <w:name w:val="xl38"/>
    <w:basedOn w:val="1"/>
    <w:qFormat/>
    <w:uiPriority w:val="0"/>
    <w:pPr>
      <w:widowControl/>
      <w:spacing w:before="100" w:beforeAutospacing="1" w:after="100" w:afterAutospacing="1"/>
      <w:jc w:val="center"/>
      <w:textAlignment w:val="center"/>
    </w:pPr>
    <w:rPr>
      <w:rFonts w:ascii="宋体" w:hAnsi="宋体"/>
      <w:b w:val="0"/>
      <w:kern w:val="0"/>
      <w:szCs w:val="21"/>
    </w:rPr>
  </w:style>
  <w:style w:type="paragraph" w:customStyle="1" w:styleId="151">
    <w:name w:val="标准书眉一"/>
    <w:qFormat/>
    <w:uiPriority w:val="0"/>
    <w:pPr>
      <w:jc w:val="both"/>
    </w:pPr>
    <w:rPr>
      <w:rFonts w:ascii="Calibri" w:hAnsi="Calibri" w:eastAsia="宋体" w:cs="Times New Roman"/>
      <w:sz w:val="21"/>
      <w:szCs w:val="22"/>
      <w:lang w:val="en-US" w:eastAsia="zh-CN" w:bidi="ar-SA"/>
    </w:rPr>
  </w:style>
  <w:style w:type="paragraph" w:customStyle="1" w:styleId="152">
    <w:name w:val="4 Char"/>
    <w:basedOn w:val="1"/>
    <w:next w:val="35"/>
    <w:qFormat/>
    <w:uiPriority w:val="0"/>
    <w:pPr>
      <w:ind w:firstLine="560" w:firstLineChars="200"/>
    </w:pPr>
    <w:rPr>
      <w:b w:val="0"/>
      <w:sz w:val="28"/>
      <w:szCs w:val="20"/>
    </w:rPr>
  </w:style>
  <w:style w:type="paragraph" w:customStyle="1" w:styleId="153">
    <w:name w:val="表格"/>
    <w:basedOn w:val="1"/>
    <w:qFormat/>
    <w:uiPriority w:val="0"/>
    <w:pPr>
      <w:spacing w:before="50" w:after="50"/>
      <w:jc w:val="center"/>
    </w:pPr>
    <w:rPr>
      <w:rFonts w:ascii="宋体"/>
      <w:b w:val="0"/>
      <w:szCs w:val="20"/>
    </w:rPr>
  </w:style>
  <w:style w:type="paragraph" w:customStyle="1" w:styleId="154">
    <w:name w:val="章标题"/>
    <w:next w:val="143"/>
    <w:qFormat/>
    <w:uiPriority w:val="0"/>
    <w:pPr>
      <w:widowControl w:val="0"/>
      <w:tabs>
        <w:tab w:val="left" w:pos="5400"/>
      </w:tabs>
      <w:jc w:val="center"/>
    </w:pPr>
    <w:rPr>
      <w:rFonts w:ascii="黑体" w:hAnsi="Calibri" w:eastAsia="黑体" w:cs="Times New Roman"/>
      <w:kern w:val="2"/>
      <w:sz w:val="21"/>
      <w:szCs w:val="24"/>
      <w:u w:color="FF0000"/>
      <w:lang w:val="en-US" w:eastAsia="zh-CN" w:bidi="ar-SA"/>
    </w:rPr>
  </w:style>
  <w:style w:type="paragraph" w:customStyle="1" w:styleId="155">
    <w:name w:val="1"/>
    <w:basedOn w:val="1"/>
    <w:qFormat/>
    <w:uiPriority w:val="0"/>
    <w:pPr>
      <w:spacing w:line="360" w:lineRule="auto"/>
    </w:pPr>
    <w:rPr>
      <w:rFonts w:ascii="Courier New" w:hAnsi="Courier New" w:eastAsia="仿宋_GB2312" w:cs="Courier New"/>
      <w:b w:val="0"/>
      <w:sz w:val="28"/>
      <w:szCs w:val="20"/>
    </w:rPr>
  </w:style>
  <w:style w:type="paragraph" w:customStyle="1" w:styleId="156">
    <w:name w:val="3 Char"/>
    <w:basedOn w:val="1"/>
    <w:next w:val="35"/>
    <w:qFormat/>
    <w:uiPriority w:val="0"/>
    <w:pPr>
      <w:ind w:firstLine="560" w:firstLineChars="200"/>
    </w:pPr>
    <w:rPr>
      <w:sz w:val="28"/>
    </w:rPr>
  </w:style>
  <w:style w:type="paragraph" w:customStyle="1" w:styleId="157">
    <w:name w:val="修订1"/>
    <w:qFormat/>
    <w:uiPriority w:val="99"/>
    <w:rPr>
      <w:rFonts w:ascii="Calibri" w:hAnsi="Calibri" w:eastAsia="宋体" w:cs="Times New Roman"/>
      <w:kern w:val="2"/>
      <w:sz w:val="21"/>
      <w:szCs w:val="24"/>
      <w:u w:color="FF0000"/>
      <w:lang w:val="en-US" w:eastAsia="zh-CN" w:bidi="ar-SA"/>
    </w:rPr>
  </w:style>
  <w:style w:type="paragraph" w:customStyle="1" w:styleId="158">
    <w:name w:val="正文（4号字 首行缩2）"/>
    <w:basedOn w:val="1"/>
    <w:qFormat/>
    <w:uiPriority w:val="0"/>
    <w:pPr>
      <w:tabs>
        <w:tab w:val="left" w:pos="4830"/>
      </w:tabs>
      <w:ind w:firstLine="560" w:firstLineChars="200"/>
    </w:pPr>
    <w:rPr>
      <w:rFonts w:ascii="宋体" w:hAnsi="宋体"/>
      <w:sz w:val="28"/>
    </w:rPr>
  </w:style>
  <w:style w:type="paragraph" w:customStyle="1" w:styleId="159">
    <w:name w:val="附录图标题"/>
    <w:basedOn w:val="1"/>
    <w:next w:val="143"/>
    <w:qFormat/>
    <w:uiPriority w:val="0"/>
    <w:pPr>
      <w:numPr>
        <w:ilvl w:val="1"/>
        <w:numId w:val="11"/>
      </w:numPr>
      <w:tabs>
        <w:tab w:val="left" w:pos="363"/>
      </w:tabs>
      <w:spacing w:before="156" w:beforeLines="50" w:after="156" w:afterLines="50"/>
      <w:jc w:val="center"/>
    </w:pPr>
    <w:rPr>
      <w:rFonts w:ascii="黑体" w:eastAsia="黑体"/>
      <w:szCs w:val="21"/>
    </w:rPr>
  </w:style>
  <w:style w:type="paragraph" w:customStyle="1" w:styleId="160">
    <w:name w:val="正文表标题"/>
    <w:next w:val="143"/>
    <w:qFormat/>
    <w:uiPriority w:val="0"/>
    <w:pPr>
      <w:numPr>
        <w:ilvl w:val="0"/>
        <w:numId w:val="12"/>
      </w:numPr>
      <w:spacing w:before="156" w:beforeLines="50" w:after="156" w:afterLines="50"/>
      <w:jc w:val="center"/>
    </w:pPr>
    <w:rPr>
      <w:rFonts w:ascii="黑体" w:hAnsi="Calibri" w:eastAsia="黑体" w:cs="Times New Roman"/>
      <w:sz w:val="21"/>
      <w:lang w:val="en-US" w:eastAsia="zh-CN" w:bidi="ar-SA"/>
    </w:rPr>
  </w:style>
  <w:style w:type="paragraph" w:customStyle="1" w:styleId="161">
    <w:name w:val="字母编号列项（一级）"/>
    <w:qFormat/>
    <w:uiPriority w:val="0"/>
    <w:pPr>
      <w:numPr>
        <w:ilvl w:val="0"/>
        <w:numId w:val="13"/>
      </w:numPr>
      <w:jc w:val="both"/>
    </w:pPr>
    <w:rPr>
      <w:rFonts w:ascii="宋体" w:hAnsi="Calibri" w:eastAsia="宋体" w:cs="Times New Roman"/>
      <w:sz w:val="21"/>
      <w:lang w:val="en-US" w:eastAsia="zh-CN" w:bidi="ar-SA"/>
    </w:rPr>
  </w:style>
  <w:style w:type="paragraph" w:customStyle="1" w:styleId="162">
    <w:name w:val="样式2"/>
    <w:basedOn w:val="1"/>
    <w:qFormat/>
    <w:uiPriority w:val="0"/>
    <w:pPr>
      <w:numPr>
        <w:ilvl w:val="0"/>
        <w:numId w:val="14"/>
      </w:numPr>
    </w:pPr>
    <w:rPr>
      <w:b w:val="0"/>
      <w:szCs w:val="20"/>
    </w:rPr>
  </w:style>
  <w:style w:type="paragraph" w:customStyle="1" w:styleId="163">
    <w:name w:val="TOC 标题1"/>
    <w:basedOn w:val="3"/>
    <w:next w:val="1"/>
    <w:qFormat/>
    <w:uiPriority w:val="99"/>
    <w:pPr>
      <w:keepLines/>
      <w:widowControl/>
      <w:spacing w:before="480" w:line="276" w:lineRule="auto"/>
      <w:jc w:val="left"/>
      <w:outlineLvl w:val="9"/>
    </w:pPr>
    <w:rPr>
      <w:rFonts w:ascii="Cambria" w:hAnsi="Cambria" w:eastAsia="宋体"/>
      <w:bCs/>
      <w:color w:val="365F91"/>
      <w:kern w:val="0"/>
      <w:sz w:val="28"/>
      <w:szCs w:val="28"/>
    </w:rPr>
  </w:style>
  <w:style w:type="paragraph" w:customStyle="1" w:styleId="164">
    <w:name w:val="2"/>
    <w:basedOn w:val="1"/>
    <w:next w:val="35"/>
    <w:qFormat/>
    <w:uiPriority w:val="0"/>
    <w:pPr>
      <w:ind w:firstLine="560" w:firstLineChars="200"/>
    </w:pPr>
    <w:rPr>
      <w:b w:val="0"/>
      <w:sz w:val="28"/>
    </w:rPr>
  </w:style>
  <w:style w:type="paragraph" w:customStyle="1" w:styleId="165">
    <w:name w:val="标准文件_段"/>
    <w:qFormat/>
    <w:uiPriority w:val="0"/>
    <w:pPr>
      <w:autoSpaceDE w:val="0"/>
      <w:autoSpaceDN w:val="0"/>
      <w:adjustRightInd w:val="0"/>
      <w:snapToGrid w:val="0"/>
      <w:spacing w:line="400" w:lineRule="exact"/>
      <w:jc w:val="center"/>
    </w:pPr>
    <w:rPr>
      <w:rFonts w:ascii="宋体" w:hAnsi="宋体" w:eastAsia="宋体" w:cs="Times New Roman"/>
      <w:spacing w:val="2"/>
      <w:kern w:val="2"/>
      <w:sz w:val="21"/>
      <w:szCs w:val="24"/>
      <w:u w:color="FF0000"/>
      <w:lang w:val="en-US" w:eastAsia="zh-CN" w:bidi="ar-SA"/>
    </w:rPr>
  </w:style>
  <w:style w:type="paragraph" w:styleId="166">
    <w:name w:val="List Paragraph"/>
    <w:basedOn w:val="1"/>
    <w:qFormat/>
    <w:uiPriority w:val="1"/>
    <w:pPr>
      <w:ind w:firstLine="420" w:firstLineChars="200"/>
    </w:pPr>
  </w:style>
  <w:style w:type="paragraph" w:customStyle="1" w:styleId="167">
    <w:name w:val="正文文本缩进2"/>
    <w:basedOn w:val="1"/>
    <w:qFormat/>
    <w:uiPriority w:val="0"/>
    <w:pPr>
      <w:widowControl/>
      <w:spacing w:line="360" w:lineRule="auto"/>
      <w:ind w:firstLine="570"/>
    </w:pPr>
    <w:rPr>
      <w:rFonts w:eastAsia="隶书"/>
      <w:b w:val="0"/>
      <w:kern w:val="0"/>
      <w:sz w:val="28"/>
      <w:szCs w:val="20"/>
    </w:rPr>
  </w:style>
  <w:style w:type="paragraph" w:customStyle="1" w:styleId="168">
    <w:name w:val="表格文字"/>
    <w:qFormat/>
    <w:uiPriority w:val="0"/>
    <w:pPr>
      <w:jc w:val="both"/>
    </w:pPr>
    <w:rPr>
      <w:rFonts w:ascii="Calibri" w:hAnsi="Calibri" w:eastAsia="宋体" w:cs="Times New Roman"/>
      <w:color w:val="000000"/>
      <w:kern w:val="2"/>
      <w:sz w:val="21"/>
      <w:szCs w:val="28"/>
      <w:lang w:val="en-US" w:eastAsia="zh-CN" w:bidi="ar-SA"/>
    </w:rPr>
  </w:style>
  <w:style w:type="paragraph" w:customStyle="1" w:styleId="169">
    <w:name w:val="表格文字（居中）"/>
    <w:qFormat/>
    <w:uiPriority w:val="0"/>
    <w:pPr>
      <w:widowControl w:val="0"/>
      <w:jc w:val="center"/>
    </w:pPr>
    <w:rPr>
      <w:rFonts w:ascii="Calibri" w:hAnsi="Calibri" w:eastAsia="宋体" w:cs="Times New Roman"/>
      <w:color w:val="000000"/>
      <w:kern w:val="2"/>
      <w:sz w:val="21"/>
      <w:szCs w:val="28"/>
      <w:lang w:val="en-US" w:eastAsia="zh-CN" w:bidi="ar-SA"/>
    </w:rPr>
  </w:style>
  <w:style w:type="paragraph" w:customStyle="1" w:styleId="170">
    <w:name w:val="标题3"/>
    <w:basedOn w:val="35"/>
    <w:qFormat/>
    <w:uiPriority w:val="0"/>
    <w:pPr>
      <w:spacing w:line="520" w:lineRule="exact"/>
      <w:ind w:firstLine="0"/>
      <w:jc w:val="left"/>
    </w:pPr>
    <w:rPr>
      <w:rFonts w:ascii="仿宋_GB2312" w:hAnsi="Times New Roman" w:eastAsia="仿宋_GB2312"/>
      <w:sz w:val="24"/>
      <w:szCs w:val="24"/>
    </w:rPr>
  </w:style>
  <w:style w:type="paragraph" w:customStyle="1" w:styleId="171">
    <w:name w:val="修订2"/>
    <w:hidden/>
    <w:semiHidden/>
    <w:qFormat/>
    <w:uiPriority w:val="99"/>
    <w:rPr>
      <w:rFonts w:ascii="Calibri" w:hAnsi="Calibri" w:eastAsia="宋体" w:cs="Times New Roman"/>
      <w:b/>
      <w:kern w:val="2"/>
      <w:sz w:val="21"/>
      <w:szCs w:val="24"/>
      <w:u w:color="FF0000"/>
      <w:lang w:val="en-US" w:eastAsia="zh-CN" w:bidi="ar-SA"/>
    </w:rPr>
  </w:style>
  <w:style w:type="paragraph" w:customStyle="1" w:styleId="172">
    <w:name w:val="Char Char Char Char"/>
    <w:basedOn w:val="1"/>
    <w:qFormat/>
    <w:uiPriority w:val="0"/>
    <w:pPr>
      <w:widowControl/>
      <w:adjustRightInd w:val="0"/>
      <w:spacing w:after="160" w:line="240" w:lineRule="exact"/>
      <w:jc w:val="left"/>
      <w:textAlignment w:val="baseline"/>
    </w:pPr>
    <w:rPr>
      <w:rFonts w:ascii="Arial" w:hAnsi="Arial" w:eastAsia="Times New Roman" w:cs="Verdana"/>
      <w:kern w:val="0"/>
      <w:sz w:val="24"/>
      <w:lang w:eastAsia="en-US"/>
    </w:rPr>
  </w:style>
  <w:style w:type="paragraph" w:customStyle="1" w:styleId="173">
    <w:name w:val="正文文本1"/>
    <w:basedOn w:val="1"/>
    <w:link w:val="174"/>
    <w:qFormat/>
    <w:uiPriority w:val="0"/>
    <w:pPr>
      <w:shd w:val="clear" w:color="auto" w:fill="FFFFFF"/>
      <w:jc w:val="left"/>
    </w:pPr>
    <w:rPr>
      <w:rFonts w:eastAsia="Times New Roman"/>
      <w:kern w:val="0"/>
      <w:sz w:val="20"/>
      <w:szCs w:val="20"/>
    </w:rPr>
  </w:style>
  <w:style w:type="character" w:customStyle="1" w:styleId="174">
    <w:name w:val="Body text_"/>
    <w:basedOn w:val="91"/>
    <w:link w:val="173"/>
    <w:qFormat/>
    <w:uiPriority w:val="0"/>
    <w:rPr>
      <w:rFonts w:eastAsia="Times New Roman"/>
      <w:kern w:val="0"/>
      <w:sz w:val="20"/>
      <w:szCs w:val="20"/>
    </w:rPr>
  </w:style>
  <w:style w:type="character" w:customStyle="1" w:styleId="175">
    <w:name w:val="Body text + SimSun"/>
    <w:basedOn w:val="174"/>
    <w:qFormat/>
    <w:uiPriority w:val="0"/>
    <w:rPr>
      <w:rFonts w:ascii="宋体" w:hAnsi="宋体" w:eastAsia="宋体" w:cs="宋体"/>
      <w:color w:val="000000"/>
      <w:spacing w:val="0"/>
      <w:w w:val="75"/>
      <w:kern w:val="0"/>
      <w:position w:val="0"/>
      <w:sz w:val="29"/>
      <w:szCs w:val="29"/>
      <w:lang w:val="zh-TW"/>
    </w:rPr>
  </w:style>
  <w:style w:type="character" w:customStyle="1" w:styleId="176">
    <w:name w:val="表格标题 Char"/>
    <w:link w:val="177"/>
    <w:qFormat/>
    <w:uiPriority w:val="0"/>
    <w:rPr>
      <w:b/>
      <w:snapToGrid w:val="0"/>
      <w:sz w:val="28"/>
    </w:rPr>
  </w:style>
  <w:style w:type="paragraph" w:customStyle="1" w:styleId="177">
    <w:name w:val="表格标题"/>
    <w:next w:val="178"/>
    <w:link w:val="176"/>
    <w:qFormat/>
    <w:uiPriority w:val="0"/>
    <w:pPr>
      <w:widowControl w:val="0"/>
      <w:overflowPunct w:val="0"/>
      <w:adjustRightInd w:val="0"/>
      <w:snapToGrid w:val="0"/>
      <w:textAlignment w:val="baseline"/>
    </w:pPr>
    <w:rPr>
      <w:rFonts w:ascii="Times New Roman" w:hAnsi="Times New Roman" w:eastAsia="宋体" w:cs="Times New Roman"/>
      <w:b/>
      <w:snapToGrid w:val="0"/>
      <w:sz w:val="28"/>
      <w:lang w:val="en-US" w:eastAsia="zh-CN" w:bidi="ar-SA"/>
    </w:rPr>
  </w:style>
  <w:style w:type="paragraph" w:customStyle="1" w:styleId="178">
    <w:name w:val="表格内容"/>
    <w:qFormat/>
    <w:uiPriority w:val="0"/>
    <w:pPr>
      <w:widowControl w:val="0"/>
      <w:overflowPunct w:val="0"/>
      <w:adjustRightInd w:val="0"/>
      <w:textAlignment w:val="baseline"/>
    </w:pPr>
    <w:rPr>
      <w:rFonts w:ascii="Times New Roman" w:hAnsi="Times New Roman" w:eastAsia="宋体" w:cs="Times New Roman"/>
      <w:snapToGrid w:val="0"/>
      <w:sz w:val="21"/>
      <w:lang w:val="en-US" w:eastAsia="zh-CN" w:bidi="ar-SA"/>
    </w:rPr>
  </w:style>
  <w:style w:type="character" w:customStyle="1" w:styleId="179">
    <w:name w:val="不明显强调1"/>
    <w:qFormat/>
    <w:uiPriority w:val="19"/>
    <w:rPr>
      <w:i/>
      <w:iCs/>
      <w:color w:val="404040"/>
    </w:rPr>
  </w:style>
  <w:style w:type="character" w:customStyle="1" w:styleId="180">
    <w:name w:val="Char Char8"/>
    <w:qFormat/>
    <w:locked/>
    <w:uiPriority w:val="0"/>
    <w:rPr>
      <w:rFonts w:eastAsia="仿宋_GB2312"/>
      <w:b/>
      <w:bCs/>
      <w:kern w:val="2"/>
      <w:sz w:val="28"/>
      <w:szCs w:val="24"/>
      <w:u w:color="FF0000"/>
      <w:lang w:val="en-US" w:eastAsia="zh-CN" w:bidi="ar-SA"/>
    </w:rPr>
  </w:style>
  <w:style w:type="character" w:customStyle="1" w:styleId="181">
    <w:name w:val="Char Char2"/>
    <w:qFormat/>
    <w:uiPriority w:val="0"/>
    <w:rPr>
      <w:rFonts w:eastAsia="宋体"/>
      <w:b/>
      <w:kern w:val="2"/>
      <w:sz w:val="28"/>
      <w:lang w:val="en-US" w:eastAsia="zh-CN" w:bidi="ar-SA"/>
    </w:rPr>
  </w:style>
  <w:style w:type="character" w:customStyle="1" w:styleId="182">
    <w:name w:val="Char Char31"/>
    <w:qFormat/>
    <w:uiPriority w:val="99"/>
    <w:rPr>
      <w:rFonts w:eastAsia="仿宋_GB2312"/>
      <w:b/>
      <w:bCs/>
      <w:kern w:val="2"/>
      <w:sz w:val="28"/>
      <w:szCs w:val="24"/>
      <w:u w:color="FF0000"/>
    </w:rPr>
  </w:style>
  <w:style w:type="character" w:customStyle="1" w:styleId="183">
    <w:name w:val="Char Char4"/>
    <w:qFormat/>
    <w:uiPriority w:val="0"/>
    <w:rPr>
      <w:rFonts w:ascii="Times New Roman" w:hAnsi="Times New Roman" w:eastAsia="宋体"/>
      <w:b/>
      <w:kern w:val="44"/>
      <w:sz w:val="30"/>
    </w:rPr>
  </w:style>
  <w:style w:type="character" w:customStyle="1" w:styleId="184">
    <w:name w:val="页眉（无底线） Char Char"/>
    <w:qFormat/>
    <w:locked/>
    <w:uiPriority w:val="0"/>
    <w:rPr>
      <w:rFonts w:eastAsia="宋体"/>
      <w:kern w:val="2"/>
      <w:sz w:val="18"/>
      <w:szCs w:val="18"/>
      <w:lang w:val="en-US" w:eastAsia="zh-CN" w:bidi="ar-SA"/>
    </w:rPr>
  </w:style>
  <w:style w:type="character" w:customStyle="1" w:styleId="185">
    <w:name w:val="文字1 Char"/>
    <w:link w:val="186"/>
    <w:qFormat/>
    <w:uiPriority w:val="0"/>
    <w:rPr>
      <w:kern w:val="2"/>
      <w:sz w:val="28"/>
    </w:rPr>
  </w:style>
  <w:style w:type="paragraph" w:customStyle="1" w:styleId="186">
    <w:name w:val="文字1"/>
    <w:link w:val="185"/>
    <w:qFormat/>
    <w:uiPriority w:val="0"/>
    <w:pPr>
      <w:widowControl w:val="0"/>
      <w:ind w:firstLine="200" w:firstLineChars="200"/>
    </w:pPr>
    <w:rPr>
      <w:rFonts w:ascii="Times New Roman" w:hAnsi="Times New Roman" w:eastAsia="宋体" w:cs="Times New Roman"/>
      <w:kern w:val="2"/>
      <w:sz w:val="28"/>
      <w:lang w:val="en-US" w:eastAsia="zh-CN" w:bidi="ar-SA"/>
    </w:rPr>
  </w:style>
  <w:style w:type="character" w:customStyle="1" w:styleId="187">
    <w:name w:val="文1 Char"/>
    <w:link w:val="188"/>
    <w:qFormat/>
    <w:uiPriority w:val="0"/>
    <w:rPr>
      <w:color w:val="000000"/>
      <w:kern w:val="2"/>
      <w:sz w:val="28"/>
      <w:szCs w:val="28"/>
    </w:rPr>
  </w:style>
  <w:style w:type="paragraph" w:customStyle="1" w:styleId="188">
    <w:name w:val="文1"/>
    <w:link w:val="187"/>
    <w:qFormat/>
    <w:uiPriority w:val="0"/>
    <w:pPr>
      <w:widowControl w:val="0"/>
      <w:ind w:firstLine="700" w:firstLineChars="250"/>
      <w:jc w:val="both"/>
    </w:pPr>
    <w:rPr>
      <w:rFonts w:ascii="Times New Roman" w:hAnsi="Times New Roman" w:eastAsia="宋体" w:cs="Times New Roman"/>
      <w:color w:val="000000"/>
      <w:kern w:val="2"/>
      <w:sz w:val="28"/>
      <w:szCs w:val="28"/>
      <w:lang w:val="en-US" w:eastAsia="zh-CN" w:bidi="ar-SA"/>
    </w:rPr>
  </w:style>
  <w:style w:type="character" w:customStyle="1" w:styleId="189">
    <w:name w:val="hei141"/>
    <w:qFormat/>
    <w:uiPriority w:val="0"/>
    <w:rPr>
      <w:color w:val="000000"/>
      <w:sz w:val="19"/>
    </w:rPr>
  </w:style>
  <w:style w:type="paragraph" w:customStyle="1" w:styleId="190">
    <w:name w:val="xl66"/>
    <w:basedOn w:val="1"/>
    <w:qFormat/>
    <w:uiPriority w:val="0"/>
    <w:pPr>
      <w:widowControl/>
      <w:spacing w:before="100" w:beforeAutospacing="1" w:after="100" w:afterAutospacing="1"/>
      <w:jc w:val="center"/>
    </w:pPr>
    <w:rPr>
      <w:rFonts w:ascii="宋体" w:hAnsi="宋体" w:cs="宋体"/>
      <w:b w:val="0"/>
      <w:kern w:val="0"/>
      <w:sz w:val="24"/>
    </w:rPr>
  </w:style>
  <w:style w:type="paragraph" w:customStyle="1" w:styleId="191">
    <w:name w:val="五级条标题"/>
    <w:basedOn w:val="1"/>
    <w:next w:val="1"/>
    <w:qFormat/>
    <w:uiPriority w:val="0"/>
    <w:pPr>
      <w:tabs>
        <w:tab w:val="left" w:pos="5400"/>
      </w:tabs>
      <w:outlineLvl w:val="6"/>
    </w:pPr>
    <w:rPr>
      <w:rFonts w:ascii="黑体" w:hAnsi="宋体" w:eastAsia="黑体"/>
      <w:b w:val="0"/>
      <w:szCs w:val="32"/>
    </w:rPr>
  </w:style>
  <w:style w:type="paragraph" w:customStyle="1" w:styleId="192">
    <w:name w:val="列出段落1"/>
    <w:basedOn w:val="1"/>
    <w:qFormat/>
    <w:uiPriority w:val="0"/>
    <w:pPr>
      <w:ind w:firstLine="420" w:firstLineChars="200"/>
    </w:pPr>
    <w:rPr>
      <w:rFonts w:ascii="Times New Roman" w:hAnsi="Times New Roman"/>
    </w:rPr>
  </w:style>
  <w:style w:type="paragraph" w:customStyle="1" w:styleId="193">
    <w:name w:val="表头"/>
    <w:qFormat/>
    <w:uiPriority w:val="0"/>
    <w:pPr>
      <w:widowControl w:val="0"/>
    </w:pPr>
    <w:rPr>
      <w:rFonts w:ascii="Times New Roman" w:hAnsi="Times New Roman" w:eastAsia="宋体" w:cs="Times New Roman"/>
      <w:b/>
      <w:color w:val="000000"/>
      <w:kern w:val="2"/>
      <w:sz w:val="28"/>
      <w:szCs w:val="28"/>
      <w:lang w:val="en-US" w:eastAsia="zh-CN" w:bidi="ar-SA"/>
    </w:rPr>
  </w:style>
  <w:style w:type="paragraph" w:customStyle="1" w:styleId="194">
    <w:name w:val="_Style 57"/>
    <w:next w:val="1"/>
    <w:qFormat/>
    <w:uiPriority w:val="0"/>
    <w:pPr>
      <w:widowControl w:val="0"/>
      <w:jc w:val="both"/>
    </w:pPr>
    <w:rPr>
      <w:rFonts w:ascii="Times New Roman" w:hAnsi="Times New Roman" w:eastAsia="宋体" w:cs="Times New Roman"/>
      <w:b/>
      <w:kern w:val="2"/>
      <w:sz w:val="21"/>
      <w:szCs w:val="24"/>
      <w:u w:color="FF0000"/>
      <w:lang w:val="en-US" w:eastAsia="zh-CN" w:bidi="ar-SA"/>
    </w:rPr>
  </w:style>
  <w:style w:type="paragraph" w:customStyle="1" w:styleId="195">
    <w:name w:val="xl65"/>
    <w:basedOn w:val="1"/>
    <w:qFormat/>
    <w:uiPriority w:val="0"/>
    <w:pPr>
      <w:widowControl/>
      <w:spacing w:before="100" w:beforeAutospacing="1" w:after="100" w:afterAutospacing="1"/>
      <w:jc w:val="center"/>
    </w:pPr>
    <w:rPr>
      <w:rFonts w:ascii="宋体" w:hAnsi="宋体" w:cs="宋体"/>
      <w:b w:val="0"/>
      <w:kern w:val="0"/>
      <w:sz w:val="24"/>
    </w:rPr>
  </w:style>
  <w:style w:type="paragraph" w:customStyle="1" w:styleId="196">
    <w:name w:val="font6"/>
    <w:basedOn w:val="1"/>
    <w:qFormat/>
    <w:uiPriority w:val="0"/>
    <w:pPr>
      <w:widowControl/>
      <w:spacing w:before="100" w:beforeAutospacing="1" w:after="100" w:afterAutospacing="1"/>
      <w:jc w:val="left"/>
    </w:pPr>
    <w:rPr>
      <w:rFonts w:ascii="宋体" w:hAnsi="宋体" w:cs="宋体"/>
      <w:b w:val="0"/>
      <w:color w:val="000000"/>
      <w:kern w:val="0"/>
      <w:sz w:val="22"/>
      <w:szCs w:val="22"/>
    </w:rPr>
  </w:style>
  <w:style w:type="paragraph" w:customStyle="1" w:styleId="197">
    <w:name w:val="p0"/>
    <w:basedOn w:val="1"/>
    <w:qFormat/>
    <w:uiPriority w:val="0"/>
    <w:pPr>
      <w:widowControl/>
    </w:pPr>
    <w:rPr>
      <w:rFonts w:ascii="Times New Roman" w:hAnsi="Times New Roman"/>
      <w:b w:val="0"/>
      <w:kern w:val="0"/>
      <w:szCs w:val="21"/>
    </w:rPr>
  </w:style>
  <w:style w:type="paragraph" w:customStyle="1" w:styleId="198">
    <w:name w:val="TOC 标题2"/>
    <w:basedOn w:val="3"/>
    <w:next w:val="1"/>
    <w:qFormat/>
    <w:uiPriority w:val="39"/>
    <w:pPr>
      <w:keepLines/>
      <w:widowControl/>
      <w:spacing w:before="480" w:line="276" w:lineRule="auto"/>
      <w:jc w:val="left"/>
      <w:outlineLvl w:val="9"/>
    </w:pPr>
    <w:rPr>
      <w:rFonts w:ascii="Cambria" w:hAnsi="Cambria" w:eastAsia="宋体"/>
      <w:bCs/>
      <w:color w:val="365F91"/>
      <w:kern w:val="0"/>
      <w:sz w:val="28"/>
      <w:szCs w:val="28"/>
    </w:rPr>
  </w:style>
  <w:style w:type="paragraph" w:customStyle="1" w:styleId="199">
    <w:name w:val="font0"/>
    <w:basedOn w:val="1"/>
    <w:qFormat/>
    <w:uiPriority w:val="0"/>
    <w:pPr>
      <w:widowControl/>
      <w:spacing w:before="100" w:beforeAutospacing="1" w:after="100" w:afterAutospacing="1"/>
      <w:jc w:val="left"/>
    </w:pPr>
    <w:rPr>
      <w:rFonts w:ascii="宋体" w:hAnsi="宋体" w:cs="宋体"/>
      <w:b w:val="0"/>
      <w:color w:val="000000"/>
      <w:kern w:val="0"/>
      <w:sz w:val="22"/>
      <w:szCs w:val="22"/>
    </w:rPr>
  </w:style>
  <w:style w:type="paragraph" w:customStyle="1" w:styleId="200">
    <w:name w:val="报告正文"/>
    <w:basedOn w:val="86"/>
    <w:qFormat/>
    <w:uiPriority w:val="0"/>
    <w:pPr>
      <w:ind w:firstLine="560" w:firstLineChars="200"/>
    </w:pPr>
    <w:rPr>
      <w:rFonts w:hAnsi="Times New Roman"/>
      <w:sz w:val="28"/>
    </w:rPr>
  </w:style>
  <w:style w:type="paragraph" w:customStyle="1" w:styleId="201">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202">
    <w:name w:val="附录图标号"/>
    <w:basedOn w:val="1"/>
    <w:qFormat/>
    <w:uiPriority w:val="0"/>
    <w:pPr>
      <w:keepNext/>
      <w:pageBreakBefore/>
      <w:widowControl/>
      <w:tabs>
        <w:tab w:val="left" w:pos="425"/>
      </w:tabs>
      <w:spacing w:line="14" w:lineRule="exact"/>
      <w:ind w:firstLine="363"/>
      <w:jc w:val="center"/>
      <w:outlineLvl w:val="0"/>
    </w:pPr>
    <w:rPr>
      <w:rFonts w:ascii="Times New Roman" w:hAnsi="Times New Roman"/>
      <w:b w:val="0"/>
      <w:color w:val="FFFFFF"/>
    </w:rPr>
  </w:style>
  <w:style w:type="paragraph" w:customStyle="1" w:styleId="203">
    <w:name w:val="_Style 11"/>
    <w:basedOn w:val="1"/>
    <w:qFormat/>
    <w:uiPriority w:val="0"/>
    <w:rPr>
      <w:rFonts w:ascii="Times New Roman" w:hAnsi="Times New Roman"/>
      <w:b w:val="0"/>
      <w:szCs w:val="20"/>
    </w:rPr>
  </w:style>
  <w:style w:type="paragraph" w:customStyle="1" w:styleId="204">
    <w:name w:val="xl68"/>
    <w:basedOn w:val="1"/>
    <w:qFormat/>
    <w:uiPriority w:val="0"/>
    <w:pPr>
      <w:widowControl/>
      <w:spacing w:before="100" w:beforeAutospacing="1" w:after="100" w:afterAutospacing="1"/>
      <w:jc w:val="center"/>
    </w:pPr>
    <w:rPr>
      <w:rFonts w:ascii="宋体" w:hAnsi="宋体" w:cs="宋体"/>
      <w:b w:val="0"/>
      <w:kern w:val="0"/>
      <w:sz w:val="24"/>
    </w:rPr>
  </w:style>
  <w:style w:type="paragraph" w:customStyle="1" w:styleId="205">
    <w:name w:val="font5"/>
    <w:basedOn w:val="1"/>
    <w:qFormat/>
    <w:uiPriority w:val="0"/>
    <w:pPr>
      <w:widowControl/>
      <w:spacing w:before="100" w:beforeAutospacing="1" w:after="100" w:afterAutospacing="1"/>
      <w:jc w:val="left"/>
    </w:pPr>
    <w:rPr>
      <w:rFonts w:ascii="宋体" w:hAnsi="宋体" w:cs="宋体"/>
      <w:b w:val="0"/>
      <w:color w:val="000000"/>
      <w:kern w:val="0"/>
      <w:sz w:val="22"/>
      <w:szCs w:val="22"/>
    </w:rPr>
  </w:style>
  <w:style w:type="paragraph" w:customStyle="1" w:styleId="206">
    <w:name w:val="正文 + 宋体"/>
    <w:basedOn w:val="1"/>
    <w:qFormat/>
    <w:uiPriority w:val="0"/>
    <w:rPr>
      <w:rFonts w:ascii="Times New Roman" w:hAnsi="Times New Roman"/>
      <w:b w:val="0"/>
      <w:szCs w:val="20"/>
    </w:rPr>
  </w:style>
  <w:style w:type="paragraph" w:customStyle="1" w:styleId="207">
    <w:name w:val="表格文字（中）"/>
    <w:qFormat/>
    <w:uiPriority w:val="0"/>
    <w:pPr>
      <w:jc w:val="center"/>
    </w:pPr>
    <w:rPr>
      <w:rFonts w:ascii="宋体" w:hAnsi="宋体" w:eastAsia="宋体" w:cs="Times New Roman"/>
      <w:kern w:val="2"/>
      <w:sz w:val="21"/>
      <w:lang w:val="en-US" w:eastAsia="zh-CN" w:bidi="ar-SA"/>
    </w:rPr>
  </w:style>
  <w:style w:type="paragraph" w:customStyle="1" w:styleId="208">
    <w:name w:val="xl67"/>
    <w:basedOn w:val="1"/>
    <w:qFormat/>
    <w:uiPriority w:val="0"/>
    <w:pPr>
      <w:widowControl/>
      <w:spacing w:before="100" w:beforeAutospacing="1" w:after="100" w:afterAutospacing="1"/>
      <w:jc w:val="center"/>
    </w:pPr>
    <w:rPr>
      <w:rFonts w:ascii="宋体" w:hAnsi="宋体" w:cs="宋体"/>
      <w:b w:val="0"/>
      <w:kern w:val="0"/>
      <w:sz w:val="24"/>
    </w:rPr>
  </w:style>
  <w:style w:type="paragraph" w:customStyle="1" w:styleId="209">
    <w:name w:val="正文11"/>
    <w:qFormat/>
    <w:uiPriority w:val="0"/>
    <w:pPr>
      <w:widowControl w:val="0"/>
      <w:jc w:val="both"/>
    </w:pPr>
    <w:rPr>
      <w:rFonts w:ascii="Calibri" w:hAnsi="Calibri" w:eastAsia="宋体" w:cs="Times New Roman"/>
      <w:kern w:val="2"/>
      <w:sz w:val="21"/>
      <w:szCs w:val="24"/>
      <w:lang w:val="en-US" w:eastAsia="zh-CN" w:bidi="ar-SA"/>
    </w:rPr>
  </w:style>
  <w:style w:type="character" w:customStyle="1" w:styleId="210">
    <w:name w:val="标题 Char3"/>
    <w:basedOn w:val="91"/>
    <w:link w:val="84"/>
    <w:qFormat/>
    <w:uiPriority w:val="0"/>
    <w:rPr>
      <w:rFonts w:ascii="Cambria" w:hAnsi="Cambria"/>
      <w:b/>
      <w:bCs/>
      <w:kern w:val="2"/>
      <w:sz w:val="32"/>
      <w:szCs w:val="32"/>
    </w:rPr>
  </w:style>
  <w:style w:type="table" w:customStyle="1" w:styleId="211">
    <w:name w:val="网格型1"/>
    <w:basedOn w:val="8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12">
    <w:name w:val="§1.1.1. Char2"/>
    <w:basedOn w:val="91"/>
    <w:qFormat/>
    <w:locked/>
    <w:uiPriority w:val="99"/>
    <w:rPr>
      <w:rFonts w:ascii="Times New Roman" w:hAnsi="Times New Roman" w:eastAsia="宋体" w:cs="Times New Roman"/>
      <w:b/>
      <w:sz w:val="32"/>
    </w:rPr>
  </w:style>
  <w:style w:type="character" w:customStyle="1" w:styleId="213">
    <w:name w:val="书籍标题1"/>
    <w:basedOn w:val="91"/>
    <w:qFormat/>
    <w:uiPriority w:val="0"/>
    <w:rPr>
      <w:b/>
      <w:bCs/>
      <w:smallCaps/>
      <w:spacing w:val="5"/>
    </w:rPr>
  </w:style>
  <w:style w:type="character" w:customStyle="1" w:styleId="214">
    <w:name w:val="font61"/>
    <w:basedOn w:val="91"/>
    <w:qFormat/>
    <w:uiPriority w:val="0"/>
    <w:rPr>
      <w:rFonts w:hint="default" w:ascii="Times New Roman" w:hAnsi="Times New Roman" w:cs="Times New Roman"/>
      <w:color w:val="auto"/>
      <w:sz w:val="20"/>
      <w:szCs w:val="20"/>
      <w:u w:val="none"/>
    </w:rPr>
  </w:style>
  <w:style w:type="character" w:customStyle="1" w:styleId="215">
    <w:name w:val="_Style 3"/>
    <w:basedOn w:val="91"/>
    <w:qFormat/>
    <w:uiPriority w:val="0"/>
    <w:rPr>
      <w:b/>
      <w:bCs/>
      <w:smallCaps/>
      <w:spacing w:val="5"/>
    </w:rPr>
  </w:style>
  <w:style w:type="character" w:customStyle="1" w:styleId="216">
    <w:name w:val="font71"/>
    <w:basedOn w:val="91"/>
    <w:qFormat/>
    <w:uiPriority w:val="0"/>
    <w:rPr>
      <w:rFonts w:hint="eastAsia" w:ascii="宋体" w:hAnsi="宋体" w:eastAsia="宋体" w:cs="宋体"/>
      <w:color w:val="auto"/>
      <w:sz w:val="20"/>
      <w:szCs w:val="20"/>
      <w:u w:val="none"/>
    </w:rPr>
  </w:style>
  <w:style w:type="character" w:customStyle="1" w:styleId="217">
    <w:name w:val="font81"/>
    <w:basedOn w:val="91"/>
    <w:qFormat/>
    <w:uiPriority w:val="0"/>
    <w:rPr>
      <w:rFonts w:hint="default" w:ascii="Times New Roman" w:hAnsi="Times New Roman" w:cs="Times New Roman"/>
      <w:b/>
      <w:color w:val="auto"/>
      <w:sz w:val="24"/>
      <w:szCs w:val="24"/>
      <w:u w:val="none"/>
    </w:rPr>
  </w:style>
  <w:style w:type="character" w:customStyle="1" w:styleId="218">
    <w:name w:val="_Style 6"/>
    <w:basedOn w:val="91"/>
    <w:qFormat/>
    <w:uiPriority w:val="0"/>
    <w:rPr>
      <w:b/>
      <w:bCs/>
      <w:smallCaps/>
      <w:spacing w:val="5"/>
    </w:rPr>
  </w:style>
  <w:style w:type="character" w:customStyle="1" w:styleId="219">
    <w:name w:val="_Style 4"/>
    <w:basedOn w:val="91"/>
    <w:qFormat/>
    <w:uiPriority w:val="0"/>
    <w:rPr>
      <w:b/>
      <w:bCs/>
      <w:smallCaps/>
      <w:spacing w:val="5"/>
    </w:rPr>
  </w:style>
  <w:style w:type="character" w:customStyle="1" w:styleId="220">
    <w:name w:val="apple-converted-space"/>
    <w:basedOn w:val="91"/>
    <w:qFormat/>
    <w:uiPriority w:val="0"/>
  </w:style>
  <w:style w:type="character" w:customStyle="1" w:styleId="221">
    <w:name w:val="_Style 1"/>
    <w:basedOn w:val="91"/>
    <w:qFormat/>
    <w:uiPriority w:val="0"/>
    <w:rPr>
      <w:b/>
      <w:bCs/>
      <w:smallCaps/>
      <w:spacing w:val="5"/>
    </w:rPr>
  </w:style>
  <w:style w:type="character" w:customStyle="1" w:styleId="222">
    <w:name w:val="_Style 2"/>
    <w:basedOn w:val="91"/>
    <w:qFormat/>
    <w:uiPriority w:val="0"/>
    <w:rPr>
      <w:b/>
      <w:bCs/>
      <w:smallCaps/>
      <w:spacing w:val="5"/>
    </w:rPr>
  </w:style>
  <w:style w:type="character" w:customStyle="1" w:styleId="223">
    <w:name w:val="书籍标题111"/>
    <w:basedOn w:val="91"/>
    <w:qFormat/>
    <w:uiPriority w:val="0"/>
    <w:rPr>
      <w:rFonts w:cs="Times New Roman"/>
      <w:b/>
      <w:bCs/>
      <w:smallCaps/>
      <w:spacing w:val="5"/>
    </w:rPr>
  </w:style>
  <w:style w:type="character" w:customStyle="1" w:styleId="224">
    <w:name w:val="font91"/>
    <w:basedOn w:val="91"/>
    <w:qFormat/>
    <w:uiPriority w:val="0"/>
    <w:rPr>
      <w:rFonts w:hint="eastAsia" w:ascii="宋体" w:hAnsi="宋体" w:eastAsia="宋体" w:cs="宋体"/>
      <w:color w:val="auto"/>
      <w:sz w:val="18"/>
      <w:szCs w:val="18"/>
      <w:u w:val="none"/>
    </w:rPr>
  </w:style>
  <w:style w:type="character" w:customStyle="1" w:styleId="225">
    <w:name w:val="书籍标题11"/>
    <w:basedOn w:val="91"/>
    <w:qFormat/>
    <w:uiPriority w:val="0"/>
    <w:rPr>
      <w:rFonts w:cs="Times New Roman"/>
      <w:b/>
      <w:bCs/>
      <w:smallCaps/>
      <w:spacing w:val="5"/>
    </w:rPr>
  </w:style>
  <w:style w:type="character" w:customStyle="1" w:styleId="226">
    <w:name w:val="_Style 5"/>
    <w:basedOn w:val="91"/>
    <w:qFormat/>
    <w:uiPriority w:val="0"/>
    <w:rPr>
      <w:b/>
      <w:bCs/>
      <w:smallCaps/>
      <w:spacing w:val="5"/>
    </w:rPr>
  </w:style>
  <w:style w:type="character" w:customStyle="1" w:styleId="227">
    <w:name w:val="书籍标题2"/>
    <w:basedOn w:val="91"/>
    <w:qFormat/>
    <w:uiPriority w:val="33"/>
    <w:rPr>
      <w:b/>
      <w:bCs/>
      <w:smallCaps/>
      <w:spacing w:val="5"/>
    </w:rPr>
  </w:style>
  <w:style w:type="paragraph" w:customStyle="1" w:styleId="228">
    <w:name w:val="a5正文"/>
    <w:basedOn w:val="1"/>
    <w:qFormat/>
    <w:uiPriority w:val="0"/>
    <w:pPr>
      <w:adjustRightInd w:val="0"/>
      <w:snapToGrid w:val="0"/>
      <w:spacing w:line="360" w:lineRule="auto"/>
      <w:jc w:val="left"/>
    </w:pPr>
    <w:rPr>
      <w:rFonts w:ascii="Times New Roman" w:hAnsi="Times New Roman"/>
      <w:b w:val="0"/>
      <w:szCs w:val="20"/>
    </w:rPr>
  </w:style>
  <w:style w:type="paragraph" w:customStyle="1" w:styleId="229">
    <w:name w:val="xl83"/>
    <w:basedOn w:val="1"/>
    <w:qFormat/>
    <w:uiPriority w:val="0"/>
    <w:pPr>
      <w:widowControl/>
      <w:pBdr>
        <w:top w:val="single" w:color="auto" w:sz="4" w:space="0"/>
        <w:left w:val="single" w:color="auto" w:sz="4" w:space="0"/>
        <w:bottom w:val="single" w:color="auto" w:sz="8" w:space="0"/>
      </w:pBdr>
      <w:spacing w:before="100" w:beforeAutospacing="1" w:after="100" w:afterAutospacing="1"/>
      <w:jc w:val="center"/>
    </w:pPr>
    <w:rPr>
      <w:rFonts w:ascii="宋体" w:hAnsi="宋体" w:cs="宋体"/>
      <w:b w:val="0"/>
      <w:kern w:val="0"/>
      <w:sz w:val="24"/>
    </w:rPr>
  </w:style>
  <w:style w:type="paragraph" w:customStyle="1" w:styleId="230">
    <w:name w:val="四级条标题"/>
    <w:basedOn w:val="231"/>
    <w:next w:val="1"/>
    <w:qFormat/>
    <w:uiPriority w:val="0"/>
    <w:pPr>
      <w:tabs>
        <w:tab w:val="left" w:pos="992"/>
        <w:tab w:val="left" w:pos="2100"/>
        <w:tab w:val="left" w:pos="2520"/>
      </w:tabs>
      <w:ind w:left="2520"/>
      <w:outlineLvl w:val="5"/>
    </w:pPr>
  </w:style>
  <w:style w:type="paragraph" w:customStyle="1" w:styleId="231">
    <w:name w:val="三级条标题"/>
    <w:basedOn w:val="142"/>
    <w:next w:val="1"/>
    <w:qFormat/>
    <w:uiPriority w:val="0"/>
    <w:pPr>
      <w:widowControl/>
      <w:tabs>
        <w:tab w:val="left" w:pos="992"/>
        <w:tab w:val="left" w:pos="2100"/>
        <w:tab w:val="clear" w:pos="5400"/>
      </w:tabs>
      <w:ind w:left="2100" w:hanging="420"/>
      <w:jc w:val="both"/>
      <w:outlineLvl w:val="4"/>
    </w:pPr>
    <w:rPr>
      <w:rFonts w:ascii="宋体" w:hAnsi="Times New Roman" w:eastAsia="宋体"/>
      <w:kern w:val="0"/>
    </w:rPr>
  </w:style>
  <w:style w:type="paragraph" w:customStyle="1" w:styleId="232">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val="0"/>
      <w:kern w:val="0"/>
      <w:sz w:val="20"/>
      <w:szCs w:val="20"/>
    </w:rPr>
  </w:style>
  <w:style w:type="paragraph" w:customStyle="1" w:styleId="233">
    <w:name w:val="Normal_4"/>
    <w:qFormat/>
    <w:uiPriority w:val="0"/>
    <w:pPr>
      <w:spacing w:before="120" w:after="240"/>
      <w:jc w:val="both"/>
    </w:pPr>
    <w:rPr>
      <w:rFonts w:ascii="Calibri" w:hAnsi="Calibri" w:eastAsia="Calibri" w:cs="Times New Roman"/>
      <w:sz w:val="22"/>
      <w:szCs w:val="22"/>
      <w:lang w:val="ru-RU" w:eastAsia="en-US" w:bidi="ar-SA"/>
    </w:rPr>
  </w:style>
  <w:style w:type="paragraph" w:customStyle="1" w:styleId="234">
    <w:name w:val="xl72"/>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val="0"/>
      <w:kern w:val="0"/>
      <w:sz w:val="24"/>
    </w:rPr>
  </w:style>
  <w:style w:type="paragraph" w:customStyle="1" w:styleId="235">
    <w:name w:val="xl86"/>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cs="宋体"/>
      <w:b w:val="0"/>
      <w:kern w:val="0"/>
      <w:sz w:val="24"/>
    </w:rPr>
  </w:style>
  <w:style w:type="paragraph" w:customStyle="1" w:styleId="236">
    <w:name w:val="附录标题"/>
    <w:basedOn w:val="143"/>
    <w:next w:val="143"/>
    <w:qFormat/>
    <w:uiPriority w:val="0"/>
    <w:pPr>
      <w:tabs>
        <w:tab w:val="center" w:pos="4201"/>
        <w:tab w:val="right" w:leader="dot" w:pos="9298"/>
      </w:tabs>
      <w:ind w:firstLine="0" w:firstLineChars="0"/>
      <w:jc w:val="center"/>
    </w:pPr>
    <w:rPr>
      <w:rFonts w:ascii="黑体" w:hAnsi="Times New Roman" w:eastAsia="黑体"/>
      <w:kern w:val="0"/>
      <w:szCs w:val="20"/>
    </w:rPr>
  </w:style>
  <w:style w:type="paragraph" w:customStyle="1" w:styleId="237">
    <w:name w:val="xl75"/>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b w:val="0"/>
      <w:kern w:val="0"/>
      <w:sz w:val="24"/>
    </w:rPr>
  </w:style>
  <w:style w:type="paragraph" w:customStyle="1" w:styleId="238">
    <w:name w:val="xl79"/>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宋体" w:hAnsi="宋体" w:cs="宋体"/>
      <w:b w:val="0"/>
      <w:kern w:val="0"/>
      <w:sz w:val="24"/>
    </w:rPr>
  </w:style>
  <w:style w:type="paragraph" w:customStyle="1" w:styleId="239">
    <w:name w:val="xl84"/>
    <w:basedOn w:val="1"/>
    <w:qFormat/>
    <w:uiPriority w:val="0"/>
    <w:pPr>
      <w:widowControl/>
      <w:pBdr>
        <w:top w:val="single" w:color="auto" w:sz="4" w:space="0"/>
        <w:bottom w:val="single" w:color="auto" w:sz="8" w:space="0"/>
        <w:right w:val="single" w:color="auto" w:sz="8" w:space="0"/>
      </w:pBdr>
      <w:spacing w:before="100" w:beforeAutospacing="1" w:after="100" w:afterAutospacing="1"/>
      <w:jc w:val="center"/>
    </w:pPr>
    <w:rPr>
      <w:rFonts w:ascii="宋体" w:hAnsi="宋体" w:cs="宋体"/>
      <w:b w:val="0"/>
      <w:kern w:val="0"/>
      <w:sz w:val="24"/>
    </w:rPr>
  </w:style>
  <w:style w:type="paragraph" w:customStyle="1" w:styleId="240">
    <w:name w:val="xl85"/>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cs="宋体"/>
      <w:b w:val="0"/>
      <w:kern w:val="0"/>
      <w:sz w:val="20"/>
      <w:szCs w:val="20"/>
    </w:rPr>
  </w:style>
  <w:style w:type="paragraph" w:customStyle="1" w:styleId="241">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val="0"/>
      <w:kern w:val="0"/>
      <w:sz w:val="24"/>
    </w:rPr>
  </w:style>
  <w:style w:type="paragraph" w:styleId="242">
    <w:name w:val="No Spacing"/>
    <w:link w:val="358"/>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43">
    <w:name w:val="xl76"/>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b w:val="0"/>
      <w:kern w:val="0"/>
      <w:sz w:val="24"/>
    </w:rPr>
  </w:style>
  <w:style w:type="paragraph" w:customStyle="1" w:styleId="244">
    <w:name w:val="xl74"/>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b w:val="0"/>
      <w:kern w:val="0"/>
      <w:sz w:val="24"/>
    </w:rPr>
  </w:style>
  <w:style w:type="paragraph" w:customStyle="1" w:styleId="245">
    <w:name w:val="正文LXF"/>
    <w:basedOn w:val="1"/>
    <w:qFormat/>
    <w:uiPriority w:val="0"/>
    <w:pPr>
      <w:spacing w:line="580" w:lineRule="atLeast"/>
      <w:ind w:firstLine="560" w:firstLineChars="200"/>
    </w:pPr>
    <w:rPr>
      <w:rFonts w:ascii="宋体" w:hAnsi="宋体"/>
      <w:b w:val="0"/>
      <w:bCs/>
      <w:smallCaps/>
      <w:sz w:val="28"/>
    </w:rPr>
  </w:style>
  <w:style w:type="paragraph" w:customStyle="1" w:styleId="246">
    <w:name w:val="xl8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b w:val="0"/>
      <w:kern w:val="0"/>
      <w:sz w:val="24"/>
    </w:rPr>
  </w:style>
  <w:style w:type="paragraph" w:customStyle="1" w:styleId="247">
    <w:name w:val="xl29"/>
    <w:basedOn w:val="1"/>
    <w:qFormat/>
    <w:uiPriority w:val="0"/>
    <w:pPr>
      <w:widowControl/>
      <w:pBdr>
        <w:left w:val="single" w:color="auto" w:sz="4" w:space="0"/>
        <w:right w:val="single" w:color="auto" w:sz="4" w:space="0"/>
      </w:pBdr>
      <w:spacing w:before="100" w:beforeAutospacing="1" w:after="100" w:afterAutospacing="1"/>
      <w:jc w:val="center"/>
    </w:pPr>
    <w:rPr>
      <w:rFonts w:hint="eastAsia" w:ascii="宋体" w:hAnsi="宋体"/>
      <w:b w:val="0"/>
      <w:kern w:val="0"/>
      <w:sz w:val="28"/>
      <w:szCs w:val="28"/>
    </w:rPr>
  </w:style>
  <w:style w:type="paragraph" w:customStyle="1" w:styleId="24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val="0"/>
      <w:kern w:val="0"/>
      <w:szCs w:val="21"/>
    </w:rPr>
  </w:style>
  <w:style w:type="paragraph" w:customStyle="1" w:styleId="249">
    <w:name w:val="正文文本缩进3"/>
    <w:basedOn w:val="1"/>
    <w:qFormat/>
    <w:uiPriority w:val="0"/>
    <w:pPr>
      <w:widowControl/>
      <w:spacing w:line="360" w:lineRule="auto"/>
      <w:ind w:firstLine="570"/>
    </w:pPr>
    <w:rPr>
      <w:rFonts w:ascii="Times New Roman" w:hAnsi="Times New Roman" w:eastAsia="隶书"/>
      <w:b w:val="0"/>
      <w:kern w:val="0"/>
      <w:sz w:val="28"/>
      <w:szCs w:val="20"/>
    </w:rPr>
  </w:style>
  <w:style w:type="paragraph" w:customStyle="1" w:styleId="250">
    <w:name w:val="xl8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cs="宋体"/>
      <w:b w:val="0"/>
      <w:kern w:val="0"/>
      <w:sz w:val="24"/>
    </w:rPr>
  </w:style>
  <w:style w:type="paragraph" w:customStyle="1" w:styleId="251">
    <w:name w:val="font1"/>
    <w:basedOn w:val="1"/>
    <w:qFormat/>
    <w:uiPriority w:val="0"/>
    <w:pPr>
      <w:widowControl/>
      <w:spacing w:before="100" w:beforeAutospacing="1" w:after="100" w:afterAutospacing="1"/>
      <w:jc w:val="left"/>
    </w:pPr>
    <w:rPr>
      <w:rFonts w:ascii="宋体" w:hAnsi="宋体" w:cs="宋体"/>
      <w:b w:val="0"/>
      <w:kern w:val="0"/>
      <w:sz w:val="24"/>
    </w:rPr>
  </w:style>
  <w:style w:type="paragraph" w:customStyle="1" w:styleId="252">
    <w:name w:val="xl71"/>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b w:val="0"/>
      <w:kern w:val="0"/>
      <w:sz w:val="24"/>
    </w:rPr>
  </w:style>
  <w:style w:type="paragraph" w:customStyle="1" w:styleId="253">
    <w:name w:val="xl73"/>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val="0"/>
      <w:kern w:val="0"/>
      <w:sz w:val="24"/>
    </w:rPr>
  </w:style>
  <w:style w:type="paragraph" w:customStyle="1" w:styleId="254">
    <w:name w:val="xl77"/>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cs="宋体"/>
      <w:b w:val="0"/>
      <w:kern w:val="0"/>
      <w:sz w:val="24"/>
    </w:rPr>
  </w:style>
  <w:style w:type="paragraph" w:customStyle="1" w:styleId="255">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56">
    <w:name w:val="WPSOffice手动目录 1"/>
    <w:qFormat/>
    <w:uiPriority w:val="0"/>
    <w:rPr>
      <w:rFonts w:ascii="Times New Roman" w:hAnsi="Times New Roman" w:eastAsia="宋体" w:cs="Times New Roman"/>
      <w:lang w:val="en-US" w:eastAsia="zh-CN" w:bidi="ar-SA"/>
    </w:rPr>
  </w:style>
  <w:style w:type="paragraph" w:customStyle="1" w:styleId="257">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258">
    <w:name w:val="xl78"/>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b w:val="0"/>
      <w:kern w:val="0"/>
      <w:sz w:val="24"/>
    </w:rPr>
  </w:style>
  <w:style w:type="paragraph" w:customStyle="1" w:styleId="259">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260">
    <w:name w:val="列出段落2"/>
    <w:basedOn w:val="1"/>
    <w:qFormat/>
    <w:uiPriority w:val="0"/>
    <w:pPr>
      <w:ind w:firstLine="420" w:firstLineChars="200"/>
    </w:pPr>
    <w:rPr>
      <w:rFonts w:ascii="Times New Roman" w:hAnsi="Times New Roman"/>
      <w:b w:val="0"/>
    </w:rPr>
  </w:style>
  <w:style w:type="paragraph" w:customStyle="1" w:styleId="261">
    <w:name w:val="前言、引言标题"/>
    <w:next w:val="1"/>
    <w:qFormat/>
    <w:uiPriority w:val="0"/>
    <w:pPr>
      <w:shd w:val="clear" w:color="FFFFFF" w:fill="FFFFFF"/>
      <w:tabs>
        <w:tab w:val="left" w:pos="425"/>
      </w:tabs>
      <w:spacing w:before="640" w:after="560"/>
      <w:ind w:left="425" w:hanging="425"/>
      <w:jc w:val="center"/>
      <w:outlineLvl w:val="0"/>
    </w:pPr>
    <w:rPr>
      <w:rFonts w:ascii="黑体" w:hAnsi="Times New Roman" w:eastAsia="黑体" w:cs="Times New Roman"/>
      <w:sz w:val="32"/>
      <w:lang w:val="en-US" w:eastAsia="zh-CN" w:bidi="ar-SA"/>
    </w:rPr>
  </w:style>
  <w:style w:type="character" w:customStyle="1" w:styleId="262">
    <w:name w:val="标题 8 Char1"/>
    <w:basedOn w:val="91"/>
    <w:link w:val="10"/>
    <w:qFormat/>
    <w:uiPriority w:val="0"/>
    <w:rPr>
      <w:rFonts w:ascii="Arial" w:hAnsi="Arial" w:eastAsia="黑体"/>
      <w:sz w:val="24"/>
    </w:rPr>
  </w:style>
  <w:style w:type="character" w:customStyle="1" w:styleId="263">
    <w:name w:val="标题 9 Char1"/>
    <w:basedOn w:val="91"/>
    <w:link w:val="11"/>
    <w:qFormat/>
    <w:uiPriority w:val="0"/>
    <w:rPr>
      <w:rFonts w:ascii="Arial" w:hAnsi="Arial" w:eastAsia="黑体"/>
      <w:sz w:val="28"/>
    </w:rPr>
  </w:style>
  <w:style w:type="character" w:customStyle="1" w:styleId="264">
    <w:name w:val="Char Char32"/>
    <w:qFormat/>
    <w:uiPriority w:val="0"/>
    <w:rPr>
      <w:rFonts w:eastAsia="仿宋_GB2312"/>
      <w:b/>
      <w:bCs/>
      <w:kern w:val="2"/>
      <w:sz w:val="28"/>
      <w:szCs w:val="24"/>
      <w:u w:color="FF0000"/>
    </w:rPr>
  </w:style>
  <w:style w:type="paragraph" w:customStyle="1" w:styleId="265">
    <w:name w:val="修订3"/>
    <w:hidden/>
    <w:qFormat/>
    <w:uiPriority w:val="0"/>
    <w:rPr>
      <w:rFonts w:ascii="Times New Roman" w:hAnsi="Times New Roman" w:eastAsia="宋体" w:cs="Times New Roman"/>
      <w:kern w:val="2"/>
      <w:sz w:val="21"/>
      <w:szCs w:val="24"/>
      <w:lang w:val="en-US" w:eastAsia="zh-CN" w:bidi="ar-SA"/>
    </w:rPr>
  </w:style>
  <w:style w:type="character" w:customStyle="1" w:styleId="266">
    <w:name w:val="Char Char51"/>
    <w:qFormat/>
    <w:uiPriority w:val="0"/>
    <w:rPr>
      <w:rFonts w:eastAsia="宋体"/>
      <w:color w:val="000000"/>
      <w:kern w:val="2"/>
      <w:sz w:val="18"/>
      <w:lang w:val="en-US" w:eastAsia="zh-CN" w:bidi="ar-SA"/>
    </w:rPr>
  </w:style>
  <w:style w:type="character" w:customStyle="1" w:styleId="267">
    <w:name w:val="Char Char81"/>
    <w:qFormat/>
    <w:locked/>
    <w:uiPriority w:val="0"/>
    <w:rPr>
      <w:rFonts w:eastAsia="仿宋_GB2312"/>
      <w:b/>
      <w:bCs/>
      <w:kern w:val="2"/>
      <w:sz w:val="28"/>
      <w:szCs w:val="24"/>
      <w:u w:color="FF0000"/>
      <w:lang w:val="en-US" w:eastAsia="zh-CN" w:bidi="ar-SA"/>
    </w:rPr>
  </w:style>
  <w:style w:type="character" w:customStyle="1" w:styleId="268">
    <w:name w:val="Heading 2 Char"/>
    <w:semiHidden/>
    <w:qFormat/>
    <w:uiPriority w:val="9"/>
    <w:rPr>
      <w:rFonts w:ascii="Cambria" w:hAnsi="Cambria" w:eastAsia="宋体" w:cs="Times New Roman"/>
      <w:b/>
      <w:bCs/>
      <w:sz w:val="32"/>
      <w:szCs w:val="32"/>
      <w:u w:color="FF0000"/>
    </w:rPr>
  </w:style>
  <w:style w:type="character" w:customStyle="1" w:styleId="269">
    <w:name w:val="Heading 3 Char"/>
    <w:semiHidden/>
    <w:qFormat/>
    <w:uiPriority w:val="9"/>
    <w:rPr>
      <w:b/>
      <w:bCs/>
      <w:sz w:val="32"/>
      <w:szCs w:val="32"/>
      <w:u w:color="FF0000"/>
    </w:rPr>
  </w:style>
  <w:style w:type="character" w:customStyle="1" w:styleId="270">
    <w:name w:val="Comment Text Char"/>
    <w:semiHidden/>
    <w:qFormat/>
    <w:uiPriority w:val="99"/>
    <w:rPr>
      <w:b/>
      <w:szCs w:val="24"/>
      <w:u w:color="FF0000"/>
    </w:rPr>
  </w:style>
  <w:style w:type="character" w:customStyle="1" w:styleId="271">
    <w:name w:val="Comment Subject Char"/>
    <w:semiHidden/>
    <w:qFormat/>
    <w:uiPriority w:val="99"/>
    <w:rPr>
      <w:b/>
      <w:bCs/>
      <w:szCs w:val="24"/>
      <w:u w:color="FF0000"/>
    </w:rPr>
  </w:style>
  <w:style w:type="character" w:customStyle="1" w:styleId="272">
    <w:name w:val="Body Text Char"/>
    <w:semiHidden/>
    <w:qFormat/>
    <w:uiPriority w:val="99"/>
    <w:rPr>
      <w:b/>
      <w:szCs w:val="24"/>
      <w:u w:color="FF0000"/>
    </w:rPr>
  </w:style>
  <w:style w:type="character" w:customStyle="1" w:styleId="273">
    <w:name w:val="Plain Text Char"/>
    <w:semiHidden/>
    <w:qFormat/>
    <w:uiPriority w:val="99"/>
    <w:rPr>
      <w:rFonts w:ascii="宋体" w:hAnsi="Courier New" w:cs="Courier New"/>
      <w:b/>
      <w:szCs w:val="21"/>
      <w:u w:color="FF0000"/>
    </w:rPr>
  </w:style>
  <w:style w:type="character" w:customStyle="1" w:styleId="274">
    <w:name w:val="Header Char"/>
    <w:semiHidden/>
    <w:qFormat/>
    <w:uiPriority w:val="99"/>
    <w:rPr>
      <w:b/>
      <w:sz w:val="18"/>
      <w:szCs w:val="18"/>
      <w:u w:color="FF0000"/>
    </w:rPr>
  </w:style>
  <w:style w:type="character" w:customStyle="1" w:styleId="275">
    <w:name w:val="Char Char21"/>
    <w:qFormat/>
    <w:uiPriority w:val="0"/>
    <w:rPr>
      <w:rFonts w:eastAsia="宋体"/>
      <w:b/>
      <w:kern w:val="2"/>
      <w:sz w:val="28"/>
      <w:lang w:val="en-US" w:eastAsia="zh-CN" w:bidi="ar-SA"/>
    </w:rPr>
  </w:style>
  <w:style w:type="character" w:customStyle="1" w:styleId="276">
    <w:name w:val="Char Char41"/>
    <w:qFormat/>
    <w:uiPriority w:val="0"/>
    <w:rPr>
      <w:rFonts w:ascii="Times New Roman" w:hAnsi="Times New Roman" w:eastAsia="宋体"/>
      <w:b/>
      <w:kern w:val="44"/>
      <w:sz w:val="30"/>
    </w:rPr>
  </w:style>
  <w:style w:type="character" w:customStyle="1" w:styleId="277">
    <w:name w:val="正文文本缩进 Char Char"/>
    <w:link w:val="278"/>
    <w:qFormat/>
    <w:uiPriority w:val="0"/>
    <w:rPr>
      <w:rFonts w:eastAsia="隶书"/>
      <w:sz w:val="28"/>
      <w:u w:color="FF0000"/>
    </w:rPr>
  </w:style>
  <w:style w:type="paragraph" w:customStyle="1" w:styleId="278">
    <w:name w:val="正文文本缩进4"/>
    <w:basedOn w:val="1"/>
    <w:link w:val="277"/>
    <w:qFormat/>
    <w:uiPriority w:val="0"/>
    <w:pPr>
      <w:widowControl/>
      <w:spacing w:line="360" w:lineRule="auto"/>
      <w:ind w:firstLine="570"/>
    </w:pPr>
    <w:rPr>
      <w:rFonts w:ascii="Times New Roman" w:hAnsi="Times New Roman" w:eastAsia="隶书"/>
      <w:b w:val="0"/>
      <w:kern w:val="0"/>
      <w:sz w:val="28"/>
      <w:szCs w:val="20"/>
    </w:rPr>
  </w:style>
  <w:style w:type="table" w:customStyle="1" w:styleId="279">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280">
    <w:name w:val="Table Paragraph"/>
    <w:basedOn w:val="1"/>
    <w:qFormat/>
    <w:uiPriority w:val="1"/>
    <w:pPr>
      <w:autoSpaceDE w:val="0"/>
      <w:autoSpaceDN w:val="0"/>
      <w:jc w:val="center"/>
    </w:pPr>
    <w:rPr>
      <w:rFonts w:ascii="宋体" w:hAnsi="宋体" w:cs="宋体"/>
      <w:b w:val="0"/>
      <w:kern w:val="0"/>
      <w:sz w:val="22"/>
      <w:szCs w:val="22"/>
      <w:lang w:val="zh-CN" w:bidi="zh-CN"/>
    </w:rPr>
  </w:style>
  <w:style w:type="paragraph" w:customStyle="1" w:styleId="281">
    <w:name w:val="正文缩进小四"/>
    <w:basedOn w:val="1"/>
    <w:qFormat/>
    <w:uiPriority w:val="0"/>
    <w:pPr>
      <w:spacing w:line="360" w:lineRule="auto"/>
      <w:ind w:firstLine="200" w:firstLineChars="200"/>
    </w:pPr>
    <w:rPr>
      <w:rFonts w:ascii="Times New Roman" w:hAnsi="Times New Roman"/>
      <w:b w:val="0"/>
      <w:sz w:val="24"/>
      <w:szCs w:val="28"/>
    </w:rPr>
  </w:style>
  <w:style w:type="paragraph" w:customStyle="1" w:styleId="282">
    <w:name w:val="Normal_80"/>
    <w:qFormat/>
    <w:uiPriority w:val="0"/>
    <w:pPr>
      <w:spacing w:before="120" w:after="240"/>
      <w:jc w:val="both"/>
    </w:pPr>
    <w:rPr>
      <w:rFonts w:ascii="Calibri" w:hAnsi="Calibri" w:eastAsia="Calibri" w:cs="Times New Roman"/>
      <w:sz w:val="22"/>
      <w:szCs w:val="22"/>
      <w:lang w:val="ru-RU" w:eastAsia="en-US" w:bidi="ar-SA"/>
    </w:rPr>
  </w:style>
  <w:style w:type="paragraph" w:customStyle="1" w:styleId="283">
    <w:name w:val="Normal_101"/>
    <w:qFormat/>
    <w:uiPriority w:val="0"/>
    <w:pPr>
      <w:spacing w:before="120" w:after="240"/>
      <w:jc w:val="both"/>
    </w:pPr>
    <w:rPr>
      <w:rFonts w:ascii="Calibri" w:hAnsi="Calibri" w:eastAsia="Calibri" w:cs="Times New Roman"/>
      <w:sz w:val="22"/>
      <w:szCs w:val="22"/>
      <w:lang w:val="ru-RU" w:eastAsia="en-US" w:bidi="ar-SA"/>
    </w:rPr>
  </w:style>
  <w:style w:type="paragraph" w:customStyle="1" w:styleId="284">
    <w:name w:val="Normal_8"/>
    <w:qFormat/>
    <w:uiPriority w:val="0"/>
    <w:pPr>
      <w:spacing w:before="120" w:after="240"/>
      <w:jc w:val="both"/>
    </w:pPr>
    <w:rPr>
      <w:rFonts w:ascii="Calibri" w:hAnsi="Calibri" w:eastAsia="Calibri" w:cs="Times New Roman"/>
      <w:sz w:val="22"/>
      <w:szCs w:val="22"/>
      <w:lang w:val="ru-RU" w:eastAsia="en-US" w:bidi="ar-SA"/>
    </w:rPr>
  </w:style>
  <w:style w:type="paragraph" w:customStyle="1" w:styleId="285">
    <w:name w:val="Normal_33"/>
    <w:qFormat/>
    <w:uiPriority w:val="0"/>
    <w:pPr>
      <w:spacing w:before="120" w:after="240"/>
      <w:jc w:val="both"/>
    </w:pPr>
    <w:rPr>
      <w:rFonts w:ascii="Calibri" w:hAnsi="Calibri" w:eastAsia="Calibri" w:cs="Times New Roman"/>
      <w:sz w:val="22"/>
      <w:szCs w:val="22"/>
      <w:lang w:val="ru-RU" w:eastAsia="en-US" w:bidi="ar-SA"/>
    </w:rPr>
  </w:style>
  <w:style w:type="paragraph" w:customStyle="1" w:styleId="286">
    <w:name w:val="Normal_87"/>
    <w:qFormat/>
    <w:uiPriority w:val="0"/>
    <w:pPr>
      <w:spacing w:before="120" w:after="240"/>
      <w:jc w:val="both"/>
    </w:pPr>
    <w:rPr>
      <w:rFonts w:ascii="Calibri" w:hAnsi="Calibri" w:eastAsia="Calibri" w:cs="Times New Roman"/>
      <w:sz w:val="22"/>
      <w:szCs w:val="22"/>
      <w:lang w:val="ru-RU" w:eastAsia="en-US" w:bidi="ar-SA"/>
    </w:rPr>
  </w:style>
  <w:style w:type="paragraph" w:customStyle="1" w:styleId="287">
    <w:name w:val="Normal_75"/>
    <w:qFormat/>
    <w:uiPriority w:val="0"/>
    <w:pPr>
      <w:spacing w:before="120" w:after="240"/>
      <w:jc w:val="both"/>
    </w:pPr>
    <w:rPr>
      <w:rFonts w:ascii="Calibri" w:hAnsi="Calibri" w:eastAsia="Calibri" w:cs="Times New Roman"/>
      <w:sz w:val="22"/>
      <w:szCs w:val="22"/>
      <w:lang w:val="ru-RU" w:eastAsia="en-US" w:bidi="ar-SA"/>
    </w:rPr>
  </w:style>
  <w:style w:type="paragraph" w:customStyle="1" w:styleId="288">
    <w:name w:val="Normal_14"/>
    <w:qFormat/>
    <w:uiPriority w:val="0"/>
    <w:pPr>
      <w:spacing w:before="120" w:after="240"/>
      <w:jc w:val="both"/>
    </w:pPr>
    <w:rPr>
      <w:rFonts w:ascii="Calibri" w:hAnsi="Calibri" w:eastAsia="Calibri" w:cs="Times New Roman"/>
      <w:sz w:val="22"/>
      <w:szCs w:val="22"/>
      <w:lang w:val="ru-RU" w:eastAsia="en-US" w:bidi="ar-SA"/>
    </w:rPr>
  </w:style>
  <w:style w:type="paragraph" w:customStyle="1" w:styleId="289">
    <w:name w:val="Normal_31"/>
    <w:qFormat/>
    <w:uiPriority w:val="0"/>
    <w:pPr>
      <w:spacing w:before="120" w:after="240"/>
      <w:jc w:val="both"/>
    </w:pPr>
    <w:rPr>
      <w:rFonts w:ascii="Calibri" w:hAnsi="Calibri" w:eastAsia="Calibri" w:cs="Times New Roman"/>
      <w:sz w:val="22"/>
      <w:szCs w:val="22"/>
      <w:lang w:val="ru-RU" w:eastAsia="en-US" w:bidi="ar-SA"/>
    </w:rPr>
  </w:style>
  <w:style w:type="paragraph" w:customStyle="1" w:styleId="290">
    <w:name w:val="Normal_17"/>
    <w:qFormat/>
    <w:uiPriority w:val="0"/>
    <w:pPr>
      <w:spacing w:before="120" w:after="240"/>
      <w:jc w:val="both"/>
    </w:pPr>
    <w:rPr>
      <w:rFonts w:ascii="Calibri" w:hAnsi="Calibri" w:eastAsia="Calibri" w:cs="Times New Roman"/>
      <w:sz w:val="22"/>
      <w:szCs w:val="22"/>
      <w:lang w:val="ru-RU" w:eastAsia="en-US" w:bidi="ar-SA"/>
    </w:rPr>
  </w:style>
  <w:style w:type="paragraph" w:customStyle="1" w:styleId="291">
    <w:name w:val="Normal_32"/>
    <w:qFormat/>
    <w:uiPriority w:val="0"/>
    <w:pPr>
      <w:spacing w:before="120" w:after="240"/>
      <w:jc w:val="both"/>
    </w:pPr>
    <w:rPr>
      <w:rFonts w:ascii="Calibri" w:hAnsi="Calibri" w:eastAsia="Calibri" w:cs="Times New Roman"/>
      <w:sz w:val="22"/>
      <w:szCs w:val="22"/>
      <w:lang w:val="ru-RU" w:eastAsia="en-US" w:bidi="ar-SA"/>
    </w:rPr>
  </w:style>
  <w:style w:type="paragraph" w:customStyle="1" w:styleId="292">
    <w:name w:val="Normal_21"/>
    <w:qFormat/>
    <w:uiPriority w:val="0"/>
    <w:pPr>
      <w:spacing w:before="120" w:after="240"/>
      <w:jc w:val="both"/>
    </w:pPr>
    <w:rPr>
      <w:rFonts w:ascii="Calibri" w:hAnsi="Calibri" w:eastAsia="Calibri" w:cs="Times New Roman"/>
      <w:sz w:val="22"/>
      <w:szCs w:val="22"/>
      <w:lang w:val="ru-RU" w:eastAsia="en-US" w:bidi="ar-SA"/>
    </w:rPr>
  </w:style>
  <w:style w:type="paragraph" w:customStyle="1" w:styleId="293">
    <w:name w:val="Normal_115"/>
    <w:qFormat/>
    <w:uiPriority w:val="0"/>
    <w:pPr>
      <w:spacing w:before="120" w:after="240"/>
      <w:jc w:val="both"/>
    </w:pPr>
    <w:rPr>
      <w:rFonts w:ascii="Calibri" w:hAnsi="Calibri" w:eastAsia="Calibri" w:cs="Times New Roman"/>
      <w:sz w:val="22"/>
      <w:szCs w:val="22"/>
      <w:lang w:val="ru-RU" w:eastAsia="en-US" w:bidi="ar-SA"/>
    </w:rPr>
  </w:style>
  <w:style w:type="paragraph" w:customStyle="1" w:styleId="294">
    <w:name w:val="Normal_108"/>
    <w:qFormat/>
    <w:uiPriority w:val="0"/>
    <w:pPr>
      <w:spacing w:before="120" w:after="240"/>
      <w:jc w:val="both"/>
    </w:pPr>
    <w:rPr>
      <w:rFonts w:ascii="Calibri" w:hAnsi="Calibri" w:eastAsia="Calibri" w:cs="Times New Roman"/>
      <w:sz w:val="22"/>
      <w:szCs w:val="22"/>
      <w:lang w:val="ru-RU" w:eastAsia="en-US" w:bidi="ar-SA"/>
    </w:rPr>
  </w:style>
  <w:style w:type="paragraph" w:customStyle="1" w:styleId="295">
    <w:name w:val="Normal_11"/>
    <w:qFormat/>
    <w:uiPriority w:val="0"/>
    <w:pPr>
      <w:spacing w:before="120" w:after="240"/>
      <w:jc w:val="both"/>
    </w:pPr>
    <w:rPr>
      <w:rFonts w:ascii="Calibri" w:hAnsi="Calibri" w:eastAsia="Calibri" w:cs="Times New Roman"/>
      <w:sz w:val="22"/>
      <w:szCs w:val="22"/>
      <w:lang w:val="ru-RU" w:eastAsia="en-US" w:bidi="ar-SA"/>
    </w:rPr>
  </w:style>
  <w:style w:type="paragraph" w:customStyle="1" w:styleId="296">
    <w:name w:val="Normal_109"/>
    <w:qFormat/>
    <w:uiPriority w:val="0"/>
    <w:pPr>
      <w:spacing w:before="120" w:after="240"/>
      <w:jc w:val="both"/>
    </w:pPr>
    <w:rPr>
      <w:rFonts w:ascii="Calibri" w:hAnsi="Calibri" w:eastAsia="Calibri" w:cs="Times New Roman"/>
      <w:sz w:val="22"/>
      <w:szCs w:val="22"/>
      <w:lang w:val="ru-RU" w:eastAsia="en-US" w:bidi="ar-SA"/>
    </w:rPr>
  </w:style>
  <w:style w:type="paragraph" w:customStyle="1" w:styleId="297">
    <w:name w:val="Normal_74"/>
    <w:qFormat/>
    <w:uiPriority w:val="0"/>
    <w:pPr>
      <w:spacing w:before="120" w:after="240"/>
      <w:jc w:val="both"/>
    </w:pPr>
    <w:rPr>
      <w:rFonts w:ascii="Calibri" w:hAnsi="Calibri" w:eastAsia="Calibri" w:cs="Times New Roman"/>
      <w:sz w:val="22"/>
      <w:szCs w:val="22"/>
      <w:lang w:val="ru-RU" w:eastAsia="en-US" w:bidi="ar-SA"/>
    </w:rPr>
  </w:style>
  <w:style w:type="paragraph" w:customStyle="1" w:styleId="298">
    <w:name w:val="Normal_96"/>
    <w:qFormat/>
    <w:uiPriority w:val="0"/>
    <w:pPr>
      <w:spacing w:before="120" w:after="240"/>
      <w:jc w:val="both"/>
    </w:pPr>
    <w:rPr>
      <w:rFonts w:ascii="Calibri" w:hAnsi="Calibri" w:eastAsia="Calibri" w:cs="Times New Roman"/>
      <w:sz w:val="22"/>
      <w:szCs w:val="22"/>
      <w:lang w:val="ru-RU" w:eastAsia="en-US" w:bidi="ar-SA"/>
    </w:rPr>
  </w:style>
  <w:style w:type="paragraph" w:customStyle="1" w:styleId="299">
    <w:name w:val="Normal_81"/>
    <w:qFormat/>
    <w:uiPriority w:val="0"/>
    <w:pPr>
      <w:spacing w:before="120" w:after="240"/>
      <w:jc w:val="both"/>
    </w:pPr>
    <w:rPr>
      <w:rFonts w:ascii="Calibri" w:hAnsi="Calibri" w:eastAsia="Calibri" w:cs="Times New Roman"/>
      <w:sz w:val="22"/>
      <w:szCs w:val="22"/>
      <w:lang w:val="ru-RU" w:eastAsia="en-US" w:bidi="ar-SA"/>
    </w:rPr>
  </w:style>
  <w:style w:type="paragraph" w:customStyle="1" w:styleId="300">
    <w:name w:val="Normal_83"/>
    <w:qFormat/>
    <w:uiPriority w:val="0"/>
    <w:pPr>
      <w:spacing w:before="120" w:after="240"/>
      <w:jc w:val="both"/>
    </w:pPr>
    <w:rPr>
      <w:rFonts w:ascii="Calibri" w:hAnsi="Calibri" w:eastAsia="Calibri" w:cs="Times New Roman"/>
      <w:sz w:val="22"/>
      <w:szCs w:val="22"/>
      <w:lang w:val="ru-RU" w:eastAsia="en-US" w:bidi="ar-SA"/>
    </w:rPr>
  </w:style>
  <w:style w:type="paragraph" w:customStyle="1" w:styleId="301">
    <w:name w:val="Normal_93"/>
    <w:qFormat/>
    <w:uiPriority w:val="0"/>
    <w:pPr>
      <w:spacing w:before="120" w:after="240"/>
      <w:jc w:val="both"/>
    </w:pPr>
    <w:rPr>
      <w:rFonts w:ascii="Calibri" w:hAnsi="Calibri" w:eastAsia="Calibri" w:cs="Times New Roman"/>
      <w:sz w:val="22"/>
      <w:szCs w:val="22"/>
      <w:lang w:val="ru-RU" w:eastAsia="en-US" w:bidi="ar-SA"/>
    </w:rPr>
  </w:style>
  <w:style w:type="paragraph" w:customStyle="1" w:styleId="302">
    <w:name w:val="Normal_105"/>
    <w:qFormat/>
    <w:uiPriority w:val="0"/>
    <w:pPr>
      <w:spacing w:before="120" w:after="240"/>
      <w:jc w:val="both"/>
    </w:pPr>
    <w:rPr>
      <w:rFonts w:ascii="Calibri" w:hAnsi="Calibri" w:eastAsia="Calibri" w:cs="Times New Roman"/>
      <w:sz w:val="22"/>
      <w:szCs w:val="22"/>
      <w:lang w:val="ru-RU" w:eastAsia="en-US" w:bidi="ar-SA"/>
    </w:rPr>
  </w:style>
  <w:style w:type="paragraph" w:customStyle="1" w:styleId="303">
    <w:name w:val="Normal_98"/>
    <w:qFormat/>
    <w:uiPriority w:val="0"/>
    <w:pPr>
      <w:spacing w:before="120" w:after="240"/>
      <w:jc w:val="both"/>
    </w:pPr>
    <w:rPr>
      <w:rFonts w:ascii="Calibri" w:hAnsi="Calibri" w:eastAsia="Calibri" w:cs="Times New Roman"/>
      <w:sz w:val="22"/>
      <w:szCs w:val="22"/>
      <w:lang w:val="ru-RU" w:eastAsia="en-US" w:bidi="ar-SA"/>
    </w:rPr>
  </w:style>
  <w:style w:type="paragraph" w:customStyle="1" w:styleId="304">
    <w:name w:val="Normal_26"/>
    <w:qFormat/>
    <w:uiPriority w:val="0"/>
    <w:pPr>
      <w:spacing w:before="120" w:after="240"/>
      <w:jc w:val="both"/>
    </w:pPr>
    <w:rPr>
      <w:rFonts w:ascii="Calibri" w:hAnsi="Calibri" w:eastAsia="Calibri" w:cs="Times New Roman"/>
      <w:sz w:val="22"/>
      <w:szCs w:val="22"/>
      <w:lang w:val="ru-RU" w:eastAsia="en-US" w:bidi="ar-SA"/>
    </w:rPr>
  </w:style>
  <w:style w:type="paragraph" w:customStyle="1" w:styleId="305">
    <w:name w:val="Normal_91"/>
    <w:qFormat/>
    <w:uiPriority w:val="0"/>
    <w:pPr>
      <w:spacing w:before="120" w:after="240"/>
      <w:jc w:val="both"/>
    </w:pPr>
    <w:rPr>
      <w:rFonts w:ascii="Calibri" w:hAnsi="Calibri" w:eastAsia="Calibri" w:cs="Times New Roman"/>
      <w:sz w:val="22"/>
      <w:szCs w:val="22"/>
      <w:lang w:val="ru-RU" w:eastAsia="en-US" w:bidi="ar-SA"/>
    </w:rPr>
  </w:style>
  <w:style w:type="paragraph" w:customStyle="1" w:styleId="306">
    <w:name w:val="Normal_86"/>
    <w:qFormat/>
    <w:uiPriority w:val="0"/>
    <w:pPr>
      <w:spacing w:before="120" w:after="240"/>
      <w:jc w:val="both"/>
    </w:pPr>
    <w:rPr>
      <w:rFonts w:ascii="Calibri" w:hAnsi="Calibri" w:eastAsia="Calibri" w:cs="Times New Roman"/>
      <w:sz w:val="22"/>
      <w:szCs w:val="22"/>
      <w:lang w:val="ru-RU" w:eastAsia="en-US" w:bidi="ar-SA"/>
    </w:rPr>
  </w:style>
  <w:style w:type="paragraph" w:customStyle="1" w:styleId="307">
    <w:name w:val="Normal_117"/>
    <w:qFormat/>
    <w:uiPriority w:val="0"/>
    <w:pPr>
      <w:spacing w:before="120" w:after="240"/>
      <w:jc w:val="both"/>
    </w:pPr>
    <w:rPr>
      <w:rFonts w:ascii="Calibri" w:hAnsi="Calibri" w:eastAsia="Calibri" w:cs="Times New Roman"/>
      <w:sz w:val="22"/>
      <w:szCs w:val="22"/>
      <w:lang w:val="ru-RU" w:eastAsia="en-US" w:bidi="ar-SA"/>
    </w:rPr>
  </w:style>
  <w:style w:type="paragraph" w:customStyle="1" w:styleId="308">
    <w:name w:val="Normal_95"/>
    <w:qFormat/>
    <w:uiPriority w:val="0"/>
    <w:pPr>
      <w:spacing w:before="120" w:after="240"/>
      <w:jc w:val="both"/>
    </w:pPr>
    <w:rPr>
      <w:rFonts w:ascii="Calibri" w:hAnsi="Calibri" w:eastAsia="Calibri" w:cs="Times New Roman"/>
      <w:sz w:val="22"/>
      <w:szCs w:val="22"/>
      <w:lang w:val="ru-RU" w:eastAsia="en-US" w:bidi="ar-SA"/>
    </w:rPr>
  </w:style>
  <w:style w:type="paragraph" w:customStyle="1" w:styleId="309">
    <w:name w:val="Normal_82"/>
    <w:qFormat/>
    <w:uiPriority w:val="0"/>
    <w:pPr>
      <w:spacing w:before="120" w:after="240"/>
      <w:jc w:val="both"/>
    </w:pPr>
    <w:rPr>
      <w:rFonts w:ascii="Calibri" w:hAnsi="Calibri" w:eastAsia="Calibri" w:cs="Times New Roman"/>
      <w:sz w:val="22"/>
      <w:szCs w:val="22"/>
      <w:lang w:val="ru-RU" w:eastAsia="en-US" w:bidi="ar-SA"/>
    </w:rPr>
  </w:style>
  <w:style w:type="paragraph" w:customStyle="1" w:styleId="310">
    <w:name w:val="Normal_92"/>
    <w:qFormat/>
    <w:uiPriority w:val="0"/>
    <w:pPr>
      <w:spacing w:before="120" w:after="240"/>
      <w:jc w:val="both"/>
    </w:pPr>
    <w:rPr>
      <w:rFonts w:ascii="Calibri" w:hAnsi="Calibri" w:eastAsia="Calibri" w:cs="Times New Roman"/>
      <w:sz w:val="22"/>
      <w:szCs w:val="22"/>
      <w:lang w:val="ru-RU" w:eastAsia="en-US" w:bidi="ar-SA"/>
    </w:rPr>
  </w:style>
  <w:style w:type="paragraph" w:customStyle="1" w:styleId="311">
    <w:name w:val="Normal_114"/>
    <w:qFormat/>
    <w:uiPriority w:val="0"/>
    <w:pPr>
      <w:spacing w:before="120" w:after="240"/>
      <w:jc w:val="both"/>
    </w:pPr>
    <w:rPr>
      <w:rFonts w:ascii="Calibri" w:hAnsi="Calibri" w:eastAsia="Calibri" w:cs="Times New Roman"/>
      <w:sz w:val="22"/>
      <w:szCs w:val="22"/>
      <w:lang w:val="ru-RU" w:eastAsia="en-US" w:bidi="ar-SA"/>
    </w:rPr>
  </w:style>
  <w:style w:type="paragraph" w:customStyle="1" w:styleId="312">
    <w:name w:val="Normal_94"/>
    <w:qFormat/>
    <w:uiPriority w:val="0"/>
    <w:pPr>
      <w:spacing w:before="120" w:after="240"/>
      <w:jc w:val="both"/>
    </w:pPr>
    <w:rPr>
      <w:rFonts w:ascii="Calibri" w:hAnsi="Calibri" w:eastAsia="Calibri" w:cs="Times New Roman"/>
      <w:sz w:val="22"/>
      <w:szCs w:val="22"/>
      <w:lang w:val="ru-RU" w:eastAsia="en-US" w:bidi="ar-SA"/>
    </w:rPr>
  </w:style>
  <w:style w:type="paragraph" w:customStyle="1" w:styleId="313">
    <w:name w:val="Normal_10"/>
    <w:qFormat/>
    <w:uiPriority w:val="0"/>
    <w:pPr>
      <w:spacing w:before="120" w:after="240"/>
      <w:jc w:val="both"/>
    </w:pPr>
    <w:rPr>
      <w:rFonts w:ascii="Calibri" w:hAnsi="Calibri" w:eastAsia="Calibri" w:cs="Times New Roman"/>
      <w:sz w:val="22"/>
      <w:szCs w:val="22"/>
      <w:lang w:val="ru-RU" w:eastAsia="en-US" w:bidi="ar-SA"/>
    </w:rPr>
  </w:style>
  <w:style w:type="paragraph" w:customStyle="1" w:styleId="314">
    <w:name w:val="Normal_84"/>
    <w:qFormat/>
    <w:uiPriority w:val="0"/>
    <w:pPr>
      <w:spacing w:before="120" w:after="240"/>
      <w:jc w:val="both"/>
    </w:pPr>
    <w:rPr>
      <w:rFonts w:ascii="Calibri" w:hAnsi="Calibri" w:eastAsia="Calibri" w:cs="Times New Roman"/>
      <w:sz w:val="22"/>
      <w:szCs w:val="22"/>
      <w:lang w:val="ru-RU" w:eastAsia="en-US" w:bidi="ar-SA"/>
    </w:rPr>
  </w:style>
  <w:style w:type="paragraph" w:customStyle="1" w:styleId="315">
    <w:name w:val="Normal_99"/>
    <w:qFormat/>
    <w:uiPriority w:val="0"/>
    <w:pPr>
      <w:spacing w:before="120" w:after="240"/>
      <w:jc w:val="both"/>
    </w:pPr>
    <w:rPr>
      <w:rFonts w:ascii="Calibri" w:hAnsi="Calibri" w:eastAsia="Calibri" w:cs="Times New Roman"/>
      <w:sz w:val="22"/>
      <w:szCs w:val="22"/>
      <w:lang w:val="ru-RU" w:eastAsia="en-US" w:bidi="ar-SA"/>
    </w:rPr>
  </w:style>
  <w:style w:type="paragraph" w:customStyle="1" w:styleId="316">
    <w:name w:val="Normal_100"/>
    <w:qFormat/>
    <w:uiPriority w:val="0"/>
    <w:pPr>
      <w:spacing w:before="120" w:after="240"/>
      <w:jc w:val="both"/>
    </w:pPr>
    <w:rPr>
      <w:rFonts w:ascii="Calibri" w:hAnsi="Calibri" w:eastAsia="Calibri" w:cs="Times New Roman"/>
      <w:sz w:val="22"/>
      <w:szCs w:val="22"/>
      <w:lang w:val="ru-RU" w:eastAsia="en-US" w:bidi="ar-SA"/>
    </w:rPr>
  </w:style>
  <w:style w:type="paragraph" w:customStyle="1" w:styleId="317">
    <w:name w:val="aa正文"/>
    <w:basedOn w:val="1"/>
    <w:qFormat/>
    <w:uiPriority w:val="0"/>
    <w:pPr>
      <w:spacing w:line="360" w:lineRule="auto"/>
      <w:ind w:firstLine="200" w:firstLineChars="200"/>
    </w:pPr>
    <w:rPr>
      <w:rFonts w:ascii="Times New Roman" w:hAnsi="Times New Roman"/>
      <w:b w:val="0"/>
      <w:sz w:val="24"/>
    </w:rPr>
  </w:style>
  <w:style w:type="paragraph" w:customStyle="1" w:styleId="318">
    <w:name w:val="Normal_5"/>
    <w:qFormat/>
    <w:uiPriority w:val="0"/>
    <w:pPr>
      <w:spacing w:before="120" w:after="240"/>
      <w:jc w:val="both"/>
    </w:pPr>
    <w:rPr>
      <w:rFonts w:ascii="Calibri" w:hAnsi="Calibri" w:eastAsia="Calibri" w:cs="Times New Roman"/>
      <w:sz w:val="22"/>
      <w:szCs w:val="22"/>
      <w:lang w:val="ru-RU" w:eastAsia="en-US" w:bidi="ar-SA"/>
    </w:rPr>
  </w:style>
  <w:style w:type="paragraph" w:customStyle="1" w:styleId="319">
    <w:name w:val="Normal_34"/>
    <w:qFormat/>
    <w:uiPriority w:val="0"/>
    <w:pPr>
      <w:spacing w:before="120" w:after="240"/>
      <w:jc w:val="both"/>
    </w:pPr>
    <w:rPr>
      <w:rFonts w:ascii="Calibri" w:hAnsi="Calibri" w:eastAsia="Calibri" w:cs="Times New Roman"/>
      <w:sz w:val="22"/>
      <w:szCs w:val="22"/>
      <w:lang w:val="ru-RU" w:eastAsia="en-US" w:bidi="ar-SA"/>
    </w:rPr>
  </w:style>
  <w:style w:type="paragraph" w:customStyle="1" w:styleId="320">
    <w:name w:val="Normal_15"/>
    <w:qFormat/>
    <w:uiPriority w:val="0"/>
    <w:pPr>
      <w:spacing w:before="120" w:after="240"/>
      <w:jc w:val="both"/>
    </w:pPr>
    <w:rPr>
      <w:rFonts w:ascii="Calibri" w:hAnsi="Calibri" w:eastAsia="Calibri" w:cs="Times New Roman"/>
      <w:sz w:val="22"/>
      <w:szCs w:val="22"/>
      <w:lang w:val="ru-RU" w:eastAsia="en-US" w:bidi="ar-SA"/>
    </w:rPr>
  </w:style>
  <w:style w:type="paragraph" w:customStyle="1" w:styleId="321">
    <w:name w:val="Normal_90"/>
    <w:qFormat/>
    <w:uiPriority w:val="0"/>
    <w:pPr>
      <w:spacing w:before="120" w:after="240"/>
      <w:jc w:val="both"/>
    </w:pPr>
    <w:rPr>
      <w:rFonts w:ascii="Calibri" w:hAnsi="Calibri" w:eastAsia="Calibri" w:cs="Times New Roman"/>
      <w:sz w:val="22"/>
      <w:szCs w:val="22"/>
      <w:lang w:val="ru-RU" w:eastAsia="en-US" w:bidi="ar-SA"/>
    </w:rPr>
  </w:style>
  <w:style w:type="paragraph" w:customStyle="1" w:styleId="322">
    <w:name w:val="Normal_88"/>
    <w:qFormat/>
    <w:uiPriority w:val="0"/>
    <w:pPr>
      <w:spacing w:before="120" w:after="240"/>
      <w:jc w:val="both"/>
    </w:pPr>
    <w:rPr>
      <w:rFonts w:ascii="Calibri" w:hAnsi="Calibri" w:eastAsia="Calibri" w:cs="Times New Roman"/>
      <w:sz w:val="22"/>
      <w:szCs w:val="22"/>
      <w:lang w:val="ru-RU" w:eastAsia="en-US" w:bidi="ar-SA"/>
    </w:rPr>
  </w:style>
  <w:style w:type="paragraph" w:customStyle="1" w:styleId="323">
    <w:name w:val="Normal_111"/>
    <w:qFormat/>
    <w:uiPriority w:val="0"/>
    <w:pPr>
      <w:spacing w:before="120" w:after="240"/>
      <w:jc w:val="both"/>
    </w:pPr>
    <w:rPr>
      <w:rFonts w:ascii="Calibri" w:hAnsi="Calibri" w:eastAsia="Calibri" w:cs="Times New Roman"/>
      <w:sz w:val="22"/>
      <w:szCs w:val="22"/>
      <w:lang w:val="ru-RU" w:eastAsia="en-US" w:bidi="ar-SA"/>
    </w:rPr>
  </w:style>
  <w:style w:type="paragraph" w:customStyle="1" w:styleId="324">
    <w:name w:val="Normal_23"/>
    <w:qFormat/>
    <w:uiPriority w:val="0"/>
    <w:pPr>
      <w:spacing w:before="120" w:after="240"/>
      <w:jc w:val="both"/>
    </w:pPr>
    <w:rPr>
      <w:rFonts w:ascii="Calibri" w:hAnsi="Calibri" w:eastAsia="Calibri" w:cs="Times New Roman"/>
      <w:sz w:val="22"/>
      <w:szCs w:val="22"/>
      <w:lang w:val="ru-RU" w:eastAsia="en-US" w:bidi="ar-SA"/>
    </w:rPr>
  </w:style>
  <w:style w:type="paragraph" w:customStyle="1" w:styleId="325">
    <w:name w:val="Normal_113"/>
    <w:qFormat/>
    <w:uiPriority w:val="0"/>
    <w:pPr>
      <w:spacing w:before="120" w:after="240"/>
      <w:jc w:val="both"/>
    </w:pPr>
    <w:rPr>
      <w:rFonts w:ascii="Calibri" w:hAnsi="Calibri" w:eastAsia="Calibri" w:cs="Times New Roman"/>
      <w:sz w:val="22"/>
      <w:szCs w:val="22"/>
      <w:lang w:val="ru-RU" w:eastAsia="en-US" w:bidi="ar-SA"/>
    </w:rPr>
  </w:style>
  <w:style w:type="paragraph" w:customStyle="1" w:styleId="326">
    <w:name w:val="Normal_112"/>
    <w:qFormat/>
    <w:uiPriority w:val="0"/>
    <w:pPr>
      <w:spacing w:before="120" w:after="240"/>
      <w:jc w:val="both"/>
    </w:pPr>
    <w:rPr>
      <w:rFonts w:ascii="Calibri" w:hAnsi="Calibri" w:eastAsia="Calibri" w:cs="Times New Roman"/>
      <w:sz w:val="22"/>
      <w:szCs w:val="22"/>
      <w:lang w:val="ru-RU" w:eastAsia="en-US" w:bidi="ar-SA"/>
    </w:rPr>
  </w:style>
  <w:style w:type="paragraph" w:customStyle="1" w:styleId="327">
    <w:name w:val="Normal_35"/>
    <w:qFormat/>
    <w:uiPriority w:val="0"/>
    <w:pPr>
      <w:spacing w:before="120" w:after="240"/>
      <w:jc w:val="both"/>
    </w:pPr>
    <w:rPr>
      <w:rFonts w:ascii="Calibri" w:hAnsi="Calibri" w:eastAsia="Calibri" w:cs="Times New Roman"/>
      <w:sz w:val="22"/>
      <w:szCs w:val="22"/>
      <w:lang w:val="ru-RU" w:eastAsia="en-US" w:bidi="ar-SA"/>
    </w:rPr>
  </w:style>
  <w:style w:type="paragraph" w:customStyle="1" w:styleId="328">
    <w:name w:val="Normal_89"/>
    <w:qFormat/>
    <w:uiPriority w:val="0"/>
    <w:pPr>
      <w:spacing w:before="120" w:after="240"/>
      <w:jc w:val="both"/>
    </w:pPr>
    <w:rPr>
      <w:rFonts w:ascii="Calibri" w:hAnsi="Calibri" w:eastAsia="Calibri" w:cs="Times New Roman"/>
      <w:sz w:val="22"/>
      <w:szCs w:val="22"/>
      <w:lang w:val="ru-RU" w:eastAsia="en-US" w:bidi="ar-SA"/>
    </w:rPr>
  </w:style>
  <w:style w:type="paragraph" w:customStyle="1" w:styleId="329">
    <w:name w:val="Normal_22"/>
    <w:qFormat/>
    <w:uiPriority w:val="0"/>
    <w:pPr>
      <w:spacing w:before="120" w:after="240"/>
      <w:jc w:val="both"/>
    </w:pPr>
    <w:rPr>
      <w:rFonts w:ascii="Calibri" w:hAnsi="Calibri" w:eastAsia="Calibri" w:cs="Times New Roman"/>
      <w:sz w:val="22"/>
      <w:szCs w:val="22"/>
      <w:lang w:val="ru-RU" w:eastAsia="en-US" w:bidi="ar-SA"/>
    </w:rPr>
  </w:style>
  <w:style w:type="paragraph" w:customStyle="1" w:styleId="330">
    <w:name w:val="Normal_110"/>
    <w:qFormat/>
    <w:uiPriority w:val="0"/>
    <w:pPr>
      <w:spacing w:before="120" w:after="240"/>
      <w:jc w:val="both"/>
    </w:pPr>
    <w:rPr>
      <w:rFonts w:ascii="Calibri" w:hAnsi="Calibri" w:eastAsia="Calibri" w:cs="Times New Roman"/>
      <w:sz w:val="22"/>
      <w:szCs w:val="22"/>
      <w:lang w:val="ru-RU" w:eastAsia="en-US" w:bidi="ar-SA"/>
    </w:rPr>
  </w:style>
  <w:style w:type="paragraph" w:customStyle="1" w:styleId="331">
    <w:name w:val="Normal_116"/>
    <w:qFormat/>
    <w:uiPriority w:val="0"/>
    <w:pPr>
      <w:spacing w:before="120" w:after="240"/>
      <w:jc w:val="both"/>
    </w:pPr>
    <w:rPr>
      <w:rFonts w:ascii="Calibri" w:hAnsi="Calibri" w:eastAsia="Calibri" w:cs="Times New Roman"/>
      <w:sz w:val="22"/>
      <w:szCs w:val="22"/>
      <w:lang w:val="ru-RU" w:eastAsia="en-US" w:bidi="ar-SA"/>
    </w:rPr>
  </w:style>
  <w:style w:type="paragraph" w:customStyle="1" w:styleId="332">
    <w:name w:val="Normal_97"/>
    <w:qFormat/>
    <w:uiPriority w:val="0"/>
    <w:pPr>
      <w:spacing w:before="120" w:after="240"/>
      <w:jc w:val="both"/>
    </w:pPr>
    <w:rPr>
      <w:rFonts w:ascii="Calibri" w:hAnsi="Calibri" w:eastAsia="Calibri" w:cs="Times New Roman"/>
      <w:sz w:val="22"/>
      <w:szCs w:val="22"/>
      <w:lang w:val="ru-RU" w:eastAsia="en-US" w:bidi="ar-SA"/>
    </w:rPr>
  </w:style>
  <w:style w:type="paragraph" w:customStyle="1" w:styleId="333">
    <w:name w:val="Normal_16"/>
    <w:qFormat/>
    <w:uiPriority w:val="0"/>
    <w:pPr>
      <w:spacing w:before="120" w:after="240"/>
      <w:jc w:val="both"/>
    </w:pPr>
    <w:rPr>
      <w:rFonts w:ascii="Calibri" w:hAnsi="Calibri" w:eastAsia="Calibri" w:cs="Times New Roman"/>
      <w:sz w:val="22"/>
      <w:szCs w:val="22"/>
      <w:lang w:val="ru-RU" w:eastAsia="en-US" w:bidi="ar-SA"/>
    </w:rPr>
  </w:style>
  <w:style w:type="character" w:customStyle="1" w:styleId="334">
    <w:name w:val="正文首行缩进 2 Char1"/>
    <w:link w:val="87"/>
    <w:qFormat/>
    <w:uiPriority w:val="99"/>
    <w:rPr>
      <w:rFonts w:ascii="Calibri" w:hAnsi="Calibri" w:eastAsia="隶书"/>
      <w:b/>
      <w:sz w:val="28"/>
      <w:u w:color="FF0000"/>
    </w:rPr>
  </w:style>
  <w:style w:type="character" w:customStyle="1" w:styleId="335">
    <w:name w:val="标题 3 Char1"/>
    <w:qFormat/>
    <w:locked/>
    <w:uiPriority w:val="0"/>
    <w:rPr>
      <w:rFonts w:eastAsia="黑体"/>
      <w:b/>
      <w:bCs/>
      <w:kern w:val="2"/>
      <w:sz w:val="28"/>
      <w:szCs w:val="32"/>
    </w:rPr>
  </w:style>
  <w:style w:type="character" w:customStyle="1" w:styleId="336">
    <w:name w:val="Char Char33"/>
    <w:qFormat/>
    <w:uiPriority w:val="0"/>
    <w:rPr>
      <w:rFonts w:eastAsia="仿宋_GB2312"/>
      <w:b/>
      <w:bCs/>
      <w:kern w:val="2"/>
      <w:sz w:val="28"/>
      <w:szCs w:val="24"/>
      <w:u w:color="FF0000"/>
    </w:rPr>
  </w:style>
  <w:style w:type="character" w:customStyle="1" w:styleId="337">
    <w:name w:val="Char Char52"/>
    <w:qFormat/>
    <w:uiPriority w:val="0"/>
    <w:rPr>
      <w:rFonts w:eastAsia="宋体"/>
      <w:color w:val="000000"/>
      <w:kern w:val="2"/>
      <w:sz w:val="18"/>
      <w:lang w:val="en-US" w:eastAsia="zh-CN" w:bidi="ar-SA"/>
    </w:rPr>
  </w:style>
  <w:style w:type="character" w:customStyle="1" w:styleId="338">
    <w:name w:val="Char Char82"/>
    <w:qFormat/>
    <w:locked/>
    <w:uiPriority w:val="0"/>
    <w:rPr>
      <w:rFonts w:eastAsia="仿宋_GB2312"/>
      <w:b/>
      <w:bCs/>
      <w:kern w:val="2"/>
      <w:sz w:val="28"/>
      <w:szCs w:val="24"/>
      <w:u w:color="FF0000"/>
      <w:lang w:val="en-US" w:eastAsia="zh-CN" w:bidi="ar-SA"/>
    </w:rPr>
  </w:style>
  <w:style w:type="character" w:customStyle="1" w:styleId="339">
    <w:name w:val="Char Char22"/>
    <w:qFormat/>
    <w:uiPriority w:val="0"/>
    <w:rPr>
      <w:rFonts w:eastAsia="宋体"/>
      <w:b/>
      <w:kern w:val="2"/>
      <w:sz w:val="28"/>
      <w:lang w:val="en-US" w:eastAsia="zh-CN" w:bidi="ar-SA"/>
    </w:rPr>
  </w:style>
  <w:style w:type="character" w:customStyle="1" w:styleId="340">
    <w:name w:val="Char Char42"/>
    <w:qFormat/>
    <w:uiPriority w:val="0"/>
    <w:rPr>
      <w:rFonts w:ascii="Times New Roman" w:hAnsi="Times New Roman" w:eastAsia="宋体"/>
      <w:b/>
      <w:kern w:val="44"/>
      <w:sz w:val="30"/>
    </w:rPr>
  </w:style>
  <w:style w:type="character" w:customStyle="1" w:styleId="341">
    <w:name w:val="纯文本 Char1"/>
    <w:qFormat/>
    <w:uiPriority w:val="0"/>
    <w:rPr>
      <w:rFonts w:ascii="宋体" w:hAnsi="Courier New" w:cs="Courier New"/>
      <w:kern w:val="2"/>
      <w:sz w:val="21"/>
      <w:szCs w:val="21"/>
    </w:rPr>
  </w:style>
  <w:style w:type="character" w:customStyle="1" w:styleId="342">
    <w:name w:val="正文文本 Char1"/>
    <w:qFormat/>
    <w:uiPriority w:val="0"/>
    <w:rPr>
      <w:kern w:val="2"/>
      <w:sz w:val="21"/>
    </w:rPr>
  </w:style>
  <w:style w:type="character" w:customStyle="1" w:styleId="343">
    <w:name w:val="文1 Char Char"/>
    <w:qFormat/>
    <w:uiPriority w:val="0"/>
    <w:rPr>
      <w:kern w:val="2"/>
      <w:sz w:val="28"/>
    </w:rPr>
  </w:style>
  <w:style w:type="character" w:customStyle="1" w:styleId="344">
    <w:name w:val="标题 Char1"/>
    <w:qFormat/>
    <w:uiPriority w:val="10"/>
    <w:rPr>
      <w:rFonts w:ascii="Cambria" w:hAnsi="Cambria" w:cs="Times New Roman"/>
      <w:b/>
      <w:bCs/>
      <w:kern w:val="2"/>
      <w:sz w:val="32"/>
      <w:szCs w:val="32"/>
      <w:u w:color="FF0000"/>
    </w:rPr>
  </w:style>
  <w:style w:type="paragraph" w:customStyle="1" w:styleId="345">
    <w:name w:val="_Style 8"/>
    <w:basedOn w:val="1"/>
    <w:qFormat/>
    <w:uiPriority w:val="0"/>
    <w:rPr>
      <w:b w:val="0"/>
    </w:rPr>
  </w:style>
  <w:style w:type="paragraph" w:customStyle="1" w:styleId="346">
    <w:name w:val="编号列项（三级）"/>
    <w:qFormat/>
    <w:uiPriority w:val="0"/>
    <w:pPr>
      <w:numPr>
        <w:ilvl w:val="2"/>
        <w:numId w:val="10"/>
      </w:numPr>
      <w:tabs>
        <w:tab w:val="left" w:pos="0"/>
      </w:tabs>
    </w:pPr>
    <w:rPr>
      <w:rFonts w:ascii="宋体" w:hAnsi="Times New Roman" w:eastAsia="宋体" w:cs="Times New Roman"/>
      <w:sz w:val="21"/>
      <w:lang w:val="en-US" w:eastAsia="zh-CN" w:bidi="ar-SA"/>
    </w:rPr>
  </w:style>
  <w:style w:type="paragraph" w:customStyle="1" w:styleId="347">
    <w:name w:val="参考文献"/>
    <w:basedOn w:val="1"/>
    <w:next w:val="143"/>
    <w:qFormat/>
    <w:uiPriority w:val="0"/>
    <w:pPr>
      <w:keepNext/>
      <w:pageBreakBefore/>
      <w:widowControl/>
      <w:shd w:val="clear" w:color="FFFFFF" w:fill="FFFFFF"/>
      <w:spacing w:before="640" w:after="200"/>
      <w:jc w:val="center"/>
      <w:outlineLvl w:val="0"/>
    </w:pPr>
    <w:rPr>
      <w:rFonts w:ascii="黑体" w:hAnsi="Times New Roman" w:eastAsia="黑体"/>
      <w:b w:val="0"/>
      <w:kern w:val="0"/>
      <w:szCs w:val="20"/>
    </w:rPr>
  </w:style>
  <w:style w:type="paragraph" w:customStyle="1" w:styleId="348">
    <w:name w:val="数字编号列项（二级）"/>
    <w:qFormat/>
    <w:uiPriority w:val="0"/>
    <w:pPr>
      <w:numPr>
        <w:ilvl w:val="1"/>
        <w:numId w:val="10"/>
      </w:numPr>
      <w:tabs>
        <w:tab w:val="left" w:pos="1259"/>
      </w:tabs>
      <w:jc w:val="both"/>
    </w:pPr>
    <w:rPr>
      <w:rFonts w:ascii="宋体" w:hAnsi="Times New Roman" w:eastAsia="宋体" w:cs="Times New Roman"/>
      <w:sz w:val="21"/>
      <w:lang w:val="en-US" w:eastAsia="zh-CN" w:bidi="ar-SA"/>
    </w:rPr>
  </w:style>
  <w:style w:type="paragraph" w:customStyle="1" w:styleId="349">
    <w:name w:val="3"/>
    <w:next w:val="1"/>
    <w:qFormat/>
    <w:uiPriority w:val="0"/>
    <w:pPr>
      <w:widowControl w:val="0"/>
      <w:jc w:val="both"/>
    </w:pPr>
    <w:rPr>
      <w:rFonts w:ascii="Times New Roman" w:hAnsi="Times New Roman" w:eastAsia="宋体" w:cs="Times New Roman"/>
      <w:b/>
      <w:kern w:val="2"/>
      <w:sz w:val="21"/>
      <w:szCs w:val="24"/>
      <w:u w:color="FF0000"/>
      <w:lang w:val="en-US" w:eastAsia="zh-CN" w:bidi="ar-SA"/>
    </w:rPr>
  </w:style>
  <w:style w:type="table" w:customStyle="1" w:styleId="350">
    <w:name w:val="网格型 7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character" w:customStyle="1" w:styleId="351">
    <w:name w:val="HTML 预设格式 Char3"/>
    <w:basedOn w:val="91"/>
    <w:link w:val="80"/>
    <w:qFormat/>
    <w:uiPriority w:val="0"/>
    <w:rPr>
      <w:rFonts w:ascii="Courier New" w:hAnsi="Courier New" w:cs="Courier New"/>
      <w:kern w:val="2"/>
    </w:rPr>
  </w:style>
  <w:style w:type="table" w:customStyle="1" w:styleId="352">
    <w:name w:val="网格型 71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bottom w:val="single" w:color="000000" w:sz="12" w:space="0"/>
          <w:tl2br w:val="nil"/>
          <w:tr2bl w:val="nil"/>
        </w:tcBorders>
      </w:tcPr>
    </w:tblStylePr>
    <w:tblStylePr w:type="lastRow">
      <w:rPr>
        <w:b w:val="0"/>
        <w:bCs w:val="0"/>
      </w:rPr>
      <w:tcPr>
        <w:tcBorders>
          <w:top w:val="single" w:color="000000" w:sz="6" w:space="0"/>
          <w:tl2br w:val="nil"/>
          <w:tr2bl w:val="nil"/>
        </w:tcBorders>
      </w:tcPr>
    </w:tblStylePr>
    <w:tblStylePr w:type="firstCol">
      <w:rPr>
        <w:b w:val="0"/>
        <w:bCs w:val="0"/>
      </w:rPr>
      <w:tcPr>
        <w:tcBorders>
          <w:tl2br w:val="nil"/>
          <w:tr2bl w:val="nil"/>
        </w:tcBorders>
      </w:tcPr>
    </w:tblStylePr>
    <w:tblStylePr w:type="lastCol">
      <w:rPr>
        <w:b w:val="0"/>
        <w:bCs w:val="0"/>
      </w:rPr>
      <w:tcPr>
        <w:tcBorders>
          <w:tl2br w:val="nil"/>
          <w:tr2bl w:val="nil"/>
        </w:tcBorders>
      </w:tcPr>
    </w:tblStylePr>
    <w:tblStylePr w:type="nwCell">
      <w:tcPr>
        <w:tcBorders>
          <w:tl2br w:val="single" w:color="000000" w:sz="6" w:space="0"/>
          <w:tr2bl w:val="nil"/>
        </w:tcBorders>
      </w:tcPr>
    </w:tblStylePr>
  </w:style>
  <w:style w:type="character" w:customStyle="1" w:styleId="353">
    <w:name w:val="Char Char7"/>
    <w:qFormat/>
    <w:uiPriority w:val="0"/>
    <w:rPr>
      <w:rFonts w:eastAsia="仿宋_GB2312"/>
      <w:b/>
      <w:bCs/>
      <w:kern w:val="2"/>
      <w:sz w:val="28"/>
      <w:szCs w:val="24"/>
      <w:u w:color="FF0000"/>
      <w:lang w:val="en-US" w:eastAsia="zh-CN" w:bidi="ar-SA"/>
    </w:rPr>
  </w:style>
  <w:style w:type="character" w:customStyle="1" w:styleId="354">
    <w:name w:val="样式1 Char Char"/>
    <w:link w:val="141"/>
    <w:qFormat/>
    <w:uiPriority w:val="0"/>
    <w:rPr>
      <w:rFonts w:ascii="仿宋_GB2312" w:hAnsi="Calibri" w:eastAsia="仿宋_GB2312"/>
      <w:b/>
      <w:kern w:val="2"/>
      <w:sz w:val="44"/>
      <w:szCs w:val="24"/>
      <w:u w:color="FF0000"/>
    </w:rPr>
  </w:style>
  <w:style w:type="character" w:customStyle="1" w:styleId="355">
    <w:name w:val="链接"/>
    <w:qFormat/>
    <w:uiPriority w:val="0"/>
    <w:rPr>
      <w:rFonts w:ascii="Times New Roman" w:eastAsia="宋体"/>
      <w:color w:val="0000FF"/>
      <w:sz w:val="21"/>
      <w:u w:val="single" w:color="0000FF"/>
      <w:vertAlign w:val="baseline"/>
      <w:lang w:val="en-US" w:eastAsia="zh-CN"/>
    </w:rPr>
  </w:style>
  <w:style w:type="character" w:customStyle="1" w:styleId="356">
    <w:name w:val="p1"/>
    <w:qFormat/>
    <w:uiPriority w:val="0"/>
    <w:rPr>
      <w:sz w:val="21"/>
      <w:szCs w:val="21"/>
    </w:rPr>
  </w:style>
  <w:style w:type="character" w:customStyle="1" w:styleId="357">
    <w:name w:val="批注文字 Char1"/>
    <w:qFormat/>
    <w:uiPriority w:val="99"/>
    <w:rPr>
      <w:rFonts w:ascii="Times New Roman" w:hAnsi="Times New Roman" w:eastAsia="宋体" w:cs="Times New Roman"/>
      <w:szCs w:val="24"/>
    </w:rPr>
  </w:style>
  <w:style w:type="character" w:customStyle="1" w:styleId="358">
    <w:name w:val="无间隔 Char1"/>
    <w:link w:val="242"/>
    <w:qFormat/>
    <w:uiPriority w:val="1"/>
    <w:rPr>
      <w:kern w:val="2"/>
      <w:sz w:val="21"/>
      <w:szCs w:val="24"/>
    </w:rPr>
  </w:style>
  <w:style w:type="character" w:customStyle="1" w:styleId="359">
    <w:name w:val="副标题 Char3"/>
    <w:link w:val="64"/>
    <w:qFormat/>
    <w:uiPriority w:val="0"/>
    <w:rPr>
      <w:rFonts w:ascii="Cambria" w:hAnsi="Cambria"/>
      <w:b/>
      <w:bCs/>
      <w:kern w:val="28"/>
      <w:sz w:val="32"/>
      <w:szCs w:val="32"/>
    </w:rPr>
  </w:style>
  <w:style w:type="character" w:customStyle="1" w:styleId="360">
    <w:name w:val="副标题 Char1"/>
    <w:basedOn w:val="91"/>
    <w:qFormat/>
    <w:uiPriority w:val="11"/>
    <w:rPr>
      <w:rFonts w:asciiTheme="majorHAnsi" w:hAnsiTheme="majorHAnsi" w:cstheme="majorBidi"/>
      <w:b/>
      <w:bCs/>
      <w:kern w:val="28"/>
      <w:sz w:val="32"/>
      <w:szCs w:val="32"/>
      <w:u w:color="FF0000"/>
    </w:rPr>
  </w:style>
  <w:style w:type="character" w:customStyle="1" w:styleId="361">
    <w:name w:val="正文1"/>
    <w:qFormat/>
    <w:uiPriority w:val="0"/>
    <w:rPr>
      <w:rFonts w:hint="eastAsia" w:ascii="宋体" w:hAnsi="宋体" w:eastAsia="宋体"/>
      <w:sz w:val="22"/>
      <w:szCs w:val="22"/>
    </w:rPr>
  </w:style>
  <w:style w:type="character" w:customStyle="1" w:styleId="362">
    <w:name w:val="tpc_content1"/>
    <w:qFormat/>
    <w:uiPriority w:val="0"/>
    <w:rPr>
      <w:sz w:val="20"/>
      <w:szCs w:val="20"/>
    </w:rPr>
  </w:style>
  <w:style w:type="character" w:customStyle="1" w:styleId="363">
    <w:name w:val="HTML 预设格式 Char1"/>
    <w:qFormat/>
    <w:uiPriority w:val="99"/>
    <w:rPr>
      <w:rFonts w:ascii="Courier New" w:hAnsi="Courier New" w:cs="Courier New"/>
      <w:b/>
      <w:kern w:val="2"/>
      <w:u w:color="FF0000"/>
    </w:rPr>
  </w:style>
  <w:style w:type="character" w:customStyle="1" w:styleId="364">
    <w:name w:val="正文文本 2 Char1"/>
    <w:qFormat/>
    <w:uiPriority w:val="99"/>
    <w:rPr>
      <w:rFonts w:ascii="Times New Roman" w:hAnsi="Times New Roman" w:eastAsia="宋体" w:cs="Times New Roman"/>
      <w:szCs w:val="24"/>
    </w:rPr>
  </w:style>
  <w:style w:type="character" w:customStyle="1" w:styleId="365">
    <w:name w:val="批注主题 Char1"/>
    <w:semiHidden/>
    <w:qFormat/>
    <w:uiPriority w:val="99"/>
    <w:rPr>
      <w:rFonts w:ascii="Times New Roman" w:hAnsi="Times New Roman" w:eastAsia="宋体" w:cs="Times New Roman"/>
      <w:b/>
      <w:bCs/>
      <w:szCs w:val="24"/>
    </w:rPr>
  </w:style>
  <w:style w:type="paragraph" w:customStyle="1" w:styleId="366">
    <w:name w:val="font9"/>
    <w:basedOn w:val="1"/>
    <w:qFormat/>
    <w:uiPriority w:val="0"/>
    <w:pPr>
      <w:widowControl/>
      <w:spacing w:before="100" w:beforeAutospacing="1" w:after="100" w:afterAutospacing="1"/>
      <w:jc w:val="left"/>
    </w:pPr>
    <w:rPr>
      <w:rFonts w:hint="eastAsia" w:ascii="仿宋_GB2312" w:hAnsi="宋体" w:eastAsia="仿宋_GB2312"/>
      <w:b w:val="0"/>
      <w:color w:val="FF0000"/>
      <w:kern w:val="0"/>
      <w:sz w:val="18"/>
      <w:szCs w:val="18"/>
    </w:rPr>
  </w:style>
  <w:style w:type="character" w:customStyle="1" w:styleId="367">
    <w:name w:val="日期 Char1"/>
    <w:semiHidden/>
    <w:qFormat/>
    <w:uiPriority w:val="99"/>
    <w:rPr>
      <w:rFonts w:ascii="Times New Roman" w:hAnsi="Times New Roman" w:eastAsia="宋体" w:cs="Times New Roman"/>
      <w:szCs w:val="24"/>
    </w:rPr>
  </w:style>
  <w:style w:type="character" w:customStyle="1" w:styleId="368">
    <w:name w:val="正文文本缩进 Char1"/>
    <w:qFormat/>
    <w:uiPriority w:val="99"/>
    <w:rPr>
      <w:rFonts w:ascii="Times New Roman" w:hAnsi="Times New Roman" w:eastAsia="宋体" w:cs="Times New Roman"/>
      <w:szCs w:val="24"/>
    </w:rPr>
  </w:style>
  <w:style w:type="character" w:customStyle="1" w:styleId="369">
    <w:name w:val="批注框文本 Char1"/>
    <w:semiHidden/>
    <w:qFormat/>
    <w:uiPriority w:val="99"/>
    <w:rPr>
      <w:rFonts w:ascii="Times New Roman" w:hAnsi="Times New Roman" w:eastAsia="宋体" w:cs="Times New Roman"/>
      <w:sz w:val="18"/>
      <w:szCs w:val="18"/>
    </w:rPr>
  </w:style>
  <w:style w:type="character" w:customStyle="1" w:styleId="370">
    <w:name w:val="正文文本缩进 2 Char1"/>
    <w:qFormat/>
    <w:uiPriority w:val="99"/>
    <w:rPr>
      <w:rFonts w:ascii="Times New Roman" w:hAnsi="Times New Roman" w:eastAsia="宋体" w:cs="Times New Roman"/>
      <w:szCs w:val="24"/>
    </w:rPr>
  </w:style>
  <w:style w:type="character" w:customStyle="1" w:styleId="371">
    <w:name w:val="脚注文本 Char1"/>
    <w:qFormat/>
    <w:uiPriority w:val="99"/>
    <w:rPr>
      <w:rFonts w:ascii="Times New Roman" w:hAnsi="Times New Roman" w:eastAsia="宋体" w:cs="Times New Roman"/>
      <w:sz w:val="18"/>
      <w:szCs w:val="18"/>
    </w:rPr>
  </w:style>
  <w:style w:type="character" w:customStyle="1" w:styleId="372">
    <w:name w:val="文档结构图 Char1"/>
    <w:semiHidden/>
    <w:qFormat/>
    <w:uiPriority w:val="99"/>
    <w:rPr>
      <w:rFonts w:ascii="宋体" w:hAnsi="Times New Roman" w:eastAsia="宋体" w:cs="Times New Roman"/>
      <w:sz w:val="18"/>
      <w:szCs w:val="18"/>
    </w:rPr>
  </w:style>
  <w:style w:type="paragraph" w:customStyle="1" w:styleId="373">
    <w:name w:val="font8"/>
    <w:basedOn w:val="1"/>
    <w:qFormat/>
    <w:uiPriority w:val="0"/>
    <w:pPr>
      <w:widowControl/>
      <w:spacing w:before="100" w:beforeAutospacing="1" w:after="100" w:afterAutospacing="1"/>
      <w:jc w:val="left"/>
    </w:pPr>
    <w:rPr>
      <w:rFonts w:hint="eastAsia" w:ascii="仿宋_GB2312" w:hAnsi="宋体" w:eastAsia="仿宋_GB2312"/>
      <w:b w:val="0"/>
      <w:color w:val="000000"/>
      <w:kern w:val="0"/>
      <w:sz w:val="18"/>
      <w:szCs w:val="18"/>
    </w:rPr>
  </w:style>
  <w:style w:type="character" w:customStyle="1" w:styleId="374">
    <w:name w:val="正文文本缩进 3 Char1"/>
    <w:qFormat/>
    <w:uiPriority w:val="99"/>
    <w:rPr>
      <w:rFonts w:ascii="Times New Roman" w:hAnsi="Times New Roman" w:eastAsia="宋体" w:cs="Times New Roman"/>
      <w:sz w:val="16"/>
      <w:szCs w:val="16"/>
    </w:rPr>
  </w:style>
  <w:style w:type="character" w:customStyle="1" w:styleId="375">
    <w:name w:val="页眉 Char1"/>
    <w:qFormat/>
    <w:uiPriority w:val="99"/>
    <w:rPr>
      <w:rFonts w:ascii="Times New Roman" w:hAnsi="Times New Roman" w:eastAsia="宋体" w:cs="Times New Roman"/>
      <w:sz w:val="18"/>
      <w:szCs w:val="18"/>
    </w:rPr>
  </w:style>
  <w:style w:type="paragraph" w:customStyle="1" w:styleId="376">
    <w:name w:val="font7"/>
    <w:basedOn w:val="1"/>
    <w:qFormat/>
    <w:uiPriority w:val="0"/>
    <w:pPr>
      <w:widowControl/>
      <w:spacing w:before="100" w:beforeAutospacing="1" w:after="100" w:afterAutospacing="1"/>
      <w:jc w:val="left"/>
    </w:pPr>
    <w:rPr>
      <w:rFonts w:ascii="Times New Roman" w:hAnsi="Times New Roman"/>
      <w:b w:val="0"/>
      <w:kern w:val="0"/>
      <w:sz w:val="24"/>
    </w:rPr>
  </w:style>
  <w:style w:type="character" w:customStyle="1" w:styleId="377">
    <w:name w:val="正文文本 3 Char1"/>
    <w:qFormat/>
    <w:uiPriority w:val="99"/>
    <w:rPr>
      <w:rFonts w:ascii="Times New Roman" w:hAnsi="Times New Roman" w:eastAsia="宋体" w:cs="Times New Roman"/>
      <w:sz w:val="16"/>
      <w:szCs w:val="16"/>
    </w:rPr>
  </w:style>
  <w:style w:type="character" w:customStyle="1" w:styleId="378">
    <w:name w:val="正文首行缩进 Char1"/>
    <w:qFormat/>
    <w:uiPriority w:val="99"/>
    <w:rPr>
      <w:rFonts w:ascii="Times New Roman" w:hAnsi="Times New Roman" w:eastAsia="宋体" w:cs="Times New Roman"/>
      <w:szCs w:val="24"/>
    </w:rPr>
  </w:style>
  <w:style w:type="character" w:customStyle="1" w:styleId="379">
    <w:name w:val="页脚 Char1"/>
    <w:semiHidden/>
    <w:qFormat/>
    <w:uiPriority w:val="99"/>
    <w:rPr>
      <w:rFonts w:ascii="Times New Roman" w:hAnsi="Times New Roman" w:eastAsia="宋体" w:cs="Times New Roman"/>
      <w:sz w:val="18"/>
      <w:szCs w:val="18"/>
    </w:rPr>
  </w:style>
  <w:style w:type="paragraph" w:customStyle="1" w:styleId="380">
    <w:name w:val="节标题"/>
    <w:basedOn w:val="1"/>
    <w:next w:val="381"/>
    <w:qFormat/>
    <w:uiPriority w:val="0"/>
    <w:pPr>
      <w:widowControl/>
      <w:spacing w:line="289" w:lineRule="atLeast"/>
      <w:jc w:val="center"/>
      <w:textAlignment w:val="baseline"/>
    </w:pPr>
    <w:rPr>
      <w:rFonts w:ascii="Times New Roman" w:hAnsi="Times New Roman"/>
      <w:b w:val="0"/>
      <w:color w:val="000000"/>
      <w:kern w:val="0"/>
      <w:sz w:val="28"/>
      <w:szCs w:val="20"/>
      <w:u w:color="000000"/>
    </w:rPr>
  </w:style>
  <w:style w:type="paragraph" w:customStyle="1" w:styleId="381">
    <w:name w:val="小节标题"/>
    <w:basedOn w:val="1"/>
    <w:next w:val="1"/>
    <w:qFormat/>
    <w:uiPriority w:val="0"/>
    <w:pPr>
      <w:widowControl/>
      <w:spacing w:before="175" w:after="102" w:line="351" w:lineRule="atLeast"/>
      <w:textAlignment w:val="baseline"/>
    </w:pPr>
    <w:rPr>
      <w:rFonts w:ascii="Times New Roman" w:hAnsi="Times New Roman" w:eastAsia="黑体"/>
      <w:b w:val="0"/>
      <w:color w:val="000000"/>
      <w:kern w:val="0"/>
      <w:szCs w:val="20"/>
      <w:u w:color="000000"/>
    </w:rPr>
  </w:style>
  <w:style w:type="paragraph" w:customStyle="1" w:styleId="382">
    <w:name w:val="xl28"/>
    <w:basedOn w:val="1"/>
    <w:qFormat/>
    <w:uiPriority w:val="0"/>
    <w:pPr>
      <w:widowControl/>
      <w:spacing w:before="100" w:beforeAutospacing="1" w:after="100" w:afterAutospacing="1"/>
      <w:jc w:val="left"/>
    </w:pPr>
    <w:rPr>
      <w:rFonts w:ascii="Times New Roman" w:hAnsi="Times New Roman"/>
      <w:b w:val="0"/>
      <w:kern w:val="0"/>
      <w:sz w:val="24"/>
    </w:rPr>
  </w:style>
  <w:style w:type="paragraph" w:customStyle="1" w:styleId="383">
    <w:name w:val="Char Char Char Char Char Char Char Char Char Char Char Char Char Char Char Char"/>
    <w:basedOn w:val="1"/>
    <w:qFormat/>
    <w:uiPriority w:val="0"/>
    <w:pPr>
      <w:widowControl/>
      <w:spacing w:line="240" w:lineRule="exact"/>
      <w:jc w:val="left"/>
    </w:pPr>
    <w:rPr>
      <w:rFonts w:ascii="Verdana" w:hAnsi="Verdana"/>
      <w:b w:val="0"/>
      <w:color w:val="000000"/>
      <w:kern w:val="0"/>
      <w:sz w:val="20"/>
      <w:szCs w:val="20"/>
      <w:u w:color="000000"/>
      <w:lang w:eastAsia="en-US"/>
    </w:rPr>
  </w:style>
  <w:style w:type="paragraph" w:customStyle="1" w:styleId="38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bCs/>
      <w:kern w:val="0"/>
      <w:sz w:val="18"/>
      <w:szCs w:val="18"/>
    </w:rPr>
  </w:style>
  <w:style w:type="paragraph" w:customStyle="1" w:styleId="385">
    <w:name w:val="xl25"/>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bCs/>
      <w:kern w:val="0"/>
      <w:sz w:val="18"/>
      <w:szCs w:val="18"/>
    </w:rPr>
  </w:style>
  <w:style w:type="paragraph" w:customStyle="1" w:styleId="386">
    <w:name w:val="文章总标题"/>
    <w:basedOn w:val="1"/>
    <w:next w:val="387"/>
    <w:qFormat/>
    <w:uiPriority w:val="0"/>
    <w:pPr>
      <w:widowControl/>
      <w:spacing w:before="566" w:after="544" w:line="566" w:lineRule="atLeast"/>
      <w:jc w:val="center"/>
      <w:textAlignment w:val="baseline"/>
    </w:pPr>
    <w:rPr>
      <w:rFonts w:ascii="Arial" w:hAnsi="Times New Roman" w:eastAsia="黑体"/>
      <w:b w:val="0"/>
      <w:color w:val="000000"/>
      <w:kern w:val="0"/>
      <w:sz w:val="54"/>
      <w:szCs w:val="20"/>
      <w:u w:color="000000"/>
    </w:rPr>
  </w:style>
  <w:style w:type="paragraph" w:customStyle="1" w:styleId="387">
    <w:name w:val="文章副标题"/>
    <w:basedOn w:val="1"/>
    <w:next w:val="154"/>
    <w:qFormat/>
    <w:uiPriority w:val="0"/>
    <w:pPr>
      <w:widowControl/>
      <w:spacing w:before="187" w:after="175" w:line="374" w:lineRule="atLeast"/>
      <w:jc w:val="center"/>
      <w:textAlignment w:val="baseline"/>
    </w:pPr>
    <w:rPr>
      <w:rFonts w:ascii="Times New Roman" w:hAnsi="Times New Roman"/>
      <w:b w:val="0"/>
      <w:color w:val="000000"/>
      <w:kern w:val="0"/>
      <w:sz w:val="36"/>
      <w:szCs w:val="20"/>
      <w:u w:color="000000"/>
    </w:rPr>
  </w:style>
  <w:style w:type="paragraph" w:customStyle="1" w:styleId="388">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pPr>
    <w:rPr>
      <w:rFonts w:hint="eastAsia" w:ascii="仿宋_GB2312" w:hAnsi="宋体" w:eastAsia="仿宋_GB2312"/>
      <w:b w:val="0"/>
      <w:kern w:val="0"/>
      <w:sz w:val="18"/>
      <w:szCs w:val="18"/>
    </w:rPr>
  </w:style>
  <w:style w:type="paragraph" w:customStyle="1" w:styleId="389">
    <w:name w:val="正文图标题"/>
    <w:next w:val="143"/>
    <w:qFormat/>
    <w:uiPriority w:val="0"/>
    <w:pPr>
      <w:tabs>
        <w:tab w:val="left" w:pos="360"/>
        <w:tab w:val="left" w:pos="720"/>
      </w:tabs>
      <w:spacing w:before="156" w:beforeLines="50" w:after="156" w:afterLines="50"/>
      <w:ind w:left="720" w:hanging="720"/>
      <w:jc w:val="center"/>
    </w:pPr>
    <w:rPr>
      <w:rFonts w:ascii="黑体" w:hAnsi="Times New Roman" w:eastAsia="黑体" w:cs="Times New Roman"/>
      <w:sz w:val="21"/>
      <w:lang w:val="en-US" w:eastAsia="zh-CN" w:bidi="ar-SA"/>
    </w:rPr>
  </w:style>
  <w:style w:type="paragraph" w:customStyle="1" w:styleId="390">
    <w:name w:val="xl27"/>
    <w:basedOn w:val="1"/>
    <w:qFormat/>
    <w:uiPriority w:val="0"/>
    <w:pPr>
      <w:widowControl/>
      <w:pBdr>
        <w:bottom w:val="single" w:color="auto" w:sz="4" w:space="0"/>
        <w:right w:val="single" w:color="auto" w:sz="4" w:space="0"/>
      </w:pBdr>
      <w:spacing w:before="100" w:beforeAutospacing="1" w:after="100" w:afterAutospacing="1"/>
      <w:jc w:val="center"/>
    </w:pPr>
    <w:rPr>
      <w:rFonts w:hint="eastAsia" w:ascii="仿宋_GB2312" w:hAnsi="宋体" w:eastAsia="仿宋_GB2312"/>
      <w:b w:val="0"/>
      <w:kern w:val="0"/>
      <w:sz w:val="18"/>
      <w:szCs w:val="18"/>
    </w:rPr>
  </w:style>
  <w:style w:type="paragraph" w:customStyle="1" w:styleId="391">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hint="eastAsia" w:ascii="仿宋_GB2312" w:hAnsi="宋体" w:eastAsia="仿宋_GB2312"/>
      <w:b w:val="0"/>
      <w:kern w:val="0"/>
      <w:sz w:val="18"/>
      <w:szCs w:val="18"/>
    </w:rPr>
  </w:style>
  <w:style w:type="paragraph" w:customStyle="1" w:styleId="392">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b w:val="0"/>
      <w:kern w:val="0"/>
      <w:sz w:val="18"/>
      <w:szCs w:val="18"/>
    </w:rPr>
  </w:style>
  <w:style w:type="paragraph" w:customStyle="1" w:styleId="393">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pPr>
    <w:rPr>
      <w:rFonts w:hint="eastAsia" w:ascii="仿宋_GB2312" w:hAnsi="宋体" w:eastAsia="仿宋_GB2312"/>
      <w:b w:val="0"/>
      <w:color w:val="000000"/>
      <w:kern w:val="0"/>
      <w:sz w:val="18"/>
      <w:szCs w:val="18"/>
    </w:rPr>
  </w:style>
  <w:style w:type="paragraph" w:customStyle="1" w:styleId="394">
    <w:name w:val="xl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b w:val="0"/>
      <w:color w:val="000000"/>
      <w:kern w:val="0"/>
      <w:sz w:val="18"/>
      <w:szCs w:val="18"/>
    </w:rPr>
  </w:style>
  <w:style w:type="paragraph" w:customStyle="1" w:styleId="395">
    <w:name w:val="xl35"/>
    <w:basedOn w:val="1"/>
    <w:qFormat/>
    <w:uiPriority w:val="0"/>
    <w:pPr>
      <w:widowControl/>
      <w:spacing w:before="100" w:beforeAutospacing="1" w:after="100" w:afterAutospacing="1"/>
      <w:jc w:val="center"/>
    </w:pPr>
    <w:rPr>
      <w:rFonts w:ascii="宋体" w:hAnsi="宋体"/>
      <w:b w:val="0"/>
      <w:color w:val="FF6600"/>
      <w:kern w:val="0"/>
      <w:sz w:val="24"/>
    </w:rPr>
  </w:style>
  <w:style w:type="paragraph" w:customStyle="1" w:styleId="396">
    <w:name w:val="xl36"/>
    <w:basedOn w:val="1"/>
    <w:qFormat/>
    <w:uiPriority w:val="0"/>
    <w:pPr>
      <w:widowControl/>
      <w:pBdr>
        <w:right w:val="single" w:color="auto" w:sz="4" w:space="0"/>
      </w:pBdr>
      <w:spacing w:before="100" w:beforeAutospacing="1" w:after="100" w:afterAutospacing="1"/>
      <w:jc w:val="center"/>
    </w:pPr>
    <w:rPr>
      <w:rFonts w:ascii="Times New Roman" w:hAnsi="Times New Roman"/>
      <w:b w:val="0"/>
      <w:kern w:val="0"/>
      <w:sz w:val="18"/>
      <w:szCs w:val="18"/>
    </w:rPr>
  </w:style>
  <w:style w:type="paragraph" w:customStyle="1" w:styleId="397">
    <w:name w:val="xl37"/>
    <w:basedOn w:val="1"/>
    <w:qFormat/>
    <w:uiPriority w:val="0"/>
    <w:pPr>
      <w:widowControl/>
      <w:pBdr>
        <w:right w:val="single" w:color="auto" w:sz="4" w:space="0"/>
      </w:pBdr>
      <w:spacing w:before="100" w:beforeAutospacing="1" w:after="100" w:afterAutospacing="1"/>
      <w:jc w:val="center"/>
      <w:textAlignment w:val="center"/>
    </w:pPr>
    <w:rPr>
      <w:rFonts w:ascii="Times New Roman" w:hAnsi="Times New Roman"/>
      <w:b w:val="0"/>
      <w:kern w:val="0"/>
      <w:sz w:val="24"/>
    </w:rPr>
  </w:style>
  <w:style w:type="paragraph" w:customStyle="1" w:styleId="398">
    <w:name w:val="目录1"/>
    <w:basedOn w:val="1"/>
    <w:next w:val="1"/>
    <w:qFormat/>
    <w:uiPriority w:val="0"/>
    <w:pPr>
      <w:widowControl/>
      <w:tabs>
        <w:tab w:val="left" w:leader="dot" w:pos="8503"/>
      </w:tabs>
      <w:spacing w:after="102" w:line="215" w:lineRule="atLeast"/>
      <w:ind w:firstLine="419"/>
      <w:jc w:val="left"/>
      <w:textAlignment w:val="baseline"/>
    </w:pPr>
    <w:rPr>
      <w:rFonts w:ascii="Times New Roman" w:hAnsi="Times New Roman"/>
      <w:b w:val="0"/>
      <w:color w:val="000000"/>
      <w:kern w:val="0"/>
      <w:szCs w:val="20"/>
      <w:u w:color="000000"/>
    </w:rPr>
  </w:style>
  <w:style w:type="paragraph" w:customStyle="1" w:styleId="399">
    <w:name w:val="三级无"/>
    <w:basedOn w:val="231"/>
    <w:qFormat/>
    <w:uiPriority w:val="0"/>
    <w:pPr>
      <w:tabs>
        <w:tab w:val="clear" w:pos="992"/>
        <w:tab w:val="clear" w:pos="2100"/>
      </w:tabs>
      <w:ind w:left="0" w:firstLine="0"/>
      <w:jc w:val="left"/>
    </w:pPr>
    <w:rPr>
      <w:szCs w:val="21"/>
    </w:rPr>
  </w:style>
  <w:style w:type="paragraph" w:customStyle="1" w:styleId="400">
    <w:name w:val="二级无"/>
    <w:basedOn w:val="142"/>
    <w:qFormat/>
    <w:uiPriority w:val="0"/>
    <w:pPr>
      <w:widowControl/>
      <w:tabs>
        <w:tab w:val="clear" w:pos="5400"/>
      </w:tabs>
      <w:jc w:val="left"/>
    </w:pPr>
    <w:rPr>
      <w:rFonts w:ascii="宋体" w:hAnsi="Times New Roman" w:eastAsia="宋体"/>
      <w:kern w:val="0"/>
      <w:szCs w:val="21"/>
    </w:rPr>
  </w:style>
  <w:style w:type="paragraph" w:customStyle="1" w:styleId="401">
    <w:name w:val="4"/>
    <w:basedOn w:val="1"/>
    <w:next w:val="35"/>
    <w:qFormat/>
    <w:uiPriority w:val="0"/>
    <w:pPr>
      <w:ind w:firstLine="560" w:firstLineChars="200"/>
    </w:pPr>
    <w:rPr>
      <w:rFonts w:ascii="Times New Roman" w:hAnsi="Times New Roman"/>
      <w:b w:val="0"/>
      <w:sz w:val="28"/>
    </w:rPr>
  </w:style>
  <w:style w:type="paragraph" w:customStyle="1" w:styleId="402">
    <w:name w:val="目录3"/>
    <w:basedOn w:val="1"/>
    <w:next w:val="1"/>
    <w:qFormat/>
    <w:uiPriority w:val="0"/>
    <w:pPr>
      <w:widowControl/>
      <w:tabs>
        <w:tab w:val="left" w:leader="dot" w:pos="8503"/>
      </w:tabs>
      <w:spacing w:line="317" w:lineRule="atLeast"/>
      <w:ind w:left="419" w:firstLine="419"/>
      <w:textAlignment w:val="baseline"/>
    </w:pPr>
    <w:rPr>
      <w:rFonts w:ascii="Times New Roman" w:hAnsi="Times New Roman"/>
      <w:b w:val="0"/>
      <w:color w:val="000000"/>
      <w:kern w:val="0"/>
      <w:szCs w:val="20"/>
      <w:u w:color="000000"/>
    </w:rPr>
  </w:style>
  <w:style w:type="paragraph" w:customStyle="1" w:styleId="403">
    <w:name w:val="发布日期"/>
    <w:qFormat/>
    <w:uiPriority w:val="0"/>
    <w:rPr>
      <w:rFonts w:ascii="Times New Roman" w:hAnsi="Times New Roman" w:eastAsia="黑体" w:cs="Times New Roman"/>
      <w:sz w:val="28"/>
      <w:lang w:val="en-US" w:eastAsia="zh-CN" w:bidi="ar-SA"/>
    </w:rPr>
  </w:style>
  <w:style w:type="paragraph" w:customStyle="1" w:styleId="404">
    <w:name w:val="目录4"/>
    <w:basedOn w:val="1"/>
    <w:next w:val="1"/>
    <w:qFormat/>
    <w:uiPriority w:val="0"/>
    <w:pPr>
      <w:widowControl/>
      <w:tabs>
        <w:tab w:val="left" w:leader="dot" w:pos="8503"/>
      </w:tabs>
      <w:spacing w:line="317" w:lineRule="atLeast"/>
      <w:ind w:left="419" w:firstLine="629"/>
      <w:textAlignment w:val="baseline"/>
    </w:pPr>
    <w:rPr>
      <w:rFonts w:ascii="Times New Roman" w:hAnsi="Times New Roman"/>
      <w:b w:val="0"/>
      <w:color w:val="000000"/>
      <w:kern w:val="0"/>
      <w:szCs w:val="20"/>
      <w:u w:color="000000"/>
    </w:rPr>
  </w:style>
  <w:style w:type="paragraph" w:customStyle="1" w:styleId="405">
    <w:name w:val="封面正文"/>
    <w:qFormat/>
    <w:uiPriority w:val="0"/>
    <w:pPr>
      <w:jc w:val="both"/>
    </w:pPr>
    <w:rPr>
      <w:rFonts w:ascii="Times New Roman" w:hAnsi="Times New Roman" w:eastAsia="宋体" w:cs="Times New Roman"/>
      <w:lang w:val="en-US" w:eastAsia="zh-CN" w:bidi="ar-SA"/>
    </w:rPr>
  </w:style>
  <w:style w:type="paragraph" w:customStyle="1" w:styleId="406">
    <w:name w:val="目录标题"/>
    <w:basedOn w:val="1"/>
    <w:next w:val="1"/>
    <w:qFormat/>
    <w:uiPriority w:val="0"/>
    <w:pPr>
      <w:widowControl/>
      <w:spacing w:before="215" w:after="419" w:line="436" w:lineRule="atLeast"/>
      <w:ind w:firstLine="419"/>
      <w:jc w:val="center"/>
      <w:textAlignment w:val="baseline"/>
    </w:pPr>
    <w:rPr>
      <w:rFonts w:ascii="Arial" w:hAnsi="Times New Roman" w:eastAsia="黑体"/>
      <w:b w:val="0"/>
      <w:color w:val="000000"/>
      <w:spacing w:val="283"/>
      <w:kern w:val="0"/>
      <w:sz w:val="42"/>
      <w:szCs w:val="20"/>
      <w:u w:color="000000"/>
    </w:rPr>
  </w:style>
  <w:style w:type="paragraph" w:customStyle="1" w:styleId="407">
    <w:name w:val="目录2"/>
    <w:basedOn w:val="1"/>
    <w:next w:val="1"/>
    <w:qFormat/>
    <w:uiPriority w:val="0"/>
    <w:pPr>
      <w:widowControl/>
      <w:tabs>
        <w:tab w:val="left" w:leader="dot" w:pos="8503"/>
      </w:tabs>
      <w:spacing w:line="317" w:lineRule="atLeast"/>
      <w:ind w:left="419" w:firstLine="419"/>
      <w:textAlignment w:val="baseline"/>
    </w:pPr>
    <w:rPr>
      <w:rFonts w:ascii="Times New Roman" w:hAnsi="Times New Roman"/>
      <w:b w:val="0"/>
      <w:color w:val="000000"/>
      <w:kern w:val="0"/>
      <w:szCs w:val="20"/>
      <w:u w:color="000000"/>
    </w:rPr>
  </w:style>
  <w:style w:type="paragraph" w:customStyle="1" w:styleId="408">
    <w:name w:val="普通(网站)1"/>
    <w:basedOn w:val="1"/>
    <w:qFormat/>
    <w:uiPriority w:val="0"/>
    <w:pPr>
      <w:widowControl/>
      <w:spacing w:before="100" w:beforeAutospacing="1" w:after="100" w:afterAutospacing="1"/>
      <w:jc w:val="left"/>
    </w:pPr>
    <w:rPr>
      <w:rFonts w:ascii="宋体" w:hAnsi="宋体" w:cs="宋体"/>
      <w:b w:val="0"/>
      <w:kern w:val="0"/>
      <w:sz w:val="24"/>
    </w:rPr>
  </w:style>
  <w:style w:type="paragraph" w:customStyle="1" w:styleId="409">
    <w:name w:val="正文+宋体"/>
    <w:basedOn w:val="59"/>
    <w:qFormat/>
    <w:uiPriority w:val="0"/>
    <w:pPr>
      <w:widowControl/>
      <w:tabs>
        <w:tab w:val="right" w:leader="dot" w:pos="8494"/>
      </w:tabs>
      <w:spacing w:before="0" w:after="0" w:line="280" w:lineRule="exact"/>
      <w:jc w:val="center"/>
    </w:pPr>
    <w:rPr>
      <w:rFonts w:ascii="宋体" w:hAnsi="宋体" w:cs="Times New Roman"/>
      <w:b w:val="0"/>
      <w:bCs w:val="0"/>
      <w:caps w:val="0"/>
      <w:color w:val="000000"/>
      <w:sz w:val="21"/>
      <w:szCs w:val="21"/>
    </w:rPr>
  </w:style>
  <w:style w:type="paragraph" w:customStyle="1" w:styleId="410">
    <w:name w:val="reader-word-layer"/>
    <w:basedOn w:val="1"/>
    <w:qFormat/>
    <w:uiPriority w:val="0"/>
    <w:pPr>
      <w:widowControl/>
      <w:spacing w:before="100" w:beforeAutospacing="1" w:after="100" w:afterAutospacing="1"/>
      <w:jc w:val="left"/>
    </w:pPr>
    <w:rPr>
      <w:rFonts w:ascii="宋体" w:hAnsi="宋体" w:cs="宋体"/>
      <w:b w:val="0"/>
      <w:kern w:val="0"/>
      <w:sz w:val="24"/>
    </w:rPr>
  </w:style>
  <w:style w:type="character" w:customStyle="1" w:styleId="411">
    <w:name w:val="Char Char34"/>
    <w:qFormat/>
    <w:uiPriority w:val="0"/>
    <w:rPr>
      <w:rFonts w:eastAsia="仿宋_GB2312"/>
      <w:b/>
      <w:bCs/>
      <w:kern w:val="2"/>
      <w:sz w:val="28"/>
      <w:szCs w:val="24"/>
      <w:u w:color="FF0000"/>
    </w:rPr>
  </w:style>
  <w:style w:type="character" w:customStyle="1" w:styleId="412">
    <w:name w:val="Char Char53"/>
    <w:qFormat/>
    <w:uiPriority w:val="0"/>
    <w:rPr>
      <w:rFonts w:eastAsia="宋体"/>
      <w:color w:val="000000"/>
      <w:kern w:val="2"/>
      <w:sz w:val="18"/>
      <w:lang w:val="en-US" w:eastAsia="zh-CN" w:bidi="ar-SA"/>
    </w:rPr>
  </w:style>
  <w:style w:type="character" w:customStyle="1" w:styleId="413">
    <w:name w:val="Char Char83"/>
    <w:qFormat/>
    <w:locked/>
    <w:uiPriority w:val="0"/>
    <w:rPr>
      <w:rFonts w:eastAsia="仿宋_GB2312"/>
      <w:b/>
      <w:bCs/>
      <w:kern w:val="2"/>
      <w:sz w:val="28"/>
      <w:szCs w:val="24"/>
      <w:u w:color="FF0000"/>
      <w:lang w:val="en-US" w:eastAsia="zh-CN" w:bidi="ar-SA"/>
    </w:rPr>
  </w:style>
  <w:style w:type="character" w:customStyle="1" w:styleId="414">
    <w:name w:val="Char Char23"/>
    <w:qFormat/>
    <w:uiPriority w:val="0"/>
    <w:rPr>
      <w:rFonts w:eastAsia="宋体"/>
      <w:b/>
      <w:kern w:val="2"/>
      <w:sz w:val="28"/>
      <w:lang w:val="en-US" w:eastAsia="zh-CN" w:bidi="ar-SA"/>
    </w:rPr>
  </w:style>
  <w:style w:type="character" w:customStyle="1" w:styleId="415">
    <w:name w:val="Char Char43"/>
    <w:qFormat/>
    <w:uiPriority w:val="0"/>
    <w:rPr>
      <w:rFonts w:ascii="Times New Roman" w:hAnsi="Times New Roman" w:eastAsia="宋体"/>
      <w:b/>
      <w:kern w:val="44"/>
      <w:sz w:val="30"/>
    </w:rPr>
  </w:style>
  <w:style w:type="paragraph" w:customStyle="1" w:styleId="416">
    <w:name w:val="正文文本缩进5"/>
    <w:basedOn w:val="1"/>
    <w:qFormat/>
    <w:uiPriority w:val="0"/>
    <w:pPr>
      <w:widowControl/>
      <w:spacing w:line="360" w:lineRule="auto"/>
      <w:ind w:firstLine="570"/>
    </w:pPr>
    <w:rPr>
      <w:rFonts w:ascii="Times New Roman" w:hAnsi="Times New Roman" w:eastAsia="隶书"/>
      <w:b w:val="0"/>
      <w:kern w:val="0"/>
      <w:sz w:val="28"/>
      <w:szCs w:val="20"/>
    </w:rPr>
  </w:style>
  <w:style w:type="table" w:customStyle="1" w:styleId="417">
    <w:name w:val="网格型 712"/>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character" w:customStyle="1" w:styleId="418">
    <w:name w:val="Char Char71"/>
    <w:qFormat/>
    <w:uiPriority w:val="0"/>
    <w:rPr>
      <w:rFonts w:eastAsia="仿宋_GB2312"/>
      <w:b/>
      <w:bCs/>
      <w:kern w:val="2"/>
      <w:sz w:val="28"/>
      <w:szCs w:val="24"/>
      <w:u w:color="FF0000"/>
      <w:lang w:val="en-US" w:eastAsia="zh-CN" w:bidi="ar-SA"/>
    </w:rPr>
  </w:style>
  <w:style w:type="character" w:customStyle="1" w:styleId="419">
    <w:name w:val="Char Char35"/>
    <w:qFormat/>
    <w:uiPriority w:val="0"/>
    <w:rPr>
      <w:rFonts w:eastAsia="仿宋_GB2312"/>
      <w:b/>
      <w:bCs/>
      <w:kern w:val="2"/>
      <w:sz w:val="28"/>
      <w:szCs w:val="24"/>
      <w:u w:color="FF0000"/>
    </w:rPr>
  </w:style>
  <w:style w:type="character" w:customStyle="1" w:styleId="420">
    <w:name w:val="Char Char54"/>
    <w:qFormat/>
    <w:uiPriority w:val="0"/>
    <w:rPr>
      <w:rFonts w:eastAsia="宋体"/>
      <w:color w:val="000000"/>
      <w:kern w:val="2"/>
      <w:sz w:val="18"/>
      <w:lang w:val="en-US" w:eastAsia="zh-CN" w:bidi="ar-SA"/>
    </w:rPr>
  </w:style>
  <w:style w:type="character" w:customStyle="1" w:styleId="421">
    <w:name w:val="Char Char84"/>
    <w:qFormat/>
    <w:locked/>
    <w:uiPriority w:val="0"/>
    <w:rPr>
      <w:rFonts w:eastAsia="仿宋_GB2312"/>
      <w:b/>
      <w:bCs/>
      <w:kern w:val="2"/>
      <w:sz w:val="28"/>
      <w:szCs w:val="24"/>
      <w:u w:color="FF0000"/>
      <w:lang w:val="en-US" w:eastAsia="zh-CN" w:bidi="ar-SA"/>
    </w:rPr>
  </w:style>
  <w:style w:type="character" w:customStyle="1" w:styleId="422">
    <w:name w:val="Char Char24"/>
    <w:qFormat/>
    <w:uiPriority w:val="0"/>
    <w:rPr>
      <w:rFonts w:eastAsia="宋体"/>
      <w:b/>
      <w:kern w:val="2"/>
      <w:sz w:val="28"/>
      <w:lang w:val="en-US" w:eastAsia="zh-CN" w:bidi="ar-SA"/>
    </w:rPr>
  </w:style>
  <w:style w:type="character" w:customStyle="1" w:styleId="423">
    <w:name w:val="Char Char44"/>
    <w:qFormat/>
    <w:uiPriority w:val="0"/>
    <w:rPr>
      <w:rFonts w:ascii="Times New Roman" w:hAnsi="Times New Roman" w:eastAsia="宋体"/>
      <w:b/>
      <w:kern w:val="44"/>
      <w:sz w:val="30"/>
    </w:rPr>
  </w:style>
  <w:style w:type="paragraph" w:customStyle="1" w:styleId="424">
    <w:name w:val="正文文本缩进6"/>
    <w:basedOn w:val="1"/>
    <w:qFormat/>
    <w:uiPriority w:val="0"/>
    <w:pPr>
      <w:widowControl/>
      <w:spacing w:line="360" w:lineRule="auto"/>
      <w:ind w:firstLine="570"/>
    </w:pPr>
    <w:rPr>
      <w:rFonts w:ascii="Times New Roman" w:hAnsi="Times New Roman" w:eastAsia="隶书"/>
      <w:b w:val="0"/>
      <w:kern w:val="0"/>
      <w:sz w:val="28"/>
      <w:szCs w:val="20"/>
    </w:rPr>
  </w:style>
  <w:style w:type="table" w:customStyle="1" w:styleId="425">
    <w:name w:val="网格型 713"/>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character" w:customStyle="1" w:styleId="426">
    <w:name w:val="Char Char72"/>
    <w:qFormat/>
    <w:uiPriority w:val="0"/>
    <w:rPr>
      <w:rFonts w:eastAsia="仿宋_GB2312"/>
      <w:b/>
      <w:bCs/>
      <w:kern w:val="2"/>
      <w:sz w:val="28"/>
      <w:szCs w:val="24"/>
      <w:u w:color="FF0000"/>
      <w:lang w:val="en-US" w:eastAsia="zh-CN" w:bidi="ar-SA"/>
    </w:rPr>
  </w:style>
  <w:style w:type="character" w:customStyle="1" w:styleId="427">
    <w:name w:val="Char Char36"/>
    <w:qFormat/>
    <w:uiPriority w:val="0"/>
    <w:rPr>
      <w:rFonts w:eastAsia="仿宋_GB2312"/>
      <w:b/>
      <w:bCs/>
      <w:kern w:val="2"/>
      <w:sz w:val="28"/>
      <w:szCs w:val="24"/>
      <w:u w:color="FF0000"/>
    </w:rPr>
  </w:style>
  <w:style w:type="character" w:customStyle="1" w:styleId="428">
    <w:name w:val="Char Char55"/>
    <w:qFormat/>
    <w:uiPriority w:val="0"/>
    <w:rPr>
      <w:rFonts w:eastAsia="宋体"/>
      <w:color w:val="000000"/>
      <w:kern w:val="2"/>
      <w:sz w:val="18"/>
      <w:lang w:val="en-US" w:eastAsia="zh-CN" w:bidi="ar-SA"/>
    </w:rPr>
  </w:style>
  <w:style w:type="character" w:customStyle="1" w:styleId="429">
    <w:name w:val="Char Char85"/>
    <w:qFormat/>
    <w:locked/>
    <w:uiPriority w:val="0"/>
    <w:rPr>
      <w:rFonts w:eastAsia="仿宋_GB2312"/>
      <w:b/>
      <w:bCs/>
      <w:kern w:val="2"/>
      <w:sz w:val="28"/>
      <w:szCs w:val="24"/>
      <w:u w:color="FF0000"/>
      <w:lang w:val="en-US" w:eastAsia="zh-CN" w:bidi="ar-SA"/>
    </w:rPr>
  </w:style>
  <w:style w:type="character" w:customStyle="1" w:styleId="430">
    <w:name w:val="Char Char25"/>
    <w:qFormat/>
    <w:uiPriority w:val="0"/>
    <w:rPr>
      <w:rFonts w:eastAsia="宋体"/>
      <w:b/>
      <w:kern w:val="2"/>
      <w:sz w:val="28"/>
      <w:lang w:val="en-US" w:eastAsia="zh-CN" w:bidi="ar-SA"/>
    </w:rPr>
  </w:style>
  <w:style w:type="character" w:customStyle="1" w:styleId="431">
    <w:name w:val="Char Char45"/>
    <w:qFormat/>
    <w:uiPriority w:val="0"/>
    <w:rPr>
      <w:rFonts w:ascii="Times New Roman" w:hAnsi="Times New Roman" w:eastAsia="宋体"/>
      <w:b/>
      <w:kern w:val="44"/>
      <w:sz w:val="30"/>
    </w:rPr>
  </w:style>
  <w:style w:type="paragraph" w:customStyle="1" w:styleId="432">
    <w:name w:val="正文文本缩进7"/>
    <w:basedOn w:val="1"/>
    <w:qFormat/>
    <w:uiPriority w:val="0"/>
    <w:pPr>
      <w:widowControl/>
      <w:spacing w:line="360" w:lineRule="auto"/>
      <w:ind w:firstLine="570"/>
    </w:pPr>
    <w:rPr>
      <w:rFonts w:ascii="Times New Roman" w:hAnsi="Times New Roman" w:eastAsia="隶书"/>
      <w:b w:val="0"/>
      <w:kern w:val="0"/>
      <w:sz w:val="28"/>
      <w:szCs w:val="20"/>
    </w:rPr>
  </w:style>
  <w:style w:type="table" w:customStyle="1" w:styleId="433">
    <w:name w:val="网格型 714"/>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character" w:customStyle="1" w:styleId="434">
    <w:name w:val="Char Char73"/>
    <w:qFormat/>
    <w:uiPriority w:val="0"/>
    <w:rPr>
      <w:rFonts w:eastAsia="仿宋_GB2312"/>
      <w:b/>
      <w:bCs/>
      <w:kern w:val="2"/>
      <w:sz w:val="28"/>
      <w:szCs w:val="24"/>
      <w:u w:color="FF0000"/>
      <w:lang w:val="en-US" w:eastAsia="zh-CN" w:bidi="ar-SA"/>
    </w:rPr>
  </w:style>
  <w:style w:type="character" w:customStyle="1" w:styleId="435">
    <w:name w:val="Char Char37"/>
    <w:qFormat/>
    <w:uiPriority w:val="0"/>
    <w:rPr>
      <w:rFonts w:eastAsia="仿宋_GB2312"/>
      <w:b/>
      <w:bCs/>
      <w:kern w:val="2"/>
      <w:sz w:val="28"/>
      <w:szCs w:val="24"/>
      <w:u w:color="FF0000"/>
    </w:rPr>
  </w:style>
  <w:style w:type="character" w:customStyle="1" w:styleId="436">
    <w:name w:val="Char Char56"/>
    <w:qFormat/>
    <w:uiPriority w:val="0"/>
    <w:rPr>
      <w:rFonts w:eastAsia="宋体"/>
      <w:color w:val="000000"/>
      <w:kern w:val="2"/>
      <w:sz w:val="18"/>
      <w:lang w:val="en-US" w:eastAsia="zh-CN" w:bidi="ar-SA"/>
    </w:rPr>
  </w:style>
  <w:style w:type="character" w:customStyle="1" w:styleId="437">
    <w:name w:val="Char Char86"/>
    <w:qFormat/>
    <w:locked/>
    <w:uiPriority w:val="0"/>
    <w:rPr>
      <w:rFonts w:eastAsia="仿宋_GB2312"/>
      <w:b/>
      <w:bCs/>
      <w:kern w:val="2"/>
      <w:sz w:val="28"/>
      <w:szCs w:val="24"/>
      <w:u w:color="FF0000"/>
      <w:lang w:val="en-US" w:eastAsia="zh-CN" w:bidi="ar-SA"/>
    </w:rPr>
  </w:style>
  <w:style w:type="character" w:customStyle="1" w:styleId="438">
    <w:name w:val="Char Char26"/>
    <w:qFormat/>
    <w:uiPriority w:val="0"/>
    <w:rPr>
      <w:rFonts w:eastAsia="宋体"/>
      <w:b/>
      <w:kern w:val="2"/>
      <w:sz w:val="28"/>
      <w:lang w:val="en-US" w:eastAsia="zh-CN" w:bidi="ar-SA"/>
    </w:rPr>
  </w:style>
  <w:style w:type="character" w:customStyle="1" w:styleId="439">
    <w:name w:val="Char Char46"/>
    <w:qFormat/>
    <w:uiPriority w:val="0"/>
    <w:rPr>
      <w:rFonts w:ascii="Times New Roman" w:hAnsi="Times New Roman" w:eastAsia="宋体"/>
      <w:b/>
      <w:kern w:val="44"/>
      <w:sz w:val="30"/>
    </w:rPr>
  </w:style>
  <w:style w:type="paragraph" w:customStyle="1" w:styleId="440">
    <w:name w:val="正文文本缩进8"/>
    <w:basedOn w:val="1"/>
    <w:qFormat/>
    <w:uiPriority w:val="0"/>
    <w:pPr>
      <w:widowControl/>
      <w:spacing w:line="360" w:lineRule="auto"/>
      <w:ind w:firstLine="570"/>
    </w:pPr>
    <w:rPr>
      <w:rFonts w:ascii="Times New Roman" w:hAnsi="Times New Roman" w:eastAsia="隶书"/>
      <w:b w:val="0"/>
      <w:kern w:val="0"/>
      <w:sz w:val="28"/>
      <w:szCs w:val="20"/>
    </w:rPr>
  </w:style>
  <w:style w:type="table" w:customStyle="1" w:styleId="441">
    <w:name w:val="网格型 715"/>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character" w:customStyle="1" w:styleId="442">
    <w:name w:val="Char Char74"/>
    <w:qFormat/>
    <w:uiPriority w:val="0"/>
    <w:rPr>
      <w:rFonts w:eastAsia="仿宋_GB2312"/>
      <w:b/>
      <w:bCs/>
      <w:kern w:val="2"/>
      <w:sz w:val="28"/>
      <w:szCs w:val="24"/>
      <w:u w:color="FF0000"/>
      <w:lang w:val="en-US" w:eastAsia="zh-CN" w:bidi="ar-SA"/>
    </w:rPr>
  </w:style>
  <w:style w:type="character" w:customStyle="1" w:styleId="443">
    <w:name w:val="纯文本 Char2"/>
    <w:qFormat/>
    <w:uiPriority w:val="99"/>
    <w:rPr>
      <w:rFonts w:ascii="宋体" w:hAnsi="Courier New" w:cs="Courier New"/>
      <w:kern w:val="2"/>
      <w:sz w:val="21"/>
      <w:szCs w:val="21"/>
    </w:rPr>
  </w:style>
  <w:style w:type="character" w:customStyle="1" w:styleId="444">
    <w:name w:val="正文文本 Char2"/>
    <w:semiHidden/>
    <w:qFormat/>
    <w:uiPriority w:val="99"/>
    <w:rPr>
      <w:kern w:val="2"/>
      <w:sz w:val="21"/>
      <w:szCs w:val="24"/>
    </w:rPr>
  </w:style>
  <w:style w:type="table" w:customStyle="1" w:styleId="445">
    <w:name w:val="网格型 72"/>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46">
    <w:name w:val="网格型 711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47">
    <w:name w:val="网格型 716"/>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character" w:customStyle="1" w:styleId="448">
    <w:name w:val="Char Char38"/>
    <w:qFormat/>
    <w:uiPriority w:val="0"/>
    <w:rPr>
      <w:rFonts w:eastAsia="仿宋_GB2312"/>
      <w:b/>
      <w:bCs/>
      <w:kern w:val="2"/>
      <w:sz w:val="28"/>
      <w:szCs w:val="24"/>
      <w:u w:color="FF0000"/>
    </w:rPr>
  </w:style>
  <w:style w:type="character" w:customStyle="1" w:styleId="449">
    <w:name w:val="Char Char57"/>
    <w:qFormat/>
    <w:uiPriority w:val="0"/>
    <w:rPr>
      <w:rFonts w:eastAsia="宋体"/>
      <w:color w:val="000000"/>
      <w:kern w:val="2"/>
      <w:sz w:val="18"/>
      <w:lang w:val="en-US" w:eastAsia="zh-CN" w:bidi="ar-SA"/>
    </w:rPr>
  </w:style>
  <w:style w:type="character" w:customStyle="1" w:styleId="450">
    <w:name w:val="Char Char87"/>
    <w:qFormat/>
    <w:locked/>
    <w:uiPriority w:val="0"/>
    <w:rPr>
      <w:rFonts w:eastAsia="仿宋_GB2312"/>
      <w:b/>
      <w:bCs/>
      <w:kern w:val="2"/>
      <w:sz w:val="28"/>
      <w:szCs w:val="24"/>
      <w:u w:color="FF0000"/>
      <w:lang w:val="en-US" w:eastAsia="zh-CN" w:bidi="ar-SA"/>
    </w:rPr>
  </w:style>
  <w:style w:type="character" w:customStyle="1" w:styleId="451">
    <w:name w:val="Char Char27"/>
    <w:qFormat/>
    <w:uiPriority w:val="0"/>
    <w:rPr>
      <w:rFonts w:eastAsia="宋体"/>
      <w:b/>
      <w:kern w:val="2"/>
      <w:sz w:val="28"/>
      <w:lang w:val="en-US" w:eastAsia="zh-CN" w:bidi="ar-SA"/>
    </w:rPr>
  </w:style>
  <w:style w:type="character" w:customStyle="1" w:styleId="452">
    <w:name w:val="Char Char47"/>
    <w:qFormat/>
    <w:uiPriority w:val="0"/>
    <w:rPr>
      <w:rFonts w:ascii="Times New Roman" w:hAnsi="Times New Roman" w:eastAsia="宋体"/>
      <w:b/>
      <w:kern w:val="44"/>
      <w:sz w:val="30"/>
    </w:rPr>
  </w:style>
  <w:style w:type="paragraph" w:customStyle="1" w:styleId="453">
    <w:name w:val="正文文本缩进9"/>
    <w:basedOn w:val="1"/>
    <w:qFormat/>
    <w:uiPriority w:val="0"/>
    <w:pPr>
      <w:widowControl/>
      <w:spacing w:line="360" w:lineRule="auto"/>
      <w:ind w:firstLine="570"/>
    </w:pPr>
    <w:rPr>
      <w:rFonts w:ascii="Times New Roman" w:hAnsi="Times New Roman" w:eastAsia="隶书"/>
      <w:b w:val="0"/>
      <w:kern w:val="0"/>
      <w:sz w:val="28"/>
      <w:szCs w:val="20"/>
    </w:rPr>
  </w:style>
  <w:style w:type="table" w:customStyle="1" w:styleId="454">
    <w:name w:val="网格型 717"/>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character" w:customStyle="1" w:styleId="455">
    <w:name w:val="Char Char75"/>
    <w:qFormat/>
    <w:uiPriority w:val="0"/>
    <w:rPr>
      <w:rFonts w:eastAsia="仿宋_GB2312"/>
      <w:b/>
      <w:bCs/>
      <w:kern w:val="2"/>
      <w:sz w:val="28"/>
      <w:szCs w:val="24"/>
      <w:u w:color="FF0000"/>
      <w:lang w:val="en-US" w:eastAsia="zh-CN" w:bidi="ar-SA"/>
    </w:rPr>
  </w:style>
  <w:style w:type="table" w:customStyle="1" w:styleId="456">
    <w:name w:val="网格型 718"/>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57">
    <w:name w:val="网格型 73"/>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58">
    <w:name w:val="网格型 7112"/>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59">
    <w:name w:val="网格型 72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bottom w:val="single" w:color="000000" w:sz="12" w:space="0"/>
          <w:tl2br w:val="nil"/>
          <w:tr2bl w:val="nil"/>
        </w:tcBorders>
      </w:tcPr>
    </w:tblStylePr>
    <w:tblStylePr w:type="lastRow">
      <w:rPr>
        <w:b w:val="0"/>
        <w:bCs w:val="0"/>
      </w:rPr>
      <w:tcPr>
        <w:tcBorders>
          <w:top w:val="single" w:color="000000" w:sz="6" w:space="0"/>
          <w:tl2br w:val="nil"/>
          <w:tr2bl w:val="nil"/>
        </w:tcBorders>
      </w:tcPr>
    </w:tblStylePr>
    <w:tblStylePr w:type="firstCol">
      <w:rPr>
        <w:b w:val="0"/>
        <w:bCs w:val="0"/>
      </w:rPr>
      <w:tcPr>
        <w:tcBorders>
          <w:tl2br w:val="nil"/>
          <w:tr2bl w:val="nil"/>
        </w:tcBorders>
      </w:tcPr>
    </w:tblStylePr>
    <w:tblStylePr w:type="lastCol">
      <w:rPr>
        <w:b w:val="0"/>
        <w:bCs w:val="0"/>
      </w:rPr>
      <w:tcPr>
        <w:tcBorders>
          <w:tl2br w:val="nil"/>
          <w:tr2bl w:val="nil"/>
        </w:tcBorders>
      </w:tcPr>
    </w:tblStylePr>
    <w:tblStylePr w:type="nwCell">
      <w:tcPr>
        <w:tcBorders>
          <w:tl2br w:val="single" w:color="000000" w:sz="6" w:space="0"/>
          <w:tr2bl w:val="nil"/>
        </w:tcBorders>
      </w:tcPr>
    </w:tblStylePr>
  </w:style>
  <w:style w:type="table" w:customStyle="1" w:styleId="460">
    <w:name w:val="网格型 7111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bottom w:val="single" w:color="000000" w:sz="12" w:space="0"/>
          <w:tl2br w:val="nil"/>
          <w:tr2bl w:val="nil"/>
        </w:tcBorders>
      </w:tcPr>
    </w:tblStylePr>
    <w:tblStylePr w:type="lastRow">
      <w:rPr>
        <w:b w:val="0"/>
        <w:bCs w:val="0"/>
      </w:rPr>
      <w:tcPr>
        <w:tcBorders>
          <w:top w:val="single" w:color="000000" w:sz="6" w:space="0"/>
          <w:tl2br w:val="nil"/>
          <w:tr2bl w:val="nil"/>
        </w:tcBorders>
      </w:tcPr>
    </w:tblStylePr>
    <w:tblStylePr w:type="firstCol">
      <w:rPr>
        <w:b w:val="0"/>
        <w:bCs w:val="0"/>
      </w:rPr>
      <w:tcPr>
        <w:tcBorders>
          <w:tl2br w:val="nil"/>
          <w:tr2bl w:val="nil"/>
        </w:tcBorders>
      </w:tcPr>
    </w:tblStylePr>
    <w:tblStylePr w:type="lastCol">
      <w:rPr>
        <w:b w:val="0"/>
        <w:bCs w:val="0"/>
      </w:rPr>
      <w:tcPr>
        <w:tcBorders>
          <w:tl2br w:val="nil"/>
          <w:tr2bl w:val="nil"/>
        </w:tcBorders>
      </w:tcPr>
    </w:tblStylePr>
    <w:tblStylePr w:type="nwCell">
      <w:tcPr>
        <w:tcBorders>
          <w:tl2br w:val="single" w:color="000000" w:sz="6" w:space="0"/>
          <w:tr2bl w:val="nil"/>
        </w:tcBorders>
      </w:tcPr>
    </w:tblStylePr>
  </w:style>
  <w:style w:type="table" w:customStyle="1" w:styleId="461">
    <w:name w:val="网格型 721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62">
    <w:name w:val="网格型 71111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63">
    <w:name w:val="网格型 712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64">
    <w:name w:val="网格型 74"/>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65">
    <w:name w:val="网格型 7113"/>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66">
    <w:name w:val="网格型 722"/>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bottom w:val="single" w:color="000000" w:sz="12" w:space="0"/>
          <w:tl2br w:val="nil"/>
          <w:tr2bl w:val="nil"/>
        </w:tcBorders>
      </w:tcPr>
    </w:tblStylePr>
    <w:tblStylePr w:type="lastRow">
      <w:rPr>
        <w:b w:val="0"/>
        <w:bCs w:val="0"/>
      </w:rPr>
      <w:tcPr>
        <w:tcBorders>
          <w:top w:val="single" w:color="000000" w:sz="6" w:space="0"/>
          <w:tl2br w:val="nil"/>
          <w:tr2bl w:val="nil"/>
        </w:tcBorders>
      </w:tcPr>
    </w:tblStylePr>
    <w:tblStylePr w:type="firstCol">
      <w:rPr>
        <w:b w:val="0"/>
        <w:bCs w:val="0"/>
      </w:rPr>
      <w:tcPr>
        <w:tcBorders>
          <w:tl2br w:val="nil"/>
          <w:tr2bl w:val="nil"/>
        </w:tcBorders>
      </w:tcPr>
    </w:tblStylePr>
    <w:tblStylePr w:type="lastCol">
      <w:rPr>
        <w:b w:val="0"/>
        <w:bCs w:val="0"/>
      </w:rPr>
      <w:tcPr>
        <w:tcBorders>
          <w:tl2br w:val="nil"/>
          <w:tr2bl w:val="nil"/>
        </w:tcBorders>
      </w:tcPr>
    </w:tblStylePr>
    <w:tblStylePr w:type="nwCell">
      <w:tcPr>
        <w:tcBorders>
          <w:tl2br w:val="single" w:color="000000" w:sz="6" w:space="0"/>
          <w:tr2bl w:val="nil"/>
        </w:tcBorders>
      </w:tcPr>
    </w:tblStylePr>
  </w:style>
  <w:style w:type="table" w:customStyle="1" w:styleId="467">
    <w:name w:val="网格型 71112"/>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bottom w:val="single" w:color="000000" w:sz="12" w:space="0"/>
          <w:tl2br w:val="nil"/>
          <w:tr2bl w:val="nil"/>
        </w:tcBorders>
      </w:tcPr>
    </w:tblStylePr>
    <w:tblStylePr w:type="lastRow">
      <w:rPr>
        <w:b w:val="0"/>
        <w:bCs w:val="0"/>
      </w:rPr>
      <w:tcPr>
        <w:tcBorders>
          <w:top w:val="single" w:color="000000" w:sz="6" w:space="0"/>
          <w:tl2br w:val="nil"/>
          <w:tr2bl w:val="nil"/>
        </w:tcBorders>
      </w:tcPr>
    </w:tblStylePr>
    <w:tblStylePr w:type="firstCol">
      <w:rPr>
        <w:b w:val="0"/>
        <w:bCs w:val="0"/>
      </w:rPr>
      <w:tcPr>
        <w:tcBorders>
          <w:tl2br w:val="nil"/>
          <w:tr2bl w:val="nil"/>
        </w:tcBorders>
      </w:tcPr>
    </w:tblStylePr>
    <w:tblStylePr w:type="lastCol">
      <w:rPr>
        <w:b w:val="0"/>
        <w:bCs w:val="0"/>
      </w:rPr>
      <w:tcPr>
        <w:tcBorders>
          <w:tl2br w:val="nil"/>
          <w:tr2bl w:val="nil"/>
        </w:tcBorders>
      </w:tcPr>
    </w:tblStylePr>
    <w:tblStylePr w:type="nwCell">
      <w:tcPr>
        <w:tcBorders>
          <w:tl2br w:val="single" w:color="000000" w:sz="6" w:space="0"/>
          <w:tr2bl w:val="nil"/>
        </w:tcBorders>
      </w:tcPr>
    </w:tblStylePr>
  </w:style>
  <w:style w:type="table" w:customStyle="1" w:styleId="468">
    <w:name w:val="网格型 7212"/>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69">
    <w:name w:val="网格型 711112"/>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70">
    <w:name w:val="网格型 75"/>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71">
    <w:name w:val="网格型 7114"/>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72">
    <w:name w:val="网格型 723"/>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bottom w:val="single" w:color="000000" w:sz="12" w:space="0"/>
          <w:tl2br w:val="nil"/>
          <w:tr2bl w:val="nil"/>
        </w:tcBorders>
      </w:tcPr>
    </w:tblStylePr>
    <w:tblStylePr w:type="lastRow">
      <w:rPr>
        <w:b w:val="0"/>
        <w:bCs w:val="0"/>
      </w:rPr>
      <w:tcPr>
        <w:tcBorders>
          <w:top w:val="single" w:color="000000" w:sz="6" w:space="0"/>
          <w:tl2br w:val="nil"/>
          <w:tr2bl w:val="nil"/>
        </w:tcBorders>
      </w:tcPr>
    </w:tblStylePr>
    <w:tblStylePr w:type="firstCol">
      <w:rPr>
        <w:b w:val="0"/>
        <w:bCs w:val="0"/>
      </w:rPr>
      <w:tcPr>
        <w:tcBorders>
          <w:tl2br w:val="nil"/>
          <w:tr2bl w:val="nil"/>
        </w:tcBorders>
      </w:tcPr>
    </w:tblStylePr>
    <w:tblStylePr w:type="lastCol">
      <w:rPr>
        <w:b w:val="0"/>
        <w:bCs w:val="0"/>
      </w:rPr>
      <w:tcPr>
        <w:tcBorders>
          <w:tl2br w:val="nil"/>
          <w:tr2bl w:val="nil"/>
        </w:tcBorders>
      </w:tcPr>
    </w:tblStylePr>
    <w:tblStylePr w:type="nwCell">
      <w:tcPr>
        <w:tcBorders>
          <w:tl2br w:val="single" w:color="000000" w:sz="6" w:space="0"/>
          <w:tr2bl w:val="nil"/>
        </w:tcBorders>
      </w:tcPr>
    </w:tblStylePr>
  </w:style>
  <w:style w:type="table" w:customStyle="1" w:styleId="473">
    <w:name w:val="网格型 71113"/>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bottom w:val="single" w:color="000000" w:sz="12" w:space="0"/>
          <w:tl2br w:val="nil"/>
          <w:tr2bl w:val="nil"/>
        </w:tcBorders>
      </w:tcPr>
    </w:tblStylePr>
    <w:tblStylePr w:type="lastRow">
      <w:rPr>
        <w:b w:val="0"/>
        <w:bCs w:val="0"/>
      </w:rPr>
      <w:tcPr>
        <w:tcBorders>
          <w:top w:val="single" w:color="000000" w:sz="6" w:space="0"/>
          <w:tl2br w:val="nil"/>
          <w:tr2bl w:val="nil"/>
        </w:tcBorders>
      </w:tcPr>
    </w:tblStylePr>
    <w:tblStylePr w:type="firstCol">
      <w:rPr>
        <w:b w:val="0"/>
        <w:bCs w:val="0"/>
      </w:rPr>
      <w:tcPr>
        <w:tcBorders>
          <w:tl2br w:val="nil"/>
          <w:tr2bl w:val="nil"/>
        </w:tcBorders>
      </w:tcPr>
    </w:tblStylePr>
    <w:tblStylePr w:type="lastCol">
      <w:rPr>
        <w:b w:val="0"/>
        <w:bCs w:val="0"/>
      </w:rPr>
      <w:tcPr>
        <w:tcBorders>
          <w:tl2br w:val="nil"/>
          <w:tr2bl w:val="nil"/>
        </w:tcBorders>
      </w:tcPr>
    </w:tblStylePr>
    <w:tblStylePr w:type="nwCell">
      <w:tcPr>
        <w:tcBorders>
          <w:tl2br w:val="single" w:color="000000" w:sz="6" w:space="0"/>
          <w:tr2bl w:val="nil"/>
        </w:tcBorders>
      </w:tcPr>
    </w:tblStylePr>
  </w:style>
  <w:style w:type="table" w:customStyle="1" w:styleId="474">
    <w:name w:val="网格型 7213"/>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75">
    <w:name w:val="网格型 711113"/>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76">
    <w:name w:val="网格型 76"/>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77">
    <w:name w:val="网格型 7115"/>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78">
    <w:name w:val="网格型 724"/>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bottom w:val="single" w:color="000000" w:sz="12" w:space="0"/>
          <w:tl2br w:val="nil"/>
          <w:tr2bl w:val="nil"/>
        </w:tcBorders>
      </w:tcPr>
    </w:tblStylePr>
    <w:tblStylePr w:type="lastRow">
      <w:rPr>
        <w:b w:val="0"/>
        <w:bCs w:val="0"/>
      </w:rPr>
      <w:tcPr>
        <w:tcBorders>
          <w:top w:val="single" w:color="000000" w:sz="6" w:space="0"/>
          <w:tl2br w:val="nil"/>
          <w:tr2bl w:val="nil"/>
        </w:tcBorders>
      </w:tcPr>
    </w:tblStylePr>
    <w:tblStylePr w:type="firstCol">
      <w:rPr>
        <w:b w:val="0"/>
        <w:bCs w:val="0"/>
      </w:rPr>
      <w:tcPr>
        <w:tcBorders>
          <w:tl2br w:val="nil"/>
          <w:tr2bl w:val="nil"/>
        </w:tcBorders>
      </w:tcPr>
    </w:tblStylePr>
    <w:tblStylePr w:type="lastCol">
      <w:rPr>
        <w:b w:val="0"/>
        <w:bCs w:val="0"/>
      </w:rPr>
      <w:tcPr>
        <w:tcBorders>
          <w:tl2br w:val="nil"/>
          <w:tr2bl w:val="nil"/>
        </w:tcBorders>
      </w:tcPr>
    </w:tblStylePr>
    <w:tblStylePr w:type="nwCell">
      <w:tcPr>
        <w:tcBorders>
          <w:tl2br w:val="single" w:color="000000" w:sz="6" w:space="0"/>
          <w:tr2bl w:val="nil"/>
        </w:tcBorders>
      </w:tcPr>
    </w:tblStylePr>
  </w:style>
  <w:style w:type="table" w:customStyle="1" w:styleId="479">
    <w:name w:val="网格型 71114"/>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bottom w:val="single" w:color="000000" w:sz="12" w:space="0"/>
          <w:tl2br w:val="nil"/>
          <w:tr2bl w:val="nil"/>
        </w:tcBorders>
      </w:tcPr>
    </w:tblStylePr>
    <w:tblStylePr w:type="lastRow">
      <w:rPr>
        <w:b w:val="0"/>
        <w:bCs w:val="0"/>
      </w:rPr>
      <w:tcPr>
        <w:tcBorders>
          <w:top w:val="single" w:color="000000" w:sz="6" w:space="0"/>
          <w:tl2br w:val="nil"/>
          <w:tr2bl w:val="nil"/>
        </w:tcBorders>
      </w:tcPr>
    </w:tblStylePr>
    <w:tblStylePr w:type="firstCol">
      <w:rPr>
        <w:b w:val="0"/>
        <w:bCs w:val="0"/>
      </w:rPr>
      <w:tcPr>
        <w:tcBorders>
          <w:tl2br w:val="nil"/>
          <w:tr2bl w:val="nil"/>
        </w:tcBorders>
      </w:tcPr>
    </w:tblStylePr>
    <w:tblStylePr w:type="lastCol">
      <w:rPr>
        <w:b w:val="0"/>
        <w:bCs w:val="0"/>
      </w:rPr>
      <w:tcPr>
        <w:tcBorders>
          <w:tl2br w:val="nil"/>
          <w:tr2bl w:val="nil"/>
        </w:tcBorders>
      </w:tcPr>
    </w:tblStylePr>
    <w:tblStylePr w:type="nwCell">
      <w:tcPr>
        <w:tcBorders>
          <w:tl2br w:val="single" w:color="000000" w:sz="6" w:space="0"/>
          <w:tr2bl w:val="nil"/>
        </w:tcBorders>
      </w:tcPr>
    </w:tblStylePr>
  </w:style>
  <w:style w:type="table" w:customStyle="1" w:styleId="480">
    <w:name w:val="网格型 7214"/>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81">
    <w:name w:val="网格型 711114"/>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character" w:customStyle="1" w:styleId="482">
    <w:name w:val="注释标题 Char"/>
    <w:basedOn w:val="91"/>
    <w:link w:val="16"/>
    <w:qFormat/>
    <w:uiPriority w:val="0"/>
    <w:rPr>
      <w:rFonts w:ascii="宋体"/>
      <w:kern w:val="2"/>
      <w:sz w:val="21"/>
    </w:rPr>
  </w:style>
  <w:style w:type="paragraph" w:customStyle="1" w:styleId="483">
    <w:name w:val="11正文"/>
    <w:basedOn w:val="1"/>
    <w:qFormat/>
    <w:uiPriority w:val="0"/>
    <w:pPr>
      <w:spacing w:line="460" w:lineRule="exact"/>
      <w:ind w:firstLine="200" w:firstLineChars="200"/>
    </w:pPr>
    <w:rPr>
      <w:rFonts w:ascii="Times New Roman" w:hAnsi="Times New Roman"/>
      <w:b w:val="0"/>
      <w:bCs/>
      <w:sz w:val="24"/>
    </w:rPr>
  </w:style>
  <w:style w:type="character" w:customStyle="1" w:styleId="484">
    <w:name w:val="font441"/>
    <w:qFormat/>
    <w:uiPriority w:val="0"/>
    <w:rPr>
      <w:rFonts w:hint="eastAsia" w:ascii="仿宋" w:hAnsi="仿宋" w:eastAsia="仿宋" w:cs="仿宋"/>
      <w:color w:val="000000"/>
      <w:sz w:val="22"/>
      <w:szCs w:val="22"/>
      <w:u w:val="none"/>
    </w:rPr>
  </w:style>
  <w:style w:type="character" w:customStyle="1" w:styleId="485">
    <w:name w:val="表格题目 Char"/>
    <w:link w:val="486"/>
    <w:qFormat/>
    <w:uiPriority w:val="0"/>
    <w:rPr>
      <w:rFonts w:eastAsia="黑体"/>
      <w:kern w:val="2"/>
      <w:sz w:val="24"/>
    </w:rPr>
  </w:style>
  <w:style w:type="paragraph" w:customStyle="1" w:styleId="486">
    <w:name w:val="表格题目"/>
    <w:basedOn w:val="1"/>
    <w:link w:val="485"/>
    <w:qFormat/>
    <w:uiPriority w:val="0"/>
    <w:pPr>
      <w:adjustRightInd w:val="0"/>
      <w:snapToGrid w:val="0"/>
      <w:spacing w:line="520" w:lineRule="exact"/>
      <w:jc w:val="center"/>
    </w:pPr>
    <w:rPr>
      <w:rFonts w:ascii="Times New Roman" w:hAnsi="Times New Roman" w:eastAsia="黑体"/>
      <w:b w:val="0"/>
      <w:sz w:val="24"/>
      <w:szCs w:val="20"/>
    </w:rPr>
  </w:style>
  <w:style w:type="character" w:customStyle="1" w:styleId="487">
    <w:name w:val="b a Char"/>
    <w:link w:val="488"/>
    <w:qFormat/>
    <w:uiPriority w:val="0"/>
    <w:rPr>
      <w:kern w:val="2"/>
      <w:sz w:val="28"/>
    </w:rPr>
  </w:style>
  <w:style w:type="paragraph" w:customStyle="1" w:styleId="488">
    <w:name w:val="b a"/>
    <w:basedOn w:val="1"/>
    <w:link w:val="487"/>
    <w:qFormat/>
    <w:uiPriority w:val="0"/>
    <w:pPr>
      <w:adjustRightInd w:val="0"/>
      <w:snapToGrid w:val="0"/>
      <w:spacing w:line="520" w:lineRule="exact"/>
      <w:ind w:firstLine="200" w:firstLineChars="200"/>
    </w:pPr>
    <w:rPr>
      <w:rFonts w:ascii="Times New Roman" w:hAnsi="Times New Roman"/>
      <w:b w:val="0"/>
      <w:sz w:val="28"/>
      <w:szCs w:val="20"/>
    </w:rPr>
  </w:style>
  <w:style w:type="character" w:customStyle="1" w:styleId="489">
    <w:name w:val="报告正文 Char Char"/>
    <w:link w:val="490"/>
    <w:qFormat/>
    <w:uiPriority w:val="0"/>
    <w:rPr>
      <w:rFonts w:ascii="宋体" w:hAnsi="宋体"/>
      <w:kern w:val="2"/>
      <w:sz w:val="24"/>
      <w:szCs w:val="24"/>
    </w:rPr>
  </w:style>
  <w:style w:type="paragraph" w:customStyle="1" w:styleId="490">
    <w:name w:val="报告正文 Char"/>
    <w:basedOn w:val="1"/>
    <w:link w:val="489"/>
    <w:qFormat/>
    <w:uiPriority w:val="0"/>
    <w:pPr>
      <w:spacing w:line="360" w:lineRule="auto"/>
      <w:ind w:firstLine="480" w:firstLineChars="200"/>
    </w:pPr>
    <w:rPr>
      <w:rFonts w:ascii="宋体" w:hAnsi="宋体"/>
      <w:b w:val="0"/>
      <w:sz w:val="24"/>
    </w:rPr>
  </w:style>
  <w:style w:type="character" w:customStyle="1" w:styleId="491">
    <w:name w:val="font221"/>
    <w:qFormat/>
    <w:uiPriority w:val="0"/>
    <w:rPr>
      <w:rFonts w:hint="default" w:ascii="Times New Roman" w:hAnsi="Times New Roman" w:cs="Times New Roman"/>
      <w:color w:val="000000"/>
      <w:sz w:val="22"/>
      <w:szCs w:val="22"/>
      <w:u w:val="none"/>
    </w:rPr>
  </w:style>
  <w:style w:type="character" w:customStyle="1" w:styleId="492">
    <w:name w:val="段 Char"/>
    <w:link w:val="143"/>
    <w:qFormat/>
    <w:uiPriority w:val="0"/>
    <w:rPr>
      <w:rFonts w:ascii="宋体" w:hAnsi="Calibri"/>
      <w:kern w:val="2"/>
      <w:sz w:val="21"/>
      <w:szCs w:val="24"/>
      <w:u w:color="FF0000"/>
    </w:rPr>
  </w:style>
  <w:style w:type="character" w:customStyle="1" w:styleId="493">
    <w:name w:val="b正文 Char"/>
    <w:link w:val="494"/>
    <w:qFormat/>
    <w:uiPriority w:val="0"/>
    <w:rPr>
      <w:rFonts w:ascii="Arial" w:hAnsi="Arial"/>
      <w:kern w:val="2"/>
      <w:sz w:val="28"/>
      <w:szCs w:val="28"/>
    </w:rPr>
  </w:style>
  <w:style w:type="paragraph" w:customStyle="1" w:styleId="494">
    <w:name w:val="b正文"/>
    <w:basedOn w:val="1"/>
    <w:link w:val="493"/>
    <w:qFormat/>
    <w:uiPriority w:val="0"/>
    <w:pPr>
      <w:adjustRightInd w:val="0"/>
      <w:snapToGrid w:val="0"/>
      <w:spacing w:line="520" w:lineRule="exact"/>
      <w:ind w:firstLine="700" w:firstLineChars="250"/>
    </w:pPr>
    <w:rPr>
      <w:rFonts w:ascii="Arial" w:hAnsi="Arial"/>
      <w:b w:val="0"/>
      <w:sz w:val="28"/>
      <w:szCs w:val="28"/>
    </w:rPr>
  </w:style>
  <w:style w:type="paragraph" w:customStyle="1" w:styleId="495">
    <w:name w:val="Char"/>
    <w:basedOn w:val="1"/>
    <w:qFormat/>
    <w:uiPriority w:val="0"/>
    <w:pPr>
      <w:spacing w:line="360" w:lineRule="auto"/>
      <w:ind w:firstLine="200" w:firstLineChars="200"/>
    </w:pPr>
    <w:rPr>
      <w:rFonts w:ascii="宋体" w:hAnsi="宋体" w:cs="宋体"/>
      <w:b w:val="0"/>
      <w:sz w:val="24"/>
    </w:rPr>
  </w:style>
  <w:style w:type="paragraph" w:customStyle="1" w:styleId="496">
    <w:name w:val="cjh"/>
    <w:basedOn w:val="1"/>
    <w:next w:val="1"/>
    <w:qFormat/>
    <w:uiPriority w:val="0"/>
    <w:pPr>
      <w:keepLines/>
      <w:suppressLineNumbers/>
      <w:suppressAutoHyphens/>
      <w:jc w:val="center"/>
      <w:outlineLvl w:val="0"/>
    </w:pPr>
    <w:rPr>
      <w:rFonts w:ascii="宋体" w:hAnsi="Times New Roman"/>
      <w:b w:val="0"/>
      <w:kern w:val="24"/>
      <w:szCs w:val="20"/>
    </w:rPr>
  </w:style>
  <w:style w:type="paragraph" w:customStyle="1" w:styleId="497">
    <w:name w:val="默认段落字体 Para Char Char Char Char"/>
    <w:basedOn w:val="1"/>
    <w:qFormat/>
    <w:uiPriority w:val="0"/>
    <w:rPr>
      <w:rFonts w:ascii="Times New Roman" w:hAnsi="Times New Roman"/>
      <w:b w:val="0"/>
    </w:rPr>
  </w:style>
  <w:style w:type="paragraph" w:customStyle="1" w:styleId="498">
    <w:name w:val="默认段落字体 Para Char Char Char Char Char Char Char Char Char Char Char"/>
    <w:basedOn w:val="5"/>
    <w:qFormat/>
    <w:uiPriority w:val="0"/>
    <w:pPr>
      <w:widowControl w:val="0"/>
      <w:tabs>
        <w:tab w:val="left" w:pos="360"/>
        <w:tab w:val="left" w:pos="900"/>
      </w:tabs>
      <w:snapToGrid w:val="0"/>
      <w:spacing w:before="120" w:after="120"/>
      <w:ind w:left="542" w:leftChars="-12" w:firstLine="200" w:firstLineChars="200"/>
      <w:jc w:val="both"/>
    </w:pPr>
    <w:rPr>
      <w:rFonts w:ascii="Times New Roman" w:hAnsi="Times New Roman" w:eastAsia="黑体"/>
      <w:b w:val="0"/>
      <w:bCs w:val="0"/>
      <w:szCs w:val="36"/>
    </w:rPr>
  </w:style>
  <w:style w:type="paragraph" w:customStyle="1" w:styleId="499">
    <w:name w:val="样式 标题 3标3Section + 黑色 段前: 0.5 行 段后: 0.5 行"/>
    <w:basedOn w:val="5"/>
    <w:qFormat/>
    <w:uiPriority w:val="0"/>
    <w:pPr>
      <w:keepNext w:val="0"/>
      <w:keepLines w:val="0"/>
      <w:widowControl w:val="0"/>
      <w:snapToGrid w:val="0"/>
      <w:spacing w:line="520" w:lineRule="exact"/>
    </w:pPr>
    <w:rPr>
      <w:rFonts w:ascii="Arial" w:hAnsi="Arial" w:eastAsia="宋体" w:cs="宋体"/>
      <w:color w:val="000000"/>
    </w:rPr>
  </w:style>
  <w:style w:type="paragraph" w:customStyle="1" w:styleId="500">
    <w:name w:val="基准篇眉"/>
    <w:basedOn w:val="1"/>
    <w:qFormat/>
    <w:uiPriority w:val="0"/>
    <w:pPr>
      <w:tabs>
        <w:tab w:val="center" w:pos="3780"/>
        <w:tab w:val="right" w:pos="7560"/>
      </w:tabs>
    </w:pPr>
    <w:rPr>
      <w:rFonts w:ascii="Times New Roman" w:hAnsi="Times New Roman"/>
      <w:b w:val="0"/>
    </w:rPr>
  </w:style>
  <w:style w:type="paragraph" w:customStyle="1" w:styleId="501">
    <w:name w:val="单位名称"/>
    <w:basedOn w:val="34"/>
    <w:qFormat/>
    <w:uiPriority w:val="0"/>
    <w:pPr>
      <w:keepNext/>
      <w:spacing w:before="160"/>
    </w:pPr>
    <w:rPr>
      <w:rFonts w:ascii="Arial" w:hAnsi="Arial"/>
      <w:b/>
      <w:sz w:val="21"/>
      <w:szCs w:val="24"/>
    </w:rPr>
  </w:style>
  <w:style w:type="paragraph" w:customStyle="1" w:styleId="502">
    <w:name w:val="表格样式"/>
    <w:basedOn w:val="1"/>
    <w:qFormat/>
    <w:uiPriority w:val="0"/>
    <w:pPr>
      <w:adjustRightInd w:val="0"/>
      <w:snapToGrid w:val="0"/>
      <w:jc w:val="center"/>
    </w:pPr>
    <w:rPr>
      <w:rFonts w:ascii="Times New Roman" w:hAnsi="Times New Roman"/>
      <w:b w:val="0"/>
      <w:szCs w:val="20"/>
    </w:rPr>
  </w:style>
  <w:style w:type="paragraph" w:customStyle="1" w:styleId="503">
    <w:name w:val="表头b"/>
    <w:basedOn w:val="1"/>
    <w:qFormat/>
    <w:uiPriority w:val="0"/>
    <w:pPr>
      <w:adjustRightInd w:val="0"/>
      <w:snapToGrid w:val="0"/>
      <w:spacing w:line="520" w:lineRule="exact"/>
      <w:ind w:firstLine="482" w:firstLineChars="200"/>
      <w:jc w:val="center"/>
    </w:pPr>
    <w:rPr>
      <w:rFonts w:ascii="宋体" w:hAnsi="宋体"/>
      <w:sz w:val="24"/>
    </w:rPr>
  </w:style>
  <w:style w:type="paragraph" w:customStyle="1" w:styleId="504">
    <w:name w:val="方框"/>
    <w:basedOn w:val="1"/>
    <w:qFormat/>
    <w:uiPriority w:val="0"/>
    <w:pPr>
      <w:widowControl/>
      <w:spacing w:line="240" w:lineRule="atLeast"/>
    </w:pPr>
    <w:rPr>
      <w:rFonts w:ascii="宋体" w:hAnsi="Times New Roman"/>
      <w:b w:val="0"/>
      <w:kern w:val="0"/>
      <w:sz w:val="24"/>
      <w:szCs w:val="20"/>
    </w:rPr>
  </w:style>
  <w:style w:type="paragraph" w:customStyle="1" w:styleId="505">
    <w:name w:val="样式 正文首行缩进正文首行缩进 Char + 段前: 0.5 行"/>
    <w:basedOn w:val="86"/>
    <w:qFormat/>
    <w:uiPriority w:val="0"/>
    <w:pPr>
      <w:spacing w:before="156" w:beforeLines="50" w:after="0" w:line="360" w:lineRule="auto"/>
      <w:ind w:firstLine="567" w:firstLineChars="0"/>
    </w:pPr>
    <w:rPr>
      <w:rFonts w:hAnsi="Times New Roman" w:eastAsia="宋体" w:cs="宋体"/>
      <w:b w:val="0"/>
      <w:sz w:val="28"/>
      <w:szCs w:val="20"/>
    </w:rPr>
  </w:style>
  <w:style w:type="paragraph" w:customStyle="1" w:styleId="506">
    <w:name w:val="正文2"/>
    <w:qFormat/>
    <w:uiPriority w:val="0"/>
    <w:pPr>
      <w:jc w:val="both"/>
    </w:pPr>
    <w:rPr>
      <w:rFonts w:ascii="Times New Roman" w:hAnsi="Times New Roman" w:eastAsia="宋体" w:cs="Times New Roman"/>
      <w:kern w:val="2"/>
      <w:sz w:val="21"/>
      <w:szCs w:val="21"/>
      <w:lang w:val="en-US" w:eastAsia="zh-CN" w:bidi="ar-SA"/>
    </w:rPr>
  </w:style>
  <w:style w:type="paragraph" w:customStyle="1" w:styleId="507">
    <w:name w:val="样式 正文首行缩进 + 段前: 0.5 行"/>
    <w:basedOn w:val="86"/>
    <w:qFormat/>
    <w:uiPriority w:val="0"/>
    <w:pPr>
      <w:spacing w:before="156" w:beforeLines="50" w:after="0" w:line="360" w:lineRule="auto"/>
      <w:ind w:firstLine="567" w:firstLineChars="0"/>
    </w:pPr>
    <w:rPr>
      <w:rFonts w:hAnsi="Times New Roman" w:eastAsia="宋体" w:cs="宋体"/>
      <w:b w:val="0"/>
      <w:sz w:val="28"/>
      <w:szCs w:val="20"/>
    </w:rPr>
  </w:style>
  <w:style w:type="paragraph" w:customStyle="1" w:styleId="508">
    <w:name w:val="图"/>
    <w:basedOn w:val="21"/>
    <w:next w:val="1"/>
    <w:qFormat/>
    <w:uiPriority w:val="0"/>
    <w:pPr>
      <w:widowControl w:val="0"/>
      <w:spacing w:line="240" w:lineRule="auto"/>
      <w:ind w:firstLine="0" w:firstLineChars="0"/>
      <w:jc w:val="center"/>
    </w:pPr>
    <w:rPr>
      <w:rFonts w:ascii="宋体" w:hAnsi="Times New Roman"/>
      <w:b w:val="0"/>
      <w:kern w:val="2"/>
      <w:sz w:val="21"/>
      <w:szCs w:val="21"/>
    </w:rPr>
  </w:style>
  <w:style w:type="paragraph" w:customStyle="1" w:styleId="509">
    <w:name w:val="表格2"/>
    <w:basedOn w:val="1"/>
    <w:qFormat/>
    <w:uiPriority w:val="0"/>
    <w:pPr>
      <w:adjustRightInd w:val="0"/>
      <w:jc w:val="center"/>
      <w:textAlignment w:val="baseline"/>
    </w:pPr>
    <w:rPr>
      <w:rFonts w:ascii="宋体" w:hAnsi="Times New Roman"/>
      <w:b w:val="0"/>
      <w:kern w:val="0"/>
      <w:szCs w:val="20"/>
    </w:rPr>
  </w:style>
  <w:style w:type="paragraph" w:customStyle="1" w:styleId="510">
    <w:name w:val="表格内容b"/>
    <w:basedOn w:val="1"/>
    <w:qFormat/>
    <w:uiPriority w:val="0"/>
    <w:pPr>
      <w:adjustRightInd w:val="0"/>
      <w:snapToGrid w:val="0"/>
      <w:jc w:val="center"/>
    </w:pPr>
    <w:rPr>
      <w:rFonts w:ascii="宋体" w:hAnsi="宋体"/>
      <w:b w:val="0"/>
      <w:szCs w:val="21"/>
    </w:rPr>
  </w:style>
  <w:style w:type="paragraph" w:customStyle="1" w:styleId="511">
    <w:name w:val="表题"/>
    <w:basedOn w:val="1"/>
    <w:next w:val="1"/>
    <w:qFormat/>
    <w:uiPriority w:val="0"/>
    <w:pPr>
      <w:widowControl/>
      <w:overflowPunct w:val="0"/>
      <w:autoSpaceDE w:val="0"/>
      <w:autoSpaceDN w:val="0"/>
      <w:adjustRightInd w:val="0"/>
      <w:spacing w:before="120" w:after="120" w:line="360" w:lineRule="auto"/>
      <w:jc w:val="center"/>
      <w:textAlignment w:val="baseline"/>
    </w:pPr>
    <w:rPr>
      <w:rFonts w:ascii="Times New Roman" w:hAnsi="Times New Roman"/>
      <w:kern w:val="0"/>
      <w:szCs w:val="20"/>
      <w:lang w:val="en-GB"/>
    </w:rPr>
  </w:style>
  <w:style w:type="paragraph" w:customStyle="1" w:styleId="512">
    <w:name w:val="样式 标题 4标题 4 Char +"/>
    <w:basedOn w:val="6"/>
    <w:qFormat/>
    <w:uiPriority w:val="0"/>
    <w:pPr>
      <w:keepNext w:val="0"/>
      <w:keepLines w:val="0"/>
      <w:widowControl w:val="0"/>
      <w:tabs>
        <w:tab w:val="left" w:pos="1440"/>
      </w:tabs>
      <w:spacing w:before="0" w:after="0" w:line="240" w:lineRule="auto"/>
      <w:ind w:left="-567" w:firstLine="567"/>
      <w:jc w:val="both"/>
    </w:pPr>
    <w:rPr>
      <w:rFonts w:ascii="Times New Roman" w:hAnsi="Times New Roman"/>
      <w:bCs w:val="0"/>
      <w:szCs w:val="28"/>
    </w:rPr>
  </w:style>
  <w:style w:type="paragraph" w:customStyle="1" w:styleId="513">
    <w:name w:val="表格1"/>
    <w:basedOn w:val="1"/>
    <w:qFormat/>
    <w:uiPriority w:val="0"/>
    <w:pPr>
      <w:snapToGrid w:val="0"/>
    </w:pPr>
    <w:rPr>
      <w:rFonts w:ascii="Times New Roman" w:hAnsi="Times New Roman" w:eastAsia="仿宋_GB2312"/>
      <w:b w:val="0"/>
    </w:rPr>
  </w:style>
  <w:style w:type="paragraph" w:customStyle="1" w:styleId="514">
    <w:name w:val="样式 宋体 小四 段前: 7.8 磅 段后: 7.8 磅 行距: 固定值 20 磅"/>
    <w:basedOn w:val="1"/>
    <w:qFormat/>
    <w:uiPriority w:val="0"/>
    <w:pPr>
      <w:spacing w:before="156" w:after="156" w:line="400" w:lineRule="exact"/>
      <w:ind w:left="100" w:leftChars="100" w:firstLine="200" w:firstLineChars="200"/>
    </w:pPr>
    <w:rPr>
      <w:rFonts w:ascii="宋体" w:hAnsi="宋体"/>
      <w:b w:val="0"/>
      <w:sz w:val="24"/>
      <w:szCs w:val="20"/>
    </w:rPr>
  </w:style>
  <w:style w:type="paragraph" w:customStyle="1" w:styleId="515">
    <w:name w:val="一级无"/>
    <w:basedOn w:val="148"/>
    <w:qFormat/>
    <w:uiPriority w:val="0"/>
    <w:pPr>
      <w:widowControl/>
      <w:tabs>
        <w:tab w:val="clear" w:pos="5400"/>
      </w:tabs>
      <w:jc w:val="left"/>
    </w:pPr>
    <w:rPr>
      <w:rFonts w:ascii="宋体" w:hAnsi="Times New Roman" w:eastAsia="宋体"/>
      <w:kern w:val="0"/>
      <w:szCs w:val="21"/>
    </w:rPr>
  </w:style>
  <w:style w:type="paragraph" w:customStyle="1" w:styleId="516">
    <w:name w:val="图表脚注"/>
    <w:next w:val="143"/>
    <w:qFormat/>
    <w:uiPriority w:val="0"/>
    <w:pPr>
      <w:ind w:left="300" w:leftChars="200" w:hanging="100" w:hangingChars="100"/>
      <w:jc w:val="both"/>
    </w:pPr>
    <w:rPr>
      <w:rFonts w:ascii="宋体" w:hAnsi="Times New Roman" w:eastAsia="宋体" w:cs="Times New Roman"/>
      <w:sz w:val="18"/>
      <w:lang w:val="en-US" w:eastAsia="zh-CN" w:bidi="ar-SA"/>
    </w:rPr>
  </w:style>
  <w:style w:type="character" w:customStyle="1" w:styleId="517">
    <w:name w:val="未处理的提及1"/>
    <w:basedOn w:val="91"/>
    <w:unhideWhenUsed/>
    <w:qFormat/>
    <w:uiPriority w:val="99"/>
    <w:rPr>
      <w:color w:val="605E5C"/>
      <w:shd w:val="clear" w:color="auto" w:fill="E1DFDD"/>
    </w:rPr>
  </w:style>
  <w:style w:type="paragraph" w:customStyle="1" w:styleId="518">
    <w:name w:val="paragraph"/>
    <w:basedOn w:val="1"/>
    <w:semiHidden/>
    <w:qFormat/>
    <w:uiPriority w:val="0"/>
    <w:pPr>
      <w:widowControl/>
      <w:spacing w:before="100" w:beforeAutospacing="1" w:after="100" w:afterAutospacing="1"/>
      <w:jc w:val="left"/>
    </w:pPr>
    <w:rPr>
      <w:rFonts w:ascii="等线" w:hAnsi="等线" w:eastAsia="等线"/>
      <w:b w:val="0"/>
      <w:kern w:val="0"/>
      <w:sz w:val="24"/>
    </w:rPr>
  </w:style>
  <w:style w:type="character" w:customStyle="1" w:styleId="519">
    <w:name w:val="宏文本 Char"/>
    <w:basedOn w:val="91"/>
    <w:link w:val="2"/>
    <w:qFormat/>
    <w:uiPriority w:val="0"/>
    <w:rPr>
      <w:rFonts w:ascii="Courier New" w:hAnsi="Courier New" w:cs="Courier New"/>
      <w:kern w:val="2"/>
      <w:sz w:val="24"/>
      <w:szCs w:val="24"/>
    </w:rPr>
  </w:style>
  <w:style w:type="character" w:customStyle="1" w:styleId="520">
    <w:name w:val="电子邮件签名 Char"/>
    <w:basedOn w:val="91"/>
    <w:link w:val="19"/>
    <w:qFormat/>
    <w:uiPriority w:val="0"/>
    <w:rPr>
      <w:kern w:val="2"/>
      <w:sz w:val="21"/>
    </w:rPr>
  </w:style>
  <w:style w:type="character" w:customStyle="1" w:styleId="521">
    <w:name w:val="称呼 Char"/>
    <w:basedOn w:val="91"/>
    <w:link w:val="30"/>
    <w:qFormat/>
    <w:uiPriority w:val="0"/>
    <w:rPr>
      <w:kern w:val="2"/>
      <w:sz w:val="21"/>
    </w:rPr>
  </w:style>
  <w:style w:type="character" w:customStyle="1" w:styleId="522">
    <w:name w:val="结束语 Char"/>
    <w:basedOn w:val="91"/>
    <w:link w:val="32"/>
    <w:qFormat/>
    <w:uiPriority w:val="0"/>
    <w:rPr>
      <w:kern w:val="2"/>
      <w:sz w:val="21"/>
    </w:rPr>
  </w:style>
  <w:style w:type="character" w:customStyle="1" w:styleId="523">
    <w:name w:val="HTML 地址 Char"/>
    <w:basedOn w:val="91"/>
    <w:link w:val="41"/>
    <w:qFormat/>
    <w:uiPriority w:val="0"/>
    <w:rPr>
      <w:i/>
      <w:iCs/>
      <w:kern w:val="2"/>
      <w:sz w:val="21"/>
    </w:rPr>
  </w:style>
  <w:style w:type="character" w:customStyle="1" w:styleId="524">
    <w:name w:val="尾注文本 Char"/>
    <w:basedOn w:val="91"/>
    <w:link w:val="52"/>
    <w:qFormat/>
    <w:uiPriority w:val="0"/>
    <w:rPr>
      <w:kern w:val="2"/>
      <w:sz w:val="21"/>
      <w:szCs w:val="24"/>
    </w:rPr>
  </w:style>
  <w:style w:type="character" w:customStyle="1" w:styleId="525">
    <w:name w:val="签名 Char"/>
    <w:basedOn w:val="91"/>
    <w:link w:val="58"/>
    <w:qFormat/>
    <w:uiPriority w:val="0"/>
    <w:rPr>
      <w:kern w:val="2"/>
      <w:sz w:val="21"/>
    </w:rPr>
  </w:style>
  <w:style w:type="character" w:customStyle="1" w:styleId="526">
    <w:name w:val="信息标题 Char"/>
    <w:basedOn w:val="91"/>
    <w:link w:val="79"/>
    <w:qFormat/>
    <w:uiPriority w:val="0"/>
    <w:rPr>
      <w:rFonts w:ascii="等线 Light" w:hAnsi="等线 Light" w:eastAsia="等线 Light"/>
      <w:kern w:val="2"/>
      <w:sz w:val="24"/>
      <w:szCs w:val="24"/>
      <w:shd w:val="pct20" w:color="auto" w:fill="auto"/>
    </w:rPr>
  </w:style>
  <w:style w:type="character" w:customStyle="1" w:styleId="527">
    <w:name w:val="标题 3 字符1"/>
    <w:autoRedefine/>
    <w:qFormat/>
    <w:uiPriority w:val="0"/>
    <w:rPr>
      <w:rFonts w:ascii="黑体" w:hAnsi="黑体" w:eastAsia="黑体" w:cs="黑体"/>
      <w:kern w:val="2"/>
      <w:sz w:val="28"/>
      <w:szCs w:val="28"/>
    </w:rPr>
  </w:style>
  <w:style w:type="character" w:customStyle="1" w:styleId="528">
    <w:name w:val="索引 8 Char"/>
    <w:link w:val="18"/>
    <w:autoRedefine/>
    <w:qFormat/>
    <w:uiPriority w:val="0"/>
    <w:rPr>
      <w:kern w:val="2"/>
      <w:sz w:val="28"/>
      <w:u w:color="FF0000"/>
    </w:rPr>
  </w:style>
  <w:style w:type="character" w:customStyle="1" w:styleId="529">
    <w:name w:val="批注文字 字符2"/>
    <w:autoRedefine/>
    <w:qFormat/>
    <w:uiPriority w:val="99"/>
    <w:rPr>
      <w:rFonts w:ascii="宋体" w:hAnsi="宋体"/>
      <w:kern w:val="2"/>
      <w:sz w:val="28"/>
      <w:szCs w:val="28"/>
    </w:rPr>
  </w:style>
  <w:style w:type="character" w:customStyle="1" w:styleId="530">
    <w:name w:val="number"/>
    <w:autoRedefine/>
    <w:qFormat/>
    <w:uiPriority w:val="0"/>
  </w:style>
  <w:style w:type="character" w:customStyle="1" w:styleId="531">
    <w:name w:val="fontstyle01"/>
    <w:autoRedefine/>
    <w:qFormat/>
    <w:uiPriority w:val="0"/>
    <w:rPr>
      <w:rFonts w:hint="default" w:ascii="仿宋" w:hAnsi="仿宋"/>
      <w:color w:val="000000"/>
      <w:sz w:val="32"/>
      <w:szCs w:val="32"/>
    </w:rPr>
  </w:style>
  <w:style w:type="paragraph" w:customStyle="1" w:styleId="532">
    <w:name w:val="UserStyle_0"/>
    <w:autoRedefine/>
    <w:qFormat/>
    <w:uiPriority w:val="0"/>
    <w:pPr>
      <w:keepNext/>
      <w:keepLines/>
      <w:tabs>
        <w:tab w:val="left" w:pos="420"/>
      </w:tabs>
      <w:spacing w:before="280" w:after="290" w:line="360" w:lineRule="auto"/>
      <w:ind w:left="447" w:leftChars="44" w:hanging="403"/>
      <w:jc w:val="both"/>
      <w:textAlignment w:val="baseline"/>
    </w:pPr>
    <w:rPr>
      <w:rFonts w:ascii="宋体" w:hAnsi="宋体" w:eastAsia="宋体" w:cs="宋体"/>
      <w:b/>
      <w:bCs/>
      <w:kern w:val="2"/>
      <w:sz w:val="24"/>
      <w:szCs w:val="22"/>
      <w:lang w:val="en-US" w:eastAsia="zh-CN" w:bidi="ar-SA"/>
    </w:rPr>
  </w:style>
  <w:style w:type="paragraph" w:customStyle="1" w:styleId="533">
    <w:name w:val="List Paragraph1"/>
    <w:basedOn w:val="1"/>
    <w:autoRedefine/>
    <w:qFormat/>
    <w:uiPriority w:val="0"/>
    <w:pPr>
      <w:ind w:firstLine="420" w:firstLineChars="200"/>
    </w:pPr>
    <w:rPr>
      <w:rFonts w:ascii="Times New Roman" w:hAnsi="Times New Roman"/>
      <w:b w:val="0"/>
    </w:rPr>
  </w:style>
  <w:style w:type="paragraph" w:customStyle="1" w:styleId="534">
    <w:name w:val="text"/>
    <w:basedOn w:val="1"/>
    <w:autoRedefine/>
    <w:qFormat/>
    <w:uiPriority w:val="0"/>
    <w:pPr>
      <w:widowControl/>
      <w:spacing w:before="100" w:beforeAutospacing="1" w:after="100" w:afterAutospacing="1"/>
      <w:ind w:firstLine="480"/>
      <w:jc w:val="left"/>
    </w:pPr>
    <w:rPr>
      <w:rFonts w:ascii="黑体" w:hAnsi="黑体" w:cs="宋体"/>
      <w:b w:val="0"/>
      <w:color w:val="486B8A"/>
      <w:kern w:val="0"/>
      <w:sz w:val="18"/>
      <w:szCs w:val="18"/>
    </w:rPr>
  </w:style>
  <w:style w:type="character" w:customStyle="1" w:styleId="535">
    <w:name w:val="标题 3 Char"/>
    <w:autoRedefine/>
    <w:qFormat/>
    <w:uiPriority w:val="0"/>
    <w:rPr>
      <w:rFonts w:eastAsia="宋体"/>
      <w:b/>
      <w:kern w:val="2"/>
      <w:sz w:val="28"/>
      <w:lang w:val="en-US" w:eastAsia="zh-CN" w:bidi="ar-SA"/>
    </w:rPr>
  </w:style>
  <w:style w:type="character" w:customStyle="1" w:styleId="536">
    <w:name w:val="批注文字 Char"/>
    <w:autoRedefine/>
    <w:qFormat/>
    <w:uiPriority w:val="0"/>
    <w:rPr>
      <w:kern w:val="2"/>
      <w:sz w:val="21"/>
      <w:szCs w:val="24"/>
    </w:rPr>
  </w:style>
  <w:style w:type="character" w:customStyle="1" w:styleId="537">
    <w:name w:val="标题 1 Char"/>
    <w:autoRedefine/>
    <w:qFormat/>
    <w:uiPriority w:val="0"/>
    <w:rPr>
      <w:rFonts w:ascii="Times New Roman" w:hAnsi="Times New Roman" w:eastAsia="宋体"/>
      <w:b/>
      <w:kern w:val="44"/>
      <w:sz w:val="30"/>
    </w:rPr>
  </w:style>
  <w:style w:type="character" w:customStyle="1" w:styleId="538">
    <w:name w:val="纯文本 Char"/>
    <w:autoRedefine/>
    <w:qFormat/>
    <w:uiPriority w:val="0"/>
    <w:rPr>
      <w:rFonts w:ascii="宋体" w:hAnsi="Courier New"/>
      <w:kern w:val="2"/>
      <w:sz w:val="21"/>
      <w:szCs w:val="21"/>
      <w:u w:color="FF0000"/>
    </w:rPr>
  </w:style>
  <w:style w:type="character" w:customStyle="1" w:styleId="539">
    <w:name w:val="批注框文本 Char"/>
    <w:autoRedefine/>
    <w:qFormat/>
    <w:uiPriority w:val="0"/>
    <w:rPr>
      <w:kern w:val="2"/>
      <w:sz w:val="18"/>
    </w:rPr>
  </w:style>
  <w:style w:type="character" w:customStyle="1" w:styleId="540">
    <w:name w:val="页脚 Char"/>
    <w:autoRedefine/>
    <w:qFormat/>
    <w:uiPriority w:val="99"/>
    <w:rPr>
      <w:kern w:val="2"/>
      <w:sz w:val="18"/>
    </w:rPr>
  </w:style>
  <w:style w:type="character" w:customStyle="1" w:styleId="541">
    <w:name w:val="批注主题 Char"/>
    <w:autoRedefine/>
    <w:qFormat/>
    <w:uiPriority w:val="0"/>
    <w:rPr>
      <w:rFonts w:eastAsia="汉仪雁翎体简"/>
      <w:b/>
      <w:bCs/>
      <w:kern w:val="2"/>
      <w:sz w:val="21"/>
      <w:szCs w:val="24"/>
      <w:u w:color="FF0000"/>
    </w:rPr>
  </w:style>
  <w:style w:type="character" w:customStyle="1" w:styleId="542">
    <w:name w:val="正文文本 Char"/>
    <w:autoRedefine/>
    <w:qFormat/>
    <w:uiPriority w:val="0"/>
    <w:rPr>
      <w:rFonts w:ascii="仿宋_GB2312"/>
      <w:kern w:val="2"/>
      <w:sz w:val="28"/>
      <w:szCs w:val="28"/>
      <w:u w:color="FF0000"/>
    </w:rPr>
  </w:style>
  <w:style w:type="character" w:customStyle="1" w:styleId="543">
    <w:name w:val="正文文本缩进 Char"/>
    <w:autoRedefine/>
    <w:qFormat/>
    <w:uiPriority w:val="99"/>
    <w:rPr>
      <w:rFonts w:eastAsia="汉仪雁翎体简"/>
      <w:b/>
      <w:sz w:val="28"/>
      <w:u w:color="FF0000"/>
      <w:lang w:val="en-US" w:eastAsia="zh-CN" w:bidi="ar-SA"/>
    </w:rPr>
  </w:style>
  <w:style w:type="character" w:customStyle="1" w:styleId="544">
    <w:name w:val="正文文本缩进 字符1"/>
    <w:autoRedefine/>
    <w:semiHidden/>
    <w:qFormat/>
    <w:uiPriority w:val="99"/>
    <w:rPr>
      <w:rFonts w:ascii="Times New Roman" w:hAnsi="Times New Roman" w:eastAsia="宋体" w:cs="Times New Roman"/>
      <w:szCs w:val="20"/>
    </w:rPr>
  </w:style>
  <w:style w:type="character" w:customStyle="1" w:styleId="545">
    <w:name w:val="页脚 字符1"/>
    <w:autoRedefine/>
    <w:qFormat/>
    <w:uiPriority w:val="99"/>
    <w:rPr>
      <w:rFonts w:ascii="Times New Roman" w:hAnsi="Times New Roman" w:eastAsia="宋体" w:cs="Times New Roman"/>
      <w:sz w:val="18"/>
      <w:szCs w:val="18"/>
    </w:rPr>
  </w:style>
  <w:style w:type="character" w:customStyle="1" w:styleId="546">
    <w:name w:val="批注文字 字符1"/>
    <w:autoRedefine/>
    <w:qFormat/>
    <w:uiPriority w:val="0"/>
    <w:rPr>
      <w:rFonts w:ascii="Times New Roman" w:hAnsi="Times New Roman" w:eastAsia="宋体" w:cs="Times New Roman"/>
      <w:szCs w:val="20"/>
    </w:rPr>
  </w:style>
  <w:style w:type="character" w:customStyle="1" w:styleId="547">
    <w:name w:val="批注主题 字符1"/>
    <w:autoRedefine/>
    <w:qFormat/>
    <w:uiPriority w:val="99"/>
    <w:rPr>
      <w:rFonts w:ascii="Times New Roman" w:hAnsi="Times New Roman" w:eastAsia="宋体" w:cs="Times New Roman"/>
      <w:b/>
      <w:bCs/>
      <w:szCs w:val="20"/>
    </w:rPr>
  </w:style>
  <w:style w:type="character" w:customStyle="1" w:styleId="548">
    <w:name w:val="正文文本 字符1"/>
    <w:qFormat/>
    <w:uiPriority w:val="1"/>
    <w:rPr>
      <w:rFonts w:ascii="Times New Roman" w:hAnsi="Times New Roman" w:eastAsia="宋体" w:cs="Times New Roman"/>
      <w:szCs w:val="20"/>
    </w:rPr>
  </w:style>
  <w:style w:type="character" w:customStyle="1" w:styleId="549">
    <w:name w:val="正文文本首行缩进 字符1"/>
    <w:autoRedefine/>
    <w:qFormat/>
    <w:uiPriority w:val="0"/>
  </w:style>
  <w:style w:type="character" w:customStyle="1" w:styleId="550">
    <w:name w:val="标题 字符1"/>
    <w:autoRedefine/>
    <w:qFormat/>
    <w:uiPriority w:val="0"/>
    <w:rPr>
      <w:rFonts w:ascii="等线 Light" w:hAnsi="等线 Light" w:eastAsia="等线 Light" w:cs="Times New Roman"/>
      <w:b/>
      <w:bCs/>
      <w:sz w:val="32"/>
      <w:szCs w:val="32"/>
    </w:rPr>
  </w:style>
  <w:style w:type="character" w:customStyle="1" w:styleId="551">
    <w:name w:val="正文文本 3 字符1"/>
    <w:autoRedefine/>
    <w:qFormat/>
    <w:uiPriority w:val="0"/>
    <w:rPr>
      <w:rFonts w:ascii="Times New Roman" w:hAnsi="Times New Roman" w:eastAsia="宋体" w:cs="Times New Roman"/>
      <w:sz w:val="16"/>
      <w:szCs w:val="16"/>
    </w:rPr>
  </w:style>
  <w:style w:type="character" w:customStyle="1" w:styleId="552">
    <w:name w:val="纯文本 字符1"/>
    <w:autoRedefine/>
    <w:qFormat/>
    <w:uiPriority w:val="0"/>
    <w:rPr>
      <w:rFonts w:ascii="等线" w:hAnsi="Courier New" w:cs="Courier New"/>
      <w:szCs w:val="20"/>
    </w:rPr>
  </w:style>
  <w:style w:type="character" w:customStyle="1" w:styleId="553">
    <w:name w:val="日期 字符1"/>
    <w:autoRedefine/>
    <w:qFormat/>
    <w:uiPriority w:val="0"/>
    <w:rPr>
      <w:rFonts w:ascii="Times New Roman" w:hAnsi="Times New Roman" w:eastAsia="宋体" w:cs="Times New Roman"/>
      <w:szCs w:val="20"/>
    </w:rPr>
  </w:style>
  <w:style w:type="character" w:customStyle="1" w:styleId="554">
    <w:name w:val="正文文本缩进 2 字符1"/>
    <w:autoRedefine/>
    <w:qFormat/>
    <w:uiPriority w:val="0"/>
    <w:rPr>
      <w:rFonts w:ascii="Times New Roman" w:hAnsi="Times New Roman" w:eastAsia="宋体" w:cs="Times New Roman"/>
      <w:szCs w:val="20"/>
    </w:rPr>
  </w:style>
  <w:style w:type="character" w:customStyle="1" w:styleId="555">
    <w:name w:val="页眉 字符1"/>
    <w:autoRedefine/>
    <w:qFormat/>
    <w:uiPriority w:val="0"/>
    <w:rPr>
      <w:rFonts w:ascii="Times New Roman" w:hAnsi="Times New Roman" w:eastAsia="宋体" w:cs="Times New Roman"/>
      <w:sz w:val="18"/>
      <w:szCs w:val="18"/>
    </w:rPr>
  </w:style>
  <w:style w:type="character" w:customStyle="1" w:styleId="556">
    <w:name w:val="脚注文本 字符1"/>
    <w:qFormat/>
    <w:uiPriority w:val="0"/>
    <w:rPr>
      <w:rFonts w:ascii="Times New Roman" w:hAnsi="Times New Roman" w:eastAsia="宋体" w:cs="Times New Roman"/>
      <w:sz w:val="18"/>
      <w:szCs w:val="18"/>
    </w:rPr>
  </w:style>
  <w:style w:type="character" w:customStyle="1" w:styleId="557">
    <w:name w:val="正文文本 2 字符1"/>
    <w:qFormat/>
    <w:uiPriority w:val="0"/>
    <w:rPr>
      <w:rFonts w:ascii="Times New Roman" w:hAnsi="Times New Roman" w:eastAsia="宋体" w:cs="Times New Roman"/>
      <w:szCs w:val="20"/>
    </w:rPr>
  </w:style>
  <w:style w:type="character" w:customStyle="1" w:styleId="558">
    <w:name w:val="正文文本缩进 3 字符1"/>
    <w:qFormat/>
    <w:uiPriority w:val="0"/>
    <w:rPr>
      <w:rFonts w:ascii="Times New Roman" w:hAnsi="Times New Roman" w:eastAsia="宋体" w:cs="Times New Roman"/>
      <w:sz w:val="16"/>
      <w:szCs w:val="16"/>
    </w:rPr>
  </w:style>
  <w:style w:type="paragraph" w:styleId="559">
    <w:name w:val="Intense Quote"/>
    <w:basedOn w:val="1"/>
    <w:next w:val="1"/>
    <w:link w:val="560"/>
    <w:qFormat/>
    <w:uiPriority w:val="99"/>
    <w:pPr>
      <w:pBdr>
        <w:top w:val="single" w:color="4472C4" w:sz="4" w:space="10"/>
        <w:bottom w:val="single" w:color="4472C4" w:sz="4" w:space="10"/>
      </w:pBdr>
      <w:spacing w:before="360" w:after="360"/>
      <w:ind w:left="864" w:right="864"/>
      <w:jc w:val="center"/>
    </w:pPr>
    <w:rPr>
      <w:rFonts w:ascii="Times New Roman" w:hAnsi="Times New Roman"/>
      <w:b w:val="0"/>
      <w:i/>
      <w:iCs/>
      <w:color w:val="4472C4"/>
      <w:szCs w:val="20"/>
    </w:rPr>
  </w:style>
  <w:style w:type="character" w:customStyle="1" w:styleId="560">
    <w:name w:val="明显引用 Char"/>
    <w:basedOn w:val="91"/>
    <w:link w:val="559"/>
    <w:qFormat/>
    <w:uiPriority w:val="99"/>
    <w:rPr>
      <w:i/>
      <w:iCs/>
      <w:color w:val="4472C4"/>
      <w:kern w:val="2"/>
      <w:sz w:val="21"/>
    </w:rPr>
  </w:style>
  <w:style w:type="paragraph" w:customStyle="1" w:styleId="561">
    <w:name w:val="书目1"/>
    <w:basedOn w:val="1"/>
    <w:next w:val="1"/>
    <w:autoRedefine/>
    <w:unhideWhenUsed/>
    <w:qFormat/>
    <w:uiPriority w:val="37"/>
    <w:rPr>
      <w:rFonts w:ascii="Times New Roman" w:hAnsi="Times New Roman"/>
      <w:b w:val="0"/>
      <w:szCs w:val="20"/>
    </w:rPr>
  </w:style>
  <w:style w:type="paragraph" w:styleId="562">
    <w:name w:val="Quote"/>
    <w:basedOn w:val="1"/>
    <w:next w:val="1"/>
    <w:link w:val="563"/>
    <w:qFormat/>
    <w:uiPriority w:val="99"/>
    <w:pPr>
      <w:spacing w:before="200" w:after="160"/>
      <w:ind w:left="864" w:right="864"/>
      <w:jc w:val="center"/>
    </w:pPr>
    <w:rPr>
      <w:rFonts w:ascii="Times New Roman" w:hAnsi="Times New Roman"/>
      <w:b w:val="0"/>
      <w:i/>
      <w:iCs/>
      <w:color w:val="404040"/>
      <w:szCs w:val="20"/>
    </w:rPr>
  </w:style>
  <w:style w:type="character" w:customStyle="1" w:styleId="563">
    <w:name w:val="引用 Char"/>
    <w:basedOn w:val="91"/>
    <w:link w:val="562"/>
    <w:qFormat/>
    <w:uiPriority w:val="99"/>
    <w:rPr>
      <w:i/>
      <w:iCs/>
      <w:color w:val="404040"/>
      <w:kern w:val="2"/>
      <w:sz w:val="21"/>
    </w:rPr>
  </w:style>
  <w:style w:type="character" w:customStyle="1" w:styleId="564">
    <w:name w:val="Footer Char"/>
    <w:semiHidden/>
    <w:qFormat/>
    <w:uiPriority w:val="99"/>
    <w:rPr>
      <w:b/>
      <w:sz w:val="18"/>
      <w:szCs w:val="18"/>
      <w:u w:color="FF0000"/>
    </w:rPr>
  </w:style>
  <w:style w:type="paragraph" w:customStyle="1" w:styleId="565">
    <w:name w:val="修订11"/>
    <w:semiHidden/>
    <w:qFormat/>
    <w:uiPriority w:val="99"/>
    <w:rPr>
      <w:rFonts w:ascii="Times New Roman" w:hAnsi="Times New Roman" w:eastAsia="宋体" w:cs="Times New Roman"/>
      <w:kern w:val="2"/>
      <w:sz w:val="21"/>
      <w:szCs w:val="24"/>
      <w:u w:color="FF0000"/>
      <w:lang w:val="en-US" w:eastAsia="zh-CN" w:bidi="ar-SA"/>
    </w:rPr>
  </w:style>
  <w:style w:type="paragraph" w:customStyle="1" w:styleId="566">
    <w:name w:val="TOC 标题11"/>
    <w:basedOn w:val="3"/>
    <w:next w:val="1"/>
    <w:qFormat/>
    <w:uiPriority w:val="99"/>
    <w:pPr>
      <w:keepLines/>
      <w:widowControl/>
      <w:spacing w:before="480" w:line="276" w:lineRule="auto"/>
      <w:jc w:val="left"/>
      <w:outlineLvl w:val="9"/>
    </w:pPr>
    <w:rPr>
      <w:rFonts w:ascii="Cambria" w:hAnsi="Cambria" w:eastAsia="宋体"/>
      <w:bCs/>
      <w:color w:val="365F91"/>
      <w:kern w:val="0"/>
      <w:sz w:val="28"/>
      <w:szCs w:val="28"/>
    </w:rPr>
  </w:style>
  <w:style w:type="table" w:customStyle="1" w:styleId="567">
    <w:name w:val="网格型2"/>
    <w:basedOn w:val="8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68">
    <w:name w:val="网格型3"/>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69">
    <w:name w:val="xl63"/>
    <w:basedOn w:val="1"/>
    <w:autoRedefine/>
    <w:qFormat/>
    <w:uiPriority w:val="0"/>
    <w:pPr>
      <w:widowControl/>
      <w:spacing w:before="100" w:beforeAutospacing="1" w:after="100" w:afterAutospacing="1"/>
      <w:jc w:val="center"/>
    </w:pPr>
    <w:rPr>
      <w:rFonts w:ascii="宋体" w:hAnsi="宋体" w:cs="宋体"/>
      <w:b w:val="0"/>
      <w:kern w:val="0"/>
      <w:sz w:val="24"/>
    </w:rPr>
  </w:style>
  <w:style w:type="paragraph" w:customStyle="1" w:styleId="570">
    <w:name w:val="xl64"/>
    <w:basedOn w:val="1"/>
    <w:autoRedefine/>
    <w:qFormat/>
    <w:uiPriority w:val="0"/>
    <w:pPr>
      <w:widowControl/>
      <w:spacing w:before="100" w:beforeAutospacing="1" w:after="100" w:afterAutospacing="1"/>
      <w:jc w:val="center"/>
    </w:pPr>
    <w:rPr>
      <w:rFonts w:ascii="宋体" w:hAnsi="宋体" w:cs="宋体"/>
      <w:b w:val="0"/>
      <w:kern w:val="0"/>
      <w:sz w:val="24"/>
    </w:rPr>
  </w:style>
  <w:style w:type="character" w:customStyle="1" w:styleId="571">
    <w:name w:val="封面标题 Char"/>
    <w:link w:val="572"/>
    <w:qFormat/>
    <w:uiPriority w:val="0"/>
    <w:rPr>
      <w:rFonts w:ascii="华文中宋" w:eastAsia="华文中宋"/>
      <w:b/>
      <w:bCs/>
      <w:w w:val="90"/>
      <w:sz w:val="52"/>
      <w:szCs w:val="52"/>
    </w:rPr>
  </w:style>
  <w:style w:type="paragraph" w:customStyle="1" w:styleId="572">
    <w:name w:val="封面标题"/>
    <w:basedOn w:val="1"/>
    <w:link w:val="571"/>
    <w:autoRedefine/>
    <w:qFormat/>
    <w:uiPriority w:val="0"/>
    <w:pPr>
      <w:jc w:val="center"/>
    </w:pPr>
    <w:rPr>
      <w:rFonts w:ascii="华文中宋" w:hAnsi="Times New Roman" w:eastAsia="华文中宋"/>
      <w:bCs/>
      <w:w w:val="90"/>
      <w:kern w:val="0"/>
      <w:sz w:val="52"/>
      <w:szCs w:val="52"/>
    </w:rPr>
  </w:style>
  <w:style w:type="paragraph" w:customStyle="1" w:styleId="573">
    <w:name w:val="列项——"/>
    <w:qFormat/>
    <w:uiPriority w:val="0"/>
    <w:pPr>
      <w:widowControl w:val="0"/>
      <w:tabs>
        <w:tab w:val="left" w:pos="854"/>
      </w:tabs>
      <w:ind w:left="840" w:leftChars="200" w:hanging="420" w:hangingChars="200"/>
      <w:jc w:val="both"/>
    </w:pPr>
    <w:rPr>
      <w:rFonts w:ascii="宋体" w:hAnsi="Times New Roman" w:eastAsia="宋体" w:cs="Times New Roman"/>
      <w:sz w:val="21"/>
      <w:lang w:val="en-US" w:eastAsia="zh-CN" w:bidi="ar-SA"/>
    </w:rPr>
  </w:style>
  <w:style w:type="paragraph" w:customStyle="1" w:styleId="574">
    <w:name w:val="附录标识"/>
    <w:basedOn w:val="1"/>
    <w:next w:val="143"/>
    <w:qFormat/>
    <w:uiPriority w:val="0"/>
    <w:pPr>
      <w:keepNext/>
      <w:widowControl/>
      <w:numPr>
        <w:ilvl w:val="0"/>
        <w:numId w:val="15"/>
      </w:numPr>
      <w:shd w:val="clear" w:color="FFFFFF" w:fill="FFFFFF"/>
      <w:tabs>
        <w:tab w:val="left" w:pos="360"/>
        <w:tab w:val="left" w:pos="6405"/>
      </w:tabs>
      <w:spacing w:before="640" w:after="280"/>
      <w:jc w:val="center"/>
      <w:outlineLvl w:val="0"/>
    </w:pPr>
    <w:rPr>
      <w:rFonts w:ascii="黑体" w:hAnsi="Times New Roman" w:eastAsia="黑体"/>
      <w:b w:val="0"/>
      <w:kern w:val="0"/>
      <w:szCs w:val="20"/>
    </w:rPr>
  </w:style>
  <w:style w:type="paragraph" w:customStyle="1" w:styleId="575">
    <w:name w:val="附录二级条标题"/>
    <w:basedOn w:val="1"/>
    <w:next w:val="143"/>
    <w:qFormat/>
    <w:uiPriority w:val="0"/>
    <w:pPr>
      <w:widowControl/>
      <w:numPr>
        <w:ilvl w:val="3"/>
        <w:numId w:val="15"/>
      </w:numPr>
      <w:tabs>
        <w:tab w:val="left" w:pos="360"/>
      </w:tabs>
      <w:wordWrap w:val="0"/>
      <w:overflowPunct w:val="0"/>
      <w:autoSpaceDE w:val="0"/>
      <w:autoSpaceDN w:val="0"/>
      <w:spacing w:beforeLines="50" w:afterLines="50"/>
      <w:textAlignment w:val="baseline"/>
      <w:outlineLvl w:val="3"/>
    </w:pPr>
    <w:rPr>
      <w:rFonts w:ascii="黑体" w:hAnsi="Times New Roman" w:eastAsia="黑体"/>
      <w:b w:val="0"/>
      <w:kern w:val="21"/>
      <w:szCs w:val="20"/>
    </w:rPr>
  </w:style>
  <w:style w:type="paragraph" w:customStyle="1" w:styleId="576">
    <w:name w:val="附录二级无"/>
    <w:basedOn w:val="575"/>
    <w:qFormat/>
    <w:uiPriority w:val="0"/>
    <w:pPr>
      <w:tabs>
        <w:tab w:val="clear" w:pos="360"/>
      </w:tabs>
      <w:spacing w:beforeLines="0" w:afterLines="0"/>
    </w:pPr>
    <w:rPr>
      <w:rFonts w:ascii="宋体" w:eastAsia="宋体"/>
      <w:szCs w:val="21"/>
    </w:rPr>
  </w:style>
  <w:style w:type="paragraph" w:customStyle="1" w:styleId="577">
    <w:name w:val="附录三级条标题"/>
    <w:basedOn w:val="575"/>
    <w:next w:val="143"/>
    <w:qFormat/>
    <w:uiPriority w:val="0"/>
    <w:pPr>
      <w:numPr>
        <w:ilvl w:val="4"/>
      </w:numPr>
      <w:outlineLvl w:val="4"/>
    </w:pPr>
  </w:style>
  <w:style w:type="paragraph" w:customStyle="1" w:styleId="578">
    <w:name w:val="附录四级条标题"/>
    <w:basedOn w:val="577"/>
    <w:next w:val="143"/>
    <w:qFormat/>
    <w:uiPriority w:val="0"/>
    <w:pPr>
      <w:numPr>
        <w:ilvl w:val="5"/>
      </w:numPr>
      <w:outlineLvl w:val="5"/>
    </w:pPr>
  </w:style>
  <w:style w:type="paragraph" w:customStyle="1" w:styleId="579">
    <w:name w:val="附录五级条标题"/>
    <w:basedOn w:val="578"/>
    <w:next w:val="143"/>
    <w:autoRedefine/>
    <w:qFormat/>
    <w:uiPriority w:val="0"/>
    <w:pPr>
      <w:numPr>
        <w:ilvl w:val="6"/>
      </w:numPr>
      <w:outlineLvl w:val="6"/>
    </w:pPr>
  </w:style>
  <w:style w:type="paragraph" w:customStyle="1" w:styleId="580">
    <w:name w:val="附录章标题"/>
    <w:next w:val="143"/>
    <w:qFormat/>
    <w:uiPriority w:val="0"/>
    <w:pPr>
      <w:numPr>
        <w:ilvl w:val="1"/>
        <w:numId w:val="15"/>
      </w:numPr>
      <w:tabs>
        <w:tab w:val="left" w:pos="360"/>
      </w:tabs>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581">
    <w:name w:val="附录一级条标题"/>
    <w:basedOn w:val="580"/>
    <w:next w:val="143"/>
    <w:qFormat/>
    <w:uiPriority w:val="0"/>
    <w:pPr>
      <w:numPr>
        <w:ilvl w:val="2"/>
      </w:numPr>
      <w:autoSpaceDN w:val="0"/>
      <w:spacing w:beforeLines="50" w:afterLines="50"/>
      <w:outlineLvl w:val="2"/>
    </w:pPr>
  </w:style>
  <w:style w:type="character" w:customStyle="1" w:styleId="582">
    <w:name w:val="文字1 Char Char"/>
    <w:autoRedefine/>
    <w:qFormat/>
    <w:uiPriority w:val="0"/>
    <w:rPr>
      <w:kern w:val="2"/>
      <w:sz w:val="28"/>
      <w:lang w:val="en-US" w:eastAsia="zh-CN" w:bidi="ar-SA"/>
    </w:rPr>
  </w:style>
  <w:style w:type="table" w:customStyle="1" w:styleId="583">
    <w:name w:val="Table Normal1"/>
    <w:unhideWhenUsed/>
    <w:qFormat/>
    <w:uiPriority w:val="0"/>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584">
    <w:name w:val="正文文本缩进11"/>
    <w:basedOn w:val="1"/>
    <w:autoRedefine/>
    <w:qFormat/>
    <w:uiPriority w:val="0"/>
    <w:pPr>
      <w:widowControl/>
      <w:spacing w:line="360" w:lineRule="auto"/>
      <w:ind w:firstLine="570"/>
    </w:pPr>
    <w:rPr>
      <w:rFonts w:ascii="Times New Roman" w:hAnsi="Times New Roman" w:eastAsia="汉仪雁翎体简"/>
      <w:b w:val="0"/>
      <w:kern w:val="0"/>
      <w:sz w:val="28"/>
      <w:szCs w:val="20"/>
    </w:rPr>
  </w:style>
  <w:style w:type="character" w:customStyle="1" w:styleId="585">
    <w:name w:val="标题 Char2"/>
    <w:basedOn w:val="91"/>
    <w:qFormat/>
    <w:uiPriority w:val="0"/>
    <w:rPr>
      <w:rFonts w:hint="default" w:ascii="Cambria" w:hAnsi="Cambria" w:eastAsia="Cambria" w:cs="Times New Roman"/>
      <w:b/>
      <w:bCs/>
      <w:kern w:val="2"/>
      <w:sz w:val="32"/>
      <w:szCs w:val="32"/>
      <w:u w:color="FF0000"/>
    </w:rPr>
  </w:style>
  <w:style w:type="character" w:customStyle="1" w:styleId="586">
    <w:name w:val="正文文本缩进 字符2"/>
    <w:basedOn w:val="91"/>
    <w:qFormat/>
    <w:uiPriority w:val="0"/>
    <w:rPr>
      <w:kern w:val="2"/>
      <w:sz w:val="28"/>
      <w:szCs w:val="28"/>
    </w:rPr>
  </w:style>
  <w:style w:type="character" w:customStyle="1" w:styleId="587">
    <w:name w:val="Char Char511"/>
    <w:basedOn w:val="91"/>
    <w:qFormat/>
    <w:uiPriority w:val="0"/>
    <w:rPr>
      <w:rFonts w:hint="eastAsia" w:ascii="宋体" w:hAnsi="宋体" w:eastAsia="宋体" w:cs="宋体"/>
      <w:color w:val="000000"/>
      <w:kern w:val="2"/>
      <w:sz w:val="18"/>
      <w:lang w:val="en-US" w:eastAsia="zh-CN" w:bidi="ar"/>
    </w:rPr>
  </w:style>
  <w:style w:type="character" w:customStyle="1" w:styleId="588">
    <w:name w:val="行号1"/>
    <w:basedOn w:val="91"/>
    <w:qFormat/>
    <w:uiPriority w:val="0"/>
  </w:style>
  <w:style w:type="character" w:customStyle="1" w:styleId="589">
    <w:name w:val="页脚 字符2"/>
    <w:basedOn w:val="91"/>
    <w:qFormat/>
    <w:uiPriority w:val="0"/>
    <w:rPr>
      <w:kern w:val="2"/>
      <w:sz w:val="21"/>
      <w:szCs w:val="18"/>
    </w:rPr>
  </w:style>
  <w:style w:type="character" w:customStyle="1" w:styleId="590">
    <w:name w:val="正文文字缩进 Char11"/>
    <w:basedOn w:val="91"/>
    <w:qFormat/>
    <w:uiPriority w:val="0"/>
    <w:rPr>
      <w:rFonts w:hint="eastAsia" w:ascii="宋体" w:hAnsi="宋体" w:eastAsia="宋体" w:cs="宋体"/>
      <w:kern w:val="2"/>
      <w:sz w:val="28"/>
      <w:szCs w:val="24"/>
      <w:lang w:val="en-US" w:eastAsia="zh-CN" w:bidi="ar"/>
    </w:rPr>
  </w:style>
  <w:style w:type="character" w:customStyle="1" w:styleId="591">
    <w:name w:val="Char Char311"/>
    <w:basedOn w:val="91"/>
    <w:qFormat/>
    <w:uiPriority w:val="0"/>
    <w:rPr>
      <w:rFonts w:hint="eastAsia" w:ascii="仿宋_GB2312" w:eastAsia="仿宋_GB2312" w:cs="仿宋_GB2312"/>
      <w:b/>
      <w:bCs/>
      <w:kern w:val="2"/>
      <w:sz w:val="28"/>
      <w:szCs w:val="24"/>
      <w:u w:color="FF0000"/>
    </w:rPr>
  </w:style>
  <w:style w:type="character" w:customStyle="1" w:styleId="592">
    <w:name w:val="msosubtleemphasis"/>
    <w:basedOn w:val="91"/>
    <w:qFormat/>
    <w:uiPriority w:val="0"/>
    <w:rPr>
      <w:i/>
      <w:iCs/>
      <w:color w:val="404040"/>
    </w:rPr>
  </w:style>
  <w:style w:type="character" w:customStyle="1" w:styleId="593">
    <w:name w:val="正文文本缩进 2 字符2"/>
    <w:basedOn w:val="91"/>
    <w:qFormat/>
    <w:uiPriority w:val="0"/>
    <w:rPr>
      <w:rFonts w:hint="default" w:ascii="Swis721 BT" w:hAnsi="Swis721 BT" w:eastAsia="仿宋_GB2312" w:cs="Swis721 BT"/>
      <w:spacing w:val="-20"/>
      <w:kern w:val="2"/>
      <w:sz w:val="28"/>
      <w:szCs w:val="24"/>
      <w:lang w:val="en-US"/>
    </w:rPr>
  </w:style>
  <w:style w:type="character" w:customStyle="1" w:styleId="594">
    <w:name w:val="表格、图片标题 字符"/>
    <w:basedOn w:val="91"/>
    <w:qFormat/>
    <w:uiPriority w:val="0"/>
    <w:rPr>
      <w:b/>
      <w:kern w:val="2"/>
      <w:sz w:val="24"/>
      <w:szCs w:val="24"/>
    </w:rPr>
  </w:style>
  <w:style w:type="character" w:customStyle="1" w:styleId="595">
    <w:name w:val="cf01"/>
    <w:basedOn w:val="91"/>
    <w:qFormat/>
    <w:uiPriority w:val="0"/>
    <w:rPr>
      <w:rFonts w:hint="eastAsia" w:ascii="Microsoft YaHei UI" w:hAnsi="Microsoft YaHei UI" w:eastAsia="Microsoft YaHei UI" w:cs="Microsoft YaHei UI"/>
      <w:sz w:val="18"/>
      <w:szCs w:val="18"/>
    </w:rPr>
  </w:style>
  <w:style w:type="character" w:customStyle="1" w:styleId="596">
    <w:name w:val="标题 2 Char Char Char Char"/>
    <w:basedOn w:val="91"/>
    <w:qFormat/>
    <w:uiPriority w:val="0"/>
    <w:rPr>
      <w:rFonts w:hint="eastAsia" w:ascii="宋体" w:hAnsi="宋体" w:eastAsia="宋体" w:cs="宋体"/>
      <w:b/>
      <w:color w:val="000000"/>
      <w:kern w:val="2"/>
      <w:sz w:val="24"/>
      <w:lang w:val="en-US" w:eastAsia="zh-CN"/>
    </w:rPr>
  </w:style>
  <w:style w:type="character" w:customStyle="1" w:styleId="597">
    <w:name w:val="批注主题 Char Char"/>
    <w:basedOn w:val="91"/>
    <w:link w:val="598"/>
    <w:qFormat/>
    <w:uiPriority w:val="0"/>
    <w:rPr>
      <w:rFonts w:ascii="汉仪雁翎体简" w:hAnsi="汉仪雁翎体简" w:eastAsia="汉仪雁翎体简" w:cs="汉仪雁翎体简"/>
      <w:bCs/>
      <w:kern w:val="2"/>
      <w:sz w:val="21"/>
      <w:szCs w:val="24"/>
      <w:u w:color="FF0000"/>
    </w:rPr>
  </w:style>
  <w:style w:type="paragraph" w:customStyle="1" w:styleId="598">
    <w:name w:val="批注主题1"/>
    <w:basedOn w:val="28"/>
    <w:next w:val="28"/>
    <w:link w:val="597"/>
    <w:qFormat/>
    <w:uiPriority w:val="0"/>
    <w:rPr>
      <w:rFonts w:hint="eastAsia" w:ascii="汉仪雁翎体简" w:hAnsi="汉仪雁翎体简" w:eastAsia="汉仪雁翎体简" w:cs="汉仪雁翎体简"/>
      <w:b w:val="0"/>
      <w:bCs/>
    </w:rPr>
  </w:style>
  <w:style w:type="character" w:customStyle="1" w:styleId="599">
    <w:name w:val="批注引用1"/>
    <w:basedOn w:val="91"/>
    <w:qFormat/>
    <w:uiPriority w:val="0"/>
    <w:rPr>
      <w:sz w:val="21"/>
      <w:szCs w:val="21"/>
    </w:rPr>
  </w:style>
  <w:style w:type="character" w:customStyle="1" w:styleId="600">
    <w:name w:val="页码1"/>
    <w:basedOn w:val="91"/>
    <w:qFormat/>
    <w:uiPriority w:val="0"/>
    <w:rPr>
      <w:rFonts w:hint="eastAsia" w:ascii="宋体" w:hAnsi="宋体" w:eastAsia="宋体" w:cs="宋体"/>
      <w:sz w:val="24"/>
    </w:rPr>
  </w:style>
  <w:style w:type="character" w:customStyle="1" w:styleId="601">
    <w:name w:val="HTML 预设格式 Char2"/>
    <w:basedOn w:val="91"/>
    <w:qFormat/>
    <w:uiPriority w:val="0"/>
    <w:rPr>
      <w:rFonts w:hint="default" w:ascii="Courier New" w:hAnsi="Courier New" w:eastAsia="汉仪雁翎体简" w:cs="Courier New"/>
      <w:b/>
      <w:kern w:val="2"/>
      <w:u w:color="FF0000"/>
    </w:rPr>
  </w:style>
  <w:style w:type="character" w:customStyle="1" w:styleId="602">
    <w:name w:val="副标题 Char2"/>
    <w:basedOn w:val="91"/>
    <w:qFormat/>
    <w:uiPriority w:val="0"/>
    <w:rPr>
      <w:rFonts w:hint="default" w:ascii="Cambria" w:hAnsi="Cambria" w:eastAsia="Cambria" w:cs="Times New Roman"/>
      <w:b/>
      <w:bCs/>
      <w:kern w:val="28"/>
      <w:sz w:val="32"/>
      <w:szCs w:val="32"/>
      <w:u w:color="FF0000"/>
    </w:rPr>
  </w:style>
  <w:style w:type="table" w:customStyle="1" w:styleId="603">
    <w:name w:val="网格型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paragraph" w:customStyle="1" w:styleId="604">
    <w:name w:val="Char Char Char Char Char Char Char Char Char Char1 Char Char Char"/>
    <w:basedOn w:val="1"/>
    <w:qFormat/>
    <w:uiPriority w:val="0"/>
    <w:pPr>
      <w:widowControl/>
      <w:spacing w:after="160" w:line="240" w:lineRule="exact"/>
      <w:jc w:val="left"/>
    </w:pPr>
    <w:rPr>
      <w:rFonts w:ascii="Verdana" w:hAnsi="Verdana"/>
      <w:b w:val="0"/>
      <w:kern w:val="0"/>
      <w:sz w:val="20"/>
      <w:szCs w:val="20"/>
      <w:lang w:eastAsia="en-US"/>
    </w:rPr>
  </w:style>
  <w:style w:type="character" w:customStyle="1" w:styleId="605">
    <w:name w:val="正文文本首行缩进 2 字符1"/>
    <w:qFormat/>
    <w:uiPriority w:val="0"/>
    <w:rPr>
      <w:rFonts w:ascii="Times New Roman" w:hAnsi="Times New Roman" w:eastAsia="宋体" w:cs="Times New Roman"/>
      <w:b/>
      <w:sz w:val="18"/>
      <w:szCs w:val="24"/>
    </w:rPr>
  </w:style>
  <w:style w:type="character" w:customStyle="1" w:styleId="606">
    <w:name w:val="标题 1 字符1"/>
    <w:qFormat/>
    <w:uiPriority w:val="0"/>
    <w:rPr>
      <w:rFonts w:ascii="Times New Roman" w:hAnsi="Times New Roman" w:eastAsia="仿宋_GB2312" w:cs="Times New Roman"/>
      <w:b/>
      <w:sz w:val="44"/>
      <w:szCs w:val="24"/>
      <w:u w:color="FF0000"/>
    </w:rPr>
  </w:style>
  <w:style w:type="character" w:customStyle="1" w:styleId="607">
    <w:name w:val="标题 2 字符1"/>
    <w:qFormat/>
    <w:uiPriority w:val="0"/>
    <w:rPr>
      <w:rFonts w:ascii="宋体" w:hAnsi="Arial" w:eastAsia="仿宋_GB2312" w:cs="Times New Roman"/>
      <w:b/>
      <w:kern w:val="0"/>
      <w:sz w:val="30"/>
      <w:szCs w:val="20"/>
      <w:u w:color="FF0000"/>
    </w:rPr>
  </w:style>
  <w:style w:type="character" w:customStyle="1" w:styleId="608">
    <w:name w:val="标题 4 字符1"/>
    <w:qFormat/>
    <w:uiPriority w:val="0"/>
    <w:rPr>
      <w:rFonts w:ascii="Arial" w:hAnsi="Arial" w:eastAsia="宋体" w:cs="Times New Roman"/>
      <w:bCs/>
      <w:kern w:val="0"/>
      <w:sz w:val="28"/>
      <w:szCs w:val="20"/>
      <w:u w:color="FF0000"/>
    </w:rPr>
  </w:style>
  <w:style w:type="character" w:customStyle="1" w:styleId="609">
    <w:name w:val="标题 5 字符1"/>
    <w:qFormat/>
    <w:uiPriority w:val="0"/>
    <w:rPr>
      <w:rFonts w:ascii="Times New Roman" w:hAnsi="Times New Roman" w:eastAsia="宋体" w:cs="Times New Roman"/>
      <w:kern w:val="0"/>
      <w:sz w:val="28"/>
      <w:szCs w:val="20"/>
      <w:u w:color="FF0000"/>
    </w:rPr>
  </w:style>
  <w:style w:type="character" w:customStyle="1" w:styleId="610">
    <w:name w:val="标题 6 字符1"/>
    <w:qFormat/>
    <w:uiPriority w:val="0"/>
    <w:rPr>
      <w:rFonts w:ascii="Times New Roman" w:hAnsi="Times New Roman" w:eastAsia="宋体" w:cs="Times New Roman"/>
      <w:bCs/>
      <w:sz w:val="28"/>
      <w:szCs w:val="24"/>
      <w:u w:color="FF0000"/>
    </w:rPr>
  </w:style>
  <w:style w:type="character" w:customStyle="1" w:styleId="611">
    <w:name w:val="标题 7 字符1"/>
    <w:qFormat/>
    <w:uiPriority w:val="0"/>
    <w:rPr>
      <w:rFonts w:ascii="Times New Roman" w:hAnsi="Times New Roman" w:eastAsia="宋体" w:cs="Times New Roman"/>
      <w:b/>
      <w:sz w:val="15"/>
      <w:szCs w:val="24"/>
      <w:u w:color="FF0000"/>
    </w:rPr>
  </w:style>
  <w:style w:type="character" w:customStyle="1" w:styleId="612">
    <w:name w:val="标题 8 字符1"/>
    <w:qFormat/>
    <w:uiPriority w:val="0"/>
    <w:rPr>
      <w:rFonts w:ascii="Arial" w:hAnsi="Arial" w:eastAsia="黑体" w:cs="Times New Roman"/>
      <w:kern w:val="0"/>
      <w:sz w:val="24"/>
      <w:szCs w:val="20"/>
    </w:rPr>
  </w:style>
  <w:style w:type="character" w:customStyle="1" w:styleId="613">
    <w:name w:val="标题 9 字符1"/>
    <w:qFormat/>
    <w:uiPriority w:val="0"/>
    <w:rPr>
      <w:rFonts w:ascii="Arial" w:hAnsi="Arial" w:eastAsia="黑体" w:cs="Times New Roman"/>
      <w:kern w:val="0"/>
      <w:sz w:val="28"/>
      <w:szCs w:val="20"/>
    </w:rPr>
  </w:style>
  <w:style w:type="character" w:customStyle="1" w:styleId="614">
    <w:name w:val="文档结构图 字符1"/>
    <w:qFormat/>
    <w:uiPriority w:val="0"/>
    <w:rPr>
      <w:rFonts w:ascii="Times New Roman" w:hAnsi="Times New Roman" w:eastAsia="仿宋_GB2312" w:cs="Times New Roman"/>
      <w:sz w:val="24"/>
      <w:szCs w:val="24"/>
      <w:u w:color="FF0000"/>
      <w:shd w:val="clear" w:color="auto" w:fill="000080"/>
    </w:rPr>
  </w:style>
  <w:style w:type="character" w:customStyle="1" w:styleId="615">
    <w:name w:val="批注框文本 字符1"/>
    <w:qFormat/>
    <w:uiPriority w:val="0"/>
    <w:rPr>
      <w:rFonts w:ascii="Times New Roman" w:hAnsi="Times New Roman" w:eastAsia="宋体" w:cs="Times New Roman"/>
      <w:b/>
      <w:sz w:val="18"/>
      <w:szCs w:val="18"/>
      <w:u w:color="FF0000"/>
    </w:rPr>
  </w:style>
  <w:style w:type="character" w:customStyle="1" w:styleId="616">
    <w:name w:val="副标题 字符1"/>
    <w:qFormat/>
    <w:uiPriority w:val="0"/>
    <w:rPr>
      <w:rFonts w:ascii="Cambria" w:hAnsi="Cambria" w:eastAsia="宋体" w:cs="Times New Roman"/>
      <w:b/>
      <w:bCs/>
      <w:kern w:val="28"/>
      <w:sz w:val="32"/>
      <w:szCs w:val="32"/>
    </w:rPr>
  </w:style>
  <w:style w:type="character" w:customStyle="1" w:styleId="617">
    <w:name w:val="HTML 预设格式 字符1"/>
    <w:qFormat/>
    <w:uiPriority w:val="0"/>
    <w:rPr>
      <w:rFonts w:ascii="Courier New" w:hAnsi="Courier New" w:eastAsia="宋体" w:cs="Courier New"/>
      <w:sz w:val="20"/>
      <w:szCs w:val="20"/>
      <w:u w:color="FF0000"/>
    </w:rPr>
  </w:style>
  <w:style w:type="paragraph" w:customStyle="1" w:styleId="618">
    <w:name w:val="修订4"/>
    <w:qFormat/>
    <w:uiPriority w:val="0"/>
    <w:rPr>
      <w:rFonts w:ascii="Times New Roman" w:hAnsi="Times New Roman" w:eastAsia="宋体" w:cs="Times New Roman"/>
      <w:kern w:val="2"/>
      <w:sz w:val="21"/>
      <w:szCs w:val="24"/>
      <w:u w:color="FF0000"/>
      <w:lang w:val="en-US" w:eastAsia="zh-CN" w:bidi="ar-SA"/>
    </w:rPr>
  </w:style>
  <w:style w:type="paragraph" w:customStyle="1" w:styleId="619">
    <w:name w:val="TOC 标题3"/>
    <w:basedOn w:val="3"/>
    <w:next w:val="1"/>
    <w:qFormat/>
    <w:uiPriority w:val="0"/>
    <w:pPr>
      <w:keepLines/>
      <w:widowControl/>
      <w:spacing w:before="480" w:line="276" w:lineRule="auto"/>
      <w:jc w:val="left"/>
      <w:outlineLvl w:val="9"/>
    </w:pPr>
    <w:rPr>
      <w:rFonts w:ascii="Cambria" w:hAnsi="Cambria" w:eastAsia="宋体"/>
      <w:bCs/>
      <w:color w:val="365F91"/>
      <w:kern w:val="0"/>
      <w:sz w:val="28"/>
      <w:szCs w:val="28"/>
    </w:rPr>
  </w:style>
  <w:style w:type="character" w:customStyle="1" w:styleId="620">
    <w:name w:val="不明显强调2"/>
    <w:qFormat/>
    <w:uiPriority w:val="19"/>
    <w:rPr>
      <w:i/>
      <w:iCs/>
      <w:color w:val="404040"/>
    </w:rPr>
  </w:style>
  <w:style w:type="character" w:customStyle="1" w:styleId="621">
    <w:name w:val="书籍标题3"/>
    <w:qFormat/>
    <w:uiPriority w:val="0"/>
    <w:rPr>
      <w:b/>
      <w:bCs/>
      <w:smallCaps/>
      <w:spacing w:val="5"/>
    </w:rPr>
  </w:style>
  <w:style w:type="character" w:customStyle="1" w:styleId="622">
    <w:name w:val="无间隔 字符1"/>
    <w:qFormat/>
    <w:uiPriority w:val="1"/>
    <w:rPr>
      <w:rFonts w:ascii="Times New Roman" w:hAnsi="Times New Roman" w:eastAsia="宋体" w:cs="Times New Roman"/>
      <w:szCs w:val="24"/>
    </w:rPr>
  </w:style>
  <w:style w:type="paragraph" w:customStyle="1" w:styleId="623">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624">
    <w:name w:val="正文文本 21"/>
    <w:basedOn w:val="1"/>
    <w:qFormat/>
    <w:uiPriority w:val="0"/>
    <w:rPr>
      <w:rFonts w:ascii="Times New Roman" w:hAnsi="Times New Roman"/>
      <w:b w:val="0"/>
      <w:sz w:val="24"/>
    </w:rPr>
  </w:style>
  <w:style w:type="paragraph" w:customStyle="1" w:styleId="625">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626">
    <w:name w:val="正文缩进1"/>
    <w:basedOn w:val="1"/>
    <w:qFormat/>
    <w:uiPriority w:val="0"/>
    <w:pPr>
      <w:widowControl/>
      <w:spacing w:line="360" w:lineRule="auto"/>
      <w:ind w:firstLine="560" w:firstLineChars="200"/>
      <w:jc w:val="left"/>
    </w:pPr>
    <w:rPr>
      <w:rFonts w:ascii="Times New Roman" w:hAnsi="Times New Roman"/>
      <w:kern w:val="0"/>
      <w:sz w:val="28"/>
      <w:szCs w:val="20"/>
    </w:rPr>
  </w:style>
  <w:style w:type="paragraph" w:customStyle="1" w:styleId="627">
    <w:name w:val="索引 11"/>
    <w:basedOn w:val="1"/>
    <w:next w:val="1"/>
    <w:qFormat/>
    <w:uiPriority w:val="0"/>
    <w:pPr>
      <w:jc w:val="center"/>
    </w:pPr>
    <w:rPr>
      <w:rFonts w:ascii="宋体" w:hAnsi="宋体"/>
      <w:b w:val="0"/>
      <w:color w:val="000000"/>
      <w:sz w:val="24"/>
      <w:szCs w:val="28"/>
    </w:rPr>
  </w:style>
  <w:style w:type="paragraph" w:customStyle="1" w:styleId="628">
    <w:name w:val="文档结构图1"/>
    <w:basedOn w:val="1"/>
    <w:qFormat/>
    <w:uiPriority w:val="0"/>
    <w:pPr>
      <w:shd w:val="clear" w:color="auto" w:fill="000080"/>
      <w:spacing w:line="360" w:lineRule="auto"/>
    </w:pPr>
    <w:rPr>
      <w:rFonts w:ascii="Times New Roman" w:hAnsi="Times New Roman" w:eastAsia="仿宋_GB2312"/>
      <w:b w:val="0"/>
      <w:sz w:val="24"/>
    </w:rPr>
  </w:style>
  <w:style w:type="paragraph" w:customStyle="1" w:styleId="629">
    <w:name w:val="正文文本缩进 31"/>
    <w:basedOn w:val="1"/>
    <w:qFormat/>
    <w:uiPriority w:val="0"/>
    <w:pPr>
      <w:spacing w:line="0" w:lineRule="atLeast"/>
      <w:ind w:firstLine="630"/>
    </w:pPr>
    <w:rPr>
      <w:rFonts w:ascii="Times New Roman" w:hAnsi="Times New Roman"/>
      <w:b w:val="0"/>
      <w:sz w:val="28"/>
    </w:rPr>
  </w:style>
  <w:style w:type="paragraph" w:customStyle="1" w:styleId="630">
    <w:name w:val="日期1"/>
    <w:basedOn w:val="1"/>
    <w:next w:val="1"/>
    <w:qFormat/>
    <w:uiPriority w:val="0"/>
    <w:pPr>
      <w:ind w:left="100" w:leftChars="2500"/>
    </w:pPr>
    <w:rPr>
      <w:rFonts w:ascii="Times New Roman" w:hAnsi="Times New Roman"/>
      <w:sz w:val="28"/>
    </w:rPr>
  </w:style>
  <w:style w:type="paragraph" w:customStyle="1" w:styleId="631">
    <w:name w:val="正文文本缩进 21"/>
    <w:basedOn w:val="1"/>
    <w:qFormat/>
    <w:uiPriority w:val="0"/>
    <w:pPr>
      <w:spacing w:line="360" w:lineRule="auto"/>
      <w:ind w:left="275" w:leftChars="100"/>
    </w:pPr>
    <w:rPr>
      <w:rFonts w:ascii="宋体" w:hAnsi="宋体" w:eastAsia="隶书"/>
      <w:b w:val="0"/>
      <w:sz w:val="28"/>
    </w:rPr>
  </w:style>
  <w:style w:type="paragraph" w:customStyle="1" w:styleId="632">
    <w:name w:val="文本块1"/>
    <w:basedOn w:val="1"/>
    <w:qFormat/>
    <w:uiPriority w:val="0"/>
    <w:pPr>
      <w:ind w:left="-108" w:leftChars="-51" w:right="-93" w:rightChars="-44"/>
      <w:jc w:val="center"/>
    </w:pPr>
    <w:rPr>
      <w:rFonts w:ascii="Times New Roman" w:hAnsi="Times New Roman" w:eastAsia="楷体_GB2312"/>
      <w:spacing w:val="-6"/>
      <w:sz w:val="28"/>
    </w:rPr>
  </w:style>
  <w:style w:type="paragraph" w:customStyle="1" w:styleId="633">
    <w:name w:val="纯文本1"/>
    <w:basedOn w:val="1"/>
    <w:qFormat/>
    <w:uiPriority w:val="0"/>
    <w:rPr>
      <w:rFonts w:ascii="宋体" w:hAnsi="Courier New"/>
      <w:b w:val="0"/>
      <w:szCs w:val="21"/>
    </w:rPr>
  </w:style>
  <w:style w:type="paragraph" w:customStyle="1" w:styleId="634">
    <w:name w:val="_Style 45"/>
    <w:basedOn w:val="1"/>
    <w:qFormat/>
    <w:uiPriority w:val="0"/>
    <w:pPr>
      <w:spacing w:line="360" w:lineRule="auto"/>
      <w:ind w:firstLine="200" w:firstLineChars="200"/>
    </w:pPr>
    <w:rPr>
      <w:rFonts w:ascii="Times New Roman" w:hAnsi="Times New Roman"/>
    </w:rPr>
  </w:style>
  <w:style w:type="paragraph" w:customStyle="1" w:styleId="635">
    <w:name w:val="正文文本 31"/>
    <w:basedOn w:val="1"/>
    <w:qFormat/>
    <w:uiPriority w:val="0"/>
    <w:rPr>
      <w:rFonts w:ascii="Times New Roman" w:hAnsi="Times New Roman"/>
      <w:sz w:val="28"/>
    </w:rPr>
  </w:style>
  <w:style w:type="paragraph" w:customStyle="1" w:styleId="636">
    <w:name w:val="正文首行缩进1"/>
    <w:basedOn w:val="34"/>
    <w:qFormat/>
    <w:uiPriority w:val="0"/>
    <w:pPr>
      <w:ind w:firstLine="420" w:firstLineChars="100"/>
    </w:pPr>
    <w:rPr>
      <w:rFonts w:ascii="Times New Roman" w:hAnsi="Times New Roman" w:eastAsia="隶书"/>
      <w:b/>
      <w:sz w:val="21"/>
      <w:szCs w:val="24"/>
    </w:rPr>
  </w:style>
  <w:style w:type="paragraph" w:customStyle="1" w:styleId="637">
    <w:name w:val="BodyText"/>
    <w:basedOn w:val="1"/>
    <w:next w:val="1"/>
    <w:qFormat/>
    <w:uiPriority w:val="0"/>
    <w:pPr>
      <w:spacing w:after="120"/>
      <w:textAlignment w:val="baseline"/>
    </w:pPr>
    <w:rPr>
      <w:rFonts w:ascii="Times New Roman" w:hAnsi="Times New Roman"/>
    </w:rPr>
  </w:style>
  <w:style w:type="table" w:customStyle="1" w:styleId="638">
    <w:name w:val="网格型 73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39">
    <w:name w:val="网格型 731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40">
    <w:name w:val="网格型 716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41">
    <w:name w:val="网格型 717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character" w:customStyle="1" w:styleId="642">
    <w:name w:val="索引 8 字符1"/>
    <w:qFormat/>
    <w:uiPriority w:val="0"/>
    <w:rPr>
      <w:rFonts w:ascii="Times New Roman" w:hAnsi="Times New Roman" w:eastAsia="宋体" w:cs="Times New Roman"/>
      <w:sz w:val="28"/>
      <w:szCs w:val="20"/>
    </w:rPr>
  </w:style>
  <w:style w:type="table" w:customStyle="1" w:styleId="643">
    <w:name w:val="Table Normal2"/>
    <w:unhideWhenUsed/>
    <w:qFormat/>
    <w:uiPriority w:val="0"/>
    <w:tblPr>
      <w:tblCellMar>
        <w:top w:w="0" w:type="dxa"/>
        <w:left w:w="0" w:type="dxa"/>
        <w:bottom w:w="0" w:type="dxa"/>
        <w:right w:w="0" w:type="dxa"/>
      </w:tblCellMar>
    </w:tblPr>
  </w:style>
  <w:style w:type="character" w:customStyle="1" w:styleId="644">
    <w:name w:val="标题 2 Char1"/>
    <w:qFormat/>
    <w:uiPriority w:val="0"/>
    <w:rPr>
      <w:rFonts w:ascii="Arial" w:hAnsi="Arial" w:eastAsia="宋体"/>
      <w:b/>
      <w:kern w:val="2"/>
      <w:sz w:val="28"/>
      <w:szCs w:val="28"/>
      <w:lang w:val="en-US" w:eastAsia="zh-CN" w:bidi="ar-SA"/>
    </w:rPr>
  </w:style>
  <w:style w:type="paragraph" w:customStyle="1" w:styleId="645">
    <w:name w:val="cjk"/>
    <w:basedOn w:val="1"/>
    <w:qFormat/>
    <w:uiPriority w:val="0"/>
    <w:pPr>
      <w:jc w:val="left"/>
    </w:pPr>
    <w:rPr>
      <w:rFonts w:hint="eastAsia" w:ascii="宋体" w:hAnsi="宋体"/>
      <w:b w:val="0"/>
      <w:kern w:val="0"/>
      <w:sz w:val="28"/>
      <w:szCs w:val="28"/>
    </w:rPr>
  </w:style>
  <w:style w:type="table" w:customStyle="1" w:styleId="646">
    <w:name w:val="网格型 715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47">
    <w:name w:val="网格型 719"/>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48">
    <w:name w:val="网格型 7110"/>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49">
    <w:name w:val="网格型 7122"/>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50">
    <w:name w:val="网格型 713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51">
    <w:name w:val="网格型 714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52">
    <w:name w:val="网格型 7152"/>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paragraph" w:customStyle="1" w:styleId="653">
    <w:name w:val="正文文本缩进10"/>
    <w:basedOn w:val="1"/>
    <w:qFormat/>
    <w:uiPriority w:val="0"/>
    <w:pPr>
      <w:widowControl/>
      <w:spacing w:line="360" w:lineRule="auto"/>
      <w:ind w:firstLine="570"/>
    </w:pPr>
    <w:rPr>
      <w:rFonts w:ascii="Times New Roman" w:hAnsi="Times New Roman" w:eastAsia="隶书"/>
      <w:b w:val="0"/>
      <w:kern w:val="0"/>
      <w:sz w:val="28"/>
      <w:szCs w:val="20"/>
    </w:rPr>
  </w:style>
  <w:style w:type="table" w:customStyle="1" w:styleId="654">
    <w:name w:val="网格型 7112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55">
    <w:name w:val="网格型 74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56">
    <w:name w:val="网格型 77"/>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57">
    <w:name w:val="网格型 7123"/>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58">
    <w:name w:val="网格型 7132"/>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59">
    <w:name w:val="网格型 7142"/>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60">
    <w:name w:val="网格型 7153"/>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61">
    <w:name w:val="网格型 732"/>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62">
    <w:name w:val="网格型 7162"/>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63">
    <w:name w:val="网格型 71122"/>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64">
    <w:name w:val="网格型 742"/>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65">
    <w:name w:val="网格型 7172"/>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66">
    <w:name w:val="网格型 7113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67">
    <w:name w:val="网格型 75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68">
    <w:name w:val="网格型 7312"/>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69">
    <w:name w:val="网格型 7311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70">
    <w:name w:val="网格型 7161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71">
    <w:name w:val="网格型 7171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72">
    <w:name w:val="网格型 76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character" w:customStyle="1" w:styleId="673">
    <w:name w:val="正文首行缩进 2 Char"/>
    <w:qFormat/>
    <w:uiPriority w:val="99"/>
    <w:rPr>
      <w:rFonts w:eastAsia="隶书"/>
      <w:b/>
      <w:kern w:val="2"/>
      <w:sz w:val="18"/>
      <w:szCs w:val="24"/>
      <w:u w:color="FF0000"/>
      <w:lang w:val="en-US" w:eastAsia="zh-CN" w:bidi="ar-SA"/>
    </w:rPr>
  </w:style>
  <w:style w:type="character" w:customStyle="1" w:styleId="674">
    <w:name w:val="标题 2 Char"/>
    <w:qFormat/>
    <w:uiPriority w:val="0"/>
    <w:rPr>
      <w:rFonts w:ascii="宋体" w:hAnsi="Arial" w:eastAsia="仿宋_GB2312"/>
      <w:b/>
      <w:sz w:val="30"/>
      <w:u w:color="FF0000"/>
    </w:rPr>
  </w:style>
  <w:style w:type="character" w:customStyle="1" w:styleId="675">
    <w:name w:val="标题 4 Char"/>
    <w:qFormat/>
    <w:uiPriority w:val="0"/>
    <w:rPr>
      <w:rFonts w:ascii="Arial" w:hAnsi="Arial"/>
      <w:bCs/>
      <w:sz w:val="28"/>
      <w:u w:color="FF0000"/>
    </w:rPr>
  </w:style>
  <w:style w:type="character" w:customStyle="1" w:styleId="676">
    <w:name w:val="标题 5 Char"/>
    <w:qFormat/>
    <w:uiPriority w:val="0"/>
    <w:rPr>
      <w:sz w:val="28"/>
      <w:u w:color="FF0000"/>
    </w:rPr>
  </w:style>
  <w:style w:type="character" w:customStyle="1" w:styleId="677">
    <w:name w:val="标题 6 Char"/>
    <w:qFormat/>
    <w:uiPriority w:val="0"/>
    <w:rPr>
      <w:bCs/>
      <w:kern w:val="2"/>
      <w:sz w:val="28"/>
      <w:szCs w:val="24"/>
      <w:u w:color="FF0000"/>
    </w:rPr>
  </w:style>
  <w:style w:type="character" w:customStyle="1" w:styleId="678">
    <w:name w:val="标题 7 Char"/>
    <w:qFormat/>
    <w:uiPriority w:val="0"/>
    <w:rPr>
      <w:b/>
      <w:kern w:val="2"/>
      <w:sz w:val="15"/>
      <w:szCs w:val="24"/>
      <w:u w:color="FF0000"/>
    </w:rPr>
  </w:style>
  <w:style w:type="character" w:customStyle="1" w:styleId="679">
    <w:name w:val="标题 8 Char"/>
    <w:qFormat/>
    <w:uiPriority w:val="0"/>
    <w:rPr>
      <w:rFonts w:ascii="Arial" w:hAnsi="Arial" w:eastAsia="黑体"/>
      <w:sz w:val="24"/>
    </w:rPr>
  </w:style>
  <w:style w:type="character" w:customStyle="1" w:styleId="680">
    <w:name w:val="标题 9 Char"/>
    <w:qFormat/>
    <w:uiPriority w:val="0"/>
    <w:rPr>
      <w:rFonts w:ascii="Arial" w:hAnsi="Arial" w:eastAsia="黑体"/>
      <w:sz w:val="28"/>
    </w:rPr>
  </w:style>
  <w:style w:type="character" w:customStyle="1" w:styleId="681">
    <w:name w:val="文档结构图 Char"/>
    <w:qFormat/>
    <w:uiPriority w:val="0"/>
    <w:rPr>
      <w:rFonts w:eastAsia="仿宋_GB2312"/>
      <w:kern w:val="2"/>
      <w:sz w:val="24"/>
      <w:szCs w:val="24"/>
      <w:u w:color="FF0000"/>
      <w:shd w:val="clear" w:color="auto" w:fill="000080"/>
    </w:rPr>
  </w:style>
  <w:style w:type="character" w:customStyle="1" w:styleId="682">
    <w:name w:val="正文文本 3 Char"/>
    <w:qFormat/>
    <w:uiPriority w:val="0"/>
    <w:rPr>
      <w:b/>
      <w:kern w:val="2"/>
      <w:sz w:val="28"/>
      <w:szCs w:val="24"/>
      <w:u w:color="FF0000"/>
    </w:rPr>
  </w:style>
  <w:style w:type="character" w:customStyle="1" w:styleId="683">
    <w:name w:val="日期 Char"/>
    <w:qFormat/>
    <w:uiPriority w:val="0"/>
    <w:rPr>
      <w:b/>
      <w:kern w:val="2"/>
      <w:sz w:val="28"/>
      <w:szCs w:val="24"/>
      <w:u w:color="FF0000"/>
    </w:rPr>
  </w:style>
  <w:style w:type="character" w:customStyle="1" w:styleId="684">
    <w:name w:val="正文文本缩进 2 Char"/>
    <w:qFormat/>
    <w:uiPriority w:val="0"/>
    <w:rPr>
      <w:rFonts w:ascii="宋体" w:hAnsi="宋体" w:eastAsia="隶书"/>
      <w:b/>
      <w:kern w:val="2"/>
      <w:sz w:val="28"/>
      <w:szCs w:val="24"/>
      <w:u w:color="FF0000"/>
      <w:lang w:val="en-US" w:eastAsia="zh-CN" w:bidi="ar-SA"/>
    </w:rPr>
  </w:style>
  <w:style w:type="character" w:customStyle="1" w:styleId="685">
    <w:name w:val="页眉 Char"/>
    <w:qFormat/>
    <w:uiPriority w:val="0"/>
    <w:rPr>
      <w:rFonts w:eastAsia="隶书"/>
      <w:b/>
      <w:kern w:val="2"/>
      <w:sz w:val="18"/>
      <w:szCs w:val="18"/>
      <w:u w:color="FF0000"/>
      <w:lang w:val="en-US" w:eastAsia="zh-CN" w:bidi="ar-SA"/>
    </w:rPr>
  </w:style>
  <w:style w:type="character" w:customStyle="1" w:styleId="686">
    <w:name w:val="副标题 Char"/>
    <w:qFormat/>
    <w:uiPriority w:val="0"/>
    <w:rPr>
      <w:rFonts w:ascii="Cambria" w:hAnsi="Cambria"/>
      <w:b/>
      <w:bCs/>
      <w:kern w:val="28"/>
      <w:sz w:val="32"/>
      <w:szCs w:val="32"/>
    </w:rPr>
  </w:style>
  <w:style w:type="character" w:customStyle="1" w:styleId="687">
    <w:name w:val="脚注文本 Char"/>
    <w:qFormat/>
    <w:uiPriority w:val="0"/>
    <w:rPr>
      <w:kern w:val="2"/>
      <w:sz w:val="18"/>
      <w:szCs w:val="18"/>
    </w:rPr>
  </w:style>
  <w:style w:type="character" w:customStyle="1" w:styleId="688">
    <w:name w:val="正文文本缩进 3 Char"/>
    <w:qFormat/>
    <w:uiPriority w:val="0"/>
    <w:rPr>
      <w:kern w:val="2"/>
      <w:sz w:val="28"/>
      <w:szCs w:val="24"/>
      <w:u w:color="FF0000"/>
    </w:rPr>
  </w:style>
  <w:style w:type="character" w:customStyle="1" w:styleId="689">
    <w:name w:val="正文文本 2 Char"/>
    <w:qFormat/>
    <w:uiPriority w:val="0"/>
    <w:rPr>
      <w:kern w:val="2"/>
      <w:sz w:val="24"/>
      <w:szCs w:val="24"/>
      <w:u w:color="FF0000"/>
    </w:rPr>
  </w:style>
  <w:style w:type="character" w:customStyle="1" w:styleId="690">
    <w:name w:val="HTML 预设格式 Char"/>
    <w:qFormat/>
    <w:uiPriority w:val="0"/>
    <w:rPr>
      <w:rFonts w:ascii="Courier New" w:hAnsi="Courier New" w:cs="Courier New"/>
      <w:kern w:val="2"/>
      <w:u w:color="FF0000"/>
    </w:rPr>
  </w:style>
  <w:style w:type="character" w:customStyle="1" w:styleId="691">
    <w:name w:val="标题 Char"/>
    <w:qFormat/>
    <w:uiPriority w:val="0"/>
    <w:rPr>
      <w:rFonts w:ascii="Arial" w:hAnsi="Arial"/>
      <w:b/>
      <w:kern w:val="2"/>
      <w:sz w:val="32"/>
    </w:rPr>
  </w:style>
  <w:style w:type="character" w:customStyle="1" w:styleId="692">
    <w:name w:val="正文首行缩进 Char"/>
    <w:qFormat/>
    <w:uiPriority w:val="0"/>
    <w:rPr>
      <w:rFonts w:eastAsia="隶书"/>
      <w:b/>
      <w:szCs w:val="24"/>
      <w:u w:color="FF0000"/>
    </w:rPr>
  </w:style>
  <w:style w:type="character" w:customStyle="1" w:styleId="693">
    <w:name w:val="无间隔 Char"/>
    <w:qFormat/>
    <w:uiPriority w:val="1"/>
    <w:rPr>
      <w:kern w:val="2"/>
      <w:sz w:val="21"/>
      <w:szCs w:val="24"/>
    </w:rPr>
  </w:style>
  <w:style w:type="paragraph" w:customStyle="1" w:styleId="694">
    <w:name w:val="正文文本缩进12"/>
    <w:basedOn w:val="1"/>
    <w:qFormat/>
    <w:uiPriority w:val="0"/>
    <w:pPr>
      <w:widowControl/>
      <w:spacing w:line="360" w:lineRule="auto"/>
      <w:ind w:firstLine="570"/>
    </w:pPr>
    <w:rPr>
      <w:rFonts w:ascii="Times New Roman" w:hAnsi="Times New Roman" w:eastAsia="隶书"/>
      <w:b w:val="0"/>
      <w:kern w:val="0"/>
      <w:sz w:val="28"/>
      <w:szCs w:val="20"/>
    </w:rPr>
  </w:style>
  <w:style w:type="table" w:customStyle="1" w:styleId="695">
    <w:name w:val="网格型 7211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96">
    <w:name w:val="网格型 711111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697">
    <w:name w:val="网格型 722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bottom w:val="single" w:color="000000" w:sz="12" w:space="0"/>
          <w:tl2br w:val="nil"/>
          <w:tr2bl w:val="nil"/>
        </w:tcBorders>
      </w:tcPr>
    </w:tblStylePr>
    <w:tblStylePr w:type="lastRow">
      <w:rPr>
        <w:b w:val="0"/>
        <w:bCs w:val="0"/>
      </w:rPr>
      <w:tcPr>
        <w:tcBorders>
          <w:top w:val="single" w:color="000000" w:sz="6" w:space="0"/>
          <w:tl2br w:val="nil"/>
          <w:tr2bl w:val="nil"/>
        </w:tcBorders>
      </w:tcPr>
    </w:tblStylePr>
    <w:tblStylePr w:type="firstCol">
      <w:rPr>
        <w:b w:val="0"/>
        <w:bCs w:val="0"/>
      </w:rPr>
      <w:tcPr>
        <w:tcBorders>
          <w:tl2br w:val="nil"/>
          <w:tr2bl w:val="nil"/>
        </w:tcBorders>
      </w:tcPr>
    </w:tblStylePr>
    <w:tblStylePr w:type="lastCol">
      <w:rPr>
        <w:b w:val="0"/>
        <w:bCs w:val="0"/>
      </w:rPr>
      <w:tcPr>
        <w:tcBorders>
          <w:tl2br w:val="nil"/>
          <w:tr2bl w:val="nil"/>
        </w:tcBorders>
      </w:tcPr>
    </w:tblStylePr>
    <w:tblStylePr w:type="nwCell">
      <w:tcPr>
        <w:tcBorders>
          <w:tl2br w:val="single" w:color="000000" w:sz="6" w:space="0"/>
          <w:tr2bl w:val="nil"/>
        </w:tcBorders>
      </w:tcPr>
    </w:tblStylePr>
  </w:style>
  <w:style w:type="table" w:customStyle="1" w:styleId="698">
    <w:name w:val="网格型 71112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bottom w:val="single" w:color="000000" w:sz="12" w:space="0"/>
          <w:tl2br w:val="nil"/>
          <w:tr2bl w:val="nil"/>
        </w:tcBorders>
      </w:tcPr>
    </w:tblStylePr>
    <w:tblStylePr w:type="lastRow">
      <w:rPr>
        <w:b w:val="0"/>
        <w:bCs w:val="0"/>
      </w:rPr>
      <w:tcPr>
        <w:tcBorders>
          <w:top w:val="single" w:color="000000" w:sz="6" w:space="0"/>
          <w:tl2br w:val="nil"/>
          <w:tr2bl w:val="nil"/>
        </w:tcBorders>
      </w:tcPr>
    </w:tblStylePr>
    <w:tblStylePr w:type="firstCol">
      <w:rPr>
        <w:b w:val="0"/>
        <w:bCs w:val="0"/>
      </w:rPr>
      <w:tcPr>
        <w:tcBorders>
          <w:tl2br w:val="nil"/>
          <w:tr2bl w:val="nil"/>
        </w:tcBorders>
      </w:tcPr>
    </w:tblStylePr>
    <w:tblStylePr w:type="lastCol">
      <w:rPr>
        <w:b w:val="0"/>
        <w:bCs w:val="0"/>
      </w:rPr>
      <w:tcPr>
        <w:tcBorders>
          <w:tl2br w:val="nil"/>
          <w:tr2bl w:val="nil"/>
        </w:tcBorders>
      </w:tcPr>
    </w:tblStylePr>
    <w:tblStylePr w:type="nwCell">
      <w:tcPr>
        <w:tcBorders>
          <w:tl2br w:val="single" w:color="000000" w:sz="6" w:space="0"/>
          <w:tr2bl w:val="nil"/>
        </w:tcBorders>
      </w:tcPr>
    </w:tblStylePr>
  </w:style>
  <w:style w:type="table" w:customStyle="1" w:styleId="699">
    <w:name w:val="网格型 71141"/>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character" w:customStyle="1" w:styleId="700">
    <w:name w:val="未处理的提及2"/>
    <w:semiHidden/>
    <w:unhideWhenUsed/>
    <w:qFormat/>
    <w:uiPriority w:val="99"/>
    <w:rPr>
      <w:color w:val="605E5C"/>
      <w:shd w:val="clear" w:color="auto" w:fill="E1DFDD"/>
    </w:rPr>
  </w:style>
  <w:style w:type="character" w:customStyle="1" w:styleId="701">
    <w:name w:val="未处理的提及3"/>
    <w:semiHidden/>
    <w:unhideWhenUsed/>
    <w:qFormat/>
    <w:uiPriority w:val="99"/>
    <w:rPr>
      <w:color w:val="605E5C"/>
      <w:shd w:val="clear" w:color="auto" w:fill="E1DFDD"/>
    </w:rPr>
  </w:style>
  <w:style w:type="character" w:customStyle="1" w:styleId="702">
    <w:name w:val="未处理的提及4"/>
    <w:basedOn w:val="91"/>
    <w:semiHidden/>
    <w:unhideWhenUsed/>
    <w:qFormat/>
    <w:uiPriority w:val="99"/>
    <w:rPr>
      <w:color w:val="605E5C"/>
      <w:shd w:val="clear" w:color="auto" w:fill="E1DFDD"/>
    </w:rPr>
  </w:style>
  <w:style w:type="table" w:customStyle="1" w:styleId="703">
    <w:name w:val="网格型4"/>
    <w:basedOn w:val="88"/>
    <w:qFormat/>
    <w:uiPriority w:val="59"/>
    <w:rPr>
      <w:kern w:val="2"/>
      <w:sz w:val="28"/>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3.xml"/><Relationship Id="rId38" Type="http://schemas.openxmlformats.org/officeDocument/2006/relationships/customXml" Target="../customXml/item2.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16.png"/><Relationship Id="rId34" Type="http://schemas.openxmlformats.org/officeDocument/2006/relationships/image" Target="media/image15.png"/><Relationship Id="rId33" Type="http://schemas.openxmlformats.org/officeDocument/2006/relationships/image" Target="media/image14.png"/><Relationship Id="rId32" Type="http://schemas.openxmlformats.org/officeDocument/2006/relationships/image" Target="media/image13.png"/><Relationship Id="rId31" Type="http://schemas.openxmlformats.org/officeDocument/2006/relationships/image" Target="media/image12.png"/><Relationship Id="rId30" Type="http://schemas.openxmlformats.org/officeDocument/2006/relationships/image" Target="media/image11.png"/><Relationship Id="rId3" Type="http://schemas.openxmlformats.org/officeDocument/2006/relationships/header" Target="header1.xml"/><Relationship Id="rId29" Type="http://schemas.openxmlformats.org/officeDocument/2006/relationships/image" Target="media/image10.jpeg"/><Relationship Id="rId28" Type="http://schemas.openxmlformats.org/officeDocument/2006/relationships/image" Target="media/image9.png"/><Relationship Id="rId27" Type="http://schemas.openxmlformats.org/officeDocument/2006/relationships/image" Target="media/image8.jpeg"/><Relationship Id="rId26" Type="http://schemas.openxmlformats.org/officeDocument/2006/relationships/image" Target="media/image7.jpeg"/><Relationship Id="rId25" Type="http://schemas.openxmlformats.org/officeDocument/2006/relationships/image" Target="media/image6.wmf"/><Relationship Id="rId24" Type="http://schemas.openxmlformats.org/officeDocument/2006/relationships/image" Target="media/image5.wmf"/><Relationship Id="rId23" Type="http://schemas.openxmlformats.org/officeDocument/2006/relationships/oleObject" Target="embeddings/oleObject3.bin"/><Relationship Id="rId22" Type="http://schemas.openxmlformats.org/officeDocument/2006/relationships/image" Target="media/image4.wmf"/><Relationship Id="rId21" Type="http://schemas.openxmlformats.org/officeDocument/2006/relationships/oleObject" Target="embeddings/oleObject2.bin"/><Relationship Id="rId20" Type="http://schemas.openxmlformats.org/officeDocument/2006/relationships/image" Target="media/image3.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a280d836-d03e-4a67-b3cd-d9e31549a915</errorID>
      <errorWord>二○二六</errorWord>
      <group>L1_Knowledge</group>
      <groupName>知识性问题</groupName>
      <ability>L2_Knowledge</ability>
      <abilityName>其他知识</abilityName>
      <candidateList>
        <item>二〇二六</item>
      </candidateList>
      <explain>中文数字应使用“〇”，而非形似的字符，如“○”。该字符在不同字体下外观可能相似，但含义和编码不同，请注意区分。</explain>
      <paraID>1CB30774</paraID>
      <start>7</start>
      <end>11</end>
      <status>unmodified</status>
      <modifiedWord/>
      <trackRevisions>false</trackRevisions>
    </reviewItem>
    <reviewItem>
      <errorID>e19f2aa2-70c2-462c-83cf-733ba40f8d6e</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3111828F</paraID>
      <start>24</start>
      <end>29</end>
      <status>unmodified</status>
      <modifiedWord/>
      <trackRevisions>false</trackRevisions>
    </reviewItem>
    <reviewItem>
      <errorID>3727a319-bc68-484e-b219-1fa5f19bbcdd</errorID>
      <errorWord>法律、法规</errorWord>
      <group>L1_Word</group>
      <groupName>字词问题</groupName>
      <ability>L2_Typo</ability>
      <abilityName>字词错误</abilityName>
      <candidateList>
        <item>法律法规</item>
      </candidateList>
      <explain/>
      <paraID>3111828F</paraID>
      <start>34</start>
      <end>39</end>
      <status>unmodified</status>
      <modifiedWord/>
      <trackRevisions>false</trackRevisions>
    </reviewItem>
    <reviewItem>
      <errorID>e763e4c0-a4f4-4b7b-8551-4927f327230b</errorID>
      <errorWord>2026年08月20日</errorWord>
      <group>L1_Knowledge</group>
      <groupName>知识性问题</groupName>
      <ability>L2_Time</ability>
      <abilityName>日期时间</abilityName>
      <candidateList>
        <item>2026年8月20日</item>
      </candidateList>
      <explain>根据日常书写习惯，月份一般会省略前导零。</explain>
      <paraID>313BA7FD</paraID>
      <start>29</start>
      <end>40</end>
      <status>unmodified</status>
      <modifiedWord/>
      <trackRevisions>false</trackRevisions>
    </reviewItem>
    <reviewItem>
      <errorID>8e6bb6b1-fa0c-4572-a4f6-df061eb21d42</errorID>
      <errorWord>2009年04月08日</errorWord>
      <group>L1_Knowledge</group>
      <groupName>知识性问题</groupName>
      <ability>L2_Time</ability>
      <abilityName>日期时间</abilityName>
      <candidateList>
        <item>2009年4月8日</item>
      </candidateList>
      <explain>根据日常书写习惯，月份和日期一般会省略前导零。</explain>
      <paraID>2DAA9B88</paraID>
      <start>16</start>
      <end>27</end>
      <status>unmodified</status>
      <modifiedWord/>
      <trackRevisions>false</trackRevisions>
    </reviewItem>
    <reviewItem>
      <errorID>159f33dc-ec24-40a6-85d0-ef9757485a29</errorID>
      <errorWord>:</errorWord>
      <group>L1_Format</group>
      <groupName>格式问题</groupName>
      <ability>L2_HalfPunc_CN</ability>
      <abilityName>全半角问题</abilityName>
      <candidateList>
        <item>：</item>
      </candidateList>
      <explain>文本全半角错误。</explain>
      <paraID>2DAA9B88</paraID>
      <start>102</start>
      <end>103</end>
      <status>unmodified</status>
      <modifiedWord/>
      <trackRevisions>false</trackRevisions>
    </reviewItem>
    <reviewItem>
      <errorID>0f592a70-8191-4aec-b6ab-8d449770ade0</errorID>
      <errorWord>2025年08月20日</errorWord>
      <group>L1_Knowledge</group>
      <groupName>知识性问题</groupName>
      <ability>L2_Time</ability>
      <abilityName>日期时间</abilityName>
      <candidateList>
        <item>2025年8月20日</item>
      </candidateList>
      <explain>根据日常书写习惯，月份一般会省略前导零。</explain>
      <paraID>2DAA9B88</paraID>
      <start>197</start>
      <end>208</end>
      <status>unmodified</status>
      <modifiedWord/>
      <trackRevisions>false</trackRevisions>
    </reviewItem>
    <reviewItem>
      <errorID>21da062a-9ebc-4216-ab64-26fbf5bf187b</errorID>
      <errorWord>2028年08月19日</errorWord>
      <group>L1_Knowledge</group>
      <groupName>知识性问题</groupName>
      <ability>L2_Time</ability>
      <abilityName>日期时间</abilityName>
      <candidateList>
        <item>2028年8月19日</item>
      </candidateList>
      <explain>根据日常书写习惯，月份一般会省略前导零。</explain>
      <paraID>2DAA9B88</paraID>
      <start>209</start>
      <end>220</end>
      <status>unmodified</status>
      <modifiedWord/>
      <trackRevisions>false</trackRevisions>
    </reviewItem>
    <reviewItem>
      <errorID>4948c2f8-5a75-42ec-9a0b-37517e0e9d65</errorID>
      <errorWord>有限公司（下</errorWord>
      <group>L1_Word</group>
      <groupName>字词问题</groupName>
      <ability>L2_Typo</ability>
      <abilityName>字词错误</abilityName>
      <candidateList>
        <item>有限公司（以下</item>
      </candidateList>
      <explain/>
      <paraID>32FA2264</paraID>
      <start>16</start>
      <end>22</end>
      <status>unmodified</status>
      <modifiedWord/>
      <trackRevisions>false</trackRevisions>
    </reviewItem>
    <reviewItem>
      <errorID>e7955524-5faf-49b9-a44f-61f50855eff0</errorID>
      <errorWord>及其</errorWord>
      <group>L1_Word</group>
      <groupName>字词问题</groupName>
      <ability>L2_Typo</ability>
      <abilityName>字词错误</abilityName>
      <candidateList>
        <item>极其</item>
      </candidateList>
      <explain/>
      <paraID>45EEFBAD</paraID>
      <start>34</start>
      <end>36</end>
      <status>unmodified</status>
      <modifiedWord/>
      <trackRevisions>false</trackRevisions>
    </reviewItem>
    <reviewItem>
      <errorID>84d6284b-0b96-4a1c-8866-f88240e666b3</errorID>
      <errorWord>法律、法规</errorWord>
      <group>L1_Word</group>
      <groupName>字词问题</groupName>
      <ability>L2_Typo</ability>
      <abilityName>字词错误</abilityName>
      <candidateList>
        <item>法律法规</item>
      </candidateList>
      <explain/>
      <paraID>61D84397</paraID>
      <start>8</start>
      <end>13</end>
      <status>unmodified</status>
      <modifiedWord/>
      <trackRevisions>false</trackRevisions>
    </reviewItem>
    <reviewItem>
      <errorID>649399f3-60b1-4d7c-9bae-739e0fc5ab80</errorID>
      <errorWord>[2010]23号</errorWord>
      <group>L1_Knowledge</group>
      <groupName>知识性问题</groupName>
      <ability>L2_Knowledge</ability>
      <abilityName>其他知识</abilityName>
      <candidateList>
        <item>〔2010〕23号</item>
      </candidateList>
      <explain>发文字号格式错误。</explain>
      <paraID>2E4E17E8</paraID>
      <start>32</start>
      <end>41</end>
      <status>unmodified</status>
      <modifiedWord/>
      <trackRevisions>false</trackRevisions>
    </reviewItem>
    <reviewItem>
      <errorID>a27f95d4-b52f-4912-a977-a23e6e48031d</errorID>
      <errorWord>[2014]</errorWord>
      <group>L1_Punc</group>
      <groupName>标点问题</groupName>
      <ability>L2_Punc_CN</ability>
      <abilityName>标点符号问题</abilityName>
      <candidateList>
        <item>〔2014〕</item>
      </candidateList>
      <explain/>
      <paraID> 68D59B5</paraID>
      <start>34</start>
      <end>40</end>
      <status>unmodified</status>
      <modifiedWord/>
      <trackRevisions>false</trackRevisions>
    </reviewItem>
    <reviewItem>
      <errorID>4fa690ef-bce0-4740-8bc2-4c94f534fd1c</errorID>
      <errorWord>月1日施行）</errorWord>
      <group>L1_Word</group>
      <groupName>字词问题</groupName>
      <ability>L2_Typo</ability>
      <abilityName>字词错误</abilityName>
      <candidateList>
        <item>月1日起施行）</item>
      </candidateList>
      <explain/>
      <paraID>7A0218FD</paraID>
      <start>43</start>
      <end>49</end>
      <status>unmodified</status>
      <modifiedWord/>
      <trackRevisions>false</trackRevisions>
    </reviewItem>
    <reviewItem>
      <errorID>3031534e-c1e7-4f7f-8ab3-b1f8815dacdb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4A4188F0</paraID>
      <start>25</start>
      <end>26</end>
      <status>unmodified</status>
      <modifiedWord/>
      <trackRevisions>false</trackRevisions>
    </reviewItem>
    <reviewItem>
      <errorID>6a92a2b8-7ef3-4639-bb59-4bcfa365e09b</errorID>
      <errorWord>[2017]121号</errorWord>
      <group>L1_Knowledge</group>
      <groupName>知识性问题</groupName>
      <ability>L2_Knowledge</ability>
      <abilityName>其他知识</abilityName>
      <candidateList>
        <item>〔2017〕121号</item>
      </candidateList>
      <explain>发文字号格式错误。</explain>
      <paraID>5A15C497</paraID>
      <start>40</start>
      <end>50</end>
      <status>unmodified</status>
      <modifiedWord/>
      <trackRevisions>false</trackRevisions>
    </reviewItem>
    <reviewItem>
      <errorID>1c32872e-8d48-4540-8f2e-a4e9d6101f21</errorID>
      <errorWord>[2022]第97号</errorWord>
      <group>L1_Knowledge</group>
      <groupName>知识性问题</groupName>
      <ability>L2_Knowledge</ability>
      <abilityName>其他知识</abilityName>
      <candidateList>
        <item>〔2022〕97号</item>
      </candidateList>
      <explain>发文字号格式错误。</explain>
      <paraID>434DDBB5</paraID>
      <start>35</start>
      <end>45</end>
      <status>unmodified</status>
      <modifiedWord/>
      <trackRevisions>false</trackRevisions>
    </reviewItem>
    <reviewItem>
      <errorID>f371aace-71cd-4416-acc6-58ccdf8e7108</errorID>
      <errorWord>[2008]第9号</errorWord>
      <group>L1_Knowledge</group>
      <groupName>知识性问题</groupName>
      <ability>L2_Knowledge</ability>
      <abilityName>其他知识</abilityName>
      <candidateList>
        <item>〔2008〕9号</item>
      </candidateList>
      <explain>发文字号格式错误。</explain>
      <paraID>2012D985</paraID>
      <start>37</start>
      <end>46</end>
      <status>unmodified</status>
      <modifiedWord/>
      <trackRevisions>false</trackRevisions>
    </reviewItem>
    <reviewItem>
      <errorID>f41bedd4-b733-4ef3-aedf-2c0cda5e6b5a</errorID>
      <errorWord>长沙市烟花爆竹安全生产企业与产业引导条例</errorWord>
      <group>L1_Knowledge</group>
      <groupName>知识性问题</groupName>
      <ability>L2_Knowledge</ability>
      <abilityName>其他知识</abilityName>
      <candidateList>
        <item>长沙市烟花爆竹安全生产与产业引导条例</item>
      </candidateList>
      <explain>当前法律法规未收录或尚未生效，注意核查是否正确。</explain>
      <paraID> E2F97FD</paraID>
      <start>4</start>
      <end>24</end>
      <status>unmodified</status>
      <modifiedWord/>
      <trackRevisions>false</trackRevisions>
    </reviewItem>
    <reviewItem>
      <errorID>ffebb894-e109-431d-b59c-b56c9a3354f0</errorID>
      <errorWord>月1日实施</errorWord>
      <group>L1_Word</group>
      <groupName>字词问题</groupName>
      <ability>L2_Typo</ability>
      <abilityName>字词错误</abilityName>
      <candidateList>
        <item>月1日起实施</item>
      </candidateList>
      <explain/>
      <paraID> E2F97FD</paraID>
      <start>53</start>
      <end>58</end>
      <status>unmodified</status>
      <modifiedWord/>
      <trackRevisions>false</trackRevisions>
    </reviewItem>
    <reviewItem>
      <errorID>09d83979-94bf-4b32-b3a9-b01537a892f2</errorID>
      <errorWord>法律、法规</errorWord>
      <group>L1_Word</group>
      <groupName>字词问题</groupName>
      <ability>L2_Typo</ability>
      <abilityName>字词错误</abilityName>
      <candidateList>
        <item>法律法规</item>
      </candidateList>
      <explain/>
      <paraID>701AEED2</paraID>
      <start>8</start>
      <end>13</end>
      <status>unmodified</status>
      <modifiedWord/>
      <trackRevisions>false</trackRevisions>
    </reviewItem>
    <reviewItem>
      <errorID>923a83c4-7426-49f3-a789-42c868f1713a</errorID>
      <errorWord>参考的</errorWord>
      <group>L1_Word</group>
      <groupName>字词问题</groupName>
      <ability>L2_Typo</ability>
      <abilityName>字词错误</abilityName>
      <candidateList>
        <item>参考</item>
      </candidateList>
      <explain/>
      <paraID>3FC3C504</paraID>
      <start>7</start>
      <end>10</end>
      <status>unmodified</status>
      <modifiedWord/>
      <trackRevisions>false</trackRevisions>
    </reviewItem>
    <reviewItem>
      <errorID>0fab1558-8588-4357-b24a-3724819c9c3e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7F08E762</paraID>
      <start>9</start>
      <end>12</end>
      <status>unmodified</status>
      <modifiedWord/>
      <trackRevisions>false</trackRevisions>
    </reviewItem>
    <reviewItem>
      <errorID>bbd9181d-db5e-4456-9b5e-af6abbb8ef32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7E189D9A</paraID>
      <start>16</start>
      <end>19</end>
      <status>unmodified</status>
      <modifiedWord/>
      <trackRevisions>false</trackRevisions>
    </reviewItem>
    <reviewItem>
      <errorID>605e6678-21a2-4df9-ae3c-b28c45a82833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7E189D9A</paraID>
      <start>29</start>
      <end>32</end>
      <status>unmodified</status>
      <modifiedWord/>
      <trackRevisions>false</trackRevisions>
    </reviewItem>
    <reviewItem>
      <errorID>c9126481-fc3f-4bc0-9ab6-5f95a545d953</errorID>
      <errorWord>法律、法规</errorWord>
      <group>L1_Word</group>
      <groupName>字词问题</groupName>
      <ability>L2_Typo</ability>
      <abilityName>字词错误</abilityName>
      <candidateList>
        <item>法律法规</item>
      </candidateList>
      <explain/>
      <paraID>7E189D9A</paraID>
      <start>45</start>
      <end>50</end>
      <status>unmodified</status>
      <modifiedWord/>
      <trackRevisions>false</trackRevisions>
    </reviewItem>
    <reviewItem>
      <errorID>85175e73-9d77-4059-a89a-f7c4218b1c79</errorID>
      <errorWord>评价时</errorWord>
      <group>L1_Word</group>
      <groupName>字词问题</groupName>
      <ability>L2_Typo</ability>
      <abilityName>字词错误</abilityName>
      <candidateList>
        <item>评价</item>
      </candidateList>
      <explain/>
      <paraID>10E86594</paraID>
      <start>21</start>
      <end>24</end>
      <status>unmodified</status>
      <modifiedWord/>
      <trackRevisions>false</trackRevisions>
    </reviewItem>
    <reviewItem>
      <errorID>a2f842c9-e4fd-4052-b43a-59da65a644c0</errorID>
      <errorWord>2009年04月08日</errorWord>
      <group>L1_Knowledge</group>
      <groupName>知识性问题</groupName>
      <ability>L2_Time</ability>
      <abilityName>日期时间</abilityName>
      <candidateList>
        <item>2009年4月8日</item>
      </candidateList>
      <explain>根据日常书写习惯，月份和日期一般会省略前导零。</explain>
      <paraID>22C910E5</paraID>
      <start>4</start>
      <end>15</end>
      <status>unmodified</status>
      <modifiedWord/>
      <trackRevisions>false</trackRevisions>
    </reviewItem>
    <reviewItem>
      <errorID>bda7e5be-aefc-4dd6-96f5-c3fa28a0fbf4</errorID>
      <errorWord>:</errorWord>
      <group>L1_Format</group>
      <groupName>格式问题</groupName>
      <ability>L2_HalfPunc_CN</ability>
      <abilityName>全半角问题</abilityName>
      <candidateList>
        <item>：</item>
      </candidateList>
      <explain>文本全半角错误。</explain>
      <paraID>22C910E5</paraID>
      <start>90</start>
      <end>91</end>
      <status>unmodified</status>
      <modifiedWord/>
      <trackRevisions>false</trackRevisions>
    </reviewItem>
    <reviewItem>
      <errorID>af0c71b5-9a81-44dd-9c78-5a02650bf38e</errorID>
      <errorWord>2025年08月20日</errorWord>
      <group>L1_Knowledge</group>
      <groupName>知识性问题</groupName>
      <ability>L2_Time</ability>
      <abilityName>日期时间</abilityName>
      <candidateList>
        <item>2025年8月20日</item>
      </candidateList>
      <explain>根据日常书写习惯，月份一般会省略前导零。</explain>
      <paraID>22C910E5</paraID>
      <start>185</start>
      <end>196</end>
      <status>unmodified</status>
      <modifiedWord/>
      <trackRevisions>false</trackRevisions>
    </reviewItem>
    <reviewItem>
      <errorID>e7ac2176-ba33-423e-aa0b-e50fcf403eeb</errorID>
      <errorWord>2028年08月19日</errorWord>
      <group>L1_Knowledge</group>
      <groupName>知识性问题</groupName>
      <ability>L2_Time</ability>
      <abilityName>日期时间</abilityName>
      <candidateList>
        <item>2028年8月19日</item>
      </candidateList>
      <explain>根据日常书写习惯，月份一般会省略前导零。</explain>
      <paraID>22C910E5</paraID>
      <start>197</start>
      <end>208</end>
      <status>unmodified</status>
      <modifiedWord/>
      <trackRevisions>false</trackRevisions>
    </reviewItem>
    <reviewItem>
      <errorID>eeaab527-049b-4a49-9614-3bb661605a01</errorID>
      <errorWord>础</errorWord>
      <group>L1_Word</group>
      <groupName>字词问题</groupName>
      <ability>L2_Typo</ability>
      <abilityName>字词错误</abilityName>
      <candidateList>
        <item>础上</item>
      </candidateList>
      <explain/>
      <paraID>35C7C8EE</paraID>
      <start>34</start>
      <end>35</end>
      <status>unmodified</status>
      <modifiedWord/>
      <trackRevisions>false</trackRevisions>
    </reviewItem>
    <reviewItem>
      <errorID>a71381d0-8662-4c80-9365-5897004a48ee</errorID>
      <errorWord>见</errorWord>
      <group>L1_Word</group>
      <groupName>字词问题</groupName>
      <ability>L2_Typo</ability>
      <abilityName>字词错误</abilityName>
      <candidateList>
        <item>见下</item>
      </candidateList>
      <explain/>
      <paraID>3C5E1BBB</paraID>
      <start>15</start>
      <end>16</end>
      <status>unmodified</status>
      <modifiedWord/>
      <trackRevisions>false</trackRevisions>
    </reviewItem>
    <reviewItem>
      <errorID>66d767aa-370b-4de6-bfdd-ea4ad7e4e193</errorID>
      <errorWord>粘重</errorWord>
      <group>L1_Word</group>
      <groupName>字词问题</groupName>
      <ability>L2_Alias</ability>
      <abilityName>也作/曾用词</abilityName>
      <candidateList>
        <item>黏重</item>
      </candidateList>
      <explain>词汇[粘重]为不规范表述或旧称，其规范书面表述为[黏重]。</explain>
      <paraID>  9EB82F</paraID>
      <start>205</start>
      <end>207</end>
      <status>unmodified</status>
      <modifiedWord/>
      <trackRevisions>false</trackRevisions>
    </reviewItem>
    <reviewItem>
      <errorID>cb9b0e5d-fb6f-4307-b8cd-bf7ba39927d8</errorID>
      <errorWord>如</errorWord>
      <group>L1_Word</group>
      <groupName>字词问题</groupName>
      <ability>L2_Typo</ability>
      <abilityName>字词错误</abilityName>
      <candidateList>
        <item>如下</item>
      </candidateList>
      <explain/>
      <paraID>49C3B960</paraID>
      <start>27</start>
      <end>28</end>
      <status>unmodified</status>
      <modifiedWord/>
      <trackRevisions>false</trackRevisions>
    </reviewItem>
    <reviewItem>
      <errorID>ce57f033-2bca-4f27-9eaf-1aacc6de8e4e</errorID>
      <errorWord>(</errorWord>
      <group>L1_Format</group>
      <groupName>格式问题</groupName>
      <ability>L2_HalfPunc_CN</ability>
      <abilityName>全半角问题</abilityName>
      <candidateList>
        <item>（</item>
      </candidateList>
      <explain>文本全半角错误。</explain>
      <paraID>50844508</paraID>
      <start>15</start>
      <end>16</end>
      <status>unmodified</status>
      <modifiedWord/>
      <trackRevisions>false</trackRevisions>
    </reviewItem>
    <reviewItem>
      <errorID>9674a407-51d3-453d-9e22-7a52ec7e341f</errorID>
      <errorWord>)</errorWord>
      <group>L1_Format</group>
      <groupName>格式问题</groupName>
      <ability>L2_HalfPunc_CN</ability>
      <abilityName>全半角问题</abilityName>
      <candidateList>
        <item>）</item>
      </candidateList>
      <explain>文本全半角错误。</explain>
      <paraID>50844508</paraID>
      <start>17</start>
      <end>18</end>
      <status>unmodified</status>
      <modifiedWord/>
      <trackRevisions>false</trackRevisions>
    </reviewItem>
    <reviewItem>
      <errorID>6764b2c6-f7e9-4d7a-85ed-7f47852d89cd</errorID>
      <errorWord>)</errorWord>
      <group>L1_Format</group>
      <groupName>格式问题</groupName>
      <ability>L2_HalfPunc_CN</ability>
      <abilityName>全半角问题</abilityName>
      <candidateList>
        <item>）</item>
      </candidateList>
      <explain>文本全半角错误。</explain>
      <paraID>4C00CEA5</paraID>
      <start>6</start>
      <end>7</end>
      <status>unmodified</status>
      <modifiedWord/>
      <trackRevisions>false</trackRevisions>
    </reviewItem>
    <reviewItem>
      <errorID>21ac5b0d-60d8-4e94-9321-90d40e33058e</errorID>
      <errorWord>)</errorWord>
      <group>L1_Format</group>
      <groupName>格式问题</groupName>
      <ability>L2_HalfPunc_CN</ability>
      <abilityName>全半角问题</abilityName>
      <candidateList>
        <item>）</item>
      </candidateList>
      <explain>文本全半角错误。</explain>
      <paraID>5604722C</paraID>
      <start>6</start>
      <end>7</end>
      <status>unmodified</status>
      <modifiedWord/>
      <trackRevisions>false</trackRevisions>
    </reviewItem>
    <reviewItem>
      <errorID>7b2b8e02-6ec1-43d5-82ca-f4e5d27c5c88</errorID>
      <errorWord>均能</errorWord>
      <group>L1_Word</group>
      <groupName>字词问题</groupName>
      <ability>L2_Typo</ability>
      <abilityName>字词错误</abilityName>
      <candidateList>
        <item>均</item>
      </candidateList>
      <explain/>
      <paraID>4E2843FE</paraID>
      <start>21</start>
      <end>23</end>
      <status>unmodified</status>
      <modifiedWord/>
      <trackRevisions>false</trackRevisions>
    </reviewItem>
    <reviewItem>
      <errorID>c111a7fe-3ceb-44a2-a5d4-d8f3dd3be855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22E65E9A</paraID>
      <start>53</start>
      <end>54</end>
      <status>unmodified</status>
      <modifiedWord/>
      <trackRevisions>false</trackRevisions>
    </reviewItem>
    <reviewItem>
      <errorID>b820f6ee-65ca-4739-bea1-badf783d21bc</errorID>
      <errorWord>(</errorWord>
      <group>L1_Format</group>
      <groupName>格式问题</groupName>
      <ability>L2_HalfPunc_CN</ability>
      <abilityName>全半角问题</abilityName>
      <candidateList>
        <item>（</item>
      </candidateList>
      <explain>文本全半角错误。</explain>
      <paraID>60F45937</paraID>
      <start>4</start>
      <end>5</end>
      <status>unmodified</status>
      <modifiedWord/>
      <trackRevisions>false</trackRevisions>
    </reviewItem>
    <reviewItem>
      <errorID>05000b10-1e6b-4b82-a337-448521e4c36e</errorID>
      <errorWord>)</errorWord>
      <group>L1_Format</group>
      <groupName>格式问题</groupName>
      <ability>L2_HalfPunc_CN</ability>
      <abilityName>全半角问题</abilityName>
      <candidateList>
        <item>）</item>
      </candidateList>
      <explain>文本全半角错误。</explain>
      <paraID>60F45937</paraID>
      <start>6</start>
      <end>7</end>
      <status>unmodified</status>
      <modifiedWord/>
      <trackRevisions>false</trackRevisions>
    </reviewItem>
    <reviewItem>
      <errorID>e3a08e54-263f-4964-afb3-89849e81fb10</errorID>
      <errorWord>(</errorWord>
      <group>L1_Format</group>
      <groupName>格式问题</groupName>
      <ability>L2_HalfPunc_CN</ability>
      <abilityName>全半角问题</abilityName>
      <candidateList>
        <item>（</item>
      </candidateList>
      <explain>文本全半角错误。</explain>
      <paraID> 18EF1CA</paraID>
      <start>4</start>
      <end>5</end>
      <status>unmodified</status>
      <modifiedWord/>
      <trackRevisions>false</trackRevisions>
    </reviewItem>
    <reviewItem>
      <errorID>eb655329-d478-4644-ac1a-e687fbbcf98f</errorID>
      <errorWord>)</errorWord>
      <group>L1_Format</group>
      <groupName>格式问题</groupName>
      <ability>L2_HalfPunc_CN</ability>
      <abilityName>全半角问题</abilityName>
      <candidateList>
        <item>）</item>
      </candidateList>
      <explain>文本全半角错误。</explain>
      <paraID> 18EF1CA</paraID>
      <start>6</start>
      <end>7</end>
      <status>unmodified</status>
      <modifiedWord/>
      <trackRevisions>false</trackRevisions>
    </reviewItem>
    <reviewItem>
      <errorID>bea12fa4-c6c9-4500-8206-4413c9e3f2c2</errorID>
      <errorWord>(</errorWord>
      <group>L1_Format</group>
      <groupName>格式问题</groupName>
      <ability>L2_HalfPunc_CN</ability>
      <abilityName>全半角问题</abilityName>
      <candidateList>
        <item>（</item>
      </candidateList>
      <explain>文本全半角错误。</explain>
      <paraID>63DE8EB3</paraID>
      <start>4</start>
      <end>5</end>
      <status>unmodified</status>
      <modifiedWord/>
      <trackRevisions>false</trackRevisions>
    </reviewItem>
    <reviewItem>
      <errorID>9b97bf05-c4f5-4eaa-b854-01c21281e0d7</errorID>
      <errorWord>)</errorWord>
      <group>L1_Format</group>
      <groupName>格式问题</groupName>
      <ability>L2_HalfPunc_CN</ability>
      <abilityName>全半角问题</abilityName>
      <candidateList>
        <item>）</item>
      </candidateList>
      <explain>文本全半角错误。</explain>
      <paraID>63DE8EB3</paraID>
      <start>6</start>
      <end>7</end>
      <status>unmodified</status>
      <modifiedWord/>
      <trackRevisions>false</trackRevisions>
    </reviewItem>
    <reviewItem>
      <errorID>6e3f1785-ee3f-47cb-b4a8-9a86d8bec4f3</errorID>
      <errorWord>(</errorWord>
      <group>L1_Format</group>
      <groupName>格式问题</groupName>
      <ability>L2_HalfPunc_CN</ability>
      <abilityName>全半角问题</abilityName>
      <candidateList>
        <item>（</item>
      </candidateList>
      <explain>文本全半角错误。</explain>
      <paraID>5EF7005A</paraID>
      <start>10</start>
      <end>11</end>
      <status>unmodified</status>
      <modifiedWord/>
      <trackRevisions>false</trackRevisions>
    </reviewItem>
    <reviewItem>
      <errorID>008a1aea-6b03-49fa-a748-ecdd5fe2a1f0</errorID>
      <errorWord>)</errorWord>
      <group>L1_Format</group>
      <groupName>格式问题</groupName>
      <ability>L2_HalfPunc_CN</ability>
      <abilityName>全半角问题</abilityName>
      <candidateList>
        <item>）</item>
      </candidateList>
      <explain>文本全半角错误。</explain>
      <paraID>5EF7005A</paraID>
      <start>12</start>
      <end>13</end>
      <status>unmodified</status>
      <modifiedWord/>
      <trackRevisions>false</trackRevisions>
    </reviewItem>
    <reviewItem>
      <errorID>f5509110-441b-4016-9e01-9adcaa8e9115</errorID>
      <errorWord>均能</errorWord>
      <group>L1_Word</group>
      <groupName>字词问题</groupName>
      <ability>L2_Typo</ability>
      <abilityName>字词错误</abilityName>
      <candidateList>
        <item>均</item>
      </candidateList>
      <explain/>
      <paraID>350AA104</paraID>
      <start>21</start>
      <end>23</end>
      <status>unmodified</status>
      <modifiedWord/>
      <trackRevisions>false</trackRevisions>
    </reviewItem>
    <reviewItem>
      <errorID>7d80b0c9-3134-449e-8e9e-e6aef3db32bf</errorID>
      <errorWord>及其</errorWord>
      <group>L1_Word</group>
      <groupName>字词问题</groupName>
      <ability>L2_Typo</ability>
      <abilityName>字词错误</abilityName>
      <candidateList>
        <item>及</item>
      </candidateList>
      <explain/>
      <paraID>259C1A9B</paraID>
      <start>14</start>
      <end>16</end>
      <status>unmodified</status>
      <modifiedWord/>
      <trackRevisions>false</trackRevisions>
    </reviewItem>
    <reviewItem>
      <errorID>09c99cc8-ae46-4f60-b773-34236a8fd80a</errorID>
      <errorWord>即</errorWord>
      <group>L1_Word</group>
      <groupName>字词问题</groupName>
      <ability>L2_Typo</ability>
      <abilityName>字词错误</abilityName>
      <candidateList>
        <item>既</item>
      </candidateList>
      <explain/>
      <paraID>259C1A9B</paraID>
      <start>47</start>
      <end>48</end>
      <status>unmodified</status>
      <modifiedWord/>
      <trackRevisions>false</trackRevisions>
    </reviewItem>
    <reviewItem>
      <errorID>da2b3a3e-0ecb-48fd-a09b-c61278532eb6</errorID>
      <errorWord>其它</errorWord>
      <group>L1_Word</group>
      <groupName>字词问题</groupName>
      <ability>L2_Alias</ability>
      <abilityName>也作/曾用词</abilityName>
      <candidateList>
        <item>其他</item>
      </candidateList>
      <explain>词汇[其它]为不规范表述或旧称，其规范书面表述为[其他]。</explain>
      <paraID>7BB4F655</paraID>
      <start>74</start>
      <end>76</end>
      <status>unmodified</status>
      <modifiedWord/>
      <trackRevisions>false</trackRevisions>
    </reviewItem>
    <reviewItem>
      <errorID>682832bc-7024-4295-a7e4-77b4552d28ca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7E62081</paraID>
      <start>18</start>
      <end>21</end>
      <status>unmodified</status>
      <modifiedWord/>
      <trackRevisions>false</trackRevisions>
    </reviewItem>
    <reviewItem>
      <errorID>27f07e4d-f9b8-4403-8be3-2d0422e48274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7E62081</paraID>
      <start>31</start>
      <end>34</end>
      <status>unmodified</status>
      <modifiedWord/>
      <trackRevisions>false</trackRevisions>
    </reviewItem>
    <reviewItem>
      <errorID>27813a3c-19ce-41e3-95fe-b3d49525f5d3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7E62081</paraID>
      <start>46</start>
      <end>49</end>
      <status>unmodified</status>
      <modifiedWord/>
      <trackRevisions>false</trackRevisions>
    </reviewItem>
    <reviewItem>
      <errorID>d2716a2c-084d-4f82-b176-52af37498503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37</start>
      <end>40</end>
      <status>unmodified</status>
      <modifiedWord/>
      <trackRevisions>false</trackRevisions>
    </reviewItem>
    <reviewItem>
      <errorID>480abe7d-1086-48b5-85a5-88c877c8b682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62</start>
      <end>65</end>
      <status>unmodified</status>
      <modifiedWord/>
      <trackRevisions>false</trackRevisions>
    </reviewItem>
    <reviewItem>
      <errorID>4dc775fe-2038-4803-aef9-f0af77029b1a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75</start>
      <end>78</end>
      <status>unmodified</status>
      <modifiedWord/>
      <trackRevisions>false</trackRevisions>
    </reviewItem>
    <reviewItem>
      <errorID>2ca57adb-c7bd-492e-b32a-4eb5b4ec4099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90</start>
      <end>93</end>
      <status>unmodified</status>
      <modifiedWord/>
      <trackRevisions>false</trackRevisions>
    </reviewItem>
    <reviewItem>
      <errorID>77ee37bf-3738-46f6-9134-8fbef054e580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106</start>
      <end>109</end>
      <status>unmodified</status>
      <modifiedWord/>
      <trackRevisions>false</trackRevisions>
    </reviewItem>
    <reviewItem>
      <errorID>410e7384-1894-49d4-a0bd-2aa81cfca764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126</start>
      <end>129</end>
      <status>unmodified</status>
      <modifiedWord/>
      <trackRevisions>false</trackRevisions>
    </reviewItem>
    <reviewItem>
      <errorID>2fdc98a9-475b-43c9-a0cf-5b9333b8c3f0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142</start>
      <end>145</end>
      <status>unmodified</status>
      <modifiedWord/>
      <trackRevisions>false</trackRevisions>
    </reviewItem>
    <reviewItem>
      <errorID>85d3a4d2-68ab-4362-b2a8-dca378ab50ac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157</start>
      <end>160</end>
      <status>unmodified</status>
      <modifiedWord/>
      <trackRevisions>false</trackRevisions>
    </reviewItem>
    <reviewItem>
      <errorID>69d3f30a-8425-46ff-a1e5-923f103fab35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178</start>
      <end>181</end>
      <status>unmodified</status>
      <modifiedWord/>
      <trackRevisions>false</trackRevisions>
    </reviewItem>
    <reviewItem>
      <errorID>3a45900b-8e9b-403c-aeff-9fca939cfb28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189</start>
      <end>192</end>
      <status>unmodified</status>
      <modifiedWord/>
      <trackRevisions>false</trackRevisions>
    </reviewItem>
    <reviewItem>
      <errorID>eaddfa38-fc96-4dce-91af-0bbd2fbce2b2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206</start>
      <end>209</end>
      <status>unmodified</status>
      <modifiedWord/>
      <trackRevisions>false</trackRevisions>
    </reviewItem>
    <reviewItem>
      <errorID>b93bb2fd-4b45-4df7-a717-6e559b774dcb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233</start>
      <end>236</end>
      <status>unmodified</status>
      <modifiedWord/>
      <trackRevisions>false</trackRevisions>
    </reviewItem>
    <reviewItem>
      <errorID>697e8119-cced-462b-b136-79648585c614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251</start>
      <end>254</end>
      <status>unmodified</status>
      <modifiedWord/>
      <trackRevisions>false</trackRevisions>
    </reviewItem>
    <reviewItem>
      <errorID>615511af-e160-49c2-b0df-e862d329b6a2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265</start>
      <end>268</end>
      <status>unmodified</status>
      <modifiedWord/>
      <trackRevisions>false</trackRevisions>
    </reviewItem>
    <reviewItem>
      <errorID>fdde50e1-f96e-4837-b050-636bf572a554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287</start>
      <end>290</end>
      <status>unmodified</status>
      <modifiedWord/>
      <trackRevisions>false</trackRevisions>
    </reviewItem>
    <reviewItem>
      <errorID>3cd6b409-b660-4f35-bc36-775004980e99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303</start>
      <end>306</end>
      <status>unmodified</status>
      <modifiedWord/>
      <trackRevisions>false</trackRevisions>
    </reviewItem>
    <reviewItem>
      <errorID>0324112f-2388-439c-8559-4d55211b161f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322</start>
      <end>325</end>
      <status>unmodified</status>
      <modifiedWord/>
      <trackRevisions>false</trackRevisions>
    </reviewItem>
    <reviewItem>
      <errorID>42cba1f3-0c79-467b-8b46-926c58e0b130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338</start>
      <end>341</end>
      <status>unmodified</status>
      <modifiedWord/>
      <trackRevisions>false</trackRevisions>
    </reviewItem>
    <reviewItem>
      <errorID>98efb945-8a52-4e28-966a-07a923b0ffc8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350</start>
      <end>353</end>
      <status>unmodified</status>
      <modifiedWord/>
      <trackRevisions>false</trackRevisions>
    </reviewItem>
    <reviewItem>
      <errorID>28964ed8-4a13-4982-859a-2215bcc0f1a3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361</start>
      <end>364</end>
      <status>unmodified</status>
      <modifiedWord/>
      <trackRevisions>false</trackRevisions>
    </reviewItem>
    <reviewItem>
      <errorID>64bf5e0d-76e6-407b-ac18-020ab0210f7d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377</start>
      <end>380</end>
      <status>unmodified</status>
      <modifiedWord/>
      <trackRevisions>false</trackRevisions>
    </reviewItem>
    <reviewItem>
      <errorID>60c66afc-fdbb-458d-baf9-1cf34904720c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391</start>
      <end>394</end>
      <status>unmodified</status>
      <modifiedWord/>
      <trackRevisions>false</trackRevisions>
    </reviewItem>
    <reviewItem>
      <errorID>94299198-94a5-4637-84c6-aab43937e051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402</start>
      <end>405</end>
      <status>unmodified</status>
      <modifiedWord/>
      <trackRevisions>false</trackRevisions>
    </reviewItem>
    <reviewItem>
      <errorID>c5b90e58-2e93-4047-a1ef-24369c0c024d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413</start>
      <end>416</end>
      <status>unmodified</status>
      <modifiedWord/>
      <trackRevisions>false</trackRevisions>
    </reviewItem>
    <reviewItem>
      <errorID>17fcc943-5bda-441c-9731-0543d26b9e65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429</start>
      <end>432</end>
      <status>unmodified</status>
      <modifiedWord/>
      <trackRevisions>false</trackRevisions>
    </reviewItem>
    <reviewItem>
      <errorID>1f24ea60-5708-474a-89f7-4f9b5d2b8707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440</start>
      <end>443</end>
      <status>unmodified</status>
      <modifiedWord/>
      <trackRevisions>false</trackRevisions>
    </reviewItem>
    <reviewItem>
      <errorID>1736bfe6-e8e8-4a6a-8d2a-ec686490b222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452</start>
      <end>455</end>
      <status>unmodified</status>
      <modifiedWord/>
      <trackRevisions>false</trackRevisions>
    </reviewItem>
    <reviewItem>
      <errorID>43741d5f-11f6-45d5-97cb-3ac2f9acde27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464</start>
      <end>467</end>
      <status>unmodified</status>
      <modifiedWord/>
      <trackRevisions>false</trackRevisions>
    </reviewItem>
    <reviewItem>
      <errorID>72926765-43f0-4831-a9e6-653b40ea5d74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483</start>
      <end>486</end>
      <status>unmodified</status>
      <modifiedWord/>
      <trackRevisions>false</trackRevisions>
    </reviewItem>
    <reviewItem>
      <errorID>e24f3de4-7105-434e-a166-dd757dc885ce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494</start>
      <end>497</end>
      <status>unmodified</status>
      <modifiedWord/>
      <trackRevisions>false</trackRevisions>
    </reviewItem>
    <reviewItem>
      <errorID>6097521e-7747-4367-963a-a70888c3fe72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510</start>
      <end>513</end>
      <status>unmodified</status>
      <modifiedWord/>
      <trackRevisions>false</trackRevisions>
    </reviewItem>
    <reviewItem>
      <errorID>69c45eae-fc72-43cf-a5c1-edd61f1a7d4a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521</start>
      <end>524</end>
      <status>unmodified</status>
      <modifiedWord/>
      <trackRevisions>false</trackRevisions>
    </reviewItem>
    <reviewItem>
      <errorID>be1204a0-421e-4989-9a98-1ae433c7ef54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535</start>
      <end>538</end>
      <status>unmodified</status>
      <modifiedWord/>
      <trackRevisions>false</trackRevisions>
    </reviewItem>
    <reviewItem>
      <errorID>50614f16-f2bc-4770-9ffe-beadc531d535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549</start>
      <end>552</end>
      <status>unmodified</status>
      <modifiedWord/>
      <trackRevisions>false</trackRevisions>
    </reviewItem>
    <reviewItem>
      <errorID>4cd493b5-ba9e-49b6-b40d-5dd198f2fb32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564</start>
      <end>567</end>
      <status>unmodified</status>
      <modifiedWord/>
      <trackRevisions>false</trackRevisions>
    </reviewItem>
    <reviewItem>
      <errorID>0a287d4c-0d04-492a-ae87-b468ff24b0e8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2F7B4BF2</paraID>
      <start>575</start>
      <end>578</end>
      <status>unmodified</status>
      <modifiedWord/>
      <trackRevisions>false</trackRevisions>
    </reviewItem>
    <reviewItem>
      <errorID>99a23d72-6a18-4853-9fe5-01b268eb7568</errorID>
      <errorWord>法律、法规</errorWord>
      <group>L1_Word</group>
      <groupName>字词问题</groupName>
      <ability>L2_Typo</ability>
      <abilityName>字词错误</abilityName>
      <candidateList>
        <item>法律法规</item>
      </candidateList>
      <explain/>
      <paraID>2F7B4BF2</paraID>
      <start>621</start>
      <end>626</end>
      <status>unmodified</status>
      <modifiedWord/>
      <trackRevisions>false</trackRevisions>
    </reviewItem>
    <reviewItem>
      <errorID>dbac4c9a-0cf8-406c-9041-92bce662984f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281D3D83</paraID>
      <start>27</start>
      <end>30</end>
      <status>unmodified</status>
      <modifiedWord/>
      <trackRevisions>false</trackRevisions>
    </reviewItem>
    <reviewItem>
      <errorID>a7f79e71-dd6e-4e58-b4ae-b2061e7c014a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281D3D83</paraID>
      <start>42</start>
      <end>45</end>
      <status>unmodified</status>
      <modifiedWord/>
      <trackRevisions>false</trackRevisions>
    </reviewItem>
    <reviewItem>
      <errorID>f94ee2ca-907e-4439-9e02-6460fe959954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281D3D83</paraID>
      <start>61</start>
      <end>64</end>
      <status>unmodified</status>
      <modifiedWord/>
      <trackRevisions>false</trackRevisions>
    </reviewItem>
    <reviewItem>
      <errorID>e0cf82f2-58f8-42f4-aac4-3c97309d732e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281D3D83</paraID>
      <start>81</start>
      <end>84</end>
      <status>unmodified</status>
      <modifiedWord/>
      <trackRevisions>false</trackRevisions>
    </reviewItem>
    <reviewItem>
      <errorID>b83a862b-3769-4875-ba79-6ac6c0859b65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281D3D83</paraID>
      <start>96</start>
      <end>99</end>
      <status>unmodified</status>
      <modifiedWord/>
      <trackRevisions>false</trackRevisions>
    </reviewItem>
    <reviewItem>
      <errorID>401d84b8-97c6-4266-a0bb-a737e03d9652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281D3D83</paraID>
      <start>113</start>
      <end>116</end>
      <status>unmodified</status>
      <modifiedWord/>
      <trackRevisions>false</trackRevisions>
    </reviewItem>
    <reviewItem>
      <errorID>38d63da7-b6d2-4cb0-808c-123944c0937e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281D3D83</paraID>
      <start>129</start>
      <end>132</end>
      <status>unmodified</status>
      <modifiedWord/>
      <trackRevisions>false</trackRevisions>
    </reviewItem>
    <reviewItem>
      <errorID>d2b1c347-3a90-46ad-8965-655528bc2c69</errorID>
      <errorWord>生产生产</errorWord>
      <group>L1_Word</group>
      <groupName>字词问题</groupName>
      <ability>L2_Typo</ability>
      <abilityName>字词错误</abilityName>
      <candidateList>
        <item>生产</item>
      </candidateList>
      <explain/>
      <paraID>281D3D83</paraID>
      <start>147</start>
      <end>151</end>
      <status>unmodified</status>
      <modifiedWord/>
      <trackRevisions>false</trackRevisions>
    </reviewItem>
    <reviewItem>
      <errorID>6960960c-703f-44a5-8589-bb6f554e21e0</errorID>
      <errorWord>责任应</errorWord>
      <group>L1_Word</group>
      <groupName>字词问题</groupName>
      <ability>L2_Typo</ability>
      <abilityName>字词错误</abilityName>
      <candidateList>
        <item>责任</item>
      </candidateList>
      <explain/>
      <paraID>281D3D83</paraID>
      <start>166</start>
      <end>169</end>
      <status>unmodified</status>
      <modifiedWord/>
      <trackRevisions>false</trackRevisions>
    </reviewItem>
    <reviewItem>
      <errorID>2105a9ba-8889-4e9f-bd2b-82cbed8a1126</errorID>
      <errorWord>法律、法规</errorWord>
      <group>L1_Word</group>
      <groupName>字词问题</groupName>
      <ability>L2_Typo</ability>
      <abilityName>字词错误</abilityName>
      <candidateList>
        <item>法律法规</item>
      </candidateList>
      <explain/>
      <paraID>281D3D83</paraID>
      <start>178</start>
      <end>183</end>
      <status>unmodified</status>
      <modifiedWord/>
      <trackRevisions>false</trackRevisions>
    </reviewItem>
    <reviewItem>
      <errorID>06516d2c-22f2-410a-991a-955f66420a94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4CD7FB8</paraID>
      <start>30</start>
      <end>33</end>
      <status>unmodified</status>
      <modifiedWord/>
      <trackRevisions>false</trackRevisions>
    </reviewItem>
    <reviewItem>
      <errorID>24527483-d800-4650-b4ef-0f578886e065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4CD7FB8</paraID>
      <start>43</start>
      <end>46</end>
      <status>unmodified</status>
      <modifiedWord/>
      <trackRevisions>false</trackRevisions>
    </reviewItem>
    <reviewItem>
      <errorID>49f879c3-7717-4164-94d2-2ec6daa58e1c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4CD7FB8</paraID>
      <start>55</start>
      <end>58</end>
      <status>unmodified</status>
      <modifiedWord/>
      <trackRevisions>false</trackRevisions>
    </reviewItem>
    <reviewItem>
      <errorID>3d648d3b-996b-4479-97ba-ba67c158e5fc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4CD7FB8</paraID>
      <start>72</start>
      <end>75</end>
      <status>unmodified</status>
      <modifiedWord/>
      <trackRevisions>false</trackRevisions>
    </reviewItem>
    <reviewItem>
      <errorID>0462c8c8-891d-4960-bf30-0618ee5d2dd8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4CD7FB8</paraID>
      <start>93</start>
      <end>96</end>
      <status>unmodified</status>
      <modifiedWord/>
      <trackRevisions>false</trackRevisions>
    </reviewItem>
    <reviewItem>
      <errorID>5505bc22-6b4c-4e59-ab0e-92b5f20388ec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4CD7FB8</paraID>
      <start>110</start>
      <end>113</end>
      <status>unmodified</status>
      <modifiedWord/>
      <trackRevisions>false</trackRevisions>
    </reviewItem>
    <reviewItem>
      <errorID>a37aae24-bb00-4e98-b90d-7038d64406ac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4CD7FB8</paraID>
      <start>124</start>
      <end>127</end>
      <status>unmodified</status>
      <modifiedWord/>
      <trackRevisions>false</trackRevisions>
    </reviewItem>
    <reviewItem>
      <errorID>75872710-a99c-46a0-aed4-2cd26ac16e45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4CD7FB8</paraID>
      <start>139</start>
      <end>142</end>
      <status>unmodified</status>
      <modifiedWord/>
      <trackRevisions>false</trackRevisions>
    </reviewItem>
    <reviewItem>
      <errorID>1afaf68f-a417-411e-914b-3ac5c84b8d0f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4CD7FB8</paraID>
      <start>165</start>
      <end>168</end>
      <status>unmodified</status>
      <modifiedWord/>
      <trackRevisions>false</trackRevisions>
    </reviewItem>
    <reviewItem>
      <errorID>bb2bbad7-c0cc-4211-b1a3-d944c1b257b0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4CD7FB8</paraID>
      <start>176</start>
      <end>179</end>
      <status>unmodified</status>
      <modifiedWord/>
      <trackRevisions>false</trackRevisions>
    </reviewItem>
    <reviewItem>
      <errorID>47dd6f63-b97d-4b06-af4a-f6cd979a626a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4CD7FB8</paraID>
      <start>189</start>
      <end>192</end>
      <status>unmodified</status>
      <modifiedWord/>
      <trackRevisions>false</trackRevisions>
    </reviewItem>
    <reviewItem>
      <errorID>b670e5cc-e9ae-4d29-81aa-c8c42ce27d0f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4CD7FB8</paraID>
      <start>206</start>
      <end>209</end>
      <status>unmodified</status>
      <modifiedWord/>
      <trackRevisions>false</trackRevisions>
    </reviewItem>
    <reviewItem>
      <errorID>0e8bdfe6-a1f5-4e9a-990f-73da998f8255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4CD7FB8</paraID>
      <start>218</start>
      <end>221</end>
      <status>unmodified</status>
      <modifiedWord/>
      <trackRevisions>false</trackRevisions>
    </reviewItem>
    <reviewItem>
      <errorID>f4c98550-cd94-437e-a649-8ca7477814eb</errorID>
      <errorWord>法律、法规</errorWord>
      <group>L1_Word</group>
      <groupName>字词问题</groupName>
      <ability>L2_Typo</ability>
      <abilityName>字词错误</abilityName>
      <candidateList>
        <item>法律法规</item>
      </candidateList>
      <explain/>
      <paraID> 4CD7FB8</paraID>
      <start>267</start>
      <end>272</end>
      <status>unmodified</status>
      <modifiedWord/>
      <trackRevisions>false</trackRevisions>
    </reviewItem>
    <reviewItem>
      <errorID>e75917a2-aac3-4626-b284-de91c5b2ad66</errorID>
      <errorWord>台帐</errorWord>
      <group>L1_Word</group>
      <groupName>字词问题</groupName>
      <ability>L2_Typo</ability>
      <abilityName>字词错误</abilityName>
      <candidateList>
        <item>台账</item>
      </candidateList>
      <explain/>
      <paraID>7185E6C2</paraID>
      <start>48</start>
      <end>50</end>
      <status>unmodified</status>
      <modifiedWord/>
      <trackRevisions>false</trackRevisions>
    </reviewItem>
    <reviewItem>
      <errorID>1f09bfdb-a5c4-4346-bdd7-d86acbadc177</errorID>
      <errorWord>有害因素辩识</errorWord>
      <group>L1_Word</group>
      <groupName>字词问题</groupName>
      <ability>L2_Typo</ability>
      <abilityName>字词错误</abilityName>
      <candidateList>
        <item>有害因素辨识</item>
      </candidateList>
      <explain/>
      <paraID>53D674DF</paraID>
      <start>9</start>
      <end>15</end>
      <status>unmodified</status>
      <modifiedWord/>
      <trackRevisions>false</trackRevisions>
    </reviewItem>
    <reviewItem>
      <errorID>c4afc211-ec0c-46ee-9b02-5088a34fe642</errorID>
      <errorWord>药料粉碎</errorWord>
      <group>L1_Word</group>
      <groupName>字词问题</groupName>
      <ability>L2_Typo</ability>
      <abilityName>字词错误</abilityName>
      <candidateList>
        <item>药材粉碎</item>
      </candidateList>
      <explain/>
      <paraID>1B99FEC3</paraID>
      <start>0</start>
      <end>4</end>
      <status>unmodified</status>
      <modifiedWord/>
      <trackRevisions>false</trackRevisions>
    </reviewItem>
    <reviewItem>
      <errorID>af03cb21-767b-464c-8163-dd283e8a63ad</errorID>
      <errorWord>(</errorWord>
      <group>L1_Format</group>
      <groupName>格式问题</groupName>
      <ability>L2_HalfPunc_CN</ability>
      <abilityName>全半角问题</abilityName>
      <candidateList>
        <item>（</item>
      </candidateList>
      <explain>文本全半角错误。</explain>
      <paraID>3DB11D95</paraID>
      <start>1</start>
      <end>2</end>
      <status>unmodified</status>
      <modifiedWord/>
      <trackRevisions>false</trackRevisions>
    </reviewItem>
    <reviewItem>
      <errorID>f84d3b1d-fc41-447d-89af-115510b8187f</errorID>
      <errorWord>)</errorWord>
      <group>L1_Format</group>
      <groupName>格式问题</groupName>
      <ability>L2_HalfPunc_CN</ability>
      <abilityName>全半角问题</abilityName>
      <candidateList>
        <item>）</item>
      </candidateList>
      <explain>文本全半角错误。</explain>
      <paraID>3DB11D95</paraID>
      <start>3</start>
      <end>4</end>
      <status>unmodified</status>
      <modifiedWord/>
      <trackRevisions>false</trackRevisions>
    </reviewItem>
    <reviewItem>
      <errorID>495833c0-59b1-44cb-aa34-84b6fed6027d</errorID>
      <errorWord>其它</errorWord>
      <group>L1_Word</group>
      <groupName>字词问题</groupName>
      <ability>L2_Alias</ability>
      <abilityName>也作/曾用词</abilityName>
      <candidateList>
        <item>其他</item>
      </candidateList>
      <explain>词汇[其它]为不规范表述或旧称，其规范书面表述为[其他]。</explain>
      <paraID>244B58FB</paraID>
      <start>33</start>
      <end>35</end>
      <status>unmodified</status>
      <modifiedWord/>
      <trackRevisions>false</trackRevisions>
    </reviewItem>
    <reviewItem>
      <errorID>3b8d3fcd-95c4-4cca-abb7-74e9f3d8697e</errorID>
      <errorWord>,</errorWord>
      <group>L1_Format</group>
      <groupName>格式问题</groupName>
      <ability>L2_HalfPunc_CN</ability>
      <abilityName>全半角问题</abilityName>
      <candidateList>
        <item>，</item>
      </candidateList>
      <explain>文本全半角错误。</explain>
      <paraID> C03F83B</paraID>
      <start>49</start>
      <end>50</end>
      <status>unmodified</status>
      <modifiedWord/>
      <trackRevisions>false</trackRevisions>
    </reviewItem>
    <reviewItem>
      <errorID>1fd9c9b3-9eaf-4749-8a96-aa06e6472d88</errorID>
      <errorWord>(</errorWord>
      <group>L1_Format</group>
      <groupName>格式问题</groupName>
      <ability>L2_HalfPunc_CN</ability>
      <abilityName>全半角问题</abilityName>
      <candidateList>
        <item>（</item>
      </candidateList>
      <explain>文本全半角错误。</explain>
      <paraID>2097E5CC</paraID>
      <start>52</start>
      <end>53</end>
      <status>unmodified</status>
      <modifiedWord/>
      <trackRevisions>false</trackRevisions>
    </reviewItem>
    <reviewItem>
      <errorID>4ed5f863-d466-4174-89c5-81b193429641</errorID>
      <errorWord>)</errorWord>
      <group>L1_Format</group>
      <groupName>格式问题</groupName>
      <ability>L2_HalfPunc_CN</ability>
      <abilityName>全半角问题</abilityName>
      <candidateList>
        <item>）</item>
      </candidateList>
      <explain>文本全半角错误。</explain>
      <paraID>2097E5CC</paraID>
      <start>55</start>
      <end>56</end>
      <status>unmodified</status>
      <modifiedWord/>
      <trackRevisions>false</trackRevisions>
    </reviewItem>
    <reviewItem>
      <errorID>4ff4b74f-0354-407b-a8ae-05b76e73938c</errorID>
      <errorWord>,</errorWord>
      <group>L1_Format</group>
      <groupName>格式问题</groupName>
      <ability>L2_HalfPunc_CN</ability>
      <abilityName>全半角问题</abilityName>
      <candidateList>
        <item>，</item>
      </candidateList>
      <explain>文本全半角错误。</explain>
      <paraID>69821129</paraID>
      <start>53</start>
      <end>54</end>
      <status>unmodified</status>
      <modifiedWord/>
      <trackRevisions>false</trackRevisions>
    </reviewItem>
    <reviewItem>
      <errorID>25cb98a9-eff9-43d0-bf4e-349fb4f4d5da</errorID>
      <errorWord>鼻粘膜</errorWord>
      <group>L1_Word</group>
      <groupName>字词问题</groupName>
      <ability>L2_Alias</ability>
      <abilityName>也作/曾用词</abilityName>
      <candidateList>
        <item>鼻黏膜</item>
      </candidateList>
      <explain>词汇[鼻粘膜]为不规范表述或旧称，其规范书面表述为[鼻黏膜]。</explain>
      <paraID>225ABA4D</paraID>
      <start>20</start>
      <end>23</end>
      <status>unmodified</status>
      <modifiedWord/>
      <trackRevisions>false</trackRevisions>
    </reviewItem>
    <reviewItem>
      <errorID>92d207e3-c064-4aa5-ab98-407be49709e7</errorID>
      <errorWord>(</errorWord>
      <group>L1_Format</group>
      <groupName>格式问题</groupName>
      <ability>L2_HalfPunc_CN</ability>
      <abilityName>全半角问题</abilityName>
      <candidateList>
        <item>（</item>
      </candidateList>
      <explain>文本全半角错误。</explain>
      <paraID>27B4D335</paraID>
      <start>37</start>
      <end>38</end>
      <status>unmodified</status>
      <modifiedWord/>
      <trackRevisions>false</trackRevisions>
    </reviewItem>
    <reviewItem>
      <errorID>7144d4b1-8528-457b-a4ea-74aaea2274ca</errorID>
      <errorWord>)</errorWord>
      <group>L1_Format</group>
      <groupName>格式问题</groupName>
      <ability>L2_HalfPunc_CN</ability>
      <abilityName>全半角问题</abilityName>
      <candidateList>
        <item>）</item>
      </candidateList>
      <explain>文本全半角错误。</explain>
      <paraID>27B4D335</paraID>
      <start>40</start>
      <end>41</end>
      <status>unmodified</status>
      <modifiedWord/>
      <trackRevisions>false</trackRevisions>
    </reviewItem>
    <reviewItem>
      <errorID>571c0006-c6cc-451e-9b03-b43f8c8f1848</errorID>
      <errorWord>(</errorWord>
      <group>L1_Format</group>
      <groupName>格式问题</groupName>
      <ability>L2_HalfPunc_CN</ability>
      <abilityName>全半角问题</abilityName>
      <candidateList>
        <item>（</item>
      </candidateList>
      <explain>文本全半角错误。</explain>
      <paraID>50C3135A</paraID>
      <start>69</start>
      <end>70</end>
      <status>unmodified</status>
      <modifiedWord/>
      <trackRevisions>false</trackRevisions>
    </reviewItem>
    <reviewItem>
      <errorID>5aaac2a2-b1d4-4872-aae2-7a82ce211fbc</errorID>
      <errorWord>)</errorWord>
      <group>L1_Format</group>
      <groupName>格式问题</groupName>
      <ability>L2_HalfPunc_CN</ability>
      <abilityName>全半角问题</abilityName>
      <candidateList>
        <item>）</item>
      </candidateList>
      <explain>文本全半角错误。</explain>
      <paraID>50C3135A</paraID>
      <start>72</start>
      <end>73</end>
      <status>unmodified</status>
      <modifiedWord/>
      <trackRevisions>false</trackRevisions>
    </reviewItem>
    <reviewItem>
      <errorID>ca3ce310-6f11-4328-b977-5a711dbe3acb</errorID>
      <errorWord>:</errorWord>
      <group>L1_Format</group>
      <groupName>格式问题</groupName>
      <ability>L2_HalfPunc_CN</ability>
      <abilityName>全半角问题</abilityName>
      <candidateList>
        <item>：</item>
      </candidateList>
      <explain>文本全半角错误。</explain>
      <paraID>58F1995C</paraID>
      <start>4</start>
      <end>5</end>
      <status>unmodified</status>
      <modifiedWord/>
      <trackRevisions>false</trackRevisions>
    </reviewItem>
    <reviewItem>
      <errorID>085e8dca-ace0-4e23-886b-d0d045c8f532</errorID>
      <errorWord>禁止震动、撞击和</errorWord>
      <group>L1_Word</group>
      <groupName>字词问题</groupName>
      <ability>L2_Typo</ability>
      <abilityName>字词错误</abilityName>
      <candidateList>
        <item>禁止振动、撞击和</item>
      </candidateList>
      <explain/>
      <paraID>7240073F</paraID>
      <start>86</start>
      <end>94</end>
      <status>unmodified</status>
      <modifiedWord/>
      <trackRevisions>false</trackRevisions>
    </reviewItem>
    <reviewItem>
      <errorID>4f768fac-015b-4ffd-befb-9e631334a6dc</errorID>
      <errorWord>(</errorWord>
      <group>L1_Format</group>
      <groupName>格式问题</groupName>
      <ability>L2_HalfPunc_CN</ability>
      <abilityName>全半角问题</abilityName>
      <candidateList>
        <item>（</item>
      </candidateList>
      <explain>文本全半角错误。</explain>
      <paraID>7C241F38</paraID>
      <start>33</start>
      <end>34</end>
      <status>unmodified</status>
      <modifiedWord/>
      <trackRevisions>false</trackRevisions>
    </reviewItem>
    <reviewItem>
      <errorID>0d75a9a5-6e55-4e19-88c9-58520686f08f</errorID>
      <errorWord>)</errorWord>
      <group>L1_Format</group>
      <groupName>格式问题</groupName>
      <ability>L2_HalfPunc_CN</ability>
      <abilityName>全半角问题</abilityName>
      <candidateList>
        <item>）</item>
      </candidateList>
      <explain>文本全半角错误。</explain>
      <paraID>7C241F38</paraID>
      <start>36</start>
      <end>37</end>
      <status>unmodified</status>
      <modifiedWord/>
      <trackRevisions>false</trackRevisions>
    </reviewItem>
    <reviewItem>
      <errorID>0396c8ce-c7d9-4b95-80ca-4e3db4a11e9c</errorID>
      <errorWord>(</errorWord>
      <group>L1_Format</group>
      <groupName>格式问题</groupName>
      <ability>L2_HalfPunc_CN</ability>
      <abilityName>全半角问题</abilityName>
      <candidateList>
        <item>（</item>
      </candidateList>
      <explain>文本全半角错误。</explain>
      <paraID> 735EDAB</paraID>
      <start>2</start>
      <end>3</end>
      <status>unmodified</status>
      <modifiedWord/>
      <trackRevisions>false</trackRevisions>
    </reviewItem>
    <reviewItem>
      <errorID>95b93876-7aea-43ad-8ac8-7f09e39fa3b6</errorID>
      <errorWord>)</errorWord>
      <group>L1_Format</group>
      <groupName>格式问题</groupName>
      <ability>L2_HalfPunc_CN</ability>
      <abilityName>全半角问题</abilityName>
      <candidateList>
        <item>）</item>
      </candidateList>
      <explain>文本全半角错误。</explain>
      <paraID> 735EDAB</paraID>
      <start>5</start>
      <end>6</end>
      <status>unmodified</status>
      <modifiedWord/>
      <trackRevisions>false</trackRevisions>
    </reviewItem>
    <reviewItem>
      <errorID>8aed696b-3a32-4fab-8dd9-55153c2113ad</errorID>
      <errorWord>其它</errorWord>
      <group>L1_Word</group>
      <groupName>字词问题</groupName>
      <ability>L2_Alias</ability>
      <abilityName>也作/曾用词</abilityName>
      <candidateList>
        <item>其他</item>
      </candidateList>
      <explain>词汇[其它]为不规范表述或旧称，其规范书面表述为[其他]。</explain>
      <paraID>4DBFC84A</paraID>
      <start>76</start>
      <end>78</end>
      <status>unmodified</status>
      <modifiedWord/>
      <trackRevisions>false</trackRevisions>
    </reviewItem>
    <reviewItem>
      <errorID>71c1d3ff-a0ea-4c05-9544-4af16aef21e0</errorID>
      <errorWord>,</errorWord>
      <group>L1_Format</group>
      <groupName>格式问题</groupName>
      <ability>L2_HalfPunc_CN</ability>
      <abilityName>全半角问题</abilityName>
      <candidateList>
        <item>，</item>
      </candidateList>
      <explain>文本全半角错误。</explain>
      <paraID>645FD26B</paraID>
      <start>17</start>
      <end>18</end>
      <status>unmodified</status>
      <modifiedWord/>
      <trackRevisions>false</trackRevisions>
    </reviewItem>
    <reviewItem>
      <errorID>a1e8c714-c6a7-4235-9b11-07eb82e3709b</errorID>
      <errorWord>.</errorWord>
      <group>L1_Format</group>
      <groupName>格式问题</groupName>
      <ability>L2_HalfPunc_CN</ability>
      <abilityName>全半角问题</abilityName>
      <candidateList>
        <item>。</item>
      </candidateList>
      <explain>文本全半角错误。</explain>
      <paraID>645FD26B</paraID>
      <start>22</start>
      <end>23</end>
      <status>unmodified</status>
      <modifiedWord/>
      <trackRevisions>false</trackRevisions>
    </reviewItem>
    <reviewItem>
      <errorID>f96f8fae-1b02-4598-919b-a453e715db6b</errorID>
      <errorWord>(</errorWord>
      <group>L1_Format</group>
      <groupName>格式问题</groupName>
      <ability>L2_HalfPunc_CN</ability>
      <abilityName>全半角问题</abilityName>
      <candidateList>
        <item>（</item>
      </candidateList>
      <explain>文本全半角错误。</explain>
      <paraID>645FD26B</paraID>
      <start>42</start>
      <end>43</end>
      <status>unmodified</status>
      <modifiedWord/>
      <trackRevisions>false</trackRevisions>
    </reviewItem>
    <reviewItem>
      <errorID>5548c001-9fee-42d8-a5aa-9dc7fa52d5f2</errorID>
      <errorWord>:</errorWord>
      <group>L1_Format</group>
      <groupName>格式问题</groupName>
      <ability>L2_HalfPunc_CN</ability>
      <abilityName>全半角问题</abilityName>
      <candidateList>
        <item>：</item>
      </candidateList>
      <explain>文本全半角错误。</explain>
      <paraID>41AFCED5</paraID>
      <start>4</start>
      <end>5</end>
      <status>unmodified</status>
      <modifiedWord/>
      <trackRevisions>false</trackRevisions>
    </reviewItem>
    <reviewItem>
      <errorID>6596c565-4b83-4e7b-a029-4f768098e343</errorID>
      <errorWord>具</errorWord>
      <group>L1_Word</group>
      <groupName>字词问题</groupName>
      <ability>L2_Typo</ability>
      <abilityName>字词错误</abilityName>
      <candidateList>
        <item>具有</item>
      </candidateList>
      <explain/>
      <paraID> BA5E46E</paraID>
      <start>5</start>
      <end>6</end>
      <status>unmodified</status>
      <modifiedWord/>
      <trackRevisions>false</trackRevisions>
    </reviewItem>
    <reviewItem>
      <errorID>0f16fc4a-de00-4bd1-9149-069e88c77962</errorID>
      <errorWord>紫绀</errorWord>
      <group>L1_Knowledge</group>
      <groupName>知识性问题</groupName>
      <ability>L2_Term</ability>
      <abilityName>专业术语</abilityName>
      <candidateList>
        <item>发绀</item>
      </candidateList>
      <explain>医学名词[紫绀]为不规范表述或旧称，其规范书面表述为[发绀]。</explain>
      <paraID> BA5E46E</paraID>
      <start>81</start>
      <end>83</end>
      <status>unmodified</status>
      <modifiedWord/>
      <trackRevisions>false</trackRevisions>
    </reviewItem>
    <reviewItem>
      <errorID>0d31a5fd-6f32-4a38-8708-b43339bd182c</errorID>
      <errorWord>其它有害</errorWord>
      <group>L1_Word</group>
      <groupName>字词问题</groupName>
      <ability>L2_Alias</ability>
      <abilityName>也作/曾用词</abilityName>
      <candidateList>
        <item>其他有害</item>
      </candidateList>
      <explain>词汇[其它有害]为不规范表述或旧称，其规范书面表述为[其他有害]。</explain>
      <paraID>76390322</paraID>
      <start>0</start>
      <end>4</end>
      <status>unmodified</status>
      <modifiedWord/>
      <trackRevisions>false</trackRevisions>
    </reviewItem>
    <reviewItem>
      <errorID>ae86d104-ce0b-4229-b560-63c6e23c9b9e</errorID>
      <errorWord>作</errorWord>
      <group>L1_Word</group>
      <groupName>字词问题</groupName>
      <ability>L2_Typo</ability>
      <abilityName>字词错误</abilityName>
      <candidateList>
        <item>做</item>
      </candidateList>
      <explain>存在发音相同字词的误用。</explain>
      <paraID>26B56B59</paraID>
      <start>61</start>
      <end>62</end>
      <status>unmodified</status>
      <modifiedWord/>
      <trackRevisions>false</trackRevisions>
    </reviewItem>
    <reviewItem>
      <errorID>1e0c9407-2216-4023-b8e5-ed6b81068e56</errorID>
      <errorWord>,</errorWord>
      <group>L1_Format</group>
      <groupName>格式问题</groupName>
      <ability>L2_HalfPunc_CN</ability>
      <abilityName>全半角问题</abilityName>
      <candidateList>
        <item>，</item>
      </candidateList>
      <explain>文本全半角错误。</explain>
      <paraID>375E349D</paraID>
      <start>61</start>
      <end>62</end>
      <status>unmodified</status>
      <modifiedWord/>
      <trackRevisions>false</trackRevisions>
    </reviewItem>
    <reviewItem>
      <errorID>8c85edbe-ef1b-4939-878c-cfc5469526bd</errorID>
      <errorWord>心律紊乱</errorWord>
      <group>L1_Knowledge</group>
      <groupName>知识性问题</groupName>
      <ability>L2_Term</ability>
      <abilityName>专业术语</abilityName>
      <candidateList>
        <item>心律失常</item>
      </candidateList>
      <explain>医学名词[心律紊乱]为不规范表述或旧称，其规范书面表述为[心律失常]。</explain>
      <paraID>1C56F9D6</paraID>
      <start>51</start>
      <end>55</end>
      <status>unmodified</status>
      <modifiedWord/>
      <trackRevisions>false</trackRevisions>
    </reviewItem>
    <reviewItem>
      <errorID>04c3377a-a1f4-4236-9131-60bb2aa4f9ae</errorID>
      <errorWord>心律紊乱</errorWord>
      <group>L1_Knowledge</group>
      <groupName>知识性问题</groupName>
      <ability>L2_Term</ability>
      <abilityName>专业术语</abilityName>
      <candidateList>
        <item>心律失常</item>
      </candidateList>
      <explain>医学名词[心律紊乱]为不规范表述或旧称，其规范书面表述为[心律失常]。</explain>
      <paraID>1C56F9D6</paraID>
      <start>72</start>
      <end>76</end>
      <status>unmodified</status>
      <modifiedWord/>
      <trackRevisions>false</trackRevisions>
    </reviewItem>
    <reviewItem>
      <errorID>9bc24415-130e-42f9-9263-151800f3e1c3</errorID>
      <errorWord>其它有害</errorWord>
      <group>L1_Word</group>
      <groupName>字词问题</groupName>
      <ability>L2_Alias</ability>
      <abilityName>也作/曾用词</abilityName>
      <candidateList>
        <item>其他有害</item>
      </candidateList>
      <explain>词汇[其它有害]为不规范表述或旧称，其规范书面表述为[其他有害]。</explain>
      <paraID>4FBB3E0A</paraID>
      <start>0</start>
      <end>4</end>
      <status>unmodified</status>
      <modifiedWord/>
      <trackRevisions>false</trackRevisions>
    </reviewItem>
    <reviewItem>
      <errorID>3e719233-9b1f-43db-abfa-6b529aeaaa73</errorID>
      <errorWord>(</errorWord>
      <group>L1_Format</group>
      <groupName>格式问题</groupName>
      <ability>L2_HalfPunc_CN</ability>
      <abilityName>全半角问题</abilityName>
      <candidateList>
        <item>（</item>
      </candidateList>
      <explain>文本全半角错误。</explain>
      <paraID>6D073DC7</paraID>
      <start>40</start>
      <end>41</end>
      <status>unmodified</status>
      <modifiedWord/>
      <trackRevisions>false</trackRevisions>
    </reviewItem>
    <reviewItem>
      <errorID>83b98e21-371d-47b4-aac0-ecc44f23ba8a</errorID>
      <errorWord>)</errorWord>
      <group>L1_Format</group>
      <groupName>格式问题</groupName>
      <ability>L2_HalfPunc_CN</ability>
      <abilityName>全半角问题</abilityName>
      <candidateList>
        <item>）</item>
      </candidateList>
      <explain>文本全半角错误。</explain>
      <paraID>6D073DC7</paraID>
      <start>43</start>
      <end>44</end>
      <status>unmodified</status>
      <modifiedWord/>
      <trackRevisions>false</trackRevisions>
    </reviewItem>
    <reviewItem>
      <errorID>ebc2d07a-fe94-4f60-b381-0ccb6b2d3b1f</errorID>
      <errorWord>具</errorWord>
      <group>L1_Word</group>
      <groupName>字词问题</groupName>
      <ability>L2_Typo</ability>
      <abilityName>字词错误</abilityName>
      <candidateList>
        <item>具有</item>
      </candidateList>
      <explain/>
      <paraID>28023D0E</paraID>
      <start>5</start>
      <end>6</end>
      <status>unmodified</status>
      <modifiedWord/>
      <trackRevisions>false</trackRevisions>
    </reviewItem>
    <reviewItem>
      <errorID>01b0ad7c-1857-445f-bbf0-a2d55e8eebb9</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28023D0E</paraID>
      <start>57</start>
      <end>60</end>
      <status>unmodified</status>
      <modifiedWord/>
      <trackRevisions>false</trackRevisions>
    </reviewItem>
    <reviewItem>
      <errorID>3d2094b7-5a19-4dc6-8398-f765bdf8e52a</errorID>
      <errorWord>鼻粘膜</errorWord>
      <group>L1_Word</group>
      <groupName>字词问题</groupName>
      <ability>L2_Alias</ability>
      <abilityName>也作/曾用词</abilityName>
      <candidateList>
        <item>鼻黏膜</item>
      </candidateList>
      <explain>词汇[鼻粘膜]为不规范表述或旧称，其规范书面表述为[鼻黏膜]。</explain>
      <paraID>28023D0E</paraID>
      <start>82</start>
      <end>85</end>
      <status>unmodified</status>
      <modifiedWord/>
      <trackRevisions>false</trackRevisions>
    </reviewItem>
    <reviewItem>
      <errorID>8c1d1fb3-6174-4bbd-8c4c-583e9d98da7e</errorID>
      <errorWord>曝晒</errorWord>
      <group>L1_Word</group>
      <groupName>字词问题</groupName>
      <ability>L2_Typo</ability>
      <abilityName>字词错误</abilityName>
      <candidateList>
        <item>暴晒</item>
      </candidateList>
      <explain/>
      <paraID>5806318A</paraID>
      <start>138</start>
      <end>140</end>
      <status>unmodified</status>
      <modifiedWord/>
      <trackRevisions>false</trackRevisions>
    </reviewItem>
    <reviewItem>
      <errorID>12cf15e9-213d-4000-af84-d9056f0b38ee</errorID>
      <errorWord>(</errorWord>
      <group>L1_Format</group>
      <groupName>格式问题</groupName>
      <ability>L2_HalfPunc_CN</ability>
      <abilityName>全半角问题</abilityName>
      <candidateList>
        <item>（</item>
      </candidateList>
      <explain>文本全半角错误。</explain>
      <paraID>50B7CD27</paraID>
      <start>6</start>
      <end>7</end>
      <status>unmodified</status>
      <modifiedWord/>
      <trackRevisions>false</trackRevisions>
    </reviewItem>
    <reviewItem>
      <errorID>27b56176-e4c5-43df-9680-c78a85afbf7e</errorID>
      <errorWord>)</errorWord>
      <group>L1_Format</group>
      <groupName>格式问题</groupName>
      <ability>L2_HalfPunc_CN</ability>
      <abilityName>全半角问题</abilityName>
      <candidateList>
        <item>）</item>
      </candidateList>
      <explain>文本全半角错误。</explain>
      <paraID>50B7CD27</paraID>
      <start>9</start>
      <end>10</end>
      <status>unmodified</status>
      <modifiedWord/>
      <trackRevisions>false</trackRevisions>
    </reviewItem>
    <reviewItem>
      <errorID>9f989f28-4b29-472b-8876-b64e3bc9ca7a</errorID>
      <errorWord>硫磺</errorWord>
      <group>L1_Word</group>
      <groupName>字词问题</groupName>
      <ability>L2_Typo</ability>
      <abilityName>字词错误</abilityName>
      <candidateList>
        <item>硫黄</item>
      </candidateList>
      <explain/>
      <paraID>57DC672B</paraID>
      <start>0</start>
      <end>2</end>
      <status>unmodified</status>
      <modifiedWord/>
      <trackRevisions>false</trackRevisions>
    </reviewItem>
    <reviewItem>
      <errorID>5328444e-2d51-4667-be99-a2eb525fbcb8</errorID>
      <errorWord>,</errorWord>
      <group>L1_Format</group>
      <groupName>格式问题</groupName>
      <ability>L2_HalfPunc_CN</ability>
      <abilityName>全半角问题</abilityName>
      <candidateList>
        <item>，</item>
      </candidateList>
      <explain>文本全半角错误。</explain>
      <paraID>2E9E40BC</paraID>
      <start>7</start>
      <end>8</end>
      <status>unmodified</status>
      <modifiedWord/>
      <trackRevisions>false</trackRevisions>
    </reviewItem>
    <reviewItem>
      <errorID>c436a163-2515-4c40-8b3d-75fa173c10b7</errorID>
      <errorWord>,</errorWord>
      <group>L1_Format</group>
      <groupName>格式问题</groupName>
      <ability>L2_HalfPunc_CN</ability>
      <abilityName>全半角问题</abilityName>
      <candidateList>
        <item>，</item>
      </candidateList>
      <explain>文本全半角错误。</explain>
      <paraID>2E9E40BC</paraID>
      <start>11</start>
      <end>12</end>
      <status>unmodified</status>
      <modifiedWord/>
      <trackRevisions>false</trackRevisions>
    </reviewItem>
    <reviewItem>
      <errorID>d52d23b4-6b2e-4f24-897b-74ec3a85d13a</errorID>
      <errorWord>(</errorWord>
      <group>L1_Format</group>
      <groupName>格式问题</groupName>
      <ability>L2_HalfPunc_CN</ability>
      <abilityName>全半角问题</abilityName>
      <candidateList>
        <item>（</item>
      </candidateList>
      <explain>文本全半角错误。</explain>
      <paraID>661E616A</paraID>
      <start>45</start>
      <end>46</end>
      <status>unmodified</status>
      <modifiedWord/>
      <trackRevisions>false</trackRevisions>
    </reviewItem>
    <reviewItem>
      <errorID>d0a51478-3ac1-4eea-ad76-d553061858da</errorID>
      <errorWord>)</errorWord>
      <group>L1_Format</group>
      <groupName>格式问题</groupName>
      <ability>L2_HalfPunc_CN</ability>
      <abilityName>全半角问题</abilityName>
      <candidateList>
        <item>）</item>
      </candidateList>
      <explain>文本全半角错误。</explain>
      <paraID>661E616A</paraID>
      <start>49</start>
      <end>50</end>
      <status>unmodified</status>
      <modifiedWord/>
      <trackRevisions>false</trackRevisions>
    </reviewItem>
    <reviewItem>
      <errorID>87fca1d7-173d-430c-b069-5a61128c01a8</errorID>
      <errorWord>(</errorWord>
      <group>L1_Format</group>
      <groupName>格式问题</groupName>
      <ability>L2_HalfPunc_CN</ability>
      <abilityName>全半角问题</abilityName>
      <candidateList>
        <item>（</item>
      </candidateList>
      <explain>文本全半角错误。</explain>
      <paraID>6F703EC0</paraID>
      <start>43</start>
      <end>44</end>
      <status>unmodified</status>
      <modifiedWord/>
      <trackRevisions>false</trackRevisions>
    </reviewItem>
    <reviewItem>
      <errorID>3cdb9866-4356-4357-a896-af501794b71a</errorID>
      <errorWord>)</errorWord>
      <group>L1_Format</group>
      <groupName>格式问题</groupName>
      <ability>L2_HalfPunc_CN</ability>
      <abilityName>全半角问题</abilityName>
      <candidateList>
        <item>）</item>
      </candidateList>
      <explain>文本全半角错误。</explain>
      <paraID>6F703EC0</paraID>
      <start>46</start>
      <end>47</end>
      <status>unmodified</status>
      <modifiedWord/>
      <trackRevisions>false</trackRevisions>
    </reviewItem>
    <reviewItem>
      <errorID>8580f056-baf4-48b9-8028-0afd3a23e42a</errorID>
      <errorWord>,</errorWord>
      <group>L1_Format</group>
      <groupName>格式问题</groupName>
      <ability>L2_HalfPunc_CN</ability>
      <abilityName>全半角问题</abilityName>
      <candidateList>
        <item>，</item>
      </candidateList>
      <explain>文本全半角错误。</explain>
      <paraID>2563A577</paraID>
      <start>15</start>
      <end>16</end>
      <status>unmodified</status>
      <modifiedWord/>
      <trackRevisions>false</trackRevisions>
    </reviewItem>
    <reviewItem>
      <errorID>b8b8645d-0550-4f0b-80d1-a2c0fe002d44</errorID>
      <errorWord>,</errorWord>
      <group>L1_Format</group>
      <groupName>格式问题</groupName>
      <ability>L2_HalfPunc_CN</ability>
      <abilityName>全半角问题</abilityName>
      <candidateList>
        <item>，</item>
      </candidateList>
      <explain>文本全半角错误。</explain>
      <paraID>2563A577</paraID>
      <start>37</start>
      <end>38</end>
      <status>unmodified</status>
      <modifiedWord/>
      <trackRevisions>false</trackRevisions>
    </reviewItem>
    <reviewItem>
      <errorID>c345866c-c2e8-411d-bcce-5c5ac7c37967</errorID>
      <errorWord>：&gt;</errorWord>
      <group>L1_Punc</group>
      <groupName>标点问题</groupName>
      <ability>L2_Punc_CN</ability>
      <abilityName>标点符号问题</abilityName>
      <candidateList>
        <item>：</item>
      </candidateList>
      <explain/>
      <paraID>17D8B7B7</paraID>
      <start>6</start>
      <end>8</end>
      <status>unmodified</status>
      <modifiedWord/>
      <trackRevisions>false</trackRevisions>
    </reviewItem>
    <reviewItem>
      <errorID>f956307d-85a9-4db5-833f-b1d81616fc82</errorID>
      <errorWord>(</errorWord>
      <group>L1_Format</group>
      <groupName>格式问题</groupName>
      <ability>L2_HalfPunc_CN</ability>
      <abilityName>全半角问题</abilityName>
      <candidateList>
        <item>（</item>
      </candidateList>
      <explain>文本全半角错误。</explain>
      <paraID>17D8B7B7</paraID>
      <start>11</start>
      <end>12</end>
      <status>unmodified</status>
      <modifiedWord/>
      <trackRevisions>false</trackRevisions>
    </reviewItem>
    <reviewItem>
      <errorID>ab192cc3-1a2a-4ff1-b567-99d46d9323df</errorID>
      <errorWord>)</errorWord>
      <group>L1_Format</group>
      <groupName>格式问题</groupName>
      <ability>L2_HalfPunc_CN</ability>
      <abilityName>全半角问题</abilityName>
      <candidateList>
        <item>）</item>
      </candidateList>
      <explain>文本全半角错误。</explain>
      <paraID>17D8B7B7</paraID>
      <start>18</start>
      <end>19</end>
      <status>unmodified</status>
      <modifiedWord/>
      <trackRevisions>false</trackRevisions>
    </reviewItem>
    <reviewItem>
      <errorID>39efe3b1-e196-4c1d-8d0e-710af1924596</errorID>
      <errorWord>具</errorWord>
      <group>L1_Word</group>
      <groupName>字词问题</groupName>
      <ability>L2_Typo</ability>
      <abilityName>字词错误</abilityName>
      <candidateList>
        <item>具有</item>
      </candidateList>
      <explain/>
      <paraID>1734CD25</paraID>
      <start>7</start>
      <end>8</end>
      <status>unmodified</status>
      <modifiedWord/>
      <trackRevisions>false</trackRevisions>
    </reviewItem>
    <reviewItem>
      <errorID>987b4ec6-a712-480b-8b8a-89762f8e8100</errorID>
      <errorWord>,</errorWord>
      <group>L1_Format</group>
      <groupName>格式问题</groupName>
      <ability>L2_HalfPunc_CN</ability>
      <abilityName>全半角问题</abilityName>
      <candidateList>
        <item>，</item>
      </candidateList>
      <explain>文本全半角错误。</explain>
      <paraID>1734CD25</paraID>
      <start>118</start>
      <end>119</end>
      <status>unmodified</status>
      <modifiedWord/>
      <trackRevisions>false</trackRevisions>
    </reviewItem>
    <reviewItem>
      <errorID>0ce9f658-3d88-4a5b-8bd5-f7aea2403dff</errorID>
      <errorWord>,</errorWord>
      <group>L1_Format</group>
      <groupName>格式问题</groupName>
      <ability>L2_HalfPunc_CN</ability>
      <abilityName>全半角问题</abilityName>
      <candidateList>
        <item>，</item>
      </candidateList>
      <explain>文本全半角错误。</explain>
      <paraID>1734CD25</paraID>
      <start>143</start>
      <end>144</end>
      <status>unmodified</status>
      <modifiedWord/>
      <trackRevisions>false</trackRevisions>
    </reviewItem>
    <reviewItem>
      <errorID>673699f6-7ce2-472e-8008-24566a85bbfe</errorID>
      <errorWord>性力</errorWord>
      <group>L1_Word</group>
      <groupName>字词问题</groupName>
      <ability>L2_Typo</ability>
      <abilityName>字词错误</abilityName>
      <candidateList>
        <item>性</item>
      </candidateList>
      <explain/>
      <paraID>5FAECADF</paraID>
      <start>60</start>
      <end>62</end>
      <status>unmodified</status>
      <modifiedWord/>
      <trackRevisions>false</trackRevisions>
    </reviewItem>
    <reviewItem>
      <errorID>50f1c5af-abf0-4fbb-a8fb-ca1b035b06a1</errorID>
      <errorWord>二种</errorWord>
      <group>L1_Word</group>
      <groupName>字词问题</groupName>
      <ability>L2_Typo</ability>
      <abilityName>字词错误</abilityName>
      <candidateList>
        <item>两种</item>
      </candidateList>
      <explain/>
      <paraID>18694CFE</paraID>
      <start>12</start>
      <end>14</end>
      <status>unmodified</status>
      <modifiedWord/>
      <trackRevisions>false</trackRevisions>
    </reviewItem>
    <reviewItem>
      <errorID>5e0b4339-1bc0-45a7-a307-0d08e40e338c</errorID>
      <errorWord>：&gt;</errorWord>
      <group>L1_Punc</group>
      <groupName>标点问题</groupName>
      <ability>L2_Punc_CN</ability>
      <abilityName>标点符号问题</abilityName>
      <candidateList>
        <item>：</item>
      </candidateList>
      <explain/>
      <paraID>25B0683F</paraID>
      <start>9</start>
      <end>11</end>
      <status>unmodified</status>
      <modifiedWord/>
      <trackRevisions>false</trackRevisions>
    </reviewItem>
    <reviewItem>
      <errorID>998848d2-4076-4e12-a5e1-51557f67cef9</errorID>
      <errorWord>：&gt;</errorWord>
      <group>L1_Punc</group>
      <groupName>标点问题</groupName>
      <ability>L2_Punc_CN</ability>
      <abilityName>标点符号问题</abilityName>
      <candidateList>
        <item>：</item>
      </candidateList>
      <explain/>
      <paraID>25B0683F</paraID>
      <start>42</start>
      <end>44</end>
      <status>unmodified</status>
      <modifiedWord/>
      <trackRevisions>false</trackRevisions>
    </reviewItem>
    <reviewItem>
      <errorID>e1b8494b-517b-4568-b3cc-da1a896a70e5</errorID>
      <errorWord>具</errorWord>
      <group>L1_Word</group>
      <groupName>字词问题</groupName>
      <ability>L2_Typo</ability>
      <abilityName>字词错误</abilityName>
      <candidateList>
        <item>具有</item>
      </candidateList>
      <explain/>
      <paraID>5DC70F25</paraID>
      <start>5</start>
      <end>6</end>
      <status>unmodified</status>
      <modifiedWord/>
      <trackRevisions>false</trackRevisions>
    </reviewItem>
    <reviewItem>
      <errorID>ba4fc199-60ef-4979-aec1-ebd2c5ee96ec</errorID>
      <errorWord>二氧脂碳</errorWord>
      <group>L1_Word</group>
      <groupName>字词问题</groupName>
      <ability>L2_Typo</ability>
      <abilityName>字词错误</abilityName>
      <candidateList>
        <item>二氧化碳</item>
      </candidateList>
      <explain/>
      <paraID>5DC70F25</paraID>
      <start>73</start>
      <end>77</end>
      <status>unmodified</status>
      <modifiedWord/>
      <trackRevisions>false</trackRevisions>
    </reviewItem>
    <reviewItem>
      <errorID>f928471b-8123-4ed9-8ba9-cb2a124c0fee</errorID>
      <errorWord>动</errorWord>
      <group>L1_Word</group>
      <groupName>字词问题</groupName>
      <ability>L2_Typo</ability>
      <abilityName>字词错误</abilityName>
      <candidateList>
        <item>动保</item>
      </candidateList>
      <explain/>
      <paraID>7E184E6F</paraID>
      <start>17</start>
      <end>18</end>
      <status>unmodified</status>
      <modifiedWord/>
      <trackRevisions>false</trackRevisions>
    </reviewItem>
    <reviewItem>
      <errorID>c2107a2c-7139-4f35-81b8-aadc8dbf0a13</errorID>
      <errorWord>在有</errorWord>
      <group>L1_Word</group>
      <groupName>字词问题</groupName>
      <ability>L2_Typo</ability>
      <abilityName>字词错误</abilityName>
      <candidateList>
        <item>在</item>
      </candidateList>
      <explain/>
      <paraID> 585FB4E</paraID>
      <start>10</start>
      <end>12</end>
      <status>unmodified</status>
      <modifiedWord/>
      <trackRevisions>false</trackRevisions>
    </reviewItem>
    <reviewItem>
      <errorID>292f2466-0fc4-4915-b703-925381778414</errorID>
      <errorWord>Kg</errorWord>
      <group>L1_Word</group>
      <groupName>字词问题</groupName>
      <ability>L2_Typo</ability>
      <abilityName>字词错误</abilityName>
      <candidateList>
        <item>kg</item>
      </candidateList>
      <explain/>
      <paraID>21C8A410</paraID>
      <start>7</start>
      <end>9</end>
      <status>unmodified</status>
      <modifiedWord/>
      <trackRevisions>false</trackRevisions>
    </reviewItem>
    <reviewItem>
      <errorID>df1f8409-2099-44c7-a820-60e86082779b</errorID>
      <errorWord>Kg</errorWord>
      <group>L1_Word</group>
      <groupName>字词问题</groupName>
      <ability>L2_Typo</ability>
      <abilityName>字词错误</abilityName>
      <candidateList>
        <item>kg</item>
      </candidateList>
      <explain/>
      <paraID>341CDC92</paraID>
      <start>26</start>
      <end>28</end>
      <status>unmodified</status>
      <modifiedWord/>
      <trackRevisions>false</trackRevisions>
    </reviewItem>
    <reviewItem>
      <errorID>ba91db52-75d8-4648-af33-70962f20501d</errorID>
      <errorWord>在有</errorWord>
      <group>L1_Word</group>
      <groupName>字词问题</groupName>
      <ability>L2_Typo</ability>
      <abilityName>字词错误</abilityName>
      <candidateList>
        <item>在</item>
      </candidateList>
      <explain/>
      <paraID>1153D461</paraID>
      <start>10</start>
      <end>12</end>
      <status>unmodified</status>
      <modifiedWord/>
      <trackRevisions>false</trackRevisions>
    </reviewItem>
    <reviewItem>
      <errorID>138fc382-ec28-4d3c-bfae-c81ba5a72b94</errorID>
      <errorWord>禁止震动、撞击和</errorWord>
      <group>L1_Word</group>
      <groupName>字词问题</groupName>
      <ability>L2_Typo</ability>
      <abilityName>字词错误</abilityName>
      <candidateList>
        <item>禁止振动、撞击和</item>
      </candidateList>
      <explain/>
      <paraID>19070B61</paraID>
      <start>89</start>
      <end>97</end>
      <status>unmodified</status>
      <modifiedWord/>
      <trackRevisions>false</trackRevisions>
    </reviewItem>
    <reviewItem>
      <errorID>2f1bac2d-7a9f-4aad-bf9c-59b5d4e5d92c</errorID>
      <errorWord>～</errorWord>
      <group>L1_Format</group>
      <groupName>格式问题</groupName>
      <ability>L2_HalfPunc_CN</ability>
      <abilityName>全半角问题</abilityName>
      <candidateList>
        <item>~</item>
      </candidateList>
      <explain>文本全半角错误。</explain>
      <paraID>5D8737BC</paraID>
      <start>3</start>
      <end>4</end>
      <status>unmodified</status>
      <modifiedWord/>
      <trackRevisions>false</trackRevisions>
    </reviewItem>
    <reviewItem>
      <errorID>0005f6f3-4db7-48e0-a606-79f892cc2329</errorID>
      <errorWord>(</errorWord>
      <group>L1_Format</group>
      <groupName>格式问题</groupName>
      <ability>L2_HalfPunc_CN</ability>
      <abilityName>全半角问题</abilityName>
      <candidateList>
        <item>（</item>
      </candidateList>
      <explain>文本全半角错误。</explain>
      <paraID>5D461A81</paraID>
      <start>4</start>
      <end>5</end>
      <status>unmodified</status>
      <modifiedWord/>
      <trackRevisions>false</trackRevisions>
    </reviewItem>
    <reviewItem>
      <errorID>486bad6e-3bdc-4885-94d6-a0a96e3ef1d4</errorID>
      <errorWord>)</errorWord>
      <group>L1_Format</group>
      <groupName>格式问题</groupName>
      <ability>L2_HalfPunc_CN</ability>
      <abilityName>全半角问题</abilityName>
      <candidateList>
        <item>）</item>
      </candidateList>
      <explain>文本全半角错误。</explain>
      <paraID>5D461A81</paraID>
      <start>19</start>
      <end>20</end>
      <status>unmodified</status>
      <modifiedWord/>
      <trackRevisions>false</trackRevisions>
    </reviewItem>
    <reviewItem>
      <errorID>ccd667f5-1e77-4234-a3c3-ee4ab528e494</errorID>
      <errorWord>Kg</errorWord>
      <group>L1_Word</group>
      <groupName>字词问题</groupName>
      <ability>L2_Typo</ability>
      <abilityName>字词错误</abilityName>
      <candidateList>
        <item>kg</item>
      </candidateList>
      <explain/>
      <paraID>78772524</paraID>
      <start>7</start>
      <end>9</end>
      <status>unmodified</status>
      <modifiedWord/>
      <trackRevisions>false</trackRevisions>
    </reviewItem>
    <reviewItem>
      <errorID>f26024ee-1eb2-4e0f-aa87-e1495a0a9326</errorID>
      <errorWord>Kg</errorWord>
      <group>L1_Word</group>
      <groupName>字词问题</groupName>
      <ability>L2_Typo</ability>
      <abilityName>字词错误</abilityName>
      <candidateList>
        <item>kg</item>
      </candidateList>
      <explain/>
      <paraID>53E62B37</paraID>
      <start>7</start>
      <end>9</end>
      <status>unmodified</status>
      <modifiedWord/>
      <trackRevisions>false</trackRevisions>
    </reviewItem>
    <reviewItem>
      <errorID>f6108353-b1ec-4a9f-9055-65ae3c96ea58</errorID>
      <errorWord>Kg</errorWord>
      <group>L1_Word</group>
      <groupName>字词问题</groupName>
      <ability>L2_Typo</ability>
      <abilityName>字词错误</abilityName>
      <candidateList>
        <item>kg</item>
      </candidateList>
      <explain/>
      <paraID>34C54DA0</paraID>
      <start>5</start>
      <end>7</end>
      <status>unmodified</status>
      <modifiedWord/>
      <trackRevisions>false</trackRevisions>
    </reviewItem>
    <reviewItem>
      <errorID>7ef6be48-38a9-4eb0-a3a8-0cd4222f0048</errorID>
      <errorWord>Kg</errorWord>
      <group>L1_Word</group>
      <groupName>字词问题</groupName>
      <ability>L2_Typo</ability>
      <abilityName>字词错误</abilityName>
      <candidateList>
        <item>kg</item>
      </candidateList>
      <explain/>
      <paraID>3631C8C2</paraID>
      <start>6</start>
      <end>8</end>
      <status>unmodified</status>
      <modifiedWord/>
      <trackRevisions>false</trackRevisions>
    </reviewItem>
    <reviewItem>
      <errorID>c23856fd-5c8c-4e5e-9bd6-94c8e2dd659a</errorID>
      <errorWord>(</errorWord>
      <group>L1_Format</group>
      <groupName>格式问题</groupName>
      <ability>L2_HalfPunc_CN</ability>
      <abilityName>全半角问题</abilityName>
      <candidateList>
        <item>（</item>
      </candidateList>
      <explain>文本全半角错误。</explain>
      <paraID> 5ECBA66</paraID>
      <start>6</start>
      <end>7</end>
      <status>unmodified</status>
      <modifiedWord/>
      <trackRevisions>false</trackRevisions>
    </reviewItem>
    <reviewItem>
      <errorID>50594eb7-077f-4407-aa67-eed921837f9a</errorID>
      <errorWord>)</errorWord>
      <group>L1_Format</group>
      <groupName>格式问题</groupName>
      <ability>L2_HalfPunc_CN</ability>
      <abilityName>全半角问题</abilityName>
      <candidateList>
        <item>）</item>
      </candidateList>
      <explain>文本全半角错误。</explain>
      <paraID> 5ECBA66</paraID>
      <start>12</start>
      <end>13</end>
      <status>unmodified</status>
      <modifiedWord/>
      <trackRevisions>false</trackRevisions>
    </reviewItem>
    <reviewItem>
      <errorID>61a3956b-9035-4a64-a0a1-99eb174f4511</errorID>
      <errorWord>它</errorWord>
      <group>L1_Word</group>
      <groupName>字词问题</groupName>
      <ability>L2_Typo</ability>
      <abilityName>字词错误</abilityName>
      <candidateList>
        <item>他</item>
      </candidateList>
      <explain/>
      <paraID> 837E743</paraID>
      <start>2</start>
      <end>3</end>
      <status>unmodified</status>
      <modifiedWord/>
      <trackRevisions>false</trackRevisions>
    </reviewItem>
    <reviewItem>
      <errorID>a8c72e4d-467e-4d9b-83ec-ab30af5297f2</errorID>
      <errorWord>碰损</errorWord>
      <group>L1_Word</group>
      <groupName>字词问题</groupName>
      <ability>L2_Typo</ability>
      <abilityName>字词错误</abilityName>
      <candidateList>
        <item>破损</item>
      </candidateList>
      <explain/>
      <paraID>63767C68</paraID>
      <start>59</start>
      <end>61</end>
      <status>unmodified</status>
      <modifiedWord/>
      <trackRevisions>false</trackRevisions>
    </reviewItem>
    <reviewItem>
      <errorID>7980d399-909a-42e8-9323-64e4c508d9a1</errorID>
      <errorWord>其它</errorWord>
      <group>L1_Word</group>
      <groupName>字词问题</groupName>
      <ability>L2_Alias</ability>
      <abilityName>也作/曾用词</abilityName>
      <candidateList>
        <item>其他</item>
      </candidateList>
      <explain>词汇[其它]为不规范表述或旧称，其规范书面表述为[其他]。</explain>
      <paraID>63767C68</paraID>
      <start>134</start>
      <end>136</end>
      <status>unmodified</status>
      <modifiedWord/>
      <trackRevisions>false</trackRevisions>
    </reviewItem>
    <reviewItem>
      <errorID>4c26d112-a939-45f9-9dbe-1b35fe2dda9f</errorID>
      <errorWord>其它</errorWord>
      <group>L1_Word</group>
      <groupName>字词问题</groupName>
      <ability>L2_Alias</ability>
      <abilityName>也作/曾用词</abilityName>
      <candidateList>
        <item>其他</item>
      </candidateList>
      <explain>词汇[其它]为不规范表述或旧称，其规范书面表述为[其他]。</explain>
      <paraID>63767C68</paraID>
      <start>175</start>
      <end>177</end>
      <status>unmodified</status>
      <modifiedWord/>
      <trackRevisions>false</trackRevisions>
    </reviewItem>
    <reviewItem>
      <errorID>cfebdc34-922a-484b-903d-fd173306ad1e</errorID>
      <errorWord>考虑到</errorWord>
      <group>L1_Word</group>
      <groupName>字词问题</groupName>
      <ability>L2_Typo</ability>
      <abilityName>字词错误</abilityName>
      <candidateList>
        <item>考虑</item>
      </candidateList>
      <explain/>
      <paraID>35315F9E</paraID>
      <start>33</start>
      <end>36</end>
      <status>unmodified</status>
      <modifiedWord/>
      <trackRevisions>false</trackRevisions>
    </reviewItem>
    <reviewItem>
      <errorID>42df8e82-0f90-46bb-b466-3b994900fb1b</errorID>
      <errorWord>途经：吸入、食入</errorWord>
      <group>L1_Word</group>
      <groupName>字词问题</groupName>
      <ability>L2_Typo</ability>
      <abilityName>字词错误</abilityName>
      <candidateList>
        <item>途径：吸入、食入</item>
      </candidateList>
      <explain/>
      <paraID>53B15BA4</paraID>
      <start>2</start>
      <end>10</end>
      <status>unmodified</status>
      <modifiedWord/>
      <trackRevisions>false</trackRevisions>
    </reviewItem>
    <reviewItem>
      <errorID>b4423b15-2074-410c-ac9d-8246e62c87c7</errorID>
      <errorWord>在有</errorWord>
      <group>L1_Word</group>
      <groupName>字词问题</groupName>
      <ability>L2_Typo</ability>
      <abilityName>字词错误</abilityName>
      <candidateList>
        <item>在</item>
      </candidateList>
      <explain/>
      <paraID>1F88C2EE</paraID>
      <start>10</start>
      <end>12</end>
      <status>unmodified</status>
      <modifiedWord/>
      <trackRevisions>false</trackRevisions>
    </reviewItem>
    <reviewItem>
      <errorID>216e268a-90e4-498f-80fd-ba80a14f20f8</errorID>
      <errorWord>损害</errorWord>
      <group>L1_Word</group>
      <groupName>字词问题</groupName>
      <ability>L2_Typo</ability>
      <abilityName>字词错误</abilityName>
      <candidateList>
        <item>损坏</item>
      </candidateList>
      <explain>存在发音相近字词的误用。</explain>
      <paraID>4DB65A33</paraID>
      <start>48</start>
      <end>50</end>
      <status>unmodified</status>
      <modifiedWord/>
      <trackRevisions>false</trackRevisions>
    </reviewItem>
    <reviewItem>
      <errorID>41ea84ec-1ec8-47c9-a5e8-d8e35e12dd8d</errorID>
      <errorWord>,</errorWord>
      <group>L1_Format</group>
      <groupName>格式问题</groupName>
      <ability>L2_HalfPunc_CN</ability>
      <abilityName>全半角问题</abilityName>
      <candidateList>
        <item>，</item>
      </candidateList>
      <explain>文本全半角错误。</explain>
      <paraID>485DA69F</paraID>
      <start>62</start>
      <end>63</end>
      <status>unmodified</status>
      <modifiedWord/>
      <trackRevisions>false</trackRevisions>
    </reviewItem>
    <reviewItem>
      <errorID>c1ce3671-0886-4004-8e1e-7de4f4db93f4</errorID>
      <errorWord>,</errorWord>
      <group>L1_Format</group>
      <groupName>格式问题</groupName>
      <ability>L2_HalfPunc_CN</ability>
      <abilityName>全半角问题</abilityName>
      <candidateList>
        <item>，</item>
      </candidateList>
      <explain>文本全半角错误。</explain>
      <paraID>485DA69F</paraID>
      <start>88</start>
      <end>89</end>
      <status>unmodified</status>
      <modifiedWord/>
      <trackRevisions>false</trackRevisions>
    </reviewItem>
    <reviewItem>
      <errorID>f94dd9f9-e3ad-436b-9a39-befbcdbed895</errorID>
      <errorWord>(</errorWord>
      <group>L1_Format</group>
      <groupName>格式问题</groupName>
      <ability>L2_HalfPunc_CN</ability>
      <abilityName>全半角问题</abilityName>
      <candidateList>
        <item>（</item>
      </candidateList>
      <explain>文本全半角错误。</explain>
      <paraID>485DA69F</paraID>
      <start>91</start>
      <end>92</end>
      <status>unmodified</status>
      <modifiedWord/>
      <trackRevisions>false</trackRevisions>
    </reviewItem>
    <reviewItem>
      <errorID>e7b10592-3018-4a10-b35d-fd3826e9f58c</errorID>
      <errorWord>)</errorWord>
      <group>L1_Format</group>
      <groupName>格式问题</groupName>
      <ability>L2_HalfPunc_CN</ability>
      <abilityName>全半角问题</abilityName>
      <candidateList>
        <item>）</item>
      </candidateList>
      <explain>文本全半角错误。</explain>
      <paraID>485DA69F</paraID>
      <start>96</start>
      <end>97</end>
      <status>unmodified</status>
      <modifiedWord/>
      <trackRevisions>false</trackRevisions>
    </reviewItem>
    <reviewItem>
      <errorID>413c6dee-a27f-4b3e-b2da-a8e674f4418e</errorID>
      <errorWord>(</errorWord>
      <group>L1_Format</group>
      <groupName>格式问题</groupName>
      <ability>L2_HalfPunc_CN</ability>
      <abilityName>全半角问题</abilityName>
      <candidateList>
        <item>（</item>
      </candidateList>
      <explain>文本全半角错误。</explain>
      <paraID>485DA69F</paraID>
      <start>99</start>
      <end>100</end>
      <status>unmodified</status>
      <modifiedWord/>
      <trackRevisions>false</trackRevisions>
    </reviewItem>
    <reviewItem>
      <errorID>0043c15a-e6cc-48f7-8dc6-a3de8d1bd147</errorID>
      <errorWord>),</errorWord>
      <group>L1_Format</group>
      <groupName>格式问题</groupName>
      <ability>L2_HalfPunc_CN</ability>
      <abilityName>全半角问题</abilityName>
      <candidateList>
        <item>），</item>
      </candidateList>
      <explain>文本全半角错误。</explain>
      <paraID>485DA69F</paraID>
      <start>104</start>
      <end>106</end>
      <status>unmodified</status>
      <modifiedWord/>
      <trackRevisions>false</trackRevisions>
    </reviewItem>
    <reviewItem>
      <errorID>38d9b5ac-21b7-4efc-ae0d-f0f9f2809363</errorID>
      <errorWord>,</errorWord>
      <group>L1_Format</group>
      <groupName>格式问题</groupName>
      <ability>L2_HalfPunc_CN</ability>
      <abilityName>全半角问题</abilityName>
      <candidateList>
        <item>，</item>
      </candidateList>
      <explain>文本全半角错误。</explain>
      <paraID>485DA69F</paraID>
      <start>113</start>
      <end>114</end>
      <status>unmodified</status>
      <modifiedWord/>
      <trackRevisions>false</trackRevisions>
    </reviewItem>
    <reviewItem>
      <errorID>4b64d2e4-5f4d-49f9-bf7e-1f5ef98a825d</errorID>
      <errorWord>(</errorWord>
      <group>L1_Format</group>
      <groupName>格式问题</groupName>
      <ability>L2_HalfPunc_CN</ability>
      <abilityName>全半角问题</abilityName>
      <candidateList>
        <item>（</item>
      </candidateList>
      <explain>文本全半角错误。</explain>
      <paraID>485DA69F</paraID>
      <start>116</start>
      <end>117</end>
      <status>unmodified</status>
      <modifiedWord/>
      <trackRevisions>false</trackRevisions>
    </reviewItem>
    <reviewItem>
      <errorID>7d28d9d2-f474-4cf7-abaf-ead66e4c6265</errorID>
      <errorWord>)</errorWord>
      <group>L1_Format</group>
      <groupName>格式问题</groupName>
      <ability>L2_HalfPunc_CN</ability>
      <abilityName>全半角问题</abilityName>
      <candidateList>
        <item>）</item>
      </candidateList>
      <explain>文本全半角错误。</explain>
      <paraID>485DA69F</paraID>
      <start>121</start>
      <end>122</end>
      <status>unmodified</status>
      <modifiedWord/>
      <trackRevisions>false</trackRevisions>
    </reviewItem>
    <reviewItem>
      <errorID>bccac4a7-d614-4664-80aa-67acd47599e6</errorID>
      <errorWord>(</errorWord>
      <group>L1_Format</group>
      <groupName>格式问题</groupName>
      <ability>L2_HalfPunc_CN</ability>
      <abilityName>全半角问题</abilityName>
      <candidateList>
        <item>（</item>
      </candidateList>
      <explain>文本全半角错误。</explain>
      <paraID>485DA69F</paraID>
      <start>124</start>
      <end>125</end>
      <status>unmodified</status>
      <modifiedWord/>
      <trackRevisions>false</trackRevisions>
    </reviewItem>
    <reviewItem>
      <errorID>939663d2-2d51-4559-b900-d055d2601977</errorID>
      <errorWord>)</errorWord>
      <group>L1_Format</group>
      <groupName>格式问题</groupName>
      <ability>L2_HalfPunc_CN</ability>
      <abilityName>全半角问题</abilityName>
      <candidateList>
        <item>）</item>
      </candidateList>
      <explain>文本全半角错误。</explain>
      <paraID>485DA69F</paraID>
      <start>129</start>
      <end>130</end>
      <status>unmodified</status>
      <modifiedWord/>
      <trackRevisions>false</trackRevisions>
    </reviewItem>
    <reviewItem>
      <errorID>84c03c90-b0a4-4a53-b7b0-3d04d240fc18</errorID>
      <errorWord>如</errorWord>
      <group>L1_Word</group>
      <groupName>字词问题</groupName>
      <ability>L2_Typo</ability>
      <abilityName>字词错误</abilityName>
      <candidateList>
        <item>如下</item>
      </candidateList>
      <explain/>
      <paraID>3D1BFDCE</paraID>
      <start>32</start>
      <end>33</end>
      <status>unmodified</status>
      <modifiedWord/>
      <trackRevisions>false</trackRevisions>
    </reviewItem>
    <reviewItem>
      <errorID>0db16e45-b3fc-433e-b132-8a6109827541</errorID>
      <errorWord>银光</errorWord>
      <group>L1_Word</group>
      <groupName>字词问题</groupName>
      <ability>L2_Typo</ability>
      <abilityName>字词错误</abilityName>
      <candidateList>
        <item>荧光</item>
      </candidateList>
      <explain/>
      <paraID>2AD3A860</paraID>
      <start>0</start>
      <end>2</end>
      <status>unmodified</status>
      <modifiedWord/>
      <trackRevisions>false</trackRevisions>
    </reviewItem>
    <reviewItem>
      <errorID>89d6b3d3-d2e7-4bb4-9c89-d2cf4bf13762</errorID>
      <errorWord>啸音</errorWord>
      <group>L1_Word</group>
      <groupName>字词问题</groupName>
      <ability>L2_Typo</ability>
      <abilityName>字词错误</abilityName>
      <candidateList>
        <item>消音</item>
      </candidateList>
      <explain>存在发音相同字词的误用。</explain>
      <paraID>628DA0CA</paraID>
      <start>0</start>
      <end>2</end>
      <status>unmodified</status>
      <modifiedWord/>
      <trackRevisions>false</trackRevisions>
    </reviewItem>
    <reviewItem>
      <errorID>62ec95ca-87b6-4f0b-b331-5c32c7f28c7a</errorID>
      <errorWord>,</errorWord>
      <group>L1_Format</group>
      <groupName>格式问题</groupName>
      <ability>L2_HalfPunc_CN</ability>
      <abilityName>全半角问题</abilityName>
      <candidateList>
        <item>，</item>
      </candidateList>
      <explain>文本全半角错误。</explain>
      <paraID> E41CA5B</paraID>
      <start>40</start>
      <end>41</end>
      <status>unmodified</status>
      <modifiedWord/>
      <trackRevisions>false</trackRevisions>
    </reviewItem>
    <reviewItem>
      <errorID>0513a7e3-7451-4ed3-a1ea-327d0ecc8118</errorID>
      <errorWord>:</errorWord>
      <group>L1_Format</group>
      <groupName>格式问题</groupName>
      <ability>L2_HalfPunc_CN</ability>
      <abilityName>全半角问题</abilityName>
      <candidateList>
        <item>：</item>
      </candidateList>
      <explain>文本全半角错误。</explain>
      <paraID>261CD417</paraID>
      <start>24</start>
      <end>25</end>
      <status>unmodified</status>
      <modifiedWord/>
      <trackRevisions>false</trackRevisions>
    </reviewItem>
    <reviewItem>
      <errorID>b4dc16e6-e46b-4d7a-afc1-51f0c2bfb522</errorID>
      <errorWord>〔2018〕第703号</errorWord>
      <group>L1_Knowledge</group>
      <groupName>知识性问题</groupName>
      <ability>L2_Knowledge</ability>
      <abilityName>其他知识</abilityName>
      <candidateList>
        <item>〔2018〕703号</item>
      </candidateList>
      <explain>发文字号格式错误。</explain>
      <paraID>1F28284A</paraID>
      <start>57</start>
      <end>68</end>
      <status>unmodified</status>
      <modifiedWord/>
      <trackRevisions>false</trackRevisions>
    </reviewItem>
    <reviewItem>
      <errorID>c71d944a-8d5e-4815-9aef-b971d667a4c8</errorID>
      <errorWord>监控化学品管理条例</errorWord>
      <group>L1_Knowledge</group>
      <groupName>知识性问题</groupName>
      <ability>L2_Knowledge</ability>
      <abilityName>其他知识</abilityName>
      <candidateList>
        <item>中华人民共和国监控化学品管理条例</item>
      </candidateList>
      <explain>当前法律法规名称使用简称，请注意是否应当使用全称。</explain>
      <paraID>1F28284A</paraID>
      <start>115</start>
      <end>124</end>
      <status>unmodified</status>
      <modifiedWord/>
      <trackRevisions>false</trackRevisions>
    </reviewItem>
    <reviewItem>
      <errorID>d7e4001d-8672-498f-b5b0-ce3e6470abb6</errorID>
      <errorWord>〔2011〕第588号</errorWord>
      <group>L1_Knowledge</group>
      <groupName>知识性问题</groupName>
      <ability>L2_Knowledge</ability>
      <abilityName>其他知识</abilityName>
      <candidateList>
        <item>〔2011〕588号</item>
      </candidateList>
      <explain>发文字号格式错误。</explain>
      <paraID>1F28284A</paraID>
      <start>130</start>
      <end>141</end>
      <status>unmodified</status>
      <modifiedWord/>
      <trackRevisions>false</trackRevisions>
    </reviewItem>
    <reviewItem>
      <errorID>b890f774-bd4e-45ab-9678-b1e01b995d84</errorID>
      <errorWord>(</errorWord>
      <group>L1_Format</group>
      <groupName>格式问题</groupName>
      <ability>L2_HalfPunc_CN</ability>
      <abilityName>全半角问题</abilityName>
      <candidateList>
        <item>（</item>
      </candidateList>
      <explain>文本全半角错误。</explain>
      <paraID>58F7212C</paraID>
      <start>24</start>
      <end>25</end>
      <status>unmodified</status>
      <modifiedWord/>
      <trackRevisions>false</trackRevisions>
    </reviewItem>
    <reviewItem>
      <errorID>8d4499ea-a419-4208-9f4b-2b0e8e2304e1</errorID>
      <errorWord>,</errorWord>
      <group>L1_Format</group>
      <groupName>格式问题</groupName>
      <ability>L2_HalfPunc_CN</ability>
      <abilityName>全半角问题</abilityName>
      <candidateList>
        <item>，</item>
      </candidateList>
      <explain>文本全半角错误。</explain>
      <paraID>58F7212C</paraID>
      <start>29</start>
      <end>30</end>
      <status>unmodified</status>
      <modifiedWord/>
      <trackRevisions>false</trackRevisions>
    </reviewItem>
    <reviewItem>
      <errorID>039b1e0b-d060-4e9f-a5aa-ebca0775c78f</errorID>
      <errorWord>)</errorWord>
      <group>L1_Format</group>
      <groupName>格式问题</groupName>
      <ability>L2_HalfPunc_CN</ability>
      <abilityName>全半角问题</abilityName>
      <candidateList>
        <item>）</item>
      </candidateList>
      <explain>文本全半角错误。</explain>
      <paraID>58F7212C</paraID>
      <start>34</start>
      <end>35</end>
      <status>unmodified</status>
      <modifiedWord/>
      <trackRevisions>false</trackRevisions>
    </reviewItem>
    <reviewItem>
      <errorID>c74326d8-d449-42f3-9d8a-8410a0efb79d</errorID>
      <errorWord>＋</errorWord>
      <group>L1_Format</group>
      <groupName>格式问题</groupName>
      <ability>L2_HalfPunc_CN</ability>
      <abilityName>全半角问题</abilityName>
      <candidateList>
        <item>+</item>
      </candidateList>
      <explain>文本全半角错误。</explain>
      <paraID>42B88BAF</paraID>
      <start>14</start>
      <end>15</end>
      <status>unmodified</status>
      <modifiedWord/>
      <trackRevisions>false</trackRevisions>
    </reviewItem>
    <reviewItem>
      <errorID>2014a81f-9d3e-40ac-978f-2a51f1f5aa48</errorID>
      <errorWord>（</errorWord>
      <group>L1_Format</group>
      <groupName>格式问题</groupName>
      <ability>L2_HalfPunc_CN</ability>
      <abilityName>全半角问题</abilityName>
      <candidateList>
        <item>(</item>
      </candidateList>
      <explain>文本全半角错误。</explain>
      <paraID>42B88BAF</paraID>
      <start>32</start>
      <end>33</end>
      <status>unmodified</status>
      <modifiedWord/>
      <trackRevisions>false</trackRevisions>
    </reviewItem>
    <reviewItem>
      <errorID>152f7151-11c5-43e6-8316-023db08cfc9c</errorID>
      <errorWord>）</errorWord>
      <group>L1_Format</group>
      <groupName>格式问题</groupName>
      <ability>L2_HalfPunc_CN</ability>
      <abilityName>全半角问题</abilityName>
      <candidateList>
        <item>)</item>
      </candidateList>
      <explain>文本全半角错误。</explain>
      <paraID>42B88BAF</paraID>
      <start>34</start>
      <end>35</end>
      <status>unmodified</status>
      <modifiedWord/>
      <trackRevisions>false</trackRevisions>
    </reviewItem>
    <reviewItem>
      <errorID>8e83de62-eeff-4f22-9380-4ced756b8721</errorID>
      <errorWord>，…，</errorWord>
      <group>L1_Punc</group>
      <groupName>标点问题</groupName>
      <ability>L2_Punc_CN</ability>
      <abilityName>标点符号问题</abilityName>
      <candidateList>
        <item>，</item>
      </candidateList>
      <explain/>
      <paraID>1652FBFA</paraID>
      <start>5</start>
      <end>8</end>
      <status>unmodified</status>
      <modifiedWord/>
      <trackRevisions>false</trackRevisions>
    </reviewItem>
    <reviewItem>
      <errorID>a4911115-edf9-4e69-ace3-98857a5f0a5b</errorID>
      <errorWord>，…，</errorWord>
      <group>L1_Punc</group>
      <groupName>标点问题</groupName>
      <ability>L2_Punc_CN</ability>
      <abilityName>标点符号问题</abilityName>
      <candidateList>
        <item>，</item>
      </candidateList>
      <explain/>
      <paraID> 8995913</paraID>
      <start>5</start>
      <end>8</end>
      <status>unmodified</status>
      <modifiedWord/>
      <trackRevisions>false</trackRevisions>
    </reviewItem>
    <reviewItem>
      <errorID>34d4d1ad-b6cd-4ecc-9ad5-cf6f26a1d83b</errorID>
      <errorWord>(</errorWord>
      <group>L1_Format</group>
      <groupName>格式问题</groupName>
      <ability>L2_HalfPunc_CN</ability>
      <abilityName>全半角问题</abilityName>
      <candidateList>
        <item>（</item>
      </candidateList>
      <explain>文本全半角错误。</explain>
      <paraID>5055EECD</paraID>
      <start>2</start>
      <end>3</end>
      <status>unmodified</status>
      <modifiedWord/>
      <trackRevisions>false</trackRevisions>
    </reviewItem>
    <reviewItem>
      <errorID>256793b9-e683-4061-b86a-d51b762a799a</errorID>
      <errorWord>)</errorWord>
      <group>L1_Format</group>
      <groupName>格式问题</groupName>
      <ability>L2_HalfPunc_CN</ability>
      <abilityName>全半角问题</abilityName>
      <candidateList>
        <item>）</item>
      </candidateList>
      <explain>文本全半角错误。</explain>
      <paraID>5055EECD</paraID>
      <start>7</start>
      <end>8</end>
      <status>unmodified</status>
      <modifiedWord/>
      <trackRevisions>false</trackRevisions>
    </reviewItem>
    <reviewItem>
      <errorID>4b20bb8a-38b9-4e3a-bed5-a94ddd24295c</errorID>
      <errorWord>,</errorWord>
      <group>L1_Format</group>
      <groupName>格式问题</groupName>
      <ability>L2_HalfPunc_CN</ability>
      <abilityName>全半角问题</abilityName>
      <candidateList>
        <item>，</item>
      </candidateList>
      <explain>文本全半角错误。</explain>
      <paraID>56BA0BCA</paraID>
      <start>11</start>
      <end>12</end>
      <status>unmodified</status>
      <modifiedWord/>
      <trackRevisions>false</trackRevisions>
    </reviewItem>
    <reviewItem>
      <errorID>94188fb8-278d-4251-8c7a-80a53cbb1586</errorID>
      <errorWord>(</errorWord>
      <group>L1_Format</group>
      <groupName>格式问题</groupName>
      <ability>L2_HalfPunc_CN</ability>
      <abilityName>全半角问题</abilityName>
      <candidateList>
        <item>（</item>
      </candidateList>
      <explain>文本全半角错误。</explain>
      <paraID>1BAE64B8</paraID>
      <start>14</start>
      <end>15</end>
      <status>unmodified</status>
      <modifiedWord/>
      <trackRevisions>false</trackRevisions>
    </reviewItem>
    <reviewItem>
      <errorID>4694b003-a084-493c-b238-528a9cc301e7</errorID>
      <errorWord>)</errorWord>
      <group>L1_Format</group>
      <groupName>格式问题</groupName>
      <ability>L2_HalfPunc_CN</ability>
      <abilityName>全半角问题</abilityName>
      <candidateList>
        <item>）</item>
      </candidateList>
      <explain>文本全半角错误。</explain>
      <paraID>1BAE64B8</paraID>
      <start>24</start>
      <end>25</end>
      <status>unmodified</status>
      <modifiedWord/>
      <trackRevisions>false</trackRevisions>
    </reviewItem>
    <reviewItem>
      <errorID>66eec7ec-4b65-40c1-9112-40af8e163add</errorID>
      <errorWord>(</errorWord>
      <group>L1_Format</group>
      <groupName>格式问题</groupName>
      <ability>L2_HalfPunc_CN</ability>
      <abilityName>全半角问题</abilityName>
      <candidateList>
        <item>（</item>
      </candidateList>
      <explain>文本全半角错误。</explain>
      <paraID>3FBABC9A</paraID>
      <start>2</start>
      <end>3</end>
      <status>unmodified</status>
      <modifiedWord/>
      <trackRevisions>false</trackRevisions>
    </reviewItem>
    <reviewItem>
      <errorID>391491d3-692b-444a-8b22-c9ea3cfab1c1</errorID>
      <errorWord>)</errorWord>
      <group>L1_Format</group>
      <groupName>格式问题</groupName>
      <ability>L2_HalfPunc_CN</ability>
      <abilityName>全半角问题</abilityName>
      <candidateList>
        <item>）</item>
      </candidateList>
      <explain>文本全半角错误。</explain>
      <paraID>3FBABC9A</paraID>
      <start>5</start>
      <end>6</end>
      <status>unmodified</status>
      <modifiedWord/>
      <trackRevisions>false</trackRevisions>
    </reviewItem>
    <reviewItem>
      <errorID>a8127915-beb2-4e7c-93ca-75de22874d15</errorID>
      <errorWord>(</errorWord>
      <group>L1_Format</group>
      <groupName>格式问题</groupName>
      <ability>L2_HalfPunc_CN</ability>
      <abilityName>全半角问题</abilityName>
      <candidateList>
        <item>（</item>
      </candidateList>
      <explain>文本全半角错误。</explain>
      <paraID>65281B20</paraID>
      <start>11</start>
      <end>12</end>
      <status>unmodified</status>
      <modifiedWord/>
      <trackRevisions>false</trackRevisions>
    </reviewItem>
    <reviewItem>
      <errorID>c804ff7a-e460-4257-b2d2-ebcaaa278400</errorID>
      <errorWord>)</errorWord>
      <group>L1_Format</group>
      <groupName>格式问题</groupName>
      <ability>L2_HalfPunc_CN</ability>
      <abilityName>全半角问题</abilityName>
      <candidateList>
        <item>）</item>
      </candidateList>
      <explain>文本全半角错误。</explain>
      <paraID>65281B20</paraID>
      <start>25</start>
      <end>26</end>
      <status>unmodified</status>
      <modifiedWord/>
      <trackRevisions>false</trackRevisions>
    </reviewItem>
    <reviewItem>
      <errorID>c8b794d7-182c-4e6d-a2ee-0504562ac954</errorID>
      <errorWord>(</errorWord>
      <group>L1_Format</group>
      <groupName>格式问题</groupName>
      <ability>L2_HalfPunc_CN</ability>
      <abilityName>全半角问题</abilityName>
      <candidateList>
        <item>（</item>
      </candidateList>
      <explain>文本全半角错误。</explain>
      <paraID> AE46F16</paraID>
      <start>17</start>
      <end>18</end>
      <status>unmodified</status>
      <modifiedWord/>
      <trackRevisions>false</trackRevisions>
    </reviewItem>
    <reviewItem>
      <errorID>e460e0af-fd8f-4e56-889b-d322bed2b213</errorID>
      <errorWord>)</errorWord>
      <group>L1_Format</group>
      <groupName>格式问题</groupName>
      <ability>L2_HalfPunc_CN</ability>
      <abilityName>全半角问题</abilityName>
      <candidateList>
        <item>）</item>
      </candidateList>
      <explain>文本全半角错误。</explain>
      <paraID> AE46F16</paraID>
      <start>25</start>
      <end>26</end>
      <status>unmodified</status>
      <modifiedWord/>
      <trackRevisions>false</trackRevisions>
    </reviewItem>
    <reviewItem>
      <errorID>9b88f8a6-9d15-4b8e-a7d3-f6238d7678ad</errorID>
      <errorWord>(</errorWord>
      <group>L1_Format</group>
      <groupName>格式问题</groupName>
      <ability>L2_HalfPunc_CN</ability>
      <abilityName>全半角问题</abilityName>
      <candidateList>
        <item>（</item>
      </candidateList>
      <explain>文本全半角错误。</explain>
      <paraID>3D71C805</paraID>
      <start>16</start>
      <end>17</end>
      <status>unmodified</status>
      <modifiedWord/>
      <trackRevisions>false</trackRevisions>
    </reviewItem>
    <reviewItem>
      <errorID>68af624d-3306-463b-9bff-746e26f91e40</errorID>
      <errorWord>)</errorWord>
      <group>L1_Format</group>
      <groupName>格式问题</groupName>
      <ability>L2_HalfPunc_CN</ability>
      <abilityName>全半角问题</abilityName>
      <candidateList>
        <item>）</item>
      </candidateList>
      <explain>文本全半角错误。</explain>
      <paraID>3D71C805</paraID>
      <start>24</start>
      <end>25</end>
      <status>unmodified</status>
      <modifiedWord/>
      <trackRevisions>false</trackRevisions>
    </reviewItem>
    <reviewItem>
      <errorID>53fab680-c902-41b5-86b6-e19ff5692af4</errorID>
      <errorWord>(</errorWord>
      <group>L1_Format</group>
      <groupName>格式问题</groupName>
      <ability>L2_HalfPunc_CN</ability>
      <abilityName>全半角问题</abilityName>
      <candidateList>
        <item>（</item>
      </candidateList>
      <explain>文本全半角错误。</explain>
      <paraID>6B2FD331</paraID>
      <start>9</start>
      <end>10</end>
      <status>unmodified</status>
      <modifiedWord/>
      <trackRevisions>false</trackRevisions>
    </reviewItem>
    <reviewItem>
      <errorID>26fca05d-1fbe-4d79-a75d-7940aea0c004</errorID>
      <errorWord>)</errorWord>
      <group>L1_Format</group>
      <groupName>格式问题</groupName>
      <ability>L2_HalfPunc_CN</ability>
      <abilityName>全半角问题</abilityName>
      <candidateList>
        <item>）</item>
      </candidateList>
      <explain>文本全半角错误。</explain>
      <paraID>6B2FD331</paraID>
      <start>11</start>
      <end>12</end>
      <status>unmodified</status>
      <modifiedWord/>
      <trackRevisions>false</trackRevisions>
    </reviewItem>
    <reviewItem>
      <errorID>08d88818-864f-4bd4-888c-8449656b7b54</errorID>
      <errorWord>(</errorWord>
      <group>L1_Format</group>
      <groupName>格式问题</groupName>
      <ability>L2_HalfPunc_CN</ability>
      <abilityName>全半角问题</abilityName>
      <candidateList>
        <item>（</item>
      </candidateList>
      <explain>文本全半角错误。</explain>
      <paraID>5A3C420A</paraID>
      <start>3</start>
      <end>4</end>
      <status>unmodified</status>
      <modifiedWord/>
      <trackRevisions>false</trackRevisions>
    </reviewItem>
    <reviewItem>
      <errorID>13a810e6-4457-40d3-a54e-42d0a36ee9ab</errorID>
      <errorWord>)</errorWord>
      <group>L1_Format</group>
      <groupName>格式问题</groupName>
      <ability>L2_HalfPunc_CN</ability>
      <abilityName>全半角问题</abilityName>
      <candidateList>
        <item>）</item>
      </candidateList>
      <explain>文本全半角错误。</explain>
      <paraID>5A3C420A</paraID>
      <start>5</start>
      <end>6</end>
      <status>unmodified</status>
      <modifiedWord/>
      <trackRevisions>false</trackRevisions>
    </reviewItem>
    <reviewItem>
      <errorID>1649540a-0b49-410a-a2d4-975eff641185</errorID>
      <errorWord>库存放</errorWord>
      <group>L1_Word</group>
      <groupName>字词问题</groupName>
      <ability>L2_Typo</ability>
      <abilityName>字词错误</abilityName>
      <candidateList>
        <item>库存</item>
      </candidateList>
      <explain/>
      <paraID>5A19380D</paraID>
      <start>16</start>
      <end>19</end>
      <status>unmodified</status>
      <modifiedWord/>
      <trackRevisions>false</trackRevisions>
    </reviewItem>
    <reviewItem>
      <errorID>ae0d4471-1d37-45a1-b246-8dd811267560</errorID>
      <errorWord>水份</errorWord>
      <group>L1_Word</group>
      <groupName>字词问题</groupName>
      <ability>L2_Variant</ability>
      <abilityName>异形词</abilityName>
      <candidateList>
        <item>水分</item>
      </candidateList>
      <explain>词汇[水份]的规范词形写作[水分]。</explain>
      <paraID>5D5F0E03</paraID>
      <start>72</start>
      <end>74</end>
      <status>unmodified</status>
      <modifiedWord/>
      <trackRevisions>false</trackRevisions>
    </reviewItem>
    <reviewItem>
      <errorID>a2f96c36-c4c9-45a8-8e02-d170fef7f07b</errorID>
      <errorWord>在</errorWord>
      <group>L1_Word</group>
      <groupName>字词问题</groupName>
      <ability>L2_Typo</ability>
      <abilityName>字词错误</abilityName>
      <candidateList>
        <item>再</item>
      </candidateList>
      <explain>存在发音相同字词的误用。</explain>
      <paraID>497BA023</paraID>
      <start>24</start>
      <end>25</end>
      <status>unmodified</status>
      <modifiedWord/>
      <trackRevisions>false</trackRevisions>
    </reviewItem>
    <reviewItem>
      <errorID>55a1a1f9-821b-43c6-91db-7403b7806748</errorID>
      <errorWord>承上起下</errorWord>
      <group>L1_Word</group>
      <groupName>字词问题</groupName>
      <ability>L2_Alias</ability>
      <abilityName>也作/曾用词</abilityName>
      <candidateList>
        <item>承上启下</item>
      </candidateList>
      <explain>词汇[承上起下]为不规范表述或旧称，其规范书面表述为[承上启下]。</explain>
      <paraID>21184CF8</paraID>
      <start>28</start>
      <end>32</end>
      <status>unmodified</status>
      <modifiedWord/>
      <trackRevisions>false</trackRevisions>
    </reviewItem>
    <reviewItem>
      <errorID>ec0be3c3-c824-4585-9fa3-1939f0c5b794</errorID>
      <errorWord>程</errorWord>
      <group>L1_Word</group>
      <groupName>字词问题</groupName>
      <ability>L2_Typo</ability>
      <abilityName>字词错误</abilityName>
      <candidateList>
        <item>程中</item>
      </candidateList>
      <explain/>
      <paraID> 78D760E</paraID>
      <start>35</start>
      <end>36</end>
      <status>unmodified</status>
      <modifiedWord/>
      <trackRevisions>false</trackRevisions>
    </reviewItem>
    <reviewItem>
      <errorID>5eaa1bb2-8c0a-4043-ac0d-e1c4774e652f</errorID>
      <errorWord>其它</errorWord>
      <group>L1_Word</group>
      <groupName>字词问题</groupName>
      <ability>L2_Alias</ability>
      <abilityName>也作/曾用词</abilityName>
      <candidateList>
        <item>其他</item>
      </candidateList>
      <explain>词汇[其它]为不规范表述或旧称，其规范书面表述为[其他]。</explain>
      <paraID>7F5AAB2B</paraID>
      <start>5</start>
      <end>7</end>
      <status>unmodified</status>
      <modifiedWord/>
      <trackRevisions>false</trackRevisions>
    </reviewItem>
    <reviewItem>
      <errorID>64641388-10c2-4560-b6b5-efab483939df</errorID>
      <errorWord>其它</errorWord>
      <group>L1_Word</group>
      <groupName>字词问题</groupName>
      <ability>L2_Alias</ability>
      <abilityName>也作/曾用词</abilityName>
      <candidateList>
        <item>其他</item>
      </candidateList>
      <explain>词汇[其它]为不规范表述或旧称，其规范书面表述为[其他]。</explain>
      <paraID>66F76A8A</paraID>
      <start>5</start>
      <end>7</end>
      <status>unmodified</status>
      <modifiedWord/>
      <trackRevisions>false</trackRevisions>
    </reviewItem>
    <reviewItem>
      <errorID>83cc4d8d-9dc9-4084-9729-ba1b41090189</errorID>
      <errorWord>各含</errorWord>
      <group>L1_Word</group>
      <groupName>字词问题</groupName>
      <ability>L2_Typo</ability>
      <abilityName>字词错误</abilityName>
      <candidateList>
        <item>包含</item>
      </candidateList>
      <explain/>
      <paraID>397895A3</paraID>
      <start>0</start>
      <end>2</end>
      <status>unmodified</status>
      <modifiedWord/>
      <trackRevisions>false</trackRevisions>
    </reviewItem>
    <reviewItem>
      <errorID>60675e18-367f-4fe2-9f85-3bf85306ba58</errorID>
      <errorWord>常期</errorWord>
      <group>L1_Word</group>
      <groupName>字词问题</groupName>
      <ability>L2_Typo</ability>
      <abilityName>字词错误</abilityName>
      <candidateList>
        <item>长期</item>
      </candidateList>
      <explain/>
      <paraID>2184DC9F</paraID>
      <start>2</start>
      <end>4</end>
      <status>unmodified</status>
      <modifiedWord/>
      <trackRevisions>false</trackRevisions>
    </reviewItem>
    <reviewItem>
      <errorID>1761c9c5-440d-4350-91be-9c89af2e8279</errorID>
      <errorWord>安全卫生责任制</errorWord>
      <group>L1_Political</group>
      <groupName>政治性问题</groupName>
      <ability>L2_Keyword</ability>
      <abilityName>固定表述</abilityName>
      <candidateList>
        <item>安全生产责任制</item>
      </candidateList>
      <explain>词汇“安全生产责任制”在特定场景下为固定表述形式，请确认此处的“安全卫生责任制”是否存在不当。</explain>
      <paraID>5CA9FFDB</paraID>
      <start>2</start>
      <end>9</end>
      <status>unmodified</status>
      <modifiedWord/>
      <trackRevisions>false</trackRevisions>
    </reviewItem>
    <reviewItem>
      <errorID>8b4deceb-54e1-4d6f-b7ca-e9f1833b37db</errorID>
      <errorWord>,</errorWord>
      <group>L1_Format</group>
      <groupName>格式问题</groupName>
      <ability>L2_HalfPunc_CN</ability>
      <abilityName>全半角问题</abilityName>
      <candidateList>
        <item>，</item>
      </candidateList>
      <explain>文本全半角错误。</explain>
      <paraID>5F9BD367</paraID>
      <start>23</start>
      <end>24</end>
      <status>unmodified</status>
      <modifiedWord/>
      <trackRevisions>false</trackRevisions>
    </reviewItem>
    <reviewItem>
      <errorID>0cb4ad29-96e8-4f85-8848-4ae02bc40133</errorID>
      <errorWord>分</errorWord>
      <group>L1_Word</group>
      <groupName>字词问题</groupName>
      <ability>L2_Typo</ability>
      <abilityName>字词错误</abilityName>
      <candidateList>
        <item>分为</item>
      </candidateList>
      <explain/>
      <paraID>780A0ED3</paraID>
      <start>4</start>
      <end>5</end>
      <status>unmodified</status>
      <modifiedWord/>
      <trackRevisions>false</trackRevisions>
    </reviewItem>
    <reviewItem>
      <errorID>17da0cf6-9ad4-4df2-b8e0-28daf852f64c</errorID>
      <errorWord>必须</errorWord>
      <group>L1_Word</group>
      <groupName>字词问题</groupName>
      <ability>L2_Typo</ability>
      <abilityName>字词错误</abilityName>
      <candidateList>
        <item>必需</item>
      </candidateList>
      <explain/>
      <paraID>28AD5F43</paraID>
      <start>57</start>
      <end>59</end>
      <status>unmodified</status>
      <modifiedWord/>
      <trackRevisions>false</trackRevisions>
    </reviewItem>
    <reviewItem>
      <errorID>30dd9835-3fc6-46e0-81ca-f0744632426c</errorID>
      <errorWord>是已</errorWord>
      <group>L1_Word</group>
      <groupName>字词问题</groupName>
      <ability>L2_Typo</ability>
      <abilityName>字词错误</abilityName>
      <candidateList>
        <item>是</item>
      </candidateList>
      <explain/>
      <paraID>28AD5F43</paraID>
      <start>112</start>
      <end>114</end>
      <status>unmodified</status>
      <modifiedWord/>
      <trackRevisions>false</trackRevisions>
    </reviewItem>
    <reviewItem>
      <errorID>cacf1345-47e7-4995-842d-7d5832b24525</errorID>
      <errorWord>运输为</errorWord>
      <group>L1_Word</group>
      <groupName>字词问题</groupName>
      <ability>L2_Typo</ability>
      <abilityName>字词错误</abilityName>
      <candidateList>
        <item>运输</item>
      </candidateList>
      <explain/>
      <paraID>12516FE2</paraID>
      <start>41</start>
      <end>44</end>
      <status>unmodified</status>
      <modifiedWord/>
      <trackRevisions>false</trackRevisions>
    </reviewItem>
    <reviewItem>
      <errorID>cf10e074-263b-4c75-a111-9f2c905636fc</errorID>
      <errorWord>铁质</errorWord>
      <group>L1_Word</group>
      <groupName>字词问题</groupName>
      <ability>L2_Typo</ability>
      <abilityName>字词错误</abilityName>
      <candidateList>
        <item>铁制</item>
      </candidateList>
      <explain>存在发音相同字词的误用。</explain>
      <paraID>12516FE2</paraID>
      <start>111</start>
      <end>113</end>
      <status>unmodified</status>
      <modifiedWord/>
      <trackRevisions>false</trackRevisions>
    </reviewItem>
    <reviewItem>
      <errorID>4ae31ef8-1fdf-41b4-91e7-f017f7a231ef</errorID>
      <errorWord>曝晒</errorWord>
      <group>L1_Word</group>
      <groupName>字词问题</groupName>
      <ability>L2_Typo</ability>
      <abilityName>字词错误</abilityName>
      <candidateList>
        <item>暴晒</item>
      </candidateList>
      <explain/>
      <paraID>34EFE507</paraID>
      <start>33</start>
      <end>35</end>
      <status>unmodified</status>
      <modifiedWord/>
      <trackRevisions>false</trackRevisions>
    </reviewItem>
    <reviewItem>
      <errorID>8720725f-4cc4-4b6b-9511-b4116de28d0d</errorID>
      <errorWord>档板</errorWord>
      <group>L1_Word</group>
      <groupName>字词问题</groupName>
      <ability>L2_Typo</ability>
      <abilityName>字词错误</abilityName>
      <candidateList>
        <item>挡板</item>
      </candidateList>
      <explain/>
      <paraID>6339BC01</paraID>
      <start>9</start>
      <end>11</end>
      <status>unmodified</status>
      <modifiedWord/>
      <trackRevisions>false</trackRevisions>
    </reviewItem>
    <reviewItem>
      <errorID>4f2e0981-cd2e-42e2-9148-c427c62c2ab7</errorID>
      <errorWord>车箱</errorWord>
      <group>L1_Word</group>
      <groupName>字词问题</groupName>
      <ability>L2_Typo</ability>
      <abilityName>字词错误</abilityName>
      <candidateList>
        <item>车厢</item>
      </candidateList>
      <explain/>
      <paraID>6339BC01</paraID>
      <start>22</start>
      <end>24</end>
      <status>unmodified</status>
      <modifiedWord/>
      <trackRevisions>false</trackRevisions>
    </reviewItem>
    <reviewItem>
      <errorID>7dbef1c7-c7b5-45be-a705-193d2976b64d</errorID>
      <errorWord>铁撬</errorWord>
      <group>L1_Word</group>
      <groupName>字词问题</groupName>
      <ability>L2_Typo</ability>
      <abilityName>字词错误</abilityName>
      <candidateList>
        <item>铁锹</item>
      </candidateList>
      <explain/>
      <paraID>38EE5100</paraID>
      <start>38</start>
      <end>40</end>
      <status>unmodified</status>
      <modifiedWord/>
      <trackRevisions>false</trackRevisions>
    </reviewItem>
    <reviewItem>
      <errorID>accae47f-da21-488c-913d-fa03ac5e3c9e</errorID>
      <errorWord>、或</errorWord>
      <group>L1_Word</group>
      <groupName>字词问题</groupName>
      <ability>L2_Typo</ability>
      <abilityName>字词错误</abilityName>
      <candidateList>
        <item>或</item>
      </candidateList>
      <explain/>
      <paraID>7EE931EC</paraID>
      <start>33</start>
      <end>35</end>
      <status>unmodified</status>
      <modifiedWord/>
      <trackRevisions>false</trackRevisions>
    </reviewItem>
    <reviewItem>
      <errorID>808af101-4f0c-4e4d-8cfa-a5fbbfafcfa5</errorID>
      <errorWord>若工</errorWord>
      <group>L1_Word</group>
      <groupName>字词问题</groupName>
      <ability>L2_Typo</ability>
      <abilityName>字词错误</abilityName>
      <candidateList>
        <item>若</item>
      </candidateList>
      <explain/>
      <paraID> 6BCB000</paraID>
      <start>0</start>
      <end>2</end>
      <status>unmodified</status>
      <modifiedWord/>
      <trackRevisions>false</trackRevisions>
    </reviewItem>
    <reviewItem>
      <errorID>167ebe9c-8743-4f09-8d82-c4129de94eb2</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 FB8A667</paraID>
      <start>24</start>
      <end>27</end>
      <status>unmodified</status>
      <modifiedWord/>
      <trackRevisions>false</trackRevisions>
    </reviewItem>
    <reviewItem>
      <errorID>e933611e-12c2-4462-8517-d027c2f8c0ef</errorID>
      <errorWord>危</errorWord>
      <group>L1_Word</group>
      <groupName>字词问题</groupName>
      <ability>L2_Typo</ability>
      <abilityName>字词错误</abilityName>
      <candidateList>
        <item>危险</item>
      </candidateList>
      <explain/>
      <paraID>54EB946A</paraID>
      <start>19</start>
      <end>20</end>
      <status>unmodified</status>
      <modifiedWord/>
      <trackRevisions>false</trackRevisions>
    </reviewItem>
    <reviewItem>
      <errorID>7ec6511a-aa79-4687-94d6-0ea3b84eec42</errorID>
      <errorWord>程</errorWord>
      <group>L1_Word</group>
      <groupName>字词问题</groupName>
      <ability>L2_Typo</ability>
      <abilityName>字词错误</abilityName>
      <candidateList>
        <item>程中</item>
      </candidateList>
      <explain/>
      <paraID>51CDB530</paraID>
      <start>49</start>
      <end>50</end>
      <status>unmodified</status>
      <modifiedWord/>
      <trackRevisions>false</trackRevisions>
    </reviewItem>
    <reviewItem>
      <errorID>d031fc62-8caa-4639-acb4-7f3e98aa5724</errorID>
      <errorWord>程</errorWord>
      <group>L1_Word</group>
      <groupName>字词问题</groupName>
      <ability>L2_Typo</ability>
      <abilityName>字词错误</abilityName>
      <candidateList>
        <item>程中</item>
      </candidateList>
      <explain/>
      <paraID>20E21937</paraID>
      <start>30</start>
      <end>31</end>
      <status>unmodified</status>
      <modifiedWord/>
      <trackRevisions>false</trackRevisions>
    </reviewItem>
    <reviewItem>
      <errorID>cb81eea7-1f00-4a60-840f-5abbad69be12</errorID>
      <errorWord>推积</errorWord>
      <group>L1_Word</group>
      <groupName>字词问题</groupName>
      <ability>L2_Typo</ability>
      <abilityName>字词错误</abilityName>
      <candidateList>
        <item>堆积</item>
      </candidateList>
      <explain/>
      <paraID>548D9EB0</paraID>
      <start>28</start>
      <end>30</end>
      <status>unmodified</status>
      <modifiedWord/>
      <trackRevisions>false</trackRevisions>
    </reviewItem>
    <reviewItem>
      <errorID>f8655cdf-146c-494f-8200-8e2093194b8c</errorID>
      <errorWord>70～80%</errorWord>
      <group>L1_Knowledge</group>
      <groupName>知识性问题</groupName>
      <ability>L2_Knowledge</ability>
      <abilityName>其他知识</abilityName>
      <candidateList>
        <item>70%～80%</item>
      </candidateList>
      <explain>1. “70～80%”中的单位“%”仅出现在后一个数字上，容易引起歧义；根据《现代汉语标点符号数字用法规范手册》，数字表示范围两边需要使用统一的格式。2. 根据标点国标 4.13 中的规则，数字、时间或地域连接符应使用（视觉上更长的）“—”或“～”。</explain>
      <paraID>10679B99</paraID>
      <start>118</start>
      <end>124</end>
      <status>unmodified</status>
      <modifiedWord/>
      <trackRevisions>false</trackRevisions>
    </reviewItem>
    <reviewItem>
      <errorID>acd58e4e-d416-4713-94fb-f002d19dc13c</errorID>
      <errorWord>人</errorWord>
      <group>L1_Word</group>
      <groupName>字词问题</groupName>
      <ability>L2_Typo</ability>
      <abilityName>字词错误</abilityName>
      <candidateList>
        <item>人员</item>
      </candidateList>
      <explain/>
      <paraID>57C90FF1</paraID>
      <start>35</start>
      <end>36</end>
      <status>unmodified</status>
      <modifiedWord/>
      <trackRevisions>false</trackRevisions>
    </reviewItem>
    <reviewItem>
      <errorID>f6e854ad-18e8-4f91-86cd-56e404491bd4</errorID>
      <errorWord>设警示标志</errorWord>
      <group>L1_Word</group>
      <groupName>字词问题</groupName>
      <ability>L2_Typo</ability>
      <abilityName>字词错误</abilityName>
      <candidateList>
        <item>设置警示标志</item>
      </candidateList>
      <explain/>
      <paraID>6769B73A</paraID>
      <start>107</start>
      <end>112</end>
      <status>unmodified</status>
      <modifiedWord/>
      <trackRevisions>false</trackRevisions>
    </reviewItem>
    <reviewItem>
      <errorID>ffcc7743-7746-46f3-a2d4-cecf3f33cb22</errorID>
      <errorWord>砂浆拌</errorWord>
      <group>L1_Word</group>
      <groupName>字词问题</groupName>
      <ability>L2_Typo</ability>
      <abilityName>字词错误</abilityName>
      <candidateList>
        <item>砂浆</item>
      </candidateList>
      <explain/>
      <paraID>5A431FE1</paraID>
      <start>25</start>
      <end>28</end>
      <status>unmodified</status>
      <modifiedWord/>
      <trackRevisions>false</trackRevisions>
    </reviewItem>
    <reviewItem>
      <errorID>d02d28dc-5c16-4242-b081-4c6b54e7be5a</errorID>
      <errorWord>、甚至</errorWord>
      <group>L1_Word</group>
      <groupName>字词问题</groupName>
      <ability>L2_Typo</ability>
      <abilityName>字词错误</abilityName>
      <candidateList>
        <item>，甚至</item>
      </candidateList>
      <explain/>
      <paraID>7B4608B7</paraID>
      <start>45</start>
      <end>48</end>
      <status>unmodified</status>
      <modifiedWord/>
      <trackRevisions>false</trackRevisions>
    </reviewItem>
    <reviewItem>
      <errorID>a5d6d15d-1a45-447a-87f6-1a79d088ddcc</errorID>
      <errorWord>其它</errorWord>
      <group>L1_Word</group>
      <groupName>字词问题</groupName>
      <ability>L2_Alias</ability>
      <abilityName>也作/曾用词</abilityName>
      <candidateList>
        <item>其他</item>
      </candidateList>
      <explain>词汇[其它]为不规范表述或旧称，其规范书面表述为[其他]。</explain>
      <paraID>391F96DA</paraID>
      <start>5</start>
      <end>7</end>
      <status>unmodified</status>
      <modifiedWord/>
      <trackRevisions>false</trackRevisions>
    </reviewItem>
    <reviewItem>
      <errorID>28bb0bdf-f196-446f-8a82-405947e27a97</errorID>
      <errorWord>其它</errorWord>
      <group>L1_Word</group>
      <groupName>字词问题</groupName>
      <ability>L2_Alias</ability>
      <abilityName>也作/曾用词</abilityName>
      <candidateList>
        <item>其他</item>
      </candidateList>
      <explain>词汇[其它]为不规范表述或旧称，其规范书面表述为[其他]。</explain>
      <paraID>3B418610</paraID>
      <start>5</start>
      <end>7</end>
      <status>unmodified</status>
      <modifiedWord/>
      <trackRevisions>false</trackRevisions>
    </reviewItem>
    <reviewItem>
      <errorID>b3949445-4b85-482c-bf52-5a6ac23d1644</errorID>
      <errorWord>、甚至</errorWord>
      <group>L1_Word</group>
      <groupName>字词问题</groupName>
      <ability>L2_Typo</ability>
      <abilityName>字词错误</abilityName>
      <candidateList>
        <item>，甚至</item>
      </candidateList>
      <explain/>
      <paraID>2E73F5B9</paraID>
      <start>281</start>
      <end>284</end>
      <status>unmodified</status>
      <modifiedWord/>
      <trackRevisions>false</trackRevisions>
    </reviewItem>
    <reviewItem>
      <errorID>9c913b23-891d-475e-8833-63871faa477d</errorID>
      <errorWord>冲击波冲击波</errorWord>
      <group>L1_Word</group>
      <groupName>字词问题</groupName>
      <ability>L2_Typo</ability>
      <abilityName>字词错误</abilityName>
      <candidateList>
        <item>冲击波</item>
      </candidateList>
      <explain/>
      <paraID>6E823D24</paraID>
      <start>14</start>
      <end>20</end>
      <status>unmodified</status>
      <modifiedWord/>
      <trackRevisions>false</trackRevisions>
    </reviewItem>
    <reviewItem>
      <errorID>84ddb39b-9312-44ab-bbf2-7ca2edfcfb23</errorID>
      <errorWord>强</errorWord>
      <group>L1_Word</group>
      <groupName>字词问题</groupName>
      <ability>L2_Typo</ability>
      <abilityName>字词错误</abilityName>
      <candidateList>
        <item>强的</item>
      </candidateList>
      <explain/>
      <paraID>4E020C22</paraID>
      <start>12</start>
      <end>13</end>
      <status>unmodified</status>
      <modifiedWord/>
      <trackRevisions>false</trackRevisions>
    </reviewItem>
    <reviewItem>
      <errorID>0495da57-a7f5-47f5-8989-f0159fbdfd8c</errorID>
      <errorWord>(</errorWord>
      <group>L1_Format</group>
      <groupName>格式问题</groupName>
      <ability>L2_HalfPunc_CN</ability>
      <abilityName>全半角问题</abilityName>
      <candidateList>
        <item>（</item>
      </candidateList>
      <explain>文本全半角错误。</explain>
      <paraID> C1CA0B0</paraID>
      <start>90</start>
      <end>91</end>
      <status>unmodified</status>
      <modifiedWord/>
      <trackRevisions>false</trackRevisions>
    </reviewItem>
    <reviewItem>
      <errorID>867509c6-66a7-4ff9-b651-9cbbe1bef794</errorID>
      <errorWord>)</errorWord>
      <group>L1_Format</group>
      <groupName>格式问题</groupName>
      <ability>L2_HalfPunc_CN</ability>
      <abilityName>全半角问题</abilityName>
      <candidateList>
        <item>）</item>
      </candidateList>
      <explain>文本全半角错误。</explain>
      <paraID> C1CA0B0</paraID>
      <start>126</start>
      <end>127</end>
      <status>unmodified</status>
      <modifiedWord/>
      <trackRevisions>false</trackRevisions>
    </reviewItem>
    <reviewItem>
      <errorID>c2961453-e8b9-4ea0-af88-eb9120d8af54</errorID>
      <errorWord>及其</errorWord>
      <group>L1_Word</group>
      <groupName>字词问题</groupName>
      <ability>L2_Typo</ability>
      <abilityName>字词错误</abilityName>
      <candidateList>
        <item>极其</item>
      </candidateList>
      <explain/>
      <paraID>55B59DAF</paraID>
      <start>68</start>
      <end>70</end>
      <status>unmodified</status>
      <modifiedWord/>
      <trackRevisions>false</trackRevisions>
    </reviewItem>
    <reviewItem>
      <errorID>7bd0ef50-02f0-43e0-8c74-393244eb41d6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3576B3BB</paraID>
      <start>10</start>
      <end>13</end>
      <status>unmodified</status>
      <modifiedWord/>
      <trackRevisions>false</trackRevisions>
    </reviewItem>
    <reviewItem>
      <errorID>2010e742-e5f1-4437-826c-419734403ba3</errorID>
      <errorWord>,</errorWord>
      <group>L1_Format</group>
      <groupName>格式问题</groupName>
      <ability>L2_HalfPunc_CN</ability>
      <abilityName>全半角问题</abilityName>
      <candidateList>
        <item>，</item>
      </candidateList>
      <explain>文本全半角错误。</explain>
      <paraID> D50CE41</paraID>
      <start>11</start>
      <end>12</end>
      <status>unmodified</status>
      <modifiedWord/>
      <trackRevisions>false</trackRevisions>
    </reviewItem>
    <reviewItem>
      <errorID>8bc70dca-6a7c-4c52-bc96-78ec2220a509</errorID>
      <errorWord>,</errorWord>
      <group>L1_Format</group>
      <groupName>格式问题</groupName>
      <ability>L2_HalfPunc_CN</ability>
      <abilityName>全半角问题</abilityName>
      <candidateList>
        <item>，</item>
      </candidateList>
      <explain>文本全半角错误。</explain>
      <paraID>70054896</paraID>
      <start>18</start>
      <end>19</end>
      <status>unmodified</status>
      <modifiedWord/>
      <trackRevisions>false</trackRevisions>
    </reviewItem>
    <reviewItem>
      <errorID>49add2a2-3418-4f48-9bd8-d0c0a1a5ee1f</errorID>
      <errorWord>(</errorWord>
      <group>L1_Format</group>
      <groupName>格式问题</groupName>
      <ability>L2_HalfPunc_CN</ability>
      <abilityName>全半角问题</abilityName>
      <candidateList>
        <item>（</item>
      </candidateList>
      <explain>文本全半角错误。</explain>
      <paraID>71C52575</paraID>
      <start>144</start>
      <end>145</end>
      <status>unmodified</status>
      <modifiedWord/>
      <trackRevisions>false</trackRevisions>
    </reviewItem>
    <reviewItem>
      <errorID>aeef45f2-9386-4ed1-887b-e8bb540e969e</errorID>
      <errorWord>)</errorWord>
      <group>L1_Format</group>
      <groupName>格式问题</groupName>
      <ability>L2_HalfPunc_CN</ability>
      <abilityName>全半角问题</abilityName>
      <candidateList>
        <item>）</item>
      </candidateList>
      <explain>文本全半角错误。</explain>
      <paraID>71C52575</paraID>
      <start>146</start>
      <end>147</end>
      <status>unmodified</status>
      <modifiedWord/>
      <trackRevisions>false</trackRevisions>
    </reviewItem>
    <reviewItem>
      <errorID>af07b04e-615a-4010-b684-372aa49353de</errorID>
      <errorWord>(</errorWord>
      <group>L1_Format</group>
      <groupName>格式问题</groupName>
      <ability>L2_HalfPunc_CN</ability>
      <abilityName>全半角问题</abilityName>
      <candidateList>
        <item>（</item>
      </candidateList>
      <explain>文本全半角错误。</explain>
      <paraID>333AE28E</paraID>
      <start>22</start>
      <end>23</end>
      <status>unmodified</status>
      <modifiedWord/>
      <trackRevisions>false</trackRevisions>
    </reviewItem>
    <reviewItem>
      <errorID>b8e4fb65-5d77-486c-9400-0fc221acf410</errorID>
      <errorWord>)</errorWord>
      <group>L1_Format</group>
      <groupName>格式问题</groupName>
      <ability>L2_HalfPunc_CN</ability>
      <abilityName>全半角问题</abilityName>
      <candidateList>
        <item>）</item>
      </candidateList>
      <explain>文本全半角错误。</explain>
      <paraID>333AE28E</paraID>
      <start>24</start>
      <end>25</end>
      <status>unmodified</status>
      <modifiedWord/>
      <trackRevisions>false</trackRevisions>
    </reviewItem>
    <reviewItem>
      <errorID>c607fea4-e694-4775-8593-edd2502717c2</errorID>
      <errorWord>)</errorWord>
      <group>L1_Format</group>
      <groupName>格式问题</groupName>
      <ability>L2_HalfPunc_CN</ability>
      <abilityName>全半角问题</abilityName>
      <candidateList>
        <item>）</item>
      </candidateList>
      <explain>文本全半角错误。</explain>
      <paraID> 1D4FA11</paraID>
      <start>6</start>
      <end>7</end>
      <status>unmodified</status>
      <modifiedWord/>
      <trackRevisions>false</trackRevisions>
    </reviewItem>
    <reviewItem>
      <errorID>f7d26b0c-d2ff-4ac3-98e3-84e5e0ab8e8e</errorID>
      <errorWord>)</errorWord>
      <group>L1_Format</group>
      <groupName>格式问题</groupName>
      <ability>L2_HalfPunc_CN</ability>
      <abilityName>全半角问题</abilityName>
      <candidateList>
        <item>）</item>
      </candidateList>
      <explain>文本全半角错误。</explain>
      <paraID>628A0762</paraID>
      <start>6</start>
      <end>7</end>
      <status>unmodified</status>
      <modifiedWord/>
      <trackRevisions>false</trackRevisions>
    </reviewItem>
    <reviewItem>
      <errorID>de2c4685-47f2-4e52-8077-eb0086ece34f</errorID>
      <errorWord>(</errorWord>
      <group>L1_Format</group>
      <groupName>格式问题</groupName>
      <ability>L2_HalfPunc_CN</ability>
      <abilityName>全半角问题</abilityName>
      <candidateList>
        <item>（</item>
      </candidateList>
      <explain>文本全半角错误。</explain>
      <paraID>6726F448</paraID>
      <start>4</start>
      <end>5</end>
      <status>unmodified</status>
      <modifiedWord/>
      <trackRevisions>false</trackRevisions>
    </reviewItem>
    <reviewItem>
      <errorID>c315364d-54c9-4c4b-bc4c-02a5f0fdbc51</errorID>
      <errorWord>)</errorWord>
      <group>L1_Format</group>
      <groupName>格式问题</groupName>
      <ability>L2_HalfPunc_CN</ability>
      <abilityName>全半角问题</abilityName>
      <candidateList>
        <item>）</item>
      </candidateList>
      <explain>文本全半角错误。</explain>
      <paraID>6726F448</paraID>
      <start>6</start>
      <end>7</end>
      <status>unmodified</status>
      <modifiedWord/>
      <trackRevisions>false</trackRevisions>
    </reviewItem>
    <reviewItem>
      <errorID>22a3f437-2963-4ee6-b410-d7e8f191b933</errorID>
      <errorWord>(</errorWord>
      <group>L1_Format</group>
      <groupName>格式问题</groupName>
      <ability>L2_HalfPunc_CN</ability>
      <abilityName>全半角问题</abilityName>
      <candidateList>
        <item>（</item>
      </candidateList>
      <explain>文本全半角错误。</explain>
      <paraID>464F32C6</paraID>
      <start>4</start>
      <end>5</end>
      <status>unmodified</status>
      <modifiedWord/>
      <trackRevisions>false</trackRevisions>
    </reviewItem>
    <reviewItem>
      <errorID>a2cc33df-ba1a-4c46-a2ac-493f34bfa53e</errorID>
      <errorWord>)</errorWord>
      <group>L1_Format</group>
      <groupName>格式问题</groupName>
      <ability>L2_HalfPunc_CN</ability>
      <abilityName>全半角问题</abilityName>
      <candidateList>
        <item>）</item>
      </candidateList>
      <explain>文本全半角错误。</explain>
      <paraID>464F32C6</paraID>
      <start>6</start>
      <end>7</end>
      <status>unmodified</status>
      <modifiedWord/>
      <trackRevisions>false</trackRevisions>
    </reviewItem>
    <reviewItem>
      <errorID>b3af1802-0ee2-4277-931f-66bc02215a24</errorID>
      <errorWord>(</errorWord>
      <group>L1_Format</group>
      <groupName>格式问题</groupName>
      <ability>L2_HalfPunc_CN</ability>
      <abilityName>全半角问题</abilityName>
      <candidateList>
        <item>（</item>
      </candidateList>
      <explain>文本全半角错误。</explain>
      <paraID>675BBE87</paraID>
      <start>4</start>
      <end>5</end>
      <status>unmodified</status>
      <modifiedWord/>
      <trackRevisions>false</trackRevisions>
    </reviewItem>
    <reviewItem>
      <errorID>1387c5ff-6015-41bb-a741-2f165bc9e05d</errorID>
      <errorWord>)</errorWord>
      <group>L1_Format</group>
      <groupName>格式问题</groupName>
      <ability>L2_HalfPunc_CN</ability>
      <abilityName>全半角问题</abilityName>
      <candidateList>
        <item>）</item>
      </candidateList>
      <explain>文本全半角错误。</explain>
      <paraID>675BBE87</paraID>
      <start>6</start>
      <end>7</end>
      <status>unmodified</status>
      <modifiedWord/>
      <trackRevisions>false</trackRevisions>
    </reviewItem>
    <reviewItem>
      <errorID>87c6bfec-9e89-4f08-98e0-469ab47b2e5b</errorID>
      <errorWord>(</errorWord>
      <group>L1_Format</group>
      <groupName>格式问题</groupName>
      <ability>L2_HalfPunc_CN</ability>
      <abilityName>全半角问题</abilityName>
      <candidateList>
        <item>（</item>
      </candidateList>
      <explain>文本全半角错误。</explain>
      <paraID>24474D5A</paraID>
      <start>10</start>
      <end>11</end>
      <status>unmodified</status>
      <modifiedWord/>
      <trackRevisions>false</trackRevisions>
    </reviewItem>
    <reviewItem>
      <errorID>646593cb-3fdb-4ad5-80eb-3f30295998a5</errorID>
      <errorWord>)</errorWord>
      <group>L1_Format</group>
      <groupName>格式问题</groupName>
      <ability>L2_HalfPunc_CN</ability>
      <abilityName>全半角问题</abilityName>
      <candidateList>
        <item>）</item>
      </candidateList>
      <explain>文本全半角错误。</explain>
      <paraID>24474D5A</paraID>
      <start>12</start>
      <end>13</end>
      <status>unmodified</status>
      <modifiedWord/>
      <trackRevisions>false</trackRevisions>
    </reviewItem>
    <reviewItem>
      <errorID>cb21ac22-b09d-4720-bb25-d5f0dc9ab672</errorID>
      <errorWord>库房</errorWord>
      <group>L1_Word</group>
      <groupName>字词问题</groupName>
      <ability>L2_Typo</ability>
      <abilityName>字词错误</abilityName>
      <candidateList>
        <item>房</item>
      </candidateList>
      <explain/>
      <paraID>20E8721A</paraID>
      <start>10</start>
      <end>12</end>
      <status>unmodified</status>
      <modifiedWord/>
      <trackRevisions>false</trackRevisions>
    </reviewItem>
    <reviewItem>
      <errorID>2de204a1-fa59-4670-8aea-f31cc07f420b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20E8721A</paraID>
      <start>40</start>
      <end>43</end>
      <status>unmodified</status>
      <modifiedWord/>
      <trackRevisions>false</trackRevisions>
    </reviewItem>
    <reviewItem>
      <errorID>8d3293d7-5824-4688-ac76-2e50cc8d36b6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20E8721A</paraID>
      <start>47</start>
      <end>50</end>
      <status>unmodified</status>
      <modifiedWord/>
      <trackRevisions>false</trackRevisions>
    </reviewItem>
    <reviewItem>
      <errorID>bff5a7af-7e37-4de3-bc3f-196a20773efc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20E8721A</paraID>
      <start>54</start>
      <end>57</end>
      <status>unmodified</status>
      <modifiedWord/>
      <trackRevisions>false</trackRevisions>
    </reviewItem>
    <reviewItem>
      <errorID>eeedf3d9-bfa4-49d7-a0f4-461aac65bc97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20E8721A</paraID>
      <start>61</start>
      <end>64</end>
      <status>unmodified</status>
      <modifiedWord/>
      <trackRevisions>false</trackRevisions>
    </reviewItem>
    <reviewItem>
      <errorID>09b1239f-b1a3-4cfd-a4a3-2b057f6ed833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20E8721A</paraID>
      <start>68</start>
      <end>71</end>
      <status>unmodified</status>
      <modifiedWord/>
      <trackRevisions>false</trackRevisions>
    </reviewItem>
    <reviewItem>
      <errorID>1492acc3-0d6c-480d-914d-dcf91f1eed27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20E8721A</paraID>
      <start>76</start>
      <end>79</end>
      <status>unmodified</status>
      <modifiedWord/>
      <trackRevisions>false</trackRevisions>
    </reviewItem>
    <reviewItem>
      <errorID>65860f5a-18c7-42b0-bddb-66ab7376618b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20E8721A</paraID>
      <start>83</start>
      <end>86</end>
      <status>unmodified</status>
      <modifiedWord/>
      <trackRevisions>false</trackRevisions>
    </reviewItem>
    <reviewItem>
      <errorID>414fc80c-20c3-4a82-8887-f8500d90993c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20E8721A</paraID>
      <start>90</start>
      <end>93</end>
      <status>unmodified</status>
      <modifiedWord/>
      <trackRevisions>false</trackRevisions>
    </reviewItem>
    <reviewItem>
      <errorID>a74bdc39-8378-4a62-a29a-93c1cb59a579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20E8721A</paraID>
      <start>97</start>
      <end>100</end>
      <status>unmodified</status>
      <modifiedWord/>
      <trackRevisions>false</trackRevisions>
    </reviewItem>
    <reviewItem>
      <errorID>e038d4de-49f9-457a-a441-0ff75148d14b</errorID>
      <errorWord>、</errorWord>
      <group>L1_Word</group>
      <groupName>字词问题</groupName>
      <ability>L2_Typo</ability>
      <abilityName>字词错误</abilityName>
      <candidateList>
        <item>、各</item>
      </candidateList>
      <explain/>
      <paraID>15C168F1</paraID>
      <start>29</start>
      <end>30</end>
      <status>unmodified</status>
      <modifiedWord/>
      <trackRevisions>false</trackRevisions>
    </reviewItem>
    <reviewItem>
      <errorID>247c676e-6165-4936-b76c-86a4b81e0ceb</errorID>
      <errorWord>较少</errorWord>
      <group>L1_Word</group>
      <groupName>字词问题</groupName>
      <ability>L2_Typo</ability>
      <abilityName>字词错误</abilityName>
      <candidateList>
        <item>减少</item>
      </candidateList>
      <explain/>
      <paraID>491B2474</paraID>
      <start>65</start>
      <end>67</end>
      <status>unmodified</status>
      <modifiedWord/>
      <trackRevisions>false</trackRevisions>
    </reviewItem>
    <reviewItem>
      <errorID>7f359146-e0d6-4367-954d-76c63340b8ec</errorID>
      <errorWord>成</errorWord>
      <group>L1_Word</group>
      <groupName>字词问题</groupName>
      <ability>L2_Typo</ability>
      <abilityName>字词错误</abilityName>
      <candidateList>
        <item>成的</item>
      </candidateList>
      <explain/>
      <paraID>7A287AFF</paraID>
      <start>13</start>
      <end>14</end>
      <status>unmodified</status>
      <modifiedWord/>
      <trackRevisions>false</trackRevisions>
    </reviewItem>
    <reviewItem>
      <errorID>5a667a5b-fe27-4f1a-98b3-d765a69df63f</errorID>
      <errorWord>管理人员经</errorWord>
      <group>L1_Word</group>
      <groupName>字词问题</groupName>
      <ability>L2_Typo</ability>
      <abilityName>字词错误</abilityName>
      <candidateList>
        <item>管理人员经过</item>
      </candidateList>
      <explain/>
      <paraID> BC33083</paraID>
      <start>10</start>
      <end>15</end>
      <status>unmodified</status>
      <modifiedWord/>
      <trackRevisions>false</trackRevisions>
    </reviewItem>
    <reviewItem>
      <errorID>4fb1863f-3da6-4fb8-baeb-6faed4f16f40</errorID>
      <errorWord>有关的安全生产</errorWord>
      <group>L1_Word</group>
      <groupName>字词问题</groupName>
      <ability>L2_Typo</ability>
      <abilityName>字词错误</abilityName>
      <candidateList>
        <item>有关安全生产</item>
      </candidateList>
      <explain/>
      <paraID>4E98609A</paraID>
      <start>45</start>
      <end>52</end>
      <status>unmodified</status>
      <modifiedWord/>
      <trackRevisions>false</trackRevisions>
    </reviewItem>
    <reviewItem>
      <errorID>16faebef-5cd2-45e1-a35c-a23c84dd7c24</errorID>
      <errorWord>法律、法规</errorWord>
      <group>L1_Word</group>
      <groupName>字词问题</groupName>
      <ability>L2_Typo</ability>
      <abilityName>字词错误</abilityName>
      <candidateList>
        <item>法律法规</item>
      </candidateList>
      <explain/>
      <paraID>2FDAFB22</paraID>
      <start>22</start>
      <end>27</end>
      <status>unmodified</status>
      <modifiedWord/>
      <trackRevisions>false</trackRevisions>
    </reviewItem>
    <reviewItem>
      <errorID>bf42f617-6d90-46bf-946b-a68242b4754b</errorID>
      <errorWord>法律、法规</errorWord>
      <group>L1_Word</group>
      <groupName>字词问题</groupName>
      <ability>L2_Typo</ability>
      <abilityName>字词错误</abilityName>
      <candidateList>
        <item>法律法规</item>
      </candidateList>
      <explain/>
      <paraID>1C44D7AD</paraID>
      <start>26</start>
      <end>31</end>
      <status>unmodified</status>
      <modifiedWord/>
      <trackRevisions>false</trackRevisions>
    </reviewItem>
    <reviewItem>
      <errorID>14c84392-a7cc-4282-86c2-c115fe88bf16</errorID>
      <errorWord>法律、法规</errorWord>
      <group>L1_Word</group>
      <groupName>字词问题</groupName>
      <ability>L2_Typo</ability>
      <abilityName>字词错误</abilityName>
      <candidateList>
        <item>法律法规</item>
      </candidateList>
      <explain/>
      <paraID>3735AD0B</paraID>
      <start>38</start>
      <end>43</end>
      <status>unmodified</status>
      <modifiedWord/>
      <trackRevisions>false</trackRevisions>
    </reviewItem>
    <reviewItem>
      <errorID>165c8d99-fba8-4670-a48f-1980edd3d07c</errorID>
      <errorWord>法律、法规</errorWord>
      <group>L1_Word</group>
      <groupName>字词问题</groupName>
      <ability>L2_Typo</ability>
      <abilityName>字词错误</abilityName>
      <candidateList>
        <item>法律法规</item>
      </candidateList>
      <explain/>
      <paraID>2BEE97C4</paraID>
      <start>19</start>
      <end>24</end>
      <status>unmodified</status>
      <modifiedWord/>
      <trackRevisions>false</trackRevisions>
    </reviewItem>
    <reviewItem>
      <errorID>5cf7b37e-39e2-493b-951f-0bf363b64d12</errorID>
      <errorWord>对其</errorWord>
      <group>L1_Word</group>
      <groupName>字词问题</groupName>
      <ability>L2_Typo</ability>
      <abilityName>字词错误</abilityName>
      <candidateList>
        <item>对</item>
      </candidateList>
      <explain/>
      <paraID>4043FFDA</paraID>
      <start>0</start>
      <end>2</end>
      <status>unmodified</status>
      <modifiedWord/>
      <trackRevisions>false</trackRevisions>
    </reviewItem>
    <reviewItem>
      <errorID>33c8d3f3-bec1-46ae-966b-3066f8ace731</errorID>
      <errorWord>立</errorWord>
      <group>L1_Word</group>
      <groupName>字词问题</groupName>
      <ability>L2_Typo</ability>
      <abilityName>字词错误</abilityName>
      <candidateList>
        <item>立了</item>
      </candidateList>
      <explain/>
      <paraID>10678B70</paraID>
      <start>18</start>
      <end>19</end>
      <status>unmodified</status>
      <modifiedWord/>
      <trackRevisions>false</trackRevisions>
    </reviewItem>
    <reviewItem>
      <errorID>d9b7125c-6e80-4a91-af09-219dc4151782</errorID>
      <errorWord>险</errorWord>
      <group>L1_Word</group>
      <groupName>字词问题</groupName>
      <ability>L2_Typo</ability>
      <abilityName>字词错误</abilityName>
      <candidateList>
        <item>险性</item>
      </candidateList>
      <explain/>
      <paraID>412009E9</paraID>
      <start>35</start>
      <end>36</end>
      <status>unmodified</status>
      <modifiedWord/>
      <trackRevisions>false</trackRevisions>
    </reviewItem>
    <reviewItem>
      <errorID>415710be-8143-43a7-982e-26596acf46fb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6609B322</paraID>
      <start>0</start>
      <end>2</end>
      <status>unmodified</status>
      <modifiedWord/>
      <trackRevisions>false</trackRevisions>
    </reviewItem>
    <reviewItem>
      <errorID>d46116f2-17e8-43a0-b33f-06a186d4feb0</errorID>
      <errorWord>"</errorWord>
      <group>L1_Format</group>
      <groupName>格式问题</groupName>
      <ability>L2_HalfPunc_CN</ability>
      <abilityName>全半角问题</abilityName>
      <candidateList>
        <item>“</item>
      </candidateList>
      <explain>文本全半角错误。</explain>
      <paraID>6609B322</paraID>
      <start>29</start>
      <end>30</end>
      <status>unmodified</status>
      <modifiedWord/>
      <trackRevisions>false</trackRevisions>
    </reviewItem>
    <reviewItem>
      <errorID>fa0b8831-7449-4ee0-92cd-f7f7bc229890</errorID>
      <errorWord>"</errorWord>
      <group>L1_Format</group>
      <groupName>格式问题</groupName>
      <ability>L2_HalfPunc_CN</ability>
      <abilityName>全半角问题</abilityName>
      <candidateList>
        <item>”</item>
      </candidateList>
      <explain>文本全半角错误。</explain>
      <paraID>6609B322</paraID>
      <start>34</start>
      <end>35</end>
      <status>unmodified</status>
      <modifiedWord/>
      <trackRevisions>false</trackRevisions>
    </reviewItem>
    <reviewItem>
      <errorID>2ba49ea7-bd21-44dc-add2-7cc7bfbdec21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1D29FD50</paraID>
      <start>0</start>
      <end>2</end>
      <status>unmodified</status>
      <modifiedWord/>
      <trackRevisions>false</trackRevisions>
    </reviewItem>
    <reviewItem>
      <errorID>289a1cae-8696-4c68-b57b-bda41ae101b9</errorID>
      <errorWord>设防护栏杆</errorWord>
      <group>L1_Word</group>
      <groupName>字词问题</groupName>
      <ability>L2_Typo</ability>
      <abilityName>字词错误</abilityName>
      <candidateList>
        <item>设置防护栏杆</item>
      </candidateList>
      <explain/>
      <paraID>1D29FD50</paraID>
      <start>29</start>
      <end>34</end>
      <status>unmodified</status>
      <modifiedWord/>
      <trackRevisions>false</trackRevisions>
    </reviewItem>
    <reviewItem>
      <errorID>eb16f362-f817-4af8-bc4b-4416f0bbdaa3</errorID>
      <errorWord>"</errorWord>
      <group>L1_Format</group>
      <groupName>格式问题</groupName>
      <ability>L2_HalfPunc_CN</ability>
      <abilityName>全半角问题</abilityName>
      <candidateList>
        <item>“</item>
      </candidateList>
      <explain>文本全半角错误。</explain>
      <paraID>1D29FD50</paraID>
      <start>77</start>
      <end>78</end>
      <status>unmodified</status>
      <modifiedWord/>
      <trackRevisions>false</trackRevisions>
    </reviewItem>
    <reviewItem>
      <errorID>65ce64e5-7410-4e06-b48f-5ee81acbf879</errorID>
      <errorWord>"</errorWord>
      <group>L1_Format</group>
      <groupName>格式问题</groupName>
      <ability>L2_HalfPunc_CN</ability>
      <abilityName>全半角问题</abilityName>
      <candidateList>
        <item>”</item>
      </candidateList>
      <explain>文本全半角错误。</explain>
      <paraID>1D29FD50</paraID>
      <start>83</start>
      <end>84</end>
      <status>unmodified</status>
      <modifiedWord/>
      <trackRevisions>false</trackRevisions>
    </reviewItem>
    <reviewItem>
      <errorID>b3b1bdaf-4e5e-42f3-a728-92ba19e040e3</errorID>
      <errorWord>"</errorWord>
      <group>L1_Format</group>
      <groupName>格式问题</groupName>
      <ability>L2_HalfPunc_CN</ability>
      <abilityName>全半角问题</abilityName>
      <candidateList>
        <item>“</item>
      </candidateList>
      <explain>文本全半角错误。</explain>
      <paraID>1D29FD50</paraID>
      <start>84</start>
      <end>85</end>
      <status>unmodified</status>
      <modifiedWord/>
      <trackRevisions>false</trackRevisions>
    </reviewItem>
    <reviewItem>
      <errorID>4e97b135-c8f8-4a1f-a8dd-9bb290f079bd</errorID>
      <errorWord>"</errorWord>
      <group>L1_Format</group>
      <groupName>格式问题</groupName>
      <ability>L2_HalfPunc_CN</ability>
      <abilityName>全半角问题</abilityName>
      <candidateList>
        <item>”</item>
      </candidateList>
      <explain>文本全半角错误。</explain>
      <paraID>1D29FD50</paraID>
      <start>90</start>
      <end>91</end>
      <status>unmodified</status>
      <modifiedWord/>
      <trackRevisions>false</trackRevisions>
    </reviewItem>
    <reviewItem>
      <errorID>3af680a7-e0ca-4fa2-abdd-5a442c50010e</errorID>
      <errorWord>"</errorWord>
      <group>L1_Format</group>
      <groupName>格式问题</groupName>
      <ability>L2_HalfPunc_CN</ability>
      <abilityName>全半角问题</abilityName>
      <candidateList>
        <item>“</item>
      </candidateList>
      <explain>文本全半角错误。</explain>
      <paraID>1D29FD50</paraID>
      <start>188</start>
      <end>189</end>
      <status>unmodified</status>
      <modifiedWord/>
      <trackRevisions>false</trackRevisions>
    </reviewItem>
    <reviewItem>
      <errorID>a5d7d8d2-21ac-4176-b496-4de83c1a150c</errorID>
      <errorWord>"</errorWord>
      <group>L1_Format</group>
      <groupName>格式问题</groupName>
      <ability>L2_HalfPunc_CN</ability>
      <abilityName>全半角问题</abilityName>
      <candidateList>
        <item>”</item>
      </candidateList>
      <explain>文本全半角错误。</explain>
      <paraID>1D29FD50</paraID>
      <start>199</start>
      <end>200</end>
      <status>unmodified</status>
      <modifiedWord/>
      <trackRevisions>false</trackRevisions>
    </reviewItem>
    <reviewItem>
      <errorID>68e662d1-aecd-423a-9f42-29a1ff339dfa</errorID>
      <errorWord>"</errorWord>
      <group>L1_Format</group>
      <groupName>格式问题</groupName>
      <ability>L2_HalfPunc_CN</ability>
      <abilityName>全半角问题</abilityName>
      <candidateList>
        <item>“</item>
      </candidateList>
      <explain>文本全半角错误。</explain>
      <paraID>1D29FD50</paraID>
      <start>288</start>
      <end>289</end>
      <status>unmodified</status>
      <modifiedWord/>
      <trackRevisions>false</trackRevisions>
    </reviewItem>
    <reviewItem>
      <errorID>8ae936c1-ea8e-461f-b532-bf7740a0c2e5</errorID>
      <errorWord>"</errorWord>
      <group>L1_Format</group>
      <groupName>格式问题</groupName>
      <ability>L2_HalfPunc_CN</ability>
      <abilityName>全半角问题</abilityName>
      <candidateList>
        <item>”</item>
      </candidateList>
      <explain>文本全半角错误。</explain>
      <paraID>1D29FD50</paraID>
      <start>291</start>
      <end>292</end>
      <status>unmodified</status>
      <modifiedWord/>
      <trackRevisions>false</trackRevisions>
    </reviewItem>
    <reviewItem>
      <errorID>4649e22f-d59a-46ec-9208-a7a3cceac067</errorID>
      <errorWord>违法</errorWord>
      <group>L1_Word</group>
      <groupName>字词问题</groupName>
      <ability>L2_Typo</ability>
      <abilityName>字词错误</abilityName>
      <candidateList>
        <item>违反</item>
      </candidateList>
      <explain>存在发音相近字词的误用。</explain>
      <paraID>134E7687</paraID>
      <start>12</start>
      <end>14</end>
      <status>unmodified</status>
      <modifiedWord/>
      <trackRevisions>false</trackRevisions>
    </reviewItem>
    <reviewItem>
      <errorID>0029060b-af68-4104-a600-d1a9a863bda2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1284225A</paraID>
      <start>0</start>
      <end>2</end>
      <status>unmodified</status>
      <modifiedWord/>
      <trackRevisions>false</trackRevisions>
    </reviewItem>
    <reviewItem>
      <errorID>32a53074-1df7-47d6-a249-e0de280839e8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722682C0</paraID>
      <start>0</start>
      <end>2</end>
      <status>unmodified</status>
      <modifiedWord/>
      <trackRevisions>false</trackRevisions>
    </reviewItem>
    <reviewItem>
      <errorID>2de46ab7-fd3b-40da-86e8-38c534285996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4A72F876</paraID>
      <start>0</start>
      <end>2</end>
      <status>unmodified</status>
      <modifiedWord/>
      <trackRevisions>false</trackRevisions>
    </reviewItem>
    <reviewItem>
      <errorID>c741a5b8-082a-4fb2-9b2f-a613da189920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37B29252</paraID>
      <start>0</start>
      <end>2</end>
      <status>unmodified</status>
      <modifiedWord/>
      <trackRevisions>false</trackRevisions>
    </reviewItem>
    <reviewItem>
      <errorID>c900b90c-39fa-4d89-ac95-04daed6f0088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7F137A9B</paraID>
      <start>0</start>
      <end>2</end>
      <status>unmodified</status>
      <modifiedWord/>
      <trackRevisions>false</trackRevisions>
    </reviewItem>
    <reviewItem>
      <errorID>fd70a248-e01e-4fb4-9a86-a9f308a1db66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29538C23</paraID>
      <start>0</start>
      <end>2</end>
      <status>unmodified</status>
      <modifiedWord/>
      <trackRevisions>false</trackRevisions>
    </reviewItem>
    <reviewItem>
      <errorID>ff741ced-bc19-4ea8-a60b-6d349442f4ff</errorID>
      <errorWord>"</errorWord>
      <group>L1_Format</group>
      <groupName>格式问题</groupName>
      <ability>L2_HalfPunc_CN</ability>
      <abilityName>全半角问题</abilityName>
      <candidateList>
        <item>“</item>
      </candidateList>
      <explain>文本全半角错误。</explain>
      <paraID>29538C23</paraID>
      <start>17</start>
      <end>18</end>
      <status>unmodified</status>
      <modifiedWord/>
      <trackRevisions>false</trackRevisions>
    </reviewItem>
    <reviewItem>
      <errorID>6b62707c-7742-4982-91b2-27af8bfb6c62</errorID>
      <errorWord>"</errorWord>
      <group>L1_Format</group>
      <groupName>格式问题</groupName>
      <ability>L2_HalfPunc_CN</ability>
      <abilityName>全半角问题</abilityName>
      <candidateList>
        <item>”</item>
      </candidateList>
      <explain>文本全半角错误。</explain>
      <paraID>29538C23</paraID>
      <start>21</start>
      <end>22</end>
      <status>unmodified</status>
      <modifiedWord/>
      <trackRevisions>false</trackRevisions>
    </reviewItem>
    <reviewItem>
      <errorID>064f233d-b8d5-46a4-bb46-ed94b58afdf7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533F010</paraID>
      <start>0</start>
      <end>2</end>
      <status>unmodified</status>
      <modifiedWord/>
      <trackRevisions>false</trackRevisions>
    </reviewItem>
    <reviewItem>
      <errorID>eb19e44f-9a27-4be0-b6d8-515ab13d288b</errorID>
      <errorWord>"</errorWord>
      <group>L1_Format</group>
      <groupName>格式问题</groupName>
      <ability>L2_HalfPunc_CN</ability>
      <abilityName>全半角问题</abilityName>
      <candidateList>
        <item>“</item>
      </candidateList>
      <explain>文本全半角错误。</explain>
      <paraID> 533F010</paraID>
      <start>11</start>
      <end>12</end>
      <status>unmodified</status>
      <modifiedWord/>
      <trackRevisions>false</trackRevisions>
    </reviewItem>
    <reviewItem>
      <errorID>25731288-711f-4edd-93ee-fea0a308e486</errorID>
      <errorWord>"</errorWord>
      <group>L1_Format</group>
      <groupName>格式问题</groupName>
      <ability>L2_HalfPunc_CN</ability>
      <abilityName>全半角问题</abilityName>
      <candidateList>
        <item>”</item>
      </candidateList>
      <explain>文本全半角错误。</explain>
      <paraID> 533F010</paraID>
      <start>16</start>
      <end>17</end>
      <status>unmodified</status>
      <modifiedWord/>
      <trackRevisions>false</trackRevisions>
    </reviewItem>
    <reviewItem>
      <errorID>ab63b917-1d02-4678-862c-f20b175d578a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348D4505</paraID>
      <start>0</start>
      <end>2</end>
      <status>unmodified</status>
      <modifiedWord/>
      <trackRevisions>false</trackRevisions>
    </reviewItem>
    <reviewItem>
      <errorID>f984f518-89cf-438a-bc36-b6aafa780a1f</errorID>
      <errorWord>"</errorWord>
      <group>L1_Format</group>
      <groupName>格式问题</groupName>
      <ability>L2_HalfPunc_CN</ability>
      <abilityName>全半角问题</abilityName>
      <candidateList>
        <item>“</item>
      </candidateList>
      <explain>文本全半角错误。</explain>
      <paraID>348D4505</paraID>
      <start>79</start>
      <end>80</end>
      <status>unmodified</status>
      <modifiedWord/>
      <trackRevisions>false</trackRevisions>
    </reviewItem>
    <reviewItem>
      <errorID>76ee8153-57ea-4cb3-a000-35b211b613f3</errorID>
      <errorWord>"</errorWord>
      <group>L1_Format</group>
      <groupName>格式问题</groupName>
      <ability>L2_HalfPunc_CN</ability>
      <abilityName>全半角问题</abilityName>
      <candidateList>
        <item>”</item>
      </candidateList>
      <explain>文本全半角错误。</explain>
      <paraID>348D4505</paraID>
      <start>82</start>
      <end>83</end>
      <status>unmodified</status>
      <modifiedWord/>
      <trackRevisions>false</trackRevisions>
    </reviewItem>
    <reviewItem>
      <errorID>2376a670-530f-4e8a-bf71-2e8df5678853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2A9D94EE</paraID>
      <start>0</start>
      <end>3</end>
      <status>unmodified</status>
      <modifiedWord/>
      <trackRevisions>false</trackRevisions>
    </reviewItem>
    <reviewItem>
      <errorID>2a05b40b-b7da-461c-b174-23d68909c121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8DD07CA</paraID>
      <start>0</start>
      <end>2</end>
      <status>unmodified</status>
      <modifiedWord/>
      <trackRevisions>false</trackRevisions>
    </reviewItem>
    <reviewItem>
      <errorID>b1bf6ff1-899d-4b62-b5f6-88212399df35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22808B94</paraID>
      <start>0</start>
      <end>2</end>
      <status>unmodified</status>
      <modifiedWord/>
      <trackRevisions>false</trackRevisions>
    </reviewItem>
    <reviewItem>
      <errorID>6ecdd82b-c309-42bc-bfbc-d745237d2d96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38777346</paraID>
      <start>0</start>
      <end>2</end>
      <status>unmodified</status>
      <modifiedWord/>
      <trackRevisions>false</trackRevisions>
    </reviewItem>
    <reviewItem>
      <errorID>4c683cc8-fa38-4bf6-b026-d32546196809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598E1B58</paraID>
      <start>0</start>
      <end>2</end>
      <status>unmodified</status>
      <modifiedWord/>
      <trackRevisions>false</trackRevisions>
    </reviewItem>
    <reviewItem>
      <errorID>516699e0-6af9-4193-81d0-b1c5ae2ea73f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3BBBF3C8</paraID>
      <start>0</start>
      <end>2</end>
      <status>unmodified</status>
      <modifiedWord/>
      <trackRevisions>false</trackRevisions>
    </reviewItem>
    <reviewItem>
      <errorID>f6613112-4bef-4bc6-92a8-9bb8374d1906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34842051</paraID>
      <start>0</start>
      <end>2</end>
      <status>unmodified</status>
      <modifiedWord/>
      <trackRevisions>false</trackRevisions>
    </reviewItem>
    <reviewItem>
      <errorID>ee0bd975-cd71-465a-9116-43f1871bd198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1D62FC79</paraID>
      <start>0</start>
      <end>2</end>
      <status>unmodified</status>
      <modifiedWord/>
      <trackRevisions>false</trackRevisions>
    </reviewItem>
    <reviewItem>
      <errorID>0a4894c5-af04-4b8a-bd4e-98f50b267114</errorID>
      <errorWord>，</errorWord>
      <group>L1_Word</group>
      <groupName>字词问题</groupName>
      <ability>L2_Typo</ability>
      <abilityName>字词错误</abilityName>
      <candidateList>
        <item>，在</item>
      </candidateList>
      <explain/>
      <paraID>1D62FC79</paraID>
      <start>55</start>
      <end>56</end>
      <status>unmodified</status>
      <modifiedWord/>
      <trackRevisions>false</trackRevisions>
    </reviewItem>
    <reviewItem>
      <errorID>08c16463-bbac-43e0-b293-12b4717c989c</errorID>
      <errorWord>来格执行</errorWord>
      <group>L1_Word</group>
      <groupName>字词问题</groupName>
      <ability>L2_Typo</ability>
      <abilityName>字词错误</abilityName>
      <candidateList>
        <item>严格执行</item>
      </candidateList>
      <explain/>
      <paraID>5C367225</paraID>
      <start>71</start>
      <end>75</end>
      <status>unmodified</status>
      <modifiedWord/>
      <trackRevisions>false</trackRevisions>
    </reviewItem>
    <reviewItem>
      <errorID>c95528b9-2104-4d3b-84e2-95d892b06a97</errorID>
      <errorWord>其它</errorWord>
      <group>L1_Word</group>
      <groupName>字词问题</groupName>
      <ability>L2_Alias</ability>
      <abilityName>也作/曾用词</abilityName>
      <candidateList>
        <item>其他</item>
      </candidateList>
      <explain>词汇[其它]为不规范表述或旧称，其规范书面表述为[其他]。</explain>
      <paraID>398CA5DC</paraID>
      <start>6</start>
      <end>8</end>
      <status>unmodified</status>
      <modifiedWord/>
      <trackRevisions>false</trackRevisions>
    </reviewItem>
    <reviewItem>
      <errorID>b77a2468-8bee-46e8-958a-1f44b5f1c2ba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A97B0D8</paraID>
      <start>0</start>
      <end>2</end>
      <status>unmodified</status>
      <modifiedWord/>
      <trackRevisions>false</trackRevisions>
    </reviewItem>
    <reviewItem>
      <errorID>f337f31e-5f10-4ef2-bb69-1ab8f1de76eb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7867FFC5</paraID>
      <start>0</start>
      <end>2</end>
      <status>unmodified</status>
      <modifiedWord/>
      <trackRevisions>false</trackRevisions>
    </reviewItem>
    <reviewItem>
      <errorID>f6271938-d1d1-48f2-ba5e-a3817edf15f2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48CC1656</paraID>
      <start>0</start>
      <end>2</end>
      <status>unmodified</status>
      <modifiedWord/>
      <trackRevisions>false</trackRevisions>
    </reviewItem>
    <reviewItem>
      <errorID>57a83f24-eb3a-4d1b-9a14-c250214718db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5881BF20</paraID>
      <start>0</start>
      <end>2</end>
      <status>unmodified</status>
      <modifiedWord/>
      <trackRevisions>false</trackRevisions>
    </reviewItem>
    <reviewItem>
      <errorID>fcd6804d-5675-43bb-9a02-8507145c4853</errorID>
      <errorWord>"</errorWord>
      <group>L1_Format</group>
      <groupName>格式问题</groupName>
      <ability>L2_HalfPunc_CN</ability>
      <abilityName>全半角问题</abilityName>
      <candidateList>
        <item>“</item>
      </candidateList>
      <explain>文本全半角错误。</explain>
      <paraID>5881BF20</paraID>
      <start>41</start>
      <end>42</end>
      <status>unmodified</status>
      <modifiedWord/>
      <trackRevisions>false</trackRevisions>
    </reviewItem>
    <reviewItem>
      <errorID>2cb99ed6-5b9d-49b0-b190-6a2475db51a3</errorID>
      <errorWord>"</errorWord>
      <group>L1_Format</group>
      <groupName>格式问题</groupName>
      <ability>L2_HalfPunc_CN</ability>
      <abilityName>全半角问题</abilityName>
      <candidateList>
        <item>”</item>
      </candidateList>
      <explain>文本全半角错误。</explain>
      <paraID>5881BF20</paraID>
      <start>44</start>
      <end>45</end>
      <status>unmodified</status>
      <modifiedWord/>
      <trackRevisions>false</trackRevisions>
    </reviewItem>
    <reviewItem>
      <errorID>c3828a43-04ef-4ecb-bd21-2bafd9fe2b35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48E1F52</paraID>
      <start>0</start>
      <end>3</end>
      <status>unmodified</status>
      <modifiedWord/>
      <trackRevisions>false</trackRevisions>
    </reviewItem>
    <reviewItem>
      <errorID>b1273cb8-3fb7-4387-aa57-69e212506fe4</errorID>
      <errorWord>气</errorWord>
      <group>L1_Word</group>
      <groupName>字词问题</groupName>
      <ability>L2_Typo</ability>
      <abilityName>字词错误</abilityName>
      <candidateList>
        <item>电气</item>
      </candidateList>
      <explain/>
      <paraID> 48E1F52</paraID>
      <start>5</start>
      <end>6</end>
      <status>unmodified</status>
      <modifiedWord/>
      <trackRevisions>false</trackRevisions>
    </reviewItem>
    <reviewItem>
      <errorID>2434d183-5c41-418d-b93c-7fa6aded7c1c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5B544775</paraID>
      <start>0</start>
      <end>3</end>
      <status>unmodified</status>
      <modifiedWord/>
      <trackRevisions>false</trackRevisions>
    </reviewItem>
    <reviewItem>
      <errorID>2c8444c5-5b96-401b-ae14-fd063d5b8afa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42D39351</paraID>
      <start>0</start>
      <end>2</end>
      <status>unmodified</status>
      <modifiedWord/>
      <trackRevisions>false</trackRevisions>
    </reviewItem>
    <reviewItem>
      <errorID>6732d50e-14fa-4966-aa36-75f16e4928dc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49C767A3</paraID>
      <start>0</start>
      <end>2</end>
      <status>unmodified</status>
      <modifiedWord/>
      <trackRevisions>false</trackRevisions>
    </reviewItem>
    <reviewItem>
      <errorID>f7923489-5c36-40be-b0a0-54ad7643bb9c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1DFB08F</paraID>
      <start>0</start>
      <end>2</end>
      <status>unmodified</status>
      <modifiedWord/>
      <trackRevisions>false</trackRevisions>
    </reviewItem>
    <reviewItem>
      <errorID>dd492d97-4492-4d08-b95c-122dc7e62443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7D851757</paraID>
      <start>0</start>
      <end>2</end>
      <status>unmodified</status>
      <modifiedWord/>
      <trackRevisions>false</trackRevisions>
    </reviewItem>
    <reviewItem>
      <errorID>5620e9fc-856b-4695-9392-0dd860643565</errorID>
      <errorWord>其</errorWord>
      <group>L1_Word</group>
      <groupName>字词问题</groupName>
      <ability>L2_Typo</ability>
      <abilityName>字词错误</abilityName>
      <candidateList>
        <item>其他</item>
      </candidateList>
      <explain/>
      <paraID> A30B625</paraID>
      <start>168</start>
      <end>169</end>
      <status>unmodified</status>
      <modifiedWord/>
      <trackRevisions>false</trackRevisions>
    </reviewItem>
    <reviewItem>
      <errorID>cc48df53-685a-4e5b-8632-f2451a161a97</errorID>
      <errorWord>＜</errorWord>
      <group>L1_Format</group>
      <groupName>格式问题</groupName>
      <ability>L2_HalfPunc_CN</ability>
      <abilityName>全半角问题</abilityName>
      <candidateList>
        <item>&lt;</item>
      </candidateList>
      <explain>文本全半角错误。</explain>
      <paraID>48AAE640</paraID>
      <start>0</start>
      <end>1</end>
      <status>unmodified</status>
      <modifiedWord/>
      <trackRevisions>false</trackRevisions>
    </reviewItem>
    <reviewItem>
      <errorID>7cd77d23-425e-43c8-a20b-78361d01a9f2</errorID>
      <errorWord>～</errorWord>
      <group>L1_Format</group>
      <groupName>格式问题</groupName>
      <ability>L2_HalfPunc_CN</ability>
      <abilityName>全半角问题</abilityName>
      <candidateList>
        <item>~</item>
      </candidateList>
      <explain>文本全半角错误。</explain>
      <paraID>2EFD5589</paraID>
      <start>3</start>
      <end>4</end>
      <status>unmodified</status>
      <modifiedWord/>
      <trackRevisions>false</trackRevisions>
    </reviewItem>
    <reviewItem>
      <errorID>4eab00d4-c04f-455a-b7d9-c7dd7ad2e0c7</errorID>
      <errorWord>～</errorWord>
      <group>L1_Format</group>
      <groupName>格式问题</groupName>
      <ability>L2_HalfPunc_CN</ability>
      <abilityName>全半角问题</abilityName>
      <candidateList>
        <item>~</item>
      </candidateList>
      <explain>文本全半角错误。</explain>
      <paraID>17DDEF47</paraID>
      <start>3</start>
      <end>4</end>
      <status>unmodified</status>
      <modifiedWord/>
      <trackRevisions>false</trackRevisions>
    </reviewItem>
    <reviewItem>
      <errorID>f2354bf3-08f3-4d03-8141-c04b23203d5a</errorID>
      <errorWord>～</errorWord>
      <group>L1_Format</group>
      <groupName>格式问题</groupName>
      <ability>L2_HalfPunc_CN</ability>
      <abilityName>全半角问题</abilityName>
      <candidateList>
        <item>~</item>
      </candidateList>
      <explain>文本全半角错误。</explain>
      <paraID>343CB2A0</paraID>
      <start>3</start>
      <end>4</end>
      <status>unmodified</status>
      <modifiedWord/>
      <trackRevisions>false</trackRevisions>
    </reviewItem>
    <reviewItem>
      <errorID>95734bee-fe6f-4460-91ce-84a2f7251855</errorID>
      <errorWord>＞</errorWord>
      <group>L1_Format</group>
      <groupName>格式问题</groupName>
      <ability>L2_HalfPunc_CN</ability>
      <abilityName>全半角问题</abilityName>
      <candidateList>
        <item>&gt;</item>
      </candidateList>
      <explain>文本全半角错误。</explain>
      <paraID>5F3D7092</paraID>
      <start>0</start>
      <end>1</end>
      <status>unmodified</status>
      <modifiedWord/>
      <trackRevisions>false</trackRevisions>
    </reviewItem>
    <reviewItem>
      <errorID>eca3117f-601b-45ed-946f-daccc4dc8358</errorID>
      <errorWord>＜</errorWord>
      <group>L1_Format</group>
      <groupName>格式问题</groupName>
      <ability>L2_HalfPunc_CN</ability>
      <abilityName>全半角问题</abilityName>
      <candidateList>
        <item>&lt;</item>
      </candidateList>
      <explain>文本全半角错误。</explain>
      <paraID>4B646A4B</paraID>
      <start>0</start>
      <end>1</end>
      <status>unmodified</status>
      <modifiedWord/>
      <trackRevisions>false</trackRevisions>
    </reviewItem>
    <reviewItem>
      <errorID>d2455a81-310b-490c-9b6d-a1cb83c5156e</errorID>
      <errorWord>～</errorWord>
      <group>L1_Format</group>
      <groupName>格式问题</groupName>
      <ability>L2_HalfPunc_CN</ability>
      <abilityName>全半角问题</abilityName>
      <candidateList>
        <item>~</item>
      </candidateList>
      <explain>文本全半角错误。</explain>
      <paraID>1DD1EB27</paraID>
      <start>4</start>
      <end>5</end>
      <status>unmodified</status>
      <modifiedWord/>
      <trackRevisions>false</trackRevisions>
    </reviewItem>
    <reviewItem>
      <errorID>a6a1aaed-146b-4c42-a97d-b21b21673a7e</errorID>
      <errorWord>偶然</errorWord>
      <group>L1_Word</group>
      <groupName>字词问题</groupName>
      <ability>L2_Typo</ability>
      <abilityName>字词错误</abilityName>
      <candidateList>
        <item>偶尔</item>
      </candidateList>
      <explain/>
      <paraID> B4F77A3</paraID>
      <start>7</start>
      <end>9</end>
      <status>unmodified</status>
      <modifiedWord/>
      <trackRevisions>false</trackRevisions>
    </reviewItem>
    <reviewItem>
      <errorID>15187512-244d-4f36-9f77-075c891a0936</errorID>
      <errorWord>～</errorWord>
      <group>L1_Format</group>
      <groupName>格式问题</groupName>
      <ability>L2_HalfPunc_CN</ability>
      <abilityName>全半角问题</abilityName>
      <candidateList>
        <item>~</item>
      </candidateList>
      <explain>文本全半角错误。</explain>
      <paraID>29D71F37</paraID>
      <start>4</start>
      <end>5</end>
      <status>unmodified</status>
      <modifiedWord/>
      <trackRevisions>false</trackRevisions>
    </reviewItem>
    <reviewItem>
      <errorID>41edbf39-0f9a-4d51-b8de-87e007b97e84</errorID>
      <errorWord>～</errorWord>
      <group>L1_Format</group>
      <groupName>格式问题</groupName>
      <ability>L2_HalfPunc_CN</ability>
      <abilityName>全半角问题</abilityName>
      <candidateList>
        <item>~</item>
      </candidateList>
      <explain>文本全半角错误。</explain>
      <paraID>407E26B7</paraID>
      <start>3</start>
      <end>4</end>
      <status>unmodified</status>
      <modifiedWord/>
      <trackRevisions>false</trackRevisions>
    </reviewItem>
    <reviewItem>
      <errorID>64a2b4c9-05cd-4a0b-a314-92926ef69747</errorID>
      <errorWord>～</errorWord>
      <group>L1_Format</group>
      <groupName>格式问题</groupName>
      <ability>L2_HalfPunc_CN</ability>
      <abilityName>全半角问题</abilityName>
      <candidateList>
        <item>~</item>
      </candidateList>
      <explain>文本全半角错误。</explain>
      <paraID>1F6E86DC</paraID>
      <start>4</start>
      <end>5</end>
      <status>unmodified</status>
      <modifiedWord/>
      <trackRevisions>false</trackRevisions>
    </reviewItem>
    <reviewItem>
      <errorID>a820261e-56af-4902-8d37-b9b579449928</errorID>
      <errorWord>～</errorWord>
      <group>L1_Format</group>
      <groupName>格式问题</groupName>
      <ability>L2_HalfPunc_CN</ability>
      <abilityName>全半角问题</abilityName>
      <candidateList>
        <item>~</item>
      </candidateList>
      <explain>文本全半角错误。</explain>
      <paraID>2A393907</paraID>
      <start>4</start>
      <end>5</end>
      <status>unmodified</status>
      <modifiedWord/>
      <trackRevisions>false</trackRevisions>
    </reviewItem>
    <reviewItem>
      <errorID>404d409e-43e0-439b-9424-25739c6b37b5</errorID>
      <errorWord>＞</errorWord>
      <group>L1_Format</group>
      <groupName>格式问题</groupName>
      <ability>L2_HalfPunc_CN</ability>
      <abilityName>全半角问题</abilityName>
      <candidateList>
        <item>&gt;</item>
      </candidateList>
      <explain>文本全半角错误。</explain>
      <paraID>71D4A97E</paraID>
      <start>0</start>
      <end>1</end>
      <status>unmodified</status>
      <modifiedWord/>
      <trackRevisions>false</trackRevisions>
    </reviewItem>
    <reviewItem>
      <errorID>ee5baa82-4012-407a-9c1e-7a6110b883d7</errorID>
      <errorWord>)</errorWord>
      <group>L1_Format</group>
      <groupName>格式问题</groupName>
      <ability>L2_HalfPunc_CN</ability>
      <abilityName>全半角问题</abilityName>
      <candidateList>
        <item>）</item>
      </candidateList>
      <explain>文本全半角错误。</explain>
      <paraID>28CD56B7</paraID>
      <start>48</start>
      <end>49</end>
      <status>unmodified</status>
      <modifiedWord/>
      <trackRevisions>false</trackRevisions>
    </reviewItem>
    <reviewItem>
      <errorID>67db17df-2b1f-4a59-a688-4e5016024b75</errorID>
      <errorWord>………</errorWord>
      <group>L1_Punc</group>
      <groupName>标点问题</groupName>
      <ability>L2_Punc_CN</ability>
      <abilityName>标点符号问题</abilityName>
      <candidateList>
        <item>……</item>
      </candidateList>
      <explain/>
      <paraID>28CD56B7</paraID>
      <start>49</start>
      <end>52</end>
      <status>unmodified</status>
      <modifiedWord/>
      <trackRevisions>false</trackRevisions>
    </reviewItem>
    <reviewItem>
      <errorID>518522db-ffae-4f25-a738-85fd62111c96</errorID>
      <errorWord>:</errorWord>
      <group>L1_Format</group>
      <groupName>格式问题</groupName>
      <ability>L2_HalfPunc_CN</ability>
      <abilityName>全半角问题</abilityName>
      <candidateList>
        <item>：</item>
      </candidateList>
      <explain>文本全半角错误。</explain>
      <paraID>68847FBF</paraID>
      <start>40</start>
      <end>41</end>
      <status>unmodified</status>
      <modifiedWord/>
      <trackRevisions>false</trackRevisions>
    </reviewItem>
    <reviewItem>
      <errorID>71473494-3b46-4b8c-b359-c54393f89b8a</errorID>
      <errorWord>(</errorWord>
      <group>L1_Format</group>
      <groupName>格式问题</groupName>
      <ability>L2_HalfPunc_CN</ability>
      <abilityName>全半角问题</abilityName>
      <candidateList>
        <item>（</item>
      </candidateList>
      <explain>文本全半角错误。</explain>
      <paraID>3E25B75A</paraID>
      <start>33</start>
      <end>34</end>
      <status>unmodified</status>
      <modifiedWord/>
      <trackRevisions>false</trackRevisions>
    </reviewItem>
    <reviewItem>
      <errorID>7f31b6fb-6214-4394-84b7-cd33a0f45b45</errorID>
      <errorWord>………</errorWord>
      <group>L1_Punc</group>
      <groupName>标点问题</groupName>
      <ability>L2_Punc_CN</ability>
      <abilityName>标点符号问题</abilityName>
      <candidateList>
        <item>……</item>
      </candidateList>
      <explain/>
      <paraID>3E25B75A</paraID>
      <start>47</start>
      <end>50</end>
      <status>unmodified</status>
      <modifiedWord/>
      <trackRevisions>false</trackRevisions>
    </reviewItem>
    <reviewItem>
      <errorID>01d68baa-469d-4d03-acef-6d060fd46ccf</errorID>
      <errorWord>，</errorWord>
      <group>L1_Format</group>
      <groupName>格式问题</groupName>
      <ability>L2_HalfPunc_CN</ability>
      <abilityName>全半角问题</abilityName>
      <candidateList>
        <item>,</item>
      </candidateList>
      <explain>文本全半角错误。</explain>
      <paraID> 68AC4D6</paraID>
      <start>10</start>
      <end>11</end>
      <status>unmodified</status>
      <modifiedWord/>
      <trackRevisions>false</trackRevisions>
    </reviewItem>
    <reviewItem>
      <errorID>f19236f0-468c-420d-91b9-11921d7e811f</errorID>
      <errorWord>…………</errorWord>
      <group>L1_Punc</group>
      <groupName>标点问题</groupName>
      <ability>L2_Punc_CN</ability>
      <abilityName>标点符号问题</abilityName>
      <candidateList>
        <item>……</item>
      </candidateList>
      <explain/>
      <paraID>14AE0223</paraID>
      <start>49</start>
      <end>53</end>
      <status>unmodified</status>
      <modifiedWord/>
      <trackRevisions>false</trackRevisions>
    </reviewItem>
    <reviewItem>
      <errorID>a1df6679-a1ba-4013-8bc3-e63ba46eaeaa</errorID>
      <errorWord>…………</errorWord>
      <group>L1_Punc</group>
      <groupName>标点问题</groupName>
      <ability>L2_Punc_CN</ability>
      <abilityName>标点符号问题</abilityName>
      <candidateList>
        <item>……</item>
      </candidateList>
      <explain/>
      <paraID>7294BBA0</paraID>
      <start>18</start>
      <end>22</end>
      <status>unmodified</status>
      <modifiedWord/>
      <trackRevisions>false</trackRevisions>
    </reviewItem>
    <reviewItem>
      <errorID>6836c49b-c649-47f4-b894-d57fac0db255</errorID>
      <errorWord>的工</errorWord>
      <group>L1_Word</group>
      <groupName>字词问题</groupName>
      <ability>L2_Typo</ability>
      <abilityName>字词错误</abilityName>
      <candidateList>
        <item>的</item>
      </candidateList>
      <explain/>
      <paraID>4EEECAD5</paraID>
      <start>32</start>
      <end>34</end>
      <status>unmodified</status>
      <modifiedWord/>
      <trackRevisions>false</trackRevisions>
    </reviewItem>
    <reviewItem>
      <errorID>e8775e2c-9ff9-41ea-bf75-ab9b314fde37</errorID>
      <errorWord>～</errorWord>
      <group>L1_Format</group>
      <groupName>格式问题</groupName>
      <ability>L2_HalfPunc_CN</ability>
      <abilityName>全半角问题</abilityName>
      <candidateList>
        <item>~</item>
      </candidateList>
      <explain>文本全半角错误。</explain>
      <paraID>346748DA</paraID>
      <start>3</start>
      <end>4</end>
      <status>unmodified</status>
      <modifiedWord/>
      <trackRevisions>false</trackRevisions>
    </reviewItem>
    <reviewItem>
      <errorID>1aca0f07-dc61-49d4-8be8-147cbba4617c</errorID>
      <errorWord>～</errorWord>
      <group>L1_Format</group>
      <groupName>格式问题</groupName>
      <ability>L2_HalfPunc_CN</ability>
      <abilityName>全半角问题</abilityName>
      <candidateList>
        <item>~</item>
      </candidateList>
      <explain>文本全半角错误。</explain>
      <paraID>79629295</paraID>
      <start>3</start>
      <end>4</end>
      <status>unmodified</status>
      <modifiedWord/>
      <trackRevisions>false</trackRevisions>
    </reviewItem>
    <reviewItem>
      <errorID>1cf99a7d-4c82-407c-9bb4-8c4e8acce117</errorID>
      <errorWord>～</errorWord>
      <group>L1_Format</group>
      <groupName>格式问题</groupName>
      <ability>L2_HalfPunc_CN</ability>
      <abilityName>全半角问题</abilityName>
      <candidateList>
        <item>~</item>
      </candidateList>
      <explain>文本全半角错误。</explain>
      <paraID>559E5198</paraID>
      <start>3</start>
      <end>4</end>
      <status>unmodified</status>
      <modifiedWord/>
      <trackRevisions>false</trackRevisions>
    </reviewItem>
    <reviewItem>
      <errorID>bab7e6f4-c40b-4b2e-8124-ff64e40623b6</errorID>
      <errorWord>＞</errorWord>
      <group>L1_Format</group>
      <groupName>格式问题</groupName>
      <ability>L2_HalfPunc_CN</ability>
      <abilityName>全半角问题</abilityName>
      <candidateList>
        <item>&gt;</item>
      </candidateList>
      <explain>文本全半角错误。</explain>
      <paraID>4830D091</paraID>
      <start>0</start>
      <end>1</end>
      <status>unmodified</status>
      <modifiedWord/>
      <trackRevisions>false</trackRevisions>
    </reviewItem>
    <reviewItem>
      <errorID>9a120496-f7db-41e2-a49c-9b56542eb90a</errorID>
      <errorWord>～</errorWord>
      <group>L1_Format</group>
      <groupName>格式问题</groupName>
      <ability>L2_HalfPunc_CN</ability>
      <abilityName>全半角问题</abilityName>
      <candidateList>
        <item>~</item>
      </candidateList>
      <explain>文本全半角错误。</explain>
      <paraID>13BE1EF9</paraID>
      <start>5</start>
      <end>6</end>
      <status>unmodified</status>
      <modifiedWord/>
      <trackRevisions>false</trackRevisions>
    </reviewItem>
    <reviewItem>
      <errorID>81d93c93-7137-4e16-88a2-e21ab7bbfc62</errorID>
      <errorWord>～</errorWord>
      <group>L1_Format</group>
      <groupName>格式问题</groupName>
      <ability>L2_HalfPunc_CN</ability>
      <abilityName>全半角问题</abilityName>
      <candidateList>
        <item>~</item>
      </candidateList>
      <explain>文本全半角错误。</explain>
      <paraID>7FB6F731</paraID>
      <start>5</start>
      <end>6</end>
      <status>unmodified</status>
      <modifiedWord/>
      <trackRevisions>false</trackRevisions>
    </reviewItem>
    <reviewItem>
      <errorID>56249a75-0c65-449e-9c7e-f8bbd61aeed8</errorID>
      <errorWord>～</errorWord>
      <group>L1_Format</group>
      <groupName>格式问题</groupName>
      <ability>L2_HalfPunc_CN</ability>
      <abilityName>全半角问题</abilityName>
      <candidateList>
        <item>~</item>
      </candidateList>
      <explain>文本全半角错误。</explain>
      <paraID>2936109B</paraID>
      <start>5</start>
      <end>6</end>
      <status>unmodified</status>
      <modifiedWord/>
      <trackRevisions>false</trackRevisions>
    </reviewItem>
    <reviewItem>
      <errorID>3a0cee39-e768-400f-a469-db3c52b1167b</errorID>
      <errorWord>＞</errorWord>
      <group>L1_Format</group>
      <groupName>格式问题</groupName>
      <ability>L2_HalfPunc_CN</ability>
      <abilityName>全半角问题</abilityName>
      <candidateList>
        <item>&gt;</item>
      </candidateList>
      <explain>文本全半角错误。</explain>
      <paraID> 1A0DB1C</paraID>
      <start>0</start>
      <end>1</end>
      <status>unmodified</status>
      <modifiedWord/>
      <trackRevisions>false</trackRevisions>
    </reviewItem>
    <reviewItem>
      <errorID>752b734e-7c77-4590-b0e0-20a17e51ec8c</errorID>
      <errorWord>～</errorWord>
      <group>L1_Format</group>
      <groupName>格式问题</groupName>
      <ability>L2_HalfPunc_CN</ability>
      <abilityName>全半角问题</abilityName>
      <candidateList>
        <item>~</item>
      </candidateList>
      <explain>文本全半角错误。</explain>
      <paraID>130280F0</paraID>
      <start>5</start>
      <end>6</end>
      <status>unmodified</status>
      <modifiedWord/>
      <trackRevisions>false</trackRevisions>
    </reviewItem>
    <reviewItem>
      <errorID>d8f096b5-ad3b-487b-a33f-e1337c7e9dca</errorID>
      <errorWord>～</errorWord>
      <group>L1_Format</group>
      <groupName>格式问题</groupName>
      <ability>L2_HalfPunc_CN</ability>
      <abilityName>全半角问题</abilityName>
      <candidateList>
        <item>~</item>
      </candidateList>
      <explain>文本全半角错误。</explain>
      <paraID>621940C4</paraID>
      <start>4</start>
      <end>5</end>
      <status>unmodified</status>
      <modifiedWord/>
      <trackRevisions>false</trackRevisions>
    </reviewItem>
    <reviewItem>
      <errorID>639c2fdf-45ca-4ef3-9b6a-fe469d4ca199</errorID>
      <errorWord>～</errorWord>
      <group>L1_Format</group>
      <groupName>格式问题</groupName>
      <ability>L2_HalfPunc_CN</ability>
      <abilityName>全半角问题</abilityName>
      <candidateList>
        <item>~</item>
      </candidateList>
      <explain>文本全半角错误。</explain>
      <paraID>7DD692C7</paraID>
      <start>5</start>
      <end>6</end>
      <status>unmodified</status>
      <modifiedWord/>
      <trackRevisions>false</trackRevisions>
    </reviewItem>
    <reviewItem>
      <errorID>aaeb8502-89cf-4c21-b44f-863f3899b850</errorID>
      <errorWord>～</errorWord>
      <group>L1_Format</group>
      <groupName>格式问题</groupName>
      <ability>L2_HalfPunc_CN</ability>
      <abilityName>全半角问题</abilityName>
      <candidateList>
        <item>~</item>
      </candidateList>
      <explain>文本全半角错误。</explain>
      <paraID> 5EC94C4</paraID>
      <start>4</start>
      <end>5</end>
      <status>unmodified</status>
      <modifiedWord/>
      <trackRevisions>false</trackRevisions>
    </reviewItem>
    <reviewItem>
      <errorID>667a7e0f-a0da-49b5-b68c-ff122f5a4234</errorID>
      <errorWord>～</errorWord>
      <group>L1_Format</group>
      <groupName>格式问题</groupName>
      <ability>L2_HalfPunc_CN</ability>
      <abilityName>全半角问题</abilityName>
      <candidateList>
        <item>~</item>
      </candidateList>
      <explain>文本全半角错误。</explain>
      <paraID>6013C79E</paraID>
      <start>4</start>
      <end>5</end>
      <status>unmodified</status>
      <modifiedWord/>
      <trackRevisions>false</trackRevisions>
    </reviewItem>
    <reviewItem>
      <errorID>0ad4e15a-d348-47f6-86e1-5ab649258067</errorID>
      <errorWord>～</errorWord>
      <group>L1_Format</group>
      <groupName>格式问题</groupName>
      <ability>L2_HalfPunc_CN</ability>
      <abilityName>全半角问题</abilityName>
      <candidateList>
        <item>~</item>
      </candidateList>
      <explain>文本全半角错误。</explain>
      <paraID>71DDDCE0</paraID>
      <start>4</start>
      <end>5</end>
      <status>unmodified</status>
      <modifiedWord/>
      <trackRevisions>false</trackRevisions>
    </reviewItem>
    <reviewItem>
      <errorID>d46b972f-4ca7-4b73-acc8-3d56537a26af</errorID>
      <errorWord>～</errorWord>
      <group>L1_Format</group>
      <groupName>格式问题</groupName>
      <ability>L2_HalfPunc_CN</ability>
      <abilityName>全半角问题</abilityName>
      <candidateList>
        <item>~</item>
      </candidateList>
      <explain>文本全半角错误。</explain>
      <paraID>676F6D77</paraID>
      <start>4</start>
      <end>5</end>
      <status>unmodified</status>
      <modifiedWord/>
      <trackRevisions>false</trackRevisions>
    </reviewItem>
    <reviewItem>
      <errorID>83d1e245-9a09-465d-8842-c1a8a03565bb</errorID>
      <errorWord>～</errorWord>
      <group>L1_Format</group>
      <groupName>格式问题</groupName>
      <ability>L2_HalfPunc_CN</ability>
      <abilityName>全半角问题</abilityName>
      <candidateList>
        <item>~</item>
      </candidateList>
      <explain>文本全半角错误。</explain>
      <paraID>38C7643E</paraID>
      <start>4</start>
      <end>5</end>
      <status>unmodified</status>
      <modifiedWord/>
      <trackRevisions>false</trackRevisions>
    </reviewItem>
    <reviewItem>
      <errorID>8c1096ef-d230-4858-aeda-c3bdc02f1750</errorID>
      <errorWord>～</errorWord>
      <group>L1_Format</group>
      <groupName>格式问题</groupName>
      <ability>L2_HalfPunc_CN</ability>
      <abilityName>全半角问题</abilityName>
      <candidateList>
        <item>~</item>
      </candidateList>
      <explain>文本全半角错误。</explain>
      <paraID>2081B623</paraID>
      <start>6</start>
      <end>7</end>
      <status>unmodified</status>
      <modifiedWord/>
      <trackRevisions>false</trackRevisions>
    </reviewItem>
    <reviewItem>
      <errorID>840927be-c0ae-4075-ac96-a6ac79f0a25e</errorID>
      <errorWord>～</errorWord>
      <group>L1_Format</group>
      <groupName>格式问题</groupName>
      <ability>L2_HalfPunc_CN</ability>
      <abilityName>全半角问题</abilityName>
      <candidateList>
        <item>~</item>
      </candidateList>
      <explain>文本全半角错误。</explain>
      <paraID>2B352A7E</paraID>
      <start>6</start>
      <end>7</end>
      <status>unmodified</status>
      <modifiedWord/>
      <trackRevisions>false</trackRevisions>
    </reviewItem>
    <reviewItem>
      <errorID>ec0074bb-8f37-4935-a3ba-3128e11e3856</errorID>
      <errorWord>～</errorWord>
      <group>L1_Format</group>
      <groupName>格式问题</groupName>
      <ability>L2_HalfPunc_CN</ability>
      <abilityName>全半角问题</abilityName>
      <candidateList>
        <item>~</item>
      </candidateList>
      <explain>文本全半角错误。</explain>
      <paraID>31ABEC15</paraID>
      <start>5</start>
      <end>6</end>
      <status>unmodified</status>
      <modifiedWord/>
      <trackRevisions>false</trackRevisions>
    </reviewItem>
    <reviewItem>
      <errorID>7977a201-e208-4bdd-8538-459cb029191f</errorID>
      <errorWord>～</errorWord>
      <group>L1_Format</group>
      <groupName>格式问题</groupName>
      <ability>L2_HalfPunc_CN</ability>
      <abilityName>全半角问题</abilityName>
      <candidateList>
        <item>~</item>
      </candidateList>
      <explain>文本全半角错误。</explain>
      <paraID>2B8C9FF9</paraID>
      <start>4</start>
      <end>5</end>
      <status>unmodified</status>
      <modifiedWord/>
      <trackRevisions>false</trackRevisions>
    </reviewItem>
    <reviewItem>
      <errorID>88066715-405c-4498-bb99-1507d6f3bec3</errorID>
      <errorWord>～</errorWord>
      <group>L1_Format</group>
      <groupName>格式问题</groupName>
      <ability>L2_HalfPunc_CN</ability>
      <abilityName>全半角问题</abilityName>
      <candidateList>
        <item>~</item>
      </candidateList>
      <explain>文本全半角错误。</explain>
      <paraID>4CE1CBBA</paraID>
      <start>5</start>
      <end>6</end>
      <status>unmodified</status>
      <modifiedWord/>
      <trackRevisions>false</trackRevisions>
    </reviewItem>
    <reviewItem>
      <errorID>33c3966f-d31e-4849-bb15-5f576c680983</errorID>
      <errorWord>～</errorWord>
      <group>L1_Format</group>
      <groupName>格式问题</groupName>
      <ability>L2_HalfPunc_CN</ability>
      <abilityName>全半角问题</abilityName>
      <candidateList>
        <item>~</item>
      </candidateList>
      <explain>文本全半角错误。</explain>
      <paraID>4AC4BEA9</paraID>
      <start>5</start>
      <end>6</end>
      <status>unmodified</status>
      <modifiedWord/>
      <trackRevisions>false</trackRevisions>
    </reviewItem>
    <reviewItem>
      <errorID>1a28989c-4691-498c-9ef6-0d547f4ba6b4</errorID>
      <errorWord>～</errorWord>
      <group>L1_Format</group>
      <groupName>格式问题</groupName>
      <ability>L2_HalfPunc_CN</ability>
      <abilityName>全半角问题</abilityName>
      <candidateList>
        <item>~</item>
      </candidateList>
      <explain>文本全半角错误。</explain>
      <paraID>78D34883</paraID>
      <start>5</start>
      <end>6</end>
      <status>unmodified</status>
      <modifiedWord/>
      <trackRevisions>false</trackRevisions>
    </reviewItem>
    <reviewItem>
      <errorID>7dc166ca-a566-4e3b-8046-3c3222132b9b</errorID>
      <errorWord>～</errorWord>
      <group>L1_Format</group>
      <groupName>格式问题</groupName>
      <ability>L2_HalfPunc_CN</ability>
      <abilityName>全半角问题</abilityName>
      <candidateList>
        <item>~</item>
      </candidateList>
      <explain>文本全半角错误。</explain>
      <paraID>5C91B1BD</paraID>
      <start>4</start>
      <end>5</end>
      <status>unmodified</status>
      <modifiedWord/>
      <trackRevisions>false</trackRevisions>
    </reviewItem>
    <reviewItem>
      <errorID>1f6e2318-fc38-490f-a628-0128edd5ad95</errorID>
      <errorWord>～</errorWord>
      <group>L1_Format</group>
      <groupName>格式问题</groupName>
      <ability>L2_HalfPunc_CN</ability>
      <abilityName>全半角问题</abilityName>
      <candidateList>
        <item>~</item>
      </candidateList>
      <explain>文本全半角错误。</explain>
      <paraID>5C5C8C14</paraID>
      <start>5</start>
      <end>6</end>
      <status>unmodified</status>
      <modifiedWord/>
      <trackRevisions>false</trackRevisions>
    </reviewItem>
    <reviewItem>
      <errorID>c4d22273-2599-4a13-a103-611522e8d671</errorID>
      <errorWord>～</errorWord>
      <group>L1_Format</group>
      <groupName>格式问题</groupName>
      <ability>L2_HalfPunc_CN</ability>
      <abilityName>全半角问题</abilityName>
      <candidateList>
        <item>~</item>
      </candidateList>
      <explain>文本全半角错误。</explain>
      <paraID>6576D519</paraID>
      <start>5</start>
      <end>6</end>
      <status>unmodified</status>
      <modifiedWord/>
      <trackRevisions>false</trackRevisions>
    </reviewItem>
    <reviewItem>
      <errorID>1ff7bc9a-e176-4361-b93b-63854ff5c28a</errorID>
      <errorWord>(</errorWord>
      <group>L1_Format</group>
      <groupName>格式问题</groupName>
      <ability>L2_HalfPunc_CN</ability>
      <abilityName>全半角问题</abilityName>
      <candidateList>
        <item>（</item>
      </candidateList>
      <explain>文本全半角错误。</explain>
      <paraID>6BC6D2FF</paraID>
      <start>67</start>
      <end>68</end>
      <status>unmodified</status>
      <modifiedWord/>
      <trackRevisions>false</trackRevisions>
    </reviewItem>
    <reviewItem>
      <errorID>6f4b0218-fe33-4eab-986d-9a1749574f47</errorID>
      <errorWord>)</errorWord>
      <group>L1_Format</group>
      <groupName>格式问题</groupName>
      <ability>L2_HalfPunc_CN</ability>
      <abilityName>全半角问题</abilityName>
      <candidateList>
        <item>）</item>
      </candidateList>
      <explain>文本全半角错误。</explain>
      <paraID>6BC6D2FF</paraID>
      <start>82</start>
      <end>83</end>
      <status>unmodified</status>
      <modifiedWord/>
      <trackRevisions>false</trackRevisions>
    </reviewItem>
    <reviewItem>
      <errorID>ccaf4282-ebac-4822-a9fb-853b94bb4171</errorID>
      <errorWord>过程窜</errorWord>
      <group>L1_Word</group>
      <groupName>字词问题</groupName>
      <ability>L2_Typo</ability>
      <abilityName>字词错误</abilityName>
      <candidateList>
        <item>过程</item>
      </candidateList>
      <explain/>
      <paraID> 324321B</paraID>
      <start>77</start>
      <end>80</end>
      <status>unmodified</status>
      <modifiedWord/>
      <trackRevisions>false</trackRevisions>
    </reviewItem>
    <reviewItem>
      <errorID>28f2c252-5fab-443f-8e45-d15be3984507</errorID>
      <errorWord>法律、法规</errorWord>
      <group>L1_Word</group>
      <groupName>字词问题</groupName>
      <ability>L2_Typo</ability>
      <abilityName>字词错误</abilityName>
      <candidateList>
        <item>法律法规</item>
      </candidateList>
      <explain/>
      <paraID>74972453</paraID>
      <start>58</start>
      <end>63</end>
      <status>unmodified</status>
      <modifiedWord/>
      <trackRevisions>false</trackRevisions>
    </reviewItem>
    <reviewItem>
      <errorID>dbe9ea57-5fde-48cd-9a05-9d43b881d858</errorID>
      <errorWord>法律、法规</errorWord>
      <group>L1_Word</group>
      <groupName>字词问题</groupName>
      <ability>L2_Typo</ability>
      <abilityName>字词错误</abilityName>
      <candidateList>
        <item>法律法规</item>
      </candidateList>
      <explain/>
      <paraID> 28613B9</paraID>
      <start>17</start>
      <end>22</end>
      <status>unmodified</status>
      <modifiedWord/>
      <trackRevisions>false</trackRevisions>
    </reviewItem>
    <reviewItem>
      <errorID>dc60dfa1-3bf1-4bb5-ad15-f815e91fd91b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60E9C554</paraID>
      <start>0</start>
      <end>2</end>
      <status>unmodified</status>
      <modifiedWord/>
      <trackRevisions>false</trackRevisions>
    </reviewItem>
    <reviewItem>
      <errorID>630e9bdf-a735-4cdc-b346-3e69699037ef</errorID>
      <errorWord>法律、法规</errorWord>
      <group>L1_Word</group>
      <groupName>字词问题</groupName>
      <ability>L2_Typo</ability>
      <abilityName>字词错误</abilityName>
      <candidateList>
        <item>法律法规</item>
      </candidateList>
      <explain/>
      <paraID>60E9C554</paraID>
      <start>12</start>
      <end>17</end>
      <status>unmodified</status>
      <modifiedWord/>
      <trackRevisions>false</trackRevisions>
    </reviewItem>
    <reviewItem>
      <errorID>3ded8022-7a74-4b5b-91bb-50350820c4d7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3441105</paraID>
      <start>0</start>
      <end>2</end>
      <status>unmodified</status>
      <modifiedWord/>
      <trackRevisions>false</trackRevisions>
    </reviewItem>
    <reviewItem>
      <errorID>6ee1e6b5-7bcf-47b3-a423-ea97b608e54f</errorID>
      <errorWord>并应</errorWord>
      <group>L1_Word</group>
      <groupName>字词问题</groupName>
      <ability>L2_Typo</ability>
      <abilityName>字词错误</abilityName>
      <candidateList>
        <item>并</item>
      </candidateList>
      <explain/>
      <paraID> 3441105</paraID>
      <start>50</start>
      <end>52</end>
      <status>unmodified</status>
      <modifiedWord/>
      <trackRevisions>false</trackRevisions>
    </reviewItem>
    <reviewItem>
      <errorID>d8042940-afc0-4d50-ae7f-e96a143b72cb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654D96B3</paraID>
      <start>0</start>
      <end>2</end>
      <status>unmodified</status>
      <modifiedWord/>
      <trackRevisions>false</trackRevisions>
    </reviewItem>
    <reviewItem>
      <errorID>ee64a02f-d8d3-4988-93eb-c6afdd05a262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6C9B3F79</paraID>
      <start>0</start>
      <end>2</end>
      <status>unmodified</status>
      <modifiedWord/>
      <trackRevisions>false</trackRevisions>
    </reviewItem>
    <reviewItem>
      <errorID>a044bc7b-20e9-4ea6-9334-3deee528e313</errorID>
      <errorWord>提高</errorWord>
      <group>L1_Grammar</group>
      <groupName>语法问题</groupName>
      <ability>L2_Grammar</ability>
      <abilityName>语法错误</abilityName>
      <candidateList>
        <item>增强</item>
      </candidateList>
      <explain>“提高～意识”搭配不当，建议修改为“增强～意识”。</explain>
      <paraID>6C9B3F79</paraID>
      <start>27</start>
      <end>29</end>
      <status>unmodified</status>
      <modifiedWord/>
      <trackRevisions>false</trackRevisions>
    </reviewItem>
    <reviewItem>
      <errorID>b7868487-46e8-4d49-a13b-825a4d10263a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1ADEEBC3</paraID>
      <start>0</start>
      <end>2</end>
      <status>unmodified</status>
      <modifiedWord/>
      <trackRevisions>false</trackRevisions>
    </reviewItem>
    <reviewItem>
      <errorID>a2efc937-294c-45b6-a02f-b93b9ff0481b</errorID>
      <errorWord>职业性健康检查</errorWord>
      <group>L1_Word</group>
      <groupName>字词问题</groupName>
      <ability>L2_Typo</ability>
      <abilityName>字词错误</abilityName>
      <candidateList>
        <item>职业健康检查</item>
      </candidateList>
      <explain/>
      <paraID>1ADEEBC3</paraID>
      <start>12</start>
      <end>19</end>
      <status>unmodified</status>
      <modifiedWord/>
      <trackRevisions>false</trackRevisions>
    </reviewItem>
    <reviewItem>
      <errorID>85b3cf63-167b-4879-b568-d55e72000270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75075368</paraID>
      <start>0</start>
      <end>2</end>
      <status>unmodified</status>
      <modifiedWord/>
      <trackRevisions>false</trackRevisions>
    </reviewItem>
    <reviewItem>
      <errorID>74c330c5-d462-48c9-a0e1-d80af423a454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3517A622</paraID>
      <start>0</start>
      <end>2</end>
      <status>unmodified</status>
      <modifiedWord/>
      <trackRevisions>false</trackRevisions>
    </reviewItem>
    <reviewItem>
      <errorID>76979517-2ba6-4fcd-9512-af67108f093c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674D28D0</paraID>
      <start>0</start>
      <end>2</end>
      <status>unmodified</status>
      <modifiedWord/>
      <trackRevisions>false</trackRevisions>
    </reviewItem>
    <reviewItem>
      <errorID>24c57648-182a-477d-a9b1-8ff77051d115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2A56F061</paraID>
      <start>0</start>
      <end>2</end>
      <status>unmodified</status>
      <modifiedWord/>
      <trackRevisions>false</trackRevisions>
    </reviewItem>
    <reviewItem>
      <errorID>813813df-82c0-4a18-93ff-5e061bcd423a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1B912576</paraID>
      <start>0</start>
      <end>3</end>
      <status>unmodified</status>
      <modifiedWord/>
      <trackRevisions>false</trackRevisions>
    </reviewItem>
    <reviewItem>
      <errorID>45558fbc-69b4-453e-adfa-c463dd7cd800</errorID>
      <errorWord>铁撬</errorWord>
      <group>L1_Word</group>
      <groupName>字词问题</groupName>
      <ability>L2_Typo</ability>
      <abilityName>字词错误</abilityName>
      <candidateList>
        <item>铁锹</item>
      </candidateList>
      <explain/>
      <paraID>1B912576</paraID>
      <start>88</start>
      <end>90</end>
      <status>unmodified</status>
      <modifiedWord/>
      <trackRevisions>false</trackRevisions>
    </reviewItem>
    <reviewItem>
      <errorID>ed6a3879-5cab-4b5f-a270-f68d4b79359f</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7D55A325</paraID>
      <start>0</start>
      <end>3</end>
      <status>unmodified</status>
      <modifiedWord/>
      <trackRevisions>false</trackRevisions>
    </reviewItem>
    <reviewItem>
      <errorID>63d78158-3162-48b1-a5f3-96a8a9c31cc5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162391D3</paraID>
      <start>0</start>
      <end>3</end>
      <status>unmodified</status>
      <modifiedWord/>
      <trackRevisions>false</trackRevisions>
    </reviewItem>
    <reviewItem>
      <errorID>f5e3ae42-9a78-48a4-9195-b1d6e3ac358f</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6D9E1275</paraID>
      <start>0</start>
      <end>3</end>
      <status>unmodified</status>
      <modifiedWord/>
      <trackRevisions>false</trackRevisions>
    </reviewItem>
    <reviewItem>
      <errorID>374f73d5-7b7a-455d-8062-f303edd8dfc8</errorID>
      <errorWord>签订好</errorWord>
      <group>L1_Word</group>
      <groupName>字词问题</groupName>
      <ability>L2_Typo</ability>
      <abilityName>字词错误</abilityName>
      <candidateList>
        <item>签订</item>
      </candidateList>
      <explain/>
      <paraID>6D9E1275</paraID>
      <start>23</start>
      <end>26</end>
      <status>unmodified</status>
      <modifiedWord/>
      <trackRevisions>false</trackRevisions>
    </reviewItem>
    <reviewItem>
      <errorID>2c0f4468-2588-4aa3-a9f0-8eabc51d25fd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2DD2F294</paraID>
      <start>0</start>
      <end>2</end>
      <status>unmodified</status>
      <modifiedWord/>
      <trackRevisions>false</trackRevisions>
    </reviewItem>
    <reviewItem>
      <errorID>2f9c1655-9e49-4f59-af19-b9227be75f8d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10B0D390</paraID>
      <start>0</start>
      <end>2</end>
      <status>unmodified</status>
      <modifiedWord/>
      <trackRevisions>false</trackRevisions>
    </reviewItem>
    <reviewItem>
      <errorID>eb8e3253-8f76-4608-8464-63ab1245b0f6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6AB0ECD6</paraID>
      <start>0</start>
      <end>2</end>
      <status>unmodified</status>
      <modifiedWord/>
      <trackRevisions>false</trackRevisions>
    </reviewItem>
    <reviewItem>
      <errorID>e07649cd-3490-4c3c-994f-f4fa80930f5c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207AD06B</paraID>
      <start>0</start>
      <end>2</end>
      <status>unmodified</status>
      <modifiedWord/>
      <trackRevisions>false</trackRevisions>
    </reviewItem>
    <reviewItem>
      <errorID>e8b72f5a-e5da-467c-9685-8ef10d743c6a</errorID>
      <errorWord>棉制</errorWord>
      <group>L1_Word</group>
      <groupName>字词问题</groupName>
      <ability>L2_Typo</ability>
      <abilityName>字词错误</abilityName>
      <candidateList>
        <item>棉质</item>
      </candidateList>
      <explain/>
      <paraID>207AD06B</paraID>
      <start>16</start>
      <end>18</end>
      <status>unmodified</status>
      <modifiedWord/>
      <trackRevisions>false</trackRevisions>
    </reviewItem>
    <reviewItem>
      <errorID>e78bc5cb-23df-4b57-8ef4-934ddefda8d2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229A6A52</paraID>
      <start>0</start>
      <end>2</end>
      <status>unmodified</status>
      <modifiedWord/>
      <trackRevisions>false</trackRevisions>
    </reviewItem>
    <reviewItem>
      <errorID>3452cb14-2643-41a9-95fd-439aaa95af2b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18ED9047</paraID>
      <start>0</start>
      <end>2</end>
      <status>unmodified</status>
      <modifiedWord/>
      <trackRevisions>false</trackRevisions>
    </reviewItem>
    <reviewItem>
      <errorID>cb34d4c9-81a7-49a4-8113-979f97a659ee</errorID>
      <errorWord>要</errorWord>
      <group>L1_Word</group>
      <groupName>字词问题</groupName>
      <ability>L2_Typo</ability>
      <abilityName>字词错误</abilityName>
      <candidateList>
        <item>要求</item>
      </candidateList>
      <explain/>
      <paraID>18ED9047</paraID>
      <start>74</start>
      <end>75</end>
      <status>unmodified</status>
      <modifiedWord/>
      <trackRevisions>false</trackRevisions>
    </reviewItem>
    <reviewItem>
      <errorID>1a111df9-bafb-44d5-9103-687005b4a69d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6CC4A804</paraID>
      <start>0</start>
      <end>2</end>
      <status>unmodified</status>
      <modifiedWord/>
      <trackRevisions>false</trackRevisions>
    </reviewItem>
    <reviewItem>
      <errorID>a5d654ac-6d3a-4b2b-b8e7-615a58921bb6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5CB30B06</paraID>
      <start>0</start>
      <end>2</end>
      <status>unmodified</status>
      <modifiedWord/>
      <trackRevisions>false</trackRevisions>
    </reviewItem>
    <reviewItem>
      <errorID>6a6d54a7-299a-4e15-af01-c0a25e8d6d14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4F6E9272</paraID>
      <start>0</start>
      <end>2</end>
      <status>unmodified</status>
      <modifiedWord/>
      <trackRevisions>false</trackRevisions>
    </reviewItem>
    <reviewItem>
      <errorID>ed0665b1-9c45-4ee0-b068-1e29d2c0b1f9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5FF4F5F4</paraID>
      <start>0</start>
      <end>3</end>
      <status>unmodified</status>
      <modifiedWord/>
      <trackRevisions>false</trackRevisions>
    </reviewItem>
    <reviewItem>
      <errorID>47849ac7-8d09-4b35-b0a2-3804bda90359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538C89F9</paraID>
      <start>0</start>
      <end>3</end>
      <status>unmodified</status>
      <modifiedWord/>
      <trackRevisions>false</trackRevisions>
    </reviewItem>
    <reviewItem>
      <errorID>0465d0a1-0199-47a5-b2ed-6b63ebd7f484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42618F4</paraID>
      <start>0</start>
      <end>2</end>
      <status>unmodified</status>
      <modifiedWord/>
      <trackRevisions>false</trackRevisions>
    </reviewItem>
    <reviewItem>
      <errorID>bc18b3f9-e668-4655-af6b-d28ee94e5e60</errorID>
      <errorWord>仓库区</errorWord>
      <group>L1_Word</group>
      <groupName>字词问题</groupName>
      <ability>L2_Typo</ability>
      <abilityName>字词错误</abilityName>
      <candidateList>
        <item>仓库</item>
      </candidateList>
      <explain/>
      <paraID>13CCF24D</paraID>
      <start>7</start>
      <end>10</end>
      <status>unmodified</status>
      <modifiedWord/>
      <trackRevisions>false</trackRevisions>
    </reviewItem>
    <reviewItem>
      <errorID>e1574784-2dfc-4d05-b9f2-b22e50b4b4c2</errorID>
      <errorWord>:</errorWord>
      <group>L1_Format</group>
      <groupName>格式问题</groupName>
      <ability>L2_HalfPunc_CN</ability>
      <abilityName>全半角问题</abilityName>
      <candidateList>
        <item>：</item>
      </candidateList>
      <explain>文本全半角错误。</explain>
      <paraID>387828CC</paraID>
      <start>8</start>
      <end>9</end>
      <status>unmodified</status>
      <modifiedWord/>
      <trackRevisions>false</trackRevisions>
    </reviewItem>
    <reviewItem>
      <errorID>2a39f5b0-201a-4f8e-ae1d-187fa35d60bd</errorID>
      <errorWord>穿带</errorWord>
      <group>L1_Word</group>
      <groupName>字词问题</groupName>
      <ability>L2_Typo</ability>
      <abilityName>字词错误</abilityName>
      <candidateList>
        <item>穿戴</item>
      </candidateList>
      <explain/>
      <paraID>387828CC</paraID>
      <start>80</start>
      <end>82</end>
      <status>unmodified</status>
      <modifiedWord/>
      <trackRevisions>false</trackRevisions>
    </reviewItem>
    <reviewItem>
      <errorID>29ebb76a-7bcb-419e-9c79-99c86098bdf5</errorID>
      <errorWord>:</errorWord>
      <group>L1_Format</group>
      <groupName>格式问题</groupName>
      <ability>L2_HalfPunc_CN</ability>
      <abilityName>全半角问题</abilityName>
      <candidateList>
        <item>：</item>
      </candidateList>
      <explain>文本全半角错误。</explain>
      <paraID>500BDF33</paraID>
      <start>10</start>
      <end>11</end>
      <status>unmodified</status>
      <modifiedWord/>
      <trackRevisions>false</trackRevisions>
    </reviewItem>
    <reviewItem>
      <errorID>c9ad9de2-0f57-47b3-9725-cdd434ac0c18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2783DFB1</paraID>
      <start>0</start>
      <end>2</end>
      <status>unmodified</status>
      <modifiedWord/>
      <trackRevisions>false</trackRevisions>
    </reviewItem>
    <reviewItem>
      <errorID>218dea8a-fe5b-4780-ae1f-8da4a39890de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929573B</paraID>
      <start>0</start>
      <end>2</end>
      <status>unmodified</status>
      <modifiedWord/>
      <trackRevisions>false</trackRevisions>
    </reviewItem>
    <reviewItem>
      <errorID>a69f5331-1521-4547-848f-c51d518c64ab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12042251</paraID>
      <start>0</start>
      <end>2</end>
      <status>unmodified</status>
      <modifiedWord/>
      <trackRevisions>false</trackRevisions>
    </reviewItem>
    <reviewItem>
      <errorID>b8ecf4c4-5c67-4294-9ddb-3f27c09ceb9e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43A53386</paraID>
      <start>0</start>
      <end>2</end>
      <status>unmodified</status>
      <modifiedWord/>
      <trackRevisions>false</trackRevisions>
    </reviewItem>
    <reviewItem>
      <errorID>13ef7afd-d7cb-45be-96cc-5216c39e44d3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33B67B11</paraID>
      <start>0</start>
      <end>2</end>
      <status>unmodified</status>
      <modifiedWord/>
      <trackRevisions>false</trackRevisions>
    </reviewItem>
    <reviewItem>
      <errorID>4a7e892d-8826-43a1-a462-5a1cc0d331d2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5A59C99B</paraID>
      <start>0</start>
      <end>2</end>
      <status>unmodified</status>
      <modifiedWord/>
      <trackRevisions>false</trackRevisions>
    </reviewItem>
    <reviewItem>
      <errorID>fd9b6619-8c2c-4119-993e-3a44071aff77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1753CA62</paraID>
      <start>0</start>
      <end>2</end>
      <status>unmodified</status>
      <modifiedWord/>
      <trackRevisions>false</trackRevisions>
    </reviewItem>
    <reviewItem>
      <errorID>4cf36a7f-d0e6-4b51-8b71-4b3c454634d4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487D0B2</paraID>
      <start>0</start>
      <end>2</end>
      <status>unmodified</status>
      <modifiedWord/>
      <trackRevisions>false</trackRevisions>
    </reviewItem>
    <reviewItem>
      <errorID>74506f5f-0071-402c-803e-6809cad32a79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695DEDE4</paraID>
      <start>0</start>
      <end>2</end>
      <status>unmodified</status>
      <modifiedWord/>
      <trackRevisions>false</trackRevisions>
    </reviewItem>
    <reviewItem>
      <errorID>08603f7b-ccd5-4ca3-8b71-8ffc104fe49f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537C2AA1</paraID>
      <start>0</start>
      <end>2</end>
      <status>unmodified</status>
      <modifiedWord/>
      <trackRevisions>false</trackRevisions>
    </reviewItem>
    <reviewItem>
      <errorID>bd24fd6a-e6ab-4bed-ba88-7e001596223b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5D7C446B</paraID>
      <start>0</start>
      <end>2</end>
      <status>unmodified</status>
      <modifiedWord/>
      <trackRevisions>false</trackRevisions>
    </reviewItem>
    <reviewItem>
      <errorID>fb9c2b1d-c13d-49cc-87b5-4197b3dc7b5e</errorID>
      <errorWord>、、</errorWord>
      <group>L1_Punc</group>
      <groupName>标点问题</groupName>
      <ability>L2_Punc_CN</ability>
      <abilityName>标点符号问题</abilityName>
      <candidateList>
        <item>、</item>
      </candidateList>
      <explain/>
      <paraID>714B2259</paraID>
      <start>16</start>
      <end>18</end>
      <status>unmodified</status>
      <modifiedWord/>
      <trackRevisions>false</trackRevisions>
    </reviewItem>
    <reviewItem>
      <errorID>0f04be52-64b4-4a8e-9ac6-92c52a7fd997</errorID>
      <errorWord>火陷</errorWord>
      <group>L1_Word</group>
      <groupName>字词问题</groupName>
      <ability>L2_Typo</ability>
      <abilityName>字词错误</abilityName>
      <candidateList>
        <item>火势</item>
      </candidateList>
      <explain/>
      <paraID>714B2259</paraID>
      <start>20</start>
      <end>22</end>
      <status>unmodified</status>
      <modifiedWord/>
      <trackRevisions>false</trackRevisions>
    </reviewItem>
    <reviewItem>
      <errorID>8d0d9e60-0a94-4b78-afc8-b6697e9d9e84</errorID>
      <errorWord>抑止</errorWord>
      <group>L1_Word</group>
      <groupName>字词问题</groupName>
      <ability>L2_Typo</ability>
      <abilityName>字词错误</abilityName>
      <candidateList>
        <item>抑制</item>
      </candidateList>
      <explain/>
      <paraID>714B2259</paraID>
      <start>25</start>
      <end>27</end>
      <status>unmodified</status>
      <modifiedWord/>
      <trackRevisions>false</trackRevisions>
    </reviewItem>
    <reviewItem>
      <errorID>f78e9061-64fe-45c5-bc01-7c51b16fb843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6A71A4FE</paraID>
      <start>0</start>
      <end>2</end>
      <status>unmodified</status>
      <modifiedWord/>
      <trackRevisions>false</trackRevisions>
    </reviewItem>
    <reviewItem>
      <errorID>a0600e84-2162-478e-a688-e416f5e185d3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24D39D6F</paraID>
      <start>0</start>
      <end>2</end>
      <status>unmodified</status>
      <modifiedWord/>
      <trackRevisions>false</trackRevisions>
    </reviewItem>
    <reviewItem>
      <errorID>34d1bd89-d1d8-4472-938d-20f524f3bd6e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654B7A26</paraID>
      <start>0</start>
      <end>2</end>
      <status>unmodified</status>
      <modifiedWord/>
      <trackRevisions>false</trackRevisions>
    </reviewItem>
    <reviewItem>
      <errorID>9d483249-eb3c-4960-b5b2-ac0de7f50e67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1B99E0F1</paraID>
      <start>0</start>
      <end>2</end>
      <status>unmodified</status>
      <modifiedWord/>
      <trackRevisions>false</trackRevisions>
    </reviewItem>
    <reviewItem>
      <errorID>974e1548-f744-4e2a-a764-c4c20ac6b0f9</errorID>
      <errorWord>主要以水为主</errorWord>
      <group>L1_Grammar</group>
      <groupName>语法问题</groupName>
      <ability>L2_Grammar</ability>
      <abilityName>语法错误</abilityName>
      <candidateList>
        <item>以水为主</item>
      </candidateList>
      <explain>该表达中的“主要以水为主”存在语义重复。</explain>
      <paraID>1B99E0F1</paraID>
      <start>5</start>
      <end>11</end>
      <status>unmodified</status>
      <modifiedWord/>
      <trackRevisions>false</trackRevisions>
    </reviewItem>
    <reviewItem>
      <errorID>42007cb8-46e4-49ad-a821-bff52372ee7c</errorID>
      <errorWord>才</errorWord>
      <group>L1_Word</group>
      <groupName>字词问题</groupName>
      <ability>L2_Typo</ability>
      <abilityName>字词错误</abilityName>
      <candidateList>
        <item>才能</item>
      </candidateList>
      <explain/>
      <paraID>79574EEB</paraID>
      <start>22</start>
      <end>23</end>
      <status>unmodified</status>
      <modifiedWord/>
      <trackRevisions>false</trackRevisions>
    </reviewItem>
    <reviewItem>
      <errorID>7715f41c-05eb-4426-acc8-abfea74c722b</errorID>
      <errorWord>重、特大</errorWord>
      <group>L1_Punc</group>
      <groupName>标点问题</groupName>
      <ability>L2_Punc_CN</ability>
      <abilityName>标点符号问题</abilityName>
      <candidateList>
        <item>重特大</item>
      </candidateList>
      <explain/>
      <paraID>214A9B05</paraID>
      <start>61</start>
      <end>65</end>
      <status>unmodified</status>
      <modifiedWord/>
      <trackRevisions>false</trackRevisions>
    </reviewItem>
    <reviewItem>
      <errorID>c428c433-e019-45cd-a20d-3bcc14a0e1c0</errorID>
      <errorWord>遏止</errorWord>
      <group>L1_Word</group>
      <groupName>字词问题</groupName>
      <ability>L2_Typo</ability>
      <abilityName>字词错误</abilityName>
      <candidateList>
        <item>遏制</item>
      </candidateList>
      <explain/>
      <paraID>4F623720</paraID>
      <start>16</start>
      <end>18</end>
      <status>unmodified</status>
      <modifiedWord/>
      <trackRevisions>false</trackRevisions>
    </reviewItem>
    <reviewItem>
      <errorID>786aa13b-874b-4c71-a049-65aee7651911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F0B9580</paraID>
      <start>0</start>
      <end>2</end>
      <status>unmodified</status>
      <modifiedWord/>
      <trackRevisions>false</trackRevisions>
    </reviewItem>
    <reviewItem>
      <errorID>58791957-6d26-4f0a-9c86-b8d2420e628a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4A73121C</paraID>
      <start>0</start>
      <end>2</end>
      <status>unmodified</status>
      <modifiedWord/>
      <trackRevisions>false</trackRevisions>
    </reviewItem>
    <reviewItem>
      <errorID>3a4f4c53-b2bb-45f7-bd0e-54ce7c23cc3b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3B8AA85E</paraID>
      <start>0</start>
      <end>2</end>
      <status>unmodified</status>
      <modifiedWord/>
      <trackRevisions>false</trackRevisions>
    </reviewItem>
    <reviewItem>
      <errorID>b0a35e74-cd55-45f5-bd75-42f731eaf072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516A0313</paraID>
      <start>0</start>
      <end>2</end>
      <status>unmodified</status>
      <modifiedWord/>
      <trackRevisions>false</trackRevisions>
    </reviewItem>
    <reviewItem>
      <errorID>0095a49e-3298-495e-ba61-6932de8eddaa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35964356</paraID>
      <start>0</start>
      <end>2</end>
      <status>unmodified</status>
      <modifiedWord/>
      <trackRevisions>false</trackRevisions>
    </reviewItem>
    <reviewItem>
      <errorID>3e49cd7f-2c2c-4177-96eb-d0cf3ca33b0e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60A219A0</paraID>
      <start>0</start>
      <end>2</end>
      <status>unmodified</status>
      <modifiedWord/>
      <trackRevisions>false</trackRevisions>
    </reviewItem>
    <reviewItem>
      <errorID>904c61bc-aca4-4926-819c-c286e278d11c</errorID>
      <errorWord>贴近邻</errorWord>
      <group>L1_Word</group>
      <groupName>字词问题</groupName>
      <ability>L2_Typo</ability>
      <abilityName>字词错误</abilityName>
      <candidateList>
        <item>贴近</item>
      </candidateList>
      <explain/>
      <paraID>60A219A0</paraID>
      <start>35</start>
      <end>38</end>
      <status>unmodified</status>
      <modifiedWord/>
      <trackRevisions>false</trackRevisions>
    </reviewItem>
    <reviewItem>
      <errorID>5404e00b-2528-4202-aea7-30dc652b14c2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45BDF1BB</paraID>
      <start>0</start>
      <end>2</end>
      <status>unmodified</status>
      <modifiedWord/>
      <trackRevisions>false</trackRevisions>
    </reviewItem>
    <reviewItem>
      <errorID>480c7e4c-9778-4404-b0d7-1d987086701b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22EF6E46</paraID>
      <start>0</start>
      <end>2</end>
      <status>unmodified</status>
      <modifiedWord/>
      <trackRevisions>false</trackRevisions>
    </reviewItem>
    <reviewItem>
      <errorID>bfb5b4d9-c26c-47bf-aa64-33b5d381b13c</errorID>
      <errorWord>,</errorWord>
      <group>L1_Format</group>
      <groupName>格式问题</groupName>
      <ability>L2_HalfPunc_CN</ability>
      <abilityName>全半角问题</abilityName>
      <candidateList>
        <item>，</item>
      </candidateList>
      <explain>文本全半角错误。</explain>
      <paraID>22EF6E46</paraID>
      <start>35</start>
      <end>36</end>
      <status>unmodified</status>
      <modifiedWord/>
      <trackRevisions>false</trackRevisions>
    </reviewItem>
    <reviewItem>
      <errorID>d336efe7-1938-412b-97c7-edc2819e6f8d</errorID>
      <errorWord>,</errorWord>
      <group>L1_Format</group>
      <groupName>格式问题</groupName>
      <ability>L2_HalfPunc_CN</ability>
      <abilityName>全半角问题</abilityName>
      <candidateList>
        <item>，</item>
      </candidateList>
      <explain>文本全半角错误。</explain>
      <paraID>22EF6E46</paraID>
      <start>42</start>
      <end>43</end>
      <status>unmodified</status>
      <modifiedWord/>
      <trackRevisions>false</trackRevisions>
    </reviewItem>
    <reviewItem>
      <errorID>fcc284d4-182b-48f0-a625-53c43a8ae116</errorID>
      <errorWord>,</errorWord>
      <group>L1_Format</group>
      <groupName>格式问题</groupName>
      <ability>L2_HalfPunc_CN</ability>
      <abilityName>全半角问题</abilityName>
      <candidateList>
        <item>，</item>
      </candidateList>
      <explain>文本全半角错误。</explain>
      <paraID>22EF6E46</paraID>
      <start>48</start>
      <end>49</end>
      <status>unmodified</status>
      <modifiedWord/>
      <trackRevisions>false</trackRevisions>
    </reviewItem>
    <reviewItem>
      <errorID>782cdc60-f756-4b55-a5d8-d04181f91b68</errorID>
      <errorWord>,</errorWord>
      <group>L1_Format</group>
      <groupName>格式问题</groupName>
      <ability>L2_HalfPunc_CN</ability>
      <abilityName>全半角问题</abilityName>
      <candidateList>
        <item>，</item>
      </candidateList>
      <explain>文本全半角错误。</explain>
      <paraID>22EF6E46</paraID>
      <start>58</start>
      <end>59</end>
      <status>unmodified</status>
      <modifiedWord/>
      <trackRevisions>false</trackRevisions>
    </reviewItem>
    <reviewItem>
      <errorID>8f0e784c-bbec-4ba5-9e03-cb9d1984e85c</errorID>
      <errorWord>,</errorWord>
      <group>L1_Format</group>
      <groupName>格式问题</groupName>
      <ability>L2_HalfPunc_CN</ability>
      <abilityName>全半角问题</abilityName>
      <candidateList>
        <item>，</item>
      </candidateList>
      <explain>文本全半角错误。</explain>
      <paraID>22EF6E46</paraID>
      <start>79</start>
      <end>80</end>
      <status>unmodified</status>
      <modifiedWord/>
      <trackRevisions>false</trackRevisions>
    </reviewItem>
    <reviewItem>
      <errorID>5470a12e-604b-4c14-a502-901ae6050810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2A596826</paraID>
      <start>0</start>
      <end>2</end>
      <status>unmodified</status>
      <modifiedWord/>
      <trackRevisions>false</trackRevisions>
    </reviewItem>
    <reviewItem>
      <errorID>428d4dec-8ed0-4283-a82b-0ddadfb7a7a5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42FD4F86</paraID>
      <start>0</start>
      <end>2</end>
      <status>unmodified</status>
      <modifiedWord/>
      <trackRevisions>false</trackRevisions>
    </reviewItem>
    <reviewItem>
      <errorID>c45bc5f6-7c1b-457c-a539-92f6aa377baa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AE099BB</paraID>
      <start>0</start>
      <end>2</end>
      <status>unmodified</status>
      <modifiedWord/>
      <trackRevisions>false</trackRevisions>
    </reviewItem>
    <reviewItem>
      <errorID>5fb07405-4561-487f-ba28-7d7fd954254b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14950FBF</paraID>
      <start>0</start>
      <end>2</end>
      <status>unmodified</status>
      <modifiedWord/>
      <trackRevisions>false</trackRevisions>
    </reviewItem>
    <reviewItem>
      <errorID>ad2c4fc7-8fe3-4bed-a26b-ef751d45ab2e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105EB61D</paraID>
      <start>0</start>
      <end>2</end>
      <status>unmodified</status>
      <modifiedWord/>
      <trackRevisions>false</trackRevisions>
    </reviewItem>
    <reviewItem>
      <errorID>aba2c019-d605-4cfd-8a3c-a71e552beb1f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1C7D30E8</paraID>
      <start>0</start>
      <end>2</end>
      <status>unmodified</status>
      <modifiedWord/>
      <trackRevisions>false</trackRevisions>
    </reviewItem>
    <reviewItem>
      <errorID>3774c3d3-670d-44aa-9389-725542adda3d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1434FFBC</paraID>
      <start>0</start>
      <end>2</end>
      <status>unmodified</status>
      <modifiedWord/>
      <trackRevisions>false</trackRevisions>
    </reviewItem>
    <reviewItem>
      <errorID>13cc3ca8-d7d2-4fba-8b68-71a235096073</errorID>
      <errorWord>决不</errorWord>
      <group>L1_Word</group>
      <groupName>字词问题</groupName>
      <ability>L2_Typo</ability>
      <abilityName>字词错误</abilityName>
      <candidateList>
        <item>绝不</item>
      </candidateList>
      <explain>存在发音相同字词的误用。</explain>
      <paraID> 9C9FADE</paraID>
      <start>22</start>
      <end>24</end>
      <status>unmodified</status>
      <modifiedWord/>
      <trackRevisions>false</trackRevisions>
    </reviewItem>
    <reviewItem>
      <errorID>4f88db08-99dd-478d-a436-4fae7b9ce00d</errorID>
      <errorWord>,</errorWord>
      <group>L1_Format</group>
      <groupName>格式问题</groupName>
      <ability>L2_HalfPunc_CN</ability>
      <abilityName>全半角问题</abilityName>
      <candidateList>
        <item>，</item>
      </candidateList>
      <explain>文本全半角错误。</explain>
      <paraID> 9C9FADE</paraID>
      <start>94</start>
      <end>95</end>
      <status>unmodified</status>
      <modifiedWord/>
      <trackRevisions>false</trackRevisions>
    </reviewItem>
    <reviewItem>
      <errorID>bb70c329-bc23-4330-9a29-4f59b92df801</errorID>
      <errorWord>,</errorWord>
      <group>L1_Format</group>
      <groupName>格式问题</groupName>
      <ability>L2_HalfPunc_CN</ability>
      <abilityName>全半角问题</abilityName>
      <candidateList>
        <item>，</item>
      </candidateList>
      <explain>文本全半角错误。</explain>
      <paraID> 9C9FADE</paraID>
      <start>108</start>
      <end>109</end>
      <status>unmodified</status>
      <modifiedWord/>
      <trackRevisions>false</trackRevisions>
    </reviewItem>
    <reviewItem>
      <errorID>cb095c6b-c065-40e0-b092-35029fc4336e</errorID>
      <errorWord>,</errorWord>
      <group>L1_Format</group>
      <groupName>格式问题</groupName>
      <ability>L2_HalfPunc_CN</ability>
      <abilityName>全半角问题</abilityName>
      <candidateList>
        <item>，</item>
      </candidateList>
      <explain>文本全半角错误。</explain>
      <paraID> 9C9FADE</paraID>
      <start>150</start>
      <end>151</end>
      <status>unmodified</status>
      <modifiedWord/>
      <trackRevisions>false</trackRevisions>
    </reviewItem>
    <reviewItem>
      <errorID>247f2faa-e9f5-40ba-a671-2365df0d37eb</errorID>
      <errorWord>安全化</errorWord>
      <group>L1_Word</group>
      <groupName>字词问题</groupName>
      <ability>L2_Typo</ability>
      <abilityName>字词错误</abilityName>
      <candidateList>
        <item>安全</item>
      </candidateList>
      <explain/>
      <paraID> 9C9FADE</paraID>
      <start>189</start>
      <end>192</end>
      <status>unmodified</status>
      <modifiedWord/>
      <trackRevisions>false</trackRevisions>
    </reviewItem>
    <reviewItem>
      <errorID>48e7cdf2-bad1-4084-8f4f-a60d8a2a5972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665B7B47</paraID>
      <start>0</start>
      <end>2</end>
      <status>unmodified</status>
      <modifiedWord/>
      <trackRevisions>false</trackRevisions>
    </reviewItem>
    <reviewItem>
      <errorID>591bf7fc-da4a-4c48-98b1-30eaa96fe731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1CB2CAF5</paraID>
      <start>0</start>
      <end>2</end>
      <status>unmodified</status>
      <modifiedWord/>
      <trackRevisions>false</trackRevisions>
    </reviewItem>
    <reviewItem>
      <errorID>ead48fdd-c081-49ee-8d0c-5ca9d1a9be5f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F8AD9C6</paraID>
      <start>0</start>
      <end>2</end>
      <status>unmodified</status>
      <modifiedWord/>
      <trackRevisions>false</trackRevisions>
    </reviewItem>
    <reviewItem>
      <errorID>0fc73ce1-a43d-4318-b4ba-b12be87db13a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74B0F37E</paraID>
      <start>0</start>
      <end>2</end>
      <status>unmodified</status>
      <modifiedWord/>
      <trackRevisions>false</trackRevisions>
    </reviewItem>
    <reviewItem>
      <errorID>0c5dd147-35a2-4435-998a-ef21ee316213</errorID>
      <errorWord>环境里</errorWord>
      <group>L1_Word</group>
      <groupName>字词问题</groupName>
      <ability>L2_Typo</ability>
      <abilityName>字词错误</abilityName>
      <candidateList>
        <item>环境</item>
      </candidateList>
      <explain/>
      <paraID>5DDE8E63</paraID>
      <start>9</start>
      <end>12</end>
      <status>unmodified</status>
      <modifiedWord/>
      <trackRevisions>false</trackRevisions>
    </reviewItem>
    <reviewItem>
      <errorID>027b01fa-0585-4eb7-88fa-a57849eac349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20CF4724</paraID>
      <start>0</start>
      <end>2</end>
      <status>unmodified</status>
      <modifiedWord/>
      <trackRevisions>false</trackRevisions>
    </reviewItem>
    <reviewItem>
      <errorID>a5dcffe2-6fd0-4357-969c-7ab7c238c2ee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4AE8FC21</paraID>
      <start>0</start>
      <end>2</end>
      <status>unmodified</status>
      <modifiedWord/>
      <trackRevisions>false</trackRevisions>
    </reviewItem>
    <reviewItem>
      <errorID>4ec98334-3e47-479f-90af-e75610694824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671D65D6</paraID>
      <start>0</start>
      <end>2</end>
      <status>unmodified</status>
      <modifiedWord/>
      <trackRevisions>false</trackRevisions>
    </reviewItem>
    <reviewItem>
      <errorID>a421f9cf-80c8-4ede-b792-f01307d1397c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6DD8B980</paraID>
      <start>0</start>
      <end>2</end>
      <status>unmodified</status>
      <modifiedWord/>
      <trackRevisions>false</trackRevisions>
    </reviewItem>
    <reviewItem>
      <errorID>45588d0d-5143-4933-896c-940873c381eb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2E515FE2</paraID>
      <start>0</start>
      <end>2</end>
      <status>unmodified</status>
      <modifiedWord/>
      <trackRevisions>false</trackRevisions>
    </reviewItem>
    <reviewItem>
      <errorID>553521b5-3906-4598-8f52-9579fca4c46c</errorID>
      <errorWord>场地是</errorWord>
      <group>L1_Word</group>
      <groupName>字词问题</groupName>
      <ability>L2_Typo</ability>
      <abilityName>字词错误</abilityName>
      <candidateList>
        <item>场地</item>
      </candidateList>
      <explain/>
      <paraID>21573851</paraID>
      <start>8</start>
      <end>11</end>
      <status>unmodified</status>
      <modifiedWord/>
      <trackRevisions>false</trackRevisions>
    </reviewItem>
    <reviewItem>
      <errorID>746426a6-5928-43a4-8617-df59d70231ea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2A183619</paraID>
      <start>0</start>
      <end>2</end>
      <status>unmodified</status>
      <modifiedWord/>
      <trackRevisions>false</trackRevisions>
    </reviewItem>
    <reviewItem>
      <errorID>69f65914-07de-42e6-9c72-2f887f2b47e7</errorID>
      <errorWord>,</errorWord>
      <group>L1_Format</group>
      <groupName>格式问题</groupName>
      <ability>L2_HalfPunc_CN</ability>
      <abilityName>全半角问题</abilityName>
      <candidateList>
        <item>，</item>
      </candidateList>
      <explain>文本全半角错误。</explain>
      <paraID>2A183619</paraID>
      <start>5</start>
      <end>6</end>
      <status>unmodified</status>
      <modifiedWord/>
      <trackRevisions>false</trackRevisions>
    </reviewItem>
    <reviewItem>
      <errorID>58da44e0-13aa-4c58-9245-20556d6501b6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7DE0192C</paraID>
      <start>0</start>
      <end>2</end>
      <status>unmodified</status>
      <modifiedWord/>
      <trackRevisions>false</trackRevisions>
    </reviewItem>
    <reviewItem>
      <errorID>e15a2b78-dcf8-4d10-9efc-13b7ece75426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1932A0C0</paraID>
      <start>0</start>
      <end>2</end>
      <status>unmodified</status>
      <modifiedWord/>
      <trackRevisions>false</trackRevisions>
    </reviewItem>
    <reviewItem>
      <errorID>2a710296-8907-43c5-8aff-d12e20f85558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464DB1A7</paraID>
      <start>0</start>
      <end>2</end>
      <status>unmodified</status>
      <modifiedWord/>
      <trackRevisions>false</trackRevisions>
    </reviewItem>
    <reviewItem>
      <errorID>62f2aca3-08fa-44ed-8514-d9d40902d235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2DA52D95</paraID>
      <start>0</start>
      <end>2</end>
      <status>unmodified</status>
      <modifiedWord/>
      <trackRevisions>false</trackRevisions>
    </reviewItem>
    <reviewItem>
      <errorID>8322ffbe-ed5d-4aa6-bea9-a46f6d462895</errorID>
      <errorWord>设</errorWord>
      <group>L1_Word</group>
      <groupName>字词问题</groupName>
      <ability>L2_Typo</ability>
      <abilityName>字词错误</abilityName>
      <candidateList>
        <item>设置</item>
      </candidateList>
      <explain/>
      <paraID>2DA52D95</paraID>
      <start>48</start>
      <end>49</end>
      <status>unmodified</status>
      <modifiedWord/>
      <trackRevisions>false</trackRevisions>
    </reviewItem>
    <reviewItem>
      <errorID>3f26b837-8a49-4ea8-9f29-b25dae562b3c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34D285C5</paraID>
      <start>0</start>
      <end>2</end>
      <status>unmodified</status>
      <modifiedWord/>
      <trackRevisions>false</trackRevisions>
    </reviewItem>
    <reviewItem>
      <errorID>c7c49bdf-1042-4086-9c21-7506180a34cf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B62ABD7</paraID>
      <start>0</start>
      <end>2</end>
      <status>unmodified</status>
      <modifiedWord/>
      <trackRevisions>false</trackRevisions>
    </reviewItem>
    <reviewItem>
      <errorID>7dda3a36-f468-4d82-a5df-def42b970c8b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6366FF57</paraID>
      <start>0</start>
      <end>2</end>
      <status>unmodified</status>
      <modifiedWord/>
      <trackRevisions>false</trackRevisions>
    </reviewItem>
    <reviewItem>
      <errorID>6b2517a2-d6e3-4d84-bcc6-dc318f4552fe</errorID>
      <errorWord>工</errorWord>
      <group>L1_Word</group>
      <groupName>字词问题</groupName>
      <ability>L2_Typo</ability>
      <abilityName>字词错误</abilityName>
      <candidateList>
        <item>工程</item>
      </candidateList>
      <explain/>
      <paraID>6366FF57</paraID>
      <start>49</start>
      <end>50</end>
      <status>unmodified</status>
      <modifiedWord/>
      <trackRevisions>false</trackRevisions>
    </reviewItem>
    <reviewItem>
      <errorID>a94946a6-1d83-4a88-bb7c-cdb9d4a7e35e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15E9B34</paraID>
      <start>0</start>
      <end>2</end>
      <status>unmodified</status>
      <modifiedWord/>
      <trackRevisions>false</trackRevisions>
    </reviewItem>
    <reviewItem>
      <errorID>2f493c15-349d-4aae-a637-e766a4795d65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2574D144</paraID>
      <start>0</start>
      <end>3</end>
      <status>unmodified</status>
      <modifiedWord/>
      <trackRevisions>false</trackRevisions>
    </reviewItem>
    <reviewItem>
      <errorID>51374424-bc46-428c-a588-c9974cda09f9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55F507E2</paraID>
      <start>0</start>
      <end>2</end>
      <status>unmodified</status>
      <modifiedWord/>
      <trackRevisions>false</trackRevisions>
    </reviewItem>
    <reviewItem>
      <errorID>deb88aae-b68a-4d6e-94fb-1a861d695406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343C3B39</paraID>
      <start>0</start>
      <end>2</end>
      <status>unmodified</status>
      <modifiedWord/>
      <trackRevisions>false</trackRevisions>
    </reviewItem>
    <reviewItem>
      <errorID>0eef0286-7ccf-4c98-aa1b-5708374322dc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5B8D68C</paraID>
      <start>0</start>
      <end>2</end>
      <status>unmodified</status>
      <modifiedWord/>
      <trackRevisions>false</trackRevisions>
    </reviewItem>
    <reviewItem>
      <errorID>0e6d1ecd-8830-48df-b70f-2397559209f2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1F0B6E5C</paraID>
      <start>0</start>
      <end>2</end>
      <status>unmodified</status>
      <modifiedWord/>
      <trackRevisions>false</trackRevisions>
    </reviewItem>
    <reviewItem>
      <errorID>56c892fe-e1d9-4d96-8058-c82e5c36c194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14958D6D</paraID>
      <start>0</start>
      <end>2</end>
      <status>unmodified</status>
      <modifiedWord/>
      <trackRevisions>false</trackRevisions>
    </reviewItem>
    <reviewItem>
      <errorID>2682657b-5a5a-4f26-b35a-90ae571b386c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485F4572</paraID>
      <start>0</start>
      <end>2</end>
      <status>unmodified</status>
      <modifiedWord/>
      <trackRevisions>false</trackRevisions>
    </reviewItem>
    <reviewItem>
      <errorID>b543a2d9-dd9a-4425-8f84-d61d1f7e2568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9F7FEC2</paraID>
      <start>0</start>
      <end>2</end>
      <status>unmodified</status>
      <modifiedWord/>
      <trackRevisions>false</trackRevisions>
    </reviewItem>
    <reviewItem>
      <errorID>09938e9f-1104-44f5-9308-8993164344ee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6AEAE2C</paraID>
      <start>0</start>
      <end>2</end>
      <status>unmodified</status>
      <modifiedWord/>
      <trackRevisions>false</trackRevisions>
    </reviewItem>
    <reviewItem>
      <errorID>4b9e01b7-3f47-41ca-91ef-3ba27e93131c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19BB7719</paraID>
      <start>0</start>
      <end>2</end>
      <status>unmodified</status>
      <modifiedWord/>
      <trackRevisions>false</trackRevisions>
    </reviewItem>
    <reviewItem>
      <errorID>fcc637f9-bf4c-469b-a40b-a2fbc2d119a7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47F5D762</paraID>
      <start>0</start>
      <end>2</end>
      <status>unmodified</status>
      <modifiedWord/>
      <trackRevisions>false</trackRevisions>
    </reviewItem>
    <reviewItem>
      <errorID>78985f70-360c-4376-bc2d-2b38f3bd84f8</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3D54B30D</paraID>
      <start>2</start>
      <end>7</end>
      <status>unmodified</status>
      <modifiedWord/>
      <trackRevisions>false</trackRevisions>
    </reviewItem>
    <reviewItem>
      <errorID>cf988f04-bdca-4ebc-bc75-2f0ec9b05f14</errorID>
      <errorWord>形式</errorWord>
      <group>L1_Word</group>
      <groupName>字词问题</groupName>
      <ability>L2_Typo</ability>
      <abilityName>字词错误</abilityName>
      <candidateList>
        <item>形势</item>
      </candidateList>
      <explain/>
      <paraID>3D54B30D</paraID>
      <start>40</start>
      <end>42</end>
      <status>unmodified</status>
      <modifiedWord/>
      <trackRevisions>false</trackRevisions>
    </reviewItem>
    <reviewItem>
      <errorID>f4f8892d-ec18-4410-8119-4d81bb6c025f</errorID>
      <errorWord>等等</errorWord>
      <group>L1_Word</group>
      <groupName>字词问题</groupName>
      <ability>L2_Typo</ability>
      <abilityName>字词错误</abilityName>
      <candidateList>
        <item>等</item>
      </candidateList>
      <explain/>
      <paraID>3D54B30D</paraID>
      <start>169</start>
      <end>171</end>
      <status>unmodified</status>
      <modifiedWord/>
      <trackRevisions>false</trackRevisions>
    </reviewItem>
    <reviewItem>
      <errorID>bad5c106-c7da-4b39-b3ac-b5a95a6bde06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7565DB80</paraID>
      <start>0</start>
      <end>2</end>
      <status>unmodified</status>
      <modifiedWord/>
      <trackRevisions>false</trackRevisions>
    </reviewItem>
    <reviewItem>
      <errorID>87958d2d-fcc2-4507-a109-0ad1ed9ed647</errorID>
      <errorWord>，</errorWord>
      <group>L1_Word</group>
      <groupName>字词问题</groupName>
      <ability>L2_Typo</ability>
      <abilityName>字词错误</abilityName>
      <candidateList>
        <item>，具</item>
      </candidateList>
      <explain/>
      <paraID>2BBC12E8</paraID>
      <start>32</start>
      <end>33</end>
      <status>unmodified</status>
      <modifiedWord/>
      <trackRevisions>false</trackRevisions>
    </reviewItem>
    <reviewItem>
      <errorID>8944c6dd-e791-4df7-b017-80b4b2fa7018</errorID>
      <errorWord>应对所</errorWord>
      <group>L1_Word</group>
      <groupName>字词问题</groupName>
      <ability>L2_Typo</ability>
      <abilityName>字词错误</abilityName>
      <candidateList>
        <item>应对</item>
      </candidateList>
      <explain/>
      <paraID>2BBC12E8</paraID>
      <start>173</start>
      <end>176</end>
      <status>unmodified</status>
      <modifiedWord/>
      <trackRevisions>false</trackRevisions>
    </reviewItem>
    <reviewItem>
      <errorID>aa561a68-d2cf-4e57-96f2-e704a116f05c</errorID>
      <errorWord>作好</errorWord>
      <group>L1_Word</group>
      <groupName>字词问题</groupName>
      <ability>L2_Typo</ability>
      <abilityName>字词错误</abilityName>
      <candidateList>
        <item>做好</item>
      </candidateList>
      <explain>存在发音相同字词的误用。</explain>
      <paraID>2BBC12E8</paraID>
      <start>208</start>
      <end>210</end>
      <status>unmodified</status>
      <modifiedWord/>
      <trackRevisions>false</trackRevisions>
    </reviewItem>
    <reviewItem>
      <errorID>0cc0e4b3-42dc-47b5-9477-417b332e1091</errorID>
      <errorWord>的</errorWord>
      <group>L1_Word</group>
      <groupName>字词问题</groupName>
      <ability>L2_DDD</ability>
      <abilityName>的地得用法</abilityName>
      <candidateList>
        <item>地</item>
      </candidateList>
      <explain/>
      <paraID>2A3650E7</paraID>
      <start>69</start>
      <end>70</end>
      <status>unmodified</status>
      <modifiedWord/>
      <trackRevisions>false</trackRevisions>
    </reviewItem>
    <reviewItem>
      <errorID>9ab60014-d018-474f-9c2f-0638538e3f79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7348A059</paraID>
      <start>20</start>
      <end>23</end>
      <status>unmodified</status>
      <modifiedWord/>
      <trackRevisions>false</trackRevisions>
    </reviewItem>
    <reviewItem>
      <errorID>fbfdab1b-6e0d-4bcf-981a-966eced1e673</errorID>
      <errorWord>等等</errorWord>
      <group>L1_Word</group>
      <groupName>字词问题</groupName>
      <ability>L2_Typo</ability>
      <abilityName>字词错误</abilityName>
      <candidateList>
        <item>等</item>
      </candidateList>
      <explain/>
      <paraID>7348A059</paraID>
      <start>62</start>
      <end>64</end>
      <status>unmodified</status>
      <modifiedWord/>
      <trackRevisions>false</trackRevisions>
    </reviewItem>
    <reviewItem>
      <errorID>e7968551-ca87-4ad8-8560-ef9259295edd</errorID>
      <errorWord>等等</errorWord>
      <group>L1_Word</group>
      <groupName>字词问题</groupName>
      <ability>L2_Typo</ability>
      <abilityName>字词错误</abilityName>
      <candidateList>
        <item>等</item>
      </candidateList>
      <explain/>
      <paraID>5A71D2F5</paraID>
      <start>114</start>
      <end>116</end>
      <status>unmodified</status>
      <modifiedWord/>
      <trackRevisions>false</trackRevisions>
    </reviewItem>
    <reviewItem>
      <errorID>1049c33d-76e7-40e4-8771-e8bb28e699bf</errorID>
      <errorWord>的</errorWord>
      <group>L1_Word</group>
      <groupName>字词问题</groupName>
      <ability>L2_DDD</ability>
      <abilityName>的地得用法</abilityName>
      <candidateList>
        <item>地</item>
      </candidateList>
      <explain/>
      <paraID>5B0EE65F</paraID>
      <start>40</start>
      <end>41</end>
      <status>unmodified</status>
      <modifiedWord/>
      <trackRevisions>false</trackRevisions>
    </reviewItem>
    <reviewItem>
      <errorID>ea926a78-2676-4449-8f4a-64aada127808</errorID>
      <errorWord>有效的控制</errorWord>
      <group>L1_Word</group>
      <groupName>字词问题</groupName>
      <ability>L2_Typo</ability>
      <abilityName>字词错误</abilityName>
      <candidateList>
        <item>有效地控制</item>
      </candidateList>
      <explain/>
      <paraID>5B0EE65F</paraID>
      <start>71</start>
      <end>76</end>
      <status>unmodified</status>
      <modifiedWord/>
      <trackRevisions>false</trackRevisions>
    </reviewItem>
    <reviewItem>
      <errorID>2d2c5a11-8a40-4a9f-b3bd-9bb1c47e8429</errorID>
      <errorWord>工</errorWord>
      <group>L1_Word</group>
      <groupName>字词问题</groupName>
      <ability>L2_Typo</ability>
      <abilityName>字词错误</abilityName>
      <candidateList>
        <item>工在</item>
      </candidateList>
      <explain/>
      <paraID>67308405</paraID>
      <start>64</start>
      <end>65</end>
      <status>unmodified</status>
      <modifiedWord/>
      <trackRevisions>false</trackRevisions>
    </reviewItem>
    <reviewItem>
      <errorID>71268447-2ddf-4ecd-80b2-c6b55730fd9d</errorID>
      <errorWord>并应</errorWord>
      <group>L1_Word</group>
      <groupName>字词问题</groupName>
      <ability>L2_Typo</ability>
      <abilityName>字词错误</abilityName>
      <candidateList>
        <item>并</item>
      </candidateList>
      <explain/>
      <paraID>67308405</paraID>
      <start>79</start>
      <end>81</end>
      <status>unmodified</status>
      <modifiedWord/>
      <trackRevisions>false</trackRevisions>
    </reviewItem>
    <reviewItem>
      <errorID>57d3fed9-1c76-4e2e-8dd6-4c1e7b508212</errorID>
      <errorWord>抛散</errorWord>
      <group>L1_Word</group>
      <groupName>字词问题</groupName>
      <ability>L2_Typo</ability>
      <abilityName>字词错误</abilityName>
      <candidateList>
        <item>抛撒</item>
      </candidateList>
      <explain/>
      <paraID>14E71433</paraID>
      <start>33</start>
      <end>35</end>
      <status>unmodified</status>
      <modifiedWord/>
      <trackRevisions>false</trackRevisions>
    </reviewItem>
    <reviewItem>
      <errorID>c0266d68-4a96-4cc8-a44c-4ffd84bb40db</errorID>
      <errorWord>其它</errorWord>
      <group>L1_Word</group>
      <groupName>字词问题</groupName>
      <ability>L2_Alias</ability>
      <abilityName>也作/曾用词</abilityName>
      <candidateList>
        <item>其他</item>
      </candidateList>
      <explain>词汇[其它]为不规范表述或旧称，其规范书面表述为[其他]。</explain>
      <paraID>76D471CE</paraID>
      <start>3</start>
      <end>5</end>
      <status>unmodified</status>
      <modifiedWord/>
      <trackRevisions>false</trackRevisions>
    </reviewItem>
    <reviewItem>
      <errorID>e9503650-a4ff-403c-9f74-d4c93f953def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4F1EEEA9</paraID>
      <start>0</start>
      <end>2</end>
      <status>unmodified</status>
      <modifiedWord/>
      <trackRevisions>false</trackRevisions>
    </reviewItem>
    <reviewItem>
      <errorID>a8a4a03e-65c9-4938-af9e-3932985eda8f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70B6A8ED</paraID>
      <start>0</start>
      <end>2</end>
      <status>unmodified</status>
      <modifiedWord/>
      <trackRevisions>false</trackRevisions>
    </reviewItem>
    <reviewItem>
      <errorID>16b25e0b-565e-4a07-bdd0-0b4956c155df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2A7B7CA4</paraID>
      <start>0</start>
      <end>2</end>
      <status>unmodified</status>
      <modifiedWord/>
      <trackRevisions>false</trackRevisions>
    </reviewItem>
    <reviewItem>
      <errorID>05431689-4bdf-4438-bee6-c7642d4ee746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E66DAED</paraID>
      <start>0</start>
      <end>2</end>
      <status>unmodified</status>
      <modifiedWord/>
      <trackRevisions>false</trackRevisions>
    </reviewItem>
    <reviewItem>
      <errorID>97033447-3237-408e-9567-61a2dbd59a22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1AE97A83</paraID>
      <start>0</start>
      <end>2</end>
      <status>unmodified</status>
      <modifiedWord/>
      <trackRevisions>false</trackRevisions>
    </reviewItem>
    <reviewItem>
      <errorID>05aad103-3c07-4cc5-addf-78c68652f3c6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A0DA0DA</paraID>
      <start>0</start>
      <end>2</end>
      <status>unmodified</status>
      <modifiedWord/>
      <trackRevisions>false</trackRevisions>
    </reviewItem>
    <reviewItem>
      <errorID>7c90761d-7818-4ae2-add3-c9789d91bd6a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47E07395</paraID>
      <start>0</start>
      <end>2</end>
      <status>unmodified</status>
      <modifiedWord/>
      <trackRevisions>false</trackRevisions>
    </reviewItem>
    <reviewItem>
      <errorID>4ea6b0b7-dd94-4dfa-9ce7-76b698969515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8BEF14D</paraID>
      <start>0</start>
      <end>2</end>
      <status>unmodified</status>
      <modifiedWord/>
      <trackRevisions>false</trackRevisions>
    </reviewItem>
    <reviewItem>
      <errorID>3a9ffbf0-b2bb-41f1-9987-d3953def313b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203BC61B</paraID>
      <start>0</start>
      <end>2</end>
      <status>unmodified</status>
      <modifiedWord/>
      <trackRevisions>false</trackRevisions>
    </reviewItem>
    <reviewItem>
      <errorID>c63de340-c944-4543-84f7-07c7383cafd6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5532B484</paraID>
      <start>0</start>
      <end>2</end>
      <status>unmodified</status>
      <modifiedWord/>
      <trackRevisions>false</trackRevisions>
    </reviewItem>
    <reviewItem>
      <errorID>4cb05cd8-01d7-4d46-b6d9-e09ea00f40fe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1544184D</paraID>
      <start>0</start>
      <end>2</end>
      <status>unmodified</status>
      <modifiedWord/>
      <trackRevisions>false</trackRevisions>
    </reviewItem>
    <reviewItem>
      <errorID>d7d008e4-9102-4c1a-a285-bbde618c59f0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79EF591C</paraID>
      <start>0</start>
      <end>2</end>
      <status>unmodified</status>
      <modifiedWord/>
      <trackRevisions>false</trackRevisions>
    </reviewItem>
    <reviewItem>
      <errorID>c208d6f6-e738-40e8-9c63-03f3e656b17b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538B4086</paraID>
      <start>0</start>
      <end>2</end>
      <status>unmodified</status>
      <modifiedWord/>
      <trackRevisions>false</trackRevisions>
    </reviewItem>
    <reviewItem>
      <errorID>839e15e9-f175-4cb8-b16a-ffad67d47427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233DCA5</paraID>
      <start>0</start>
      <end>2</end>
      <status>unmodified</status>
      <modifiedWord/>
      <trackRevisions>false</trackRevisions>
    </reviewItem>
    <reviewItem>
      <errorID>7b3053d1-ed18-4bff-af62-86759a8bbf89</errorID>
      <errorWord>根据对</errorWord>
      <group>L1_Word</group>
      <groupName>字词问题</groupName>
      <ability>L2_Typo</ability>
      <abilityName>字词错误</abilityName>
      <candidateList>
        <item>根据</item>
      </candidateList>
      <explain/>
      <paraID>1AA456DF</paraID>
      <start>0</start>
      <end>3</end>
      <status>unmodified</status>
      <modifiedWord/>
      <trackRevisions>false</trackRevisions>
    </reviewItem>
    <reviewItem>
      <errorID>e242fd44-1074-4cc1-9ec5-a061cb4e98ca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2DA573F2</paraID>
      <start>0</start>
      <end>2</end>
      <status>unmodified</status>
      <modifiedWord/>
      <trackRevisions>false</trackRevisions>
    </reviewItem>
    <reviewItem>
      <errorID>6bfe95d4-e931-412a-9a71-60bce6ccabc6</errorID>
      <errorWord>根据对</errorWord>
      <group>L1_Word</group>
      <groupName>字词问题</groupName>
      <ability>L2_Typo</ability>
      <abilityName>字词错误</abilityName>
      <candidateList>
        <item>根据</item>
      </candidateList>
      <explain/>
      <paraID>3F5DC79B</paraID>
      <start>0</start>
      <end>3</end>
      <status>unmodified</status>
      <modifiedWord/>
      <trackRevisions>false</trackRevisions>
    </reviewItem>
    <reviewItem>
      <errorID>edada824-6f37-45ca-80ad-eefdbe91815f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6172365A</paraID>
      <start>0</start>
      <end>2</end>
      <status>unmodified</status>
      <modifiedWord/>
      <trackRevisions>false</trackRevisions>
    </reviewItem>
    <reviewItem>
      <errorID>d0e4967c-6304-43c7-9c62-6a2a3973ce52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BBF6419</paraID>
      <start>0</start>
      <end>2</end>
      <status>unmodified</status>
      <modifiedWord/>
      <trackRevisions>false</trackRevisions>
    </reviewItem>
    <reviewItem>
      <errorID>499fd1fb-98bc-4542-8c88-31d15f695b5c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1D69C7F</paraID>
      <start>0</start>
      <end>2</end>
      <status>unmodified</status>
      <modifiedWord/>
      <trackRevisions>false</trackRevisions>
    </reviewItem>
    <reviewItem>
      <errorID>30996a4e-82ed-487c-b183-bae9de02dfa5</errorID>
      <errorWord>法律、法规</errorWord>
      <group>L1_Word</group>
      <groupName>字词问题</groupName>
      <ability>L2_Typo</ability>
      <abilityName>字词错误</abilityName>
      <candidateList>
        <item>法律法规</item>
      </candidateList>
      <explain/>
      <paraID>184E102E</paraID>
      <start>30</start>
      <end>35</end>
      <status>unmodified</status>
      <modifiedWord/>
      <trackRevisions>false</trackRevisions>
    </reviewItem>
    <reviewItem>
      <errorID>e2a94ea5-3c07-45e5-a370-60d21133b7fe</errorID>
      <errorWord>2026年08月20日</errorWord>
      <group>L1_Knowledge</group>
      <groupName>知识性问题</groupName>
      <ability>L2_Time</ability>
      <abilityName>日期时间</abilityName>
      <candidateList>
        <item>2026年8月20日</item>
      </candidateList>
      <explain>根据日常书写习惯，月份一般会省略前导零。</explain>
      <paraID>72826979</paraID>
      <start>0</start>
      <end>11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2A96CA-F143-4E43-B782-33E724F6C3E6}">
  <ds:schemaRefs/>
</ds:datastoreItem>
</file>

<file path=customXml/itemProps3.xml><?xml version="1.0" encoding="utf-8"?>
<ds:datastoreItem xmlns:ds="http://schemas.openxmlformats.org/officeDocument/2006/customXml" ds:itemID="{22B065F1-44CF-457C-8B16-0A81B4CD7F9B}">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152</Pages>
  <Words>7889</Words>
  <Characters>9977</Characters>
  <Lines>805</Lines>
  <Paragraphs>226</Paragraphs>
  <TotalTime>21</TotalTime>
  <ScaleCrop>false</ScaleCrop>
  <LinksUpToDate>false</LinksUpToDate>
  <CharactersWithSpaces>10247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2022-05-06T07:50:00Z</dcterms:created>
  <dc:creator>Administrator</dc:creator>
  <cp:lastModifiedBy>月儿的宝贝</cp:lastModifiedBy>
  <cp:lastPrinted>2026-08-26T12:38:00Z</cp:lastPrinted>
  <dcterms:modified xsi:type="dcterms:W3CDTF">2026-09-03T09:05:24Z</dcterms:modified>
  <dc:title>编号：GTA-YBS(现状)-2015-0006</dc:title>
  <cp:revision>2846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4B30C7C1AC414C889071A5592FF0C7E7_13</vt:lpwstr>
  </property>
  <property fmtid="{D5CDD505-2E9C-101B-9397-08002B2CF9AE}" pid="4" name="KSOTemplateDocerSaveRecord">
    <vt:lpwstr>eyJoZGlkIjoiZDllZTdkOTgzYmNkNDNlNmFlMDI3MTI0YjA5NWI5OTkiLCJ1c2VySWQiOiI2MzI3MTA0NjMifQ==</vt:lpwstr>
  </property>
</Properties>
</file>