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9EB96">
      <w:pPr>
        <w:jc w:val="center"/>
        <w:rPr>
          <w:rFonts w:ascii="Times New Roman" w:hAnsi="Times New Roman" w:eastAsia="宋体" w:cs="宋体"/>
          <w:b/>
          <w:bCs/>
          <w:color w:val="auto"/>
          <w:kern w:val="2"/>
          <w:sz w:val="44"/>
          <w:szCs w:val="44"/>
        </w:rPr>
      </w:pPr>
    </w:p>
    <w:p w14:paraId="3F93ABB7">
      <w:pPr>
        <w:jc w:val="center"/>
        <w:rPr>
          <w:rFonts w:ascii="Times New Roman" w:hAnsi="Times New Roman" w:eastAsia="宋体" w:cs="宋体"/>
          <w:b/>
          <w:bCs/>
          <w:color w:val="auto"/>
          <w:kern w:val="2"/>
          <w:sz w:val="44"/>
          <w:szCs w:val="44"/>
        </w:rPr>
      </w:pPr>
    </w:p>
    <w:p w14:paraId="03836CBF">
      <w:pPr>
        <w:jc w:val="center"/>
        <w:rPr>
          <w:rFonts w:hint="eastAsia" w:ascii="Times New Roman" w:hAnsi="Times New Roman" w:eastAsia="宋体" w:cs="宋体"/>
          <w:b/>
          <w:bCs/>
          <w:color w:val="auto"/>
          <w:kern w:val="2"/>
          <w:sz w:val="44"/>
          <w:szCs w:val="44"/>
        </w:rPr>
      </w:pPr>
      <w:r>
        <w:rPr>
          <w:rFonts w:hint="eastAsia" w:ascii="Times New Roman" w:hAnsi="Times New Roman" w:eastAsia="宋体" w:cs="宋体"/>
          <w:b/>
          <w:bCs/>
          <w:color w:val="auto"/>
          <w:kern w:val="2"/>
          <w:sz w:val="44"/>
          <w:szCs w:val="44"/>
        </w:rPr>
        <w:t>中国石化销售股份有限公司</w:t>
      </w:r>
    </w:p>
    <w:p w14:paraId="6F540244">
      <w:pPr>
        <w:jc w:val="center"/>
        <w:rPr>
          <w:rFonts w:hint="eastAsia" w:ascii="Times New Roman" w:hAnsi="Times New Roman" w:eastAsia="宋体" w:cs="宋体"/>
          <w:b/>
          <w:bCs/>
          <w:color w:val="auto"/>
          <w:kern w:val="2"/>
          <w:sz w:val="44"/>
          <w:szCs w:val="44"/>
          <w:lang w:eastAsia="zh-CN"/>
        </w:rPr>
      </w:pPr>
      <w:r>
        <w:rPr>
          <w:rFonts w:hint="eastAsia" w:ascii="Times New Roman" w:hAnsi="Times New Roman" w:eastAsia="宋体" w:cs="宋体"/>
          <w:b/>
          <w:bCs/>
          <w:color w:val="auto"/>
          <w:kern w:val="2"/>
          <w:sz w:val="44"/>
          <w:szCs w:val="44"/>
          <w:lang w:eastAsia="zh-CN"/>
        </w:rPr>
        <w:t>江西赣州兴国石油分公司南坑加油站</w:t>
      </w:r>
    </w:p>
    <w:p w14:paraId="40FD5D09">
      <w:pPr>
        <w:jc w:val="center"/>
        <w:rPr>
          <w:rFonts w:hint="eastAsia" w:ascii="Times New Roman" w:hAnsi="Times New Roman" w:eastAsia="宋体" w:cs="宋体"/>
          <w:b/>
          <w:bCs/>
          <w:color w:val="auto"/>
          <w:kern w:val="2"/>
          <w:sz w:val="44"/>
          <w:szCs w:val="44"/>
        </w:rPr>
      </w:pPr>
      <w:r>
        <w:rPr>
          <w:rFonts w:hint="eastAsia" w:ascii="Times New Roman" w:hAnsi="Times New Roman" w:eastAsia="宋体" w:cs="宋体"/>
          <w:b/>
          <w:bCs/>
          <w:color w:val="auto"/>
          <w:kern w:val="2"/>
          <w:sz w:val="44"/>
          <w:szCs w:val="44"/>
        </w:rPr>
        <w:t>安全设施符合性诊断及整改设计</w:t>
      </w:r>
    </w:p>
    <w:p w14:paraId="0ADAC841">
      <w:pPr>
        <w:jc w:val="center"/>
        <w:rPr>
          <w:rFonts w:ascii="Times New Roman" w:hAnsi="Times New Roman" w:eastAsia="宋体" w:cs="Times New Roman"/>
          <w:b/>
          <w:bCs/>
          <w:color w:val="auto"/>
          <w:kern w:val="2"/>
          <w:sz w:val="44"/>
          <w:szCs w:val="44"/>
        </w:rPr>
      </w:pPr>
      <w:r>
        <w:rPr>
          <w:rFonts w:hint="eastAsia" w:ascii="Times New Roman" w:hAnsi="Times New Roman" w:eastAsia="宋体" w:cs="宋体"/>
          <w:b/>
          <w:bCs/>
          <w:color w:val="auto"/>
          <w:kern w:val="2"/>
          <w:sz w:val="44"/>
          <w:szCs w:val="44"/>
        </w:rPr>
        <w:t>安全设施竣工验收评价报告</w:t>
      </w:r>
    </w:p>
    <w:p w14:paraId="76581743">
      <w:pPr>
        <w:widowControl w:val="0"/>
        <w:autoSpaceDE w:val="0"/>
        <w:autoSpaceDN w:val="0"/>
        <w:adjustRightInd w:val="0"/>
        <w:spacing w:line="360" w:lineRule="auto"/>
        <w:ind w:firstLine="454"/>
        <w:jc w:val="center"/>
        <w:rPr>
          <w:rFonts w:ascii="Times New Roman" w:hAnsi="Times New Roman" w:eastAsia="宋体" w:cs="Times New Roman"/>
          <w:b/>
          <w:bCs/>
          <w:color w:val="auto"/>
          <w:kern w:val="0"/>
          <w:sz w:val="44"/>
          <w:szCs w:val="44"/>
          <w:lang w:val="en-US" w:eastAsia="zh-CN" w:bidi="ar-SA"/>
        </w:rPr>
      </w:pPr>
    </w:p>
    <w:p w14:paraId="740017B8">
      <w:pPr>
        <w:widowControl w:val="0"/>
        <w:autoSpaceDE w:val="0"/>
        <w:autoSpaceDN w:val="0"/>
        <w:adjustRightInd w:val="0"/>
        <w:spacing w:line="360" w:lineRule="auto"/>
        <w:ind w:firstLine="454"/>
        <w:jc w:val="center"/>
        <w:rPr>
          <w:rFonts w:ascii="Times New Roman" w:hAnsi="Times New Roman" w:eastAsia="宋体" w:cs="Times New Roman"/>
          <w:b/>
          <w:bCs/>
          <w:color w:val="auto"/>
          <w:kern w:val="0"/>
          <w:sz w:val="44"/>
          <w:szCs w:val="44"/>
          <w:lang w:val="en-US" w:eastAsia="zh-CN" w:bidi="ar-SA"/>
        </w:rPr>
      </w:pPr>
    </w:p>
    <w:p w14:paraId="29A8BB0C">
      <w:pPr>
        <w:widowControl w:val="0"/>
        <w:autoSpaceDE w:val="0"/>
        <w:autoSpaceDN w:val="0"/>
        <w:adjustRightInd w:val="0"/>
        <w:spacing w:line="360" w:lineRule="auto"/>
        <w:ind w:firstLine="454"/>
        <w:jc w:val="center"/>
        <w:rPr>
          <w:rFonts w:ascii="Times New Roman" w:hAnsi="Times New Roman" w:eastAsia="宋体" w:cs="Times New Roman"/>
          <w:b/>
          <w:bCs/>
          <w:color w:val="auto"/>
          <w:kern w:val="0"/>
          <w:sz w:val="44"/>
          <w:szCs w:val="44"/>
          <w:lang w:val="en-US" w:eastAsia="zh-CN" w:bidi="ar-SA"/>
        </w:rPr>
      </w:pPr>
    </w:p>
    <w:p w14:paraId="40EA031A">
      <w:pPr>
        <w:widowControl w:val="0"/>
        <w:autoSpaceDE w:val="0"/>
        <w:autoSpaceDN w:val="0"/>
        <w:adjustRightInd w:val="0"/>
        <w:spacing w:line="360" w:lineRule="auto"/>
        <w:ind w:firstLine="454"/>
        <w:jc w:val="center"/>
        <w:rPr>
          <w:rFonts w:ascii="Times New Roman" w:hAnsi="Times New Roman" w:eastAsia="宋体" w:cs="Times New Roman"/>
          <w:b/>
          <w:bCs/>
          <w:color w:val="auto"/>
          <w:kern w:val="0"/>
          <w:sz w:val="44"/>
          <w:szCs w:val="44"/>
          <w:lang w:val="en-US" w:eastAsia="zh-CN" w:bidi="ar-SA"/>
        </w:rPr>
      </w:pPr>
    </w:p>
    <w:p w14:paraId="0128A738">
      <w:pPr>
        <w:spacing w:line="600" w:lineRule="atLeast"/>
        <w:ind w:firstLine="1285" w:firstLineChars="400"/>
        <w:jc w:val="left"/>
        <w:rPr>
          <w:rFonts w:ascii="Times New Roman" w:hAnsi="Times New Roman" w:eastAsia="宋体" w:cs="仿宋"/>
          <w:b/>
          <w:bCs/>
          <w:color w:val="auto"/>
          <w:kern w:val="2"/>
          <w:sz w:val="32"/>
          <w:szCs w:val="32"/>
        </w:rPr>
      </w:pPr>
      <w:r>
        <w:rPr>
          <w:rFonts w:hint="eastAsia" w:ascii="Times New Roman" w:hAnsi="Times New Roman" w:eastAsia="宋体" w:cs="仿宋"/>
          <w:b/>
          <w:bCs/>
          <w:color w:val="auto"/>
          <w:kern w:val="2"/>
          <w:sz w:val="32"/>
          <w:szCs w:val="32"/>
        </w:rPr>
        <w:t>建设单位：中国石化销售股份有限公司</w:t>
      </w:r>
    </w:p>
    <w:p w14:paraId="161A62C2">
      <w:pPr>
        <w:spacing w:line="600" w:lineRule="atLeast"/>
        <w:ind w:firstLine="2891" w:firstLineChars="900"/>
        <w:jc w:val="left"/>
        <w:rPr>
          <w:rFonts w:hint="eastAsia" w:ascii="Times New Roman" w:hAnsi="Times New Roman" w:eastAsia="宋体" w:cs="Times New Roman"/>
          <w:b/>
          <w:bCs/>
          <w:color w:val="auto"/>
          <w:kern w:val="2"/>
          <w:sz w:val="32"/>
          <w:szCs w:val="32"/>
          <w:lang w:eastAsia="zh-CN"/>
        </w:rPr>
      </w:pPr>
      <w:r>
        <w:rPr>
          <w:rFonts w:hint="eastAsia" w:ascii="Times New Roman" w:hAnsi="Times New Roman" w:eastAsia="宋体" w:cs="仿宋"/>
          <w:b/>
          <w:bCs/>
          <w:color w:val="auto"/>
          <w:kern w:val="2"/>
          <w:sz w:val="32"/>
          <w:szCs w:val="32"/>
          <w:lang w:eastAsia="zh-CN"/>
        </w:rPr>
        <w:t>江西赣州兴国石油分公司南坑加油站</w:t>
      </w:r>
    </w:p>
    <w:p w14:paraId="623EE76B">
      <w:pPr>
        <w:spacing w:line="600" w:lineRule="atLeast"/>
        <w:ind w:firstLine="1285" w:firstLineChars="400"/>
        <w:jc w:val="left"/>
        <w:rPr>
          <w:rFonts w:hint="eastAsia" w:ascii="Times New Roman" w:hAnsi="Times New Roman" w:eastAsia="宋体" w:cs="仿宋"/>
          <w:b/>
          <w:bCs/>
          <w:color w:val="auto"/>
          <w:kern w:val="2"/>
          <w:sz w:val="32"/>
          <w:szCs w:val="32"/>
          <w:lang w:val="en-US" w:eastAsia="zh-CN"/>
        </w:rPr>
      </w:pPr>
      <w:r>
        <w:rPr>
          <w:rFonts w:hint="eastAsia" w:ascii="Times New Roman" w:hAnsi="Times New Roman" w:eastAsia="宋体" w:cs="仿宋"/>
          <w:b/>
          <w:bCs/>
          <w:color w:val="auto"/>
          <w:kern w:val="2"/>
          <w:sz w:val="32"/>
          <w:szCs w:val="32"/>
        </w:rPr>
        <w:t>建设单位负责人：</w:t>
      </w:r>
      <w:r>
        <w:rPr>
          <w:rFonts w:hint="eastAsia" w:ascii="Times New Roman" w:hAnsi="Times New Roman" w:eastAsia="宋体" w:cs="仿宋"/>
          <w:b/>
          <w:bCs/>
          <w:color w:val="auto"/>
          <w:kern w:val="2"/>
          <w:sz w:val="32"/>
          <w:szCs w:val="32"/>
          <w:lang w:val="en-US" w:eastAsia="zh-CN"/>
        </w:rPr>
        <w:t>李子丰</w:t>
      </w:r>
    </w:p>
    <w:p w14:paraId="5DEB1D20">
      <w:pPr>
        <w:spacing w:line="600" w:lineRule="atLeast"/>
        <w:ind w:firstLine="1285" w:firstLineChars="400"/>
        <w:jc w:val="left"/>
        <w:rPr>
          <w:rFonts w:hint="eastAsia" w:ascii="Times New Roman" w:hAnsi="Times New Roman" w:eastAsia="宋体" w:cs="仿宋"/>
          <w:b/>
          <w:bCs/>
          <w:color w:val="auto"/>
          <w:kern w:val="2"/>
          <w:sz w:val="32"/>
          <w:szCs w:val="32"/>
          <w:lang w:val="en-US" w:eastAsia="zh-CN"/>
        </w:rPr>
      </w:pPr>
      <w:r>
        <w:rPr>
          <w:rFonts w:hint="eastAsia" w:ascii="Times New Roman" w:hAnsi="Times New Roman" w:eastAsia="宋体" w:cs="仿宋"/>
          <w:b/>
          <w:bCs/>
          <w:color w:val="auto"/>
          <w:kern w:val="2"/>
          <w:sz w:val="32"/>
          <w:szCs w:val="32"/>
        </w:rPr>
        <w:t>建设项目单位主要负责人：</w:t>
      </w:r>
      <w:r>
        <w:rPr>
          <w:rFonts w:hint="eastAsia" w:ascii="Times New Roman" w:hAnsi="Times New Roman" w:eastAsia="宋体" w:cs="仿宋"/>
          <w:b/>
          <w:bCs/>
          <w:color w:val="auto"/>
          <w:kern w:val="2"/>
          <w:sz w:val="32"/>
          <w:szCs w:val="32"/>
          <w:lang w:val="en-US" w:eastAsia="zh-CN"/>
        </w:rPr>
        <w:t>吴兵兵</w:t>
      </w:r>
    </w:p>
    <w:p w14:paraId="7FF58B72">
      <w:pPr>
        <w:spacing w:line="600" w:lineRule="atLeast"/>
        <w:ind w:firstLine="1285" w:firstLineChars="400"/>
        <w:jc w:val="left"/>
        <w:rPr>
          <w:rFonts w:hint="eastAsia" w:ascii="Times New Roman" w:hAnsi="Times New Roman" w:eastAsia="宋体" w:cs="仿宋"/>
          <w:b/>
          <w:bCs/>
          <w:color w:val="auto"/>
          <w:kern w:val="2"/>
          <w:sz w:val="32"/>
          <w:szCs w:val="32"/>
          <w:lang w:val="en-US" w:eastAsia="zh-CN"/>
        </w:rPr>
      </w:pPr>
      <w:r>
        <w:rPr>
          <w:rFonts w:hint="eastAsia" w:ascii="Times New Roman" w:hAnsi="Times New Roman" w:eastAsia="宋体" w:cs="仿宋"/>
          <w:b/>
          <w:bCs/>
          <w:color w:val="auto"/>
          <w:kern w:val="2"/>
          <w:sz w:val="32"/>
          <w:szCs w:val="32"/>
        </w:rPr>
        <w:t>建设项目单位联系人：</w:t>
      </w:r>
      <w:r>
        <w:rPr>
          <w:rFonts w:hint="eastAsia" w:ascii="Times New Roman" w:hAnsi="Times New Roman" w:eastAsia="宋体" w:cs="仿宋"/>
          <w:b/>
          <w:bCs/>
          <w:color w:val="auto"/>
          <w:kern w:val="2"/>
          <w:sz w:val="32"/>
          <w:szCs w:val="32"/>
          <w:lang w:val="en-US" w:eastAsia="zh-CN"/>
        </w:rPr>
        <w:t>吴兵兵</w:t>
      </w:r>
    </w:p>
    <w:p w14:paraId="6D25EDDE">
      <w:pPr>
        <w:spacing w:line="600" w:lineRule="atLeast"/>
        <w:ind w:firstLine="1285" w:firstLineChars="400"/>
        <w:jc w:val="left"/>
        <w:rPr>
          <w:rFonts w:hint="eastAsia" w:ascii="Times New Roman" w:hAnsi="Times New Roman" w:eastAsia="宋体" w:cs="Times New Roman"/>
          <w:b w:val="0"/>
          <w:bCs w:val="0"/>
          <w:color w:val="auto"/>
          <w:kern w:val="2"/>
          <w:sz w:val="32"/>
          <w:szCs w:val="32"/>
          <w:lang w:val="en-US" w:eastAsia="zh-CN"/>
        </w:rPr>
      </w:pPr>
      <w:r>
        <w:rPr>
          <w:rFonts w:hint="eastAsia" w:ascii="Times New Roman" w:hAnsi="Times New Roman" w:eastAsia="宋体" w:cs="仿宋"/>
          <w:b/>
          <w:bCs/>
          <w:color w:val="auto"/>
          <w:kern w:val="2"/>
          <w:sz w:val="32"/>
          <w:szCs w:val="32"/>
        </w:rPr>
        <w:t>建设项目单位联系电话：</w:t>
      </w:r>
      <w:r>
        <w:rPr>
          <w:rFonts w:hint="eastAsia" w:ascii="Times New Roman" w:hAnsi="Times New Roman" w:eastAsia="宋体" w:cs="Times New Roman"/>
          <w:b w:val="0"/>
          <w:bCs w:val="0"/>
          <w:color w:val="auto"/>
          <w:kern w:val="2"/>
          <w:sz w:val="32"/>
          <w:szCs w:val="32"/>
          <w:lang w:val="en-US" w:eastAsia="zh-CN"/>
        </w:rPr>
        <w:t>19179069717</w:t>
      </w:r>
    </w:p>
    <w:p w14:paraId="124FA12A">
      <w:pPr>
        <w:spacing w:line="600" w:lineRule="atLeast"/>
        <w:ind w:firstLine="1280" w:firstLineChars="400"/>
        <w:jc w:val="left"/>
        <w:rPr>
          <w:rFonts w:hint="eastAsia" w:ascii="Times New Roman" w:hAnsi="Times New Roman" w:eastAsia="宋体" w:cs="Times New Roman"/>
          <w:b w:val="0"/>
          <w:bCs w:val="0"/>
          <w:color w:val="auto"/>
          <w:kern w:val="2"/>
          <w:sz w:val="32"/>
          <w:szCs w:val="32"/>
        </w:rPr>
      </w:pPr>
    </w:p>
    <w:p w14:paraId="7051593B">
      <w:pPr>
        <w:spacing w:line="600" w:lineRule="atLeast"/>
        <w:ind w:firstLine="1285" w:firstLineChars="400"/>
        <w:jc w:val="left"/>
        <w:rPr>
          <w:rFonts w:hint="eastAsia" w:ascii="Times New Roman" w:hAnsi="Times New Roman" w:eastAsia="宋体" w:cs="仿宋"/>
          <w:b/>
          <w:bCs/>
          <w:color w:val="auto"/>
          <w:kern w:val="2"/>
          <w:sz w:val="32"/>
          <w:szCs w:val="32"/>
          <w:lang w:eastAsia="zh-CN"/>
        </w:rPr>
      </w:pPr>
    </w:p>
    <w:p w14:paraId="67A443B0">
      <w:pPr>
        <w:spacing w:line="600" w:lineRule="atLeast"/>
        <w:ind w:firstLine="1285" w:firstLineChars="400"/>
        <w:jc w:val="left"/>
        <w:rPr>
          <w:rFonts w:ascii="Times New Roman" w:hAnsi="Times New Roman" w:eastAsia="宋体" w:cs="仿宋"/>
          <w:b/>
          <w:bCs/>
          <w:color w:val="auto"/>
          <w:kern w:val="2"/>
          <w:sz w:val="32"/>
          <w:szCs w:val="32"/>
        </w:rPr>
      </w:pPr>
    </w:p>
    <w:p w14:paraId="59DB540F">
      <w:pPr>
        <w:shd w:val="clear"/>
        <w:spacing w:line="640" w:lineRule="exact"/>
        <w:jc w:val="center"/>
        <w:rPr>
          <w:rFonts w:hint="default" w:ascii="Times New Roman" w:hAnsi="Times New Roman" w:eastAsia="宋体" w:cs="Times New Roman"/>
          <w:b/>
          <w:bCs/>
          <w:color w:val="auto"/>
          <w:kern w:val="2"/>
          <w:sz w:val="32"/>
          <w:szCs w:val="32"/>
          <w:lang w:val="en-US" w:eastAsia="zh-CN"/>
        </w:rPr>
      </w:pPr>
      <w:r>
        <w:rPr>
          <w:rFonts w:hint="eastAsia" w:ascii="Times New Roman" w:hAnsi="Times New Roman" w:eastAsia="宋体" w:cs="Times New Roman"/>
          <w:b/>
          <w:bCs/>
          <w:color w:val="auto"/>
          <w:kern w:val="2"/>
          <w:sz w:val="32"/>
          <w:szCs w:val="32"/>
        </w:rPr>
        <w:t>202</w:t>
      </w:r>
      <w:r>
        <w:rPr>
          <w:rFonts w:hint="eastAsia" w:ascii="Times New Roman" w:hAnsi="Times New Roman" w:eastAsia="宋体" w:cs="Times New Roman"/>
          <w:b/>
          <w:bCs/>
          <w:color w:val="auto"/>
          <w:kern w:val="2"/>
          <w:sz w:val="32"/>
          <w:szCs w:val="32"/>
          <w:lang w:val="en-US" w:eastAsia="zh-CN"/>
        </w:rPr>
        <w:t>6</w:t>
      </w:r>
      <w:r>
        <w:rPr>
          <w:rFonts w:hint="eastAsia" w:ascii="Times New Roman" w:hAnsi="Times New Roman" w:eastAsia="宋体" w:cs="Times New Roman"/>
          <w:b/>
          <w:bCs/>
          <w:color w:val="auto"/>
          <w:kern w:val="2"/>
          <w:sz w:val="32"/>
          <w:szCs w:val="32"/>
        </w:rPr>
        <w:t>年</w:t>
      </w:r>
      <w:r>
        <w:rPr>
          <w:rFonts w:hint="eastAsia" w:ascii="Times New Roman" w:hAnsi="Times New Roman" w:eastAsia="宋体" w:cs="Times New Roman"/>
          <w:b/>
          <w:bCs/>
          <w:color w:val="auto"/>
          <w:kern w:val="2"/>
          <w:sz w:val="32"/>
          <w:szCs w:val="32"/>
          <w:lang w:val="en-US" w:eastAsia="zh-CN"/>
        </w:rPr>
        <w:t>8</w:t>
      </w:r>
      <w:r>
        <w:rPr>
          <w:rFonts w:hint="eastAsia" w:ascii="Times New Roman" w:hAnsi="Times New Roman" w:eastAsia="宋体" w:cs="Times New Roman"/>
          <w:b/>
          <w:bCs/>
          <w:color w:val="auto"/>
          <w:kern w:val="2"/>
          <w:sz w:val="32"/>
          <w:szCs w:val="32"/>
        </w:rPr>
        <w:t>月</w:t>
      </w:r>
      <w:r>
        <w:rPr>
          <w:rFonts w:hint="eastAsia" w:ascii="Times New Roman" w:hAnsi="Times New Roman" w:eastAsia="宋体" w:cs="Times New Roman"/>
          <w:b/>
          <w:bCs/>
          <w:color w:val="auto"/>
          <w:kern w:val="2"/>
          <w:sz w:val="32"/>
          <w:szCs w:val="32"/>
          <w:lang w:val="en-US" w:eastAsia="zh-CN"/>
        </w:rPr>
        <w:t>17日</w:t>
      </w:r>
    </w:p>
    <w:p w14:paraId="4F573034">
      <w:pPr>
        <w:shd w:val="clear"/>
        <w:jc w:val="center"/>
        <w:rPr>
          <w:rFonts w:ascii="Times New Roman" w:hAnsi="Times New Roman" w:eastAsia="宋体" w:cs="Times New Roman"/>
          <w:b/>
          <w:bCs/>
          <w:color w:val="auto"/>
          <w:sz w:val="32"/>
          <w:szCs w:val="32"/>
        </w:rPr>
        <w:sectPr>
          <w:headerReference r:id="rId4" w:type="first"/>
          <w:headerReference r:id="rId3" w:type="default"/>
          <w:footerReference r:id="rId5" w:type="default"/>
          <w:pgSz w:w="11906" w:h="16838"/>
          <w:pgMar w:top="1418" w:right="1418" w:bottom="1418" w:left="1418" w:header="851" w:footer="992" w:gutter="0"/>
          <w:pgBorders>
            <w:top w:val="none" w:sz="0" w:space="0"/>
            <w:left w:val="none" w:sz="0" w:space="0"/>
            <w:bottom w:val="none" w:sz="0" w:space="0"/>
            <w:right w:val="none" w:sz="0" w:space="0"/>
          </w:pgBorders>
          <w:pgNumType w:fmt="upperRoman" w:start="1"/>
          <w:cols w:space="720" w:num="1"/>
          <w:titlePg/>
          <w:docGrid w:type="lines" w:linePitch="312" w:charSpace="0"/>
        </w:sectPr>
      </w:pPr>
    </w:p>
    <w:p w14:paraId="5597BDA9">
      <w:pPr>
        <w:shd w:val="clear"/>
        <w:jc w:val="center"/>
        <w:rPr>
          <w:rFonts w:ascii="Times New Roman" w:hAnsi="Times New Roman" w:eastAsia="宋体" w:cs="宋体"/>
          <w:b/>
          <w:bCs/>
          <w:color w:val="auto"/>
          <w:kern w:val="2"/>
          <w:sz w:val="32"/>
          <w:szCs w:val="32"/>
        </w:rPr>
      </w:pPr>
    </w:p>
    <w:p w14:paraId="776B2448">
      <w:pPr>
        <w:shd w:val="clear"/>
        <w:jc w:val="center"/>
        <w:rPr>
          <w:rFonts w:ascii="Times New Roman" w:hAnsi="Times New Roman" w:eastAsia="宋体" w:cs="宋体"/>
          <w:b/>
          <w:bCs/>
          <w:color w:val="auto"/>
          <w:kern w:val="2"/>
          <w:sz w:val="32"/>
          <w:szCs w:val="32"/>
        </w:rPr>
      </w:pPr>
    </w:p>
    <w:p w14:paraId="3D29752B">
      <w:pPr>
        <w:shd w:val="clear"/>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中国石化销售股份有限公司</w:t>
      </w:r>
    </w:p>
    <w:p w14:paraId="183FBDFE">
      <w:pPr>
        <w:shd w:val="clear"/>
        <w:jc w:val="center"/>
        <w:rPr>
          <w:rFonts w:hint="eastAsia" w:ascii="Times New Roman" w:hAnsi="Times New Roman" w:eastAsia="宋体" w:cs="宋体"/>
          <w:b/>
          <w:bCs/>
          <w:color w:val="auto"/>
          <w:kern w:val="2"/>
          <w:sz w:val="32"/>
          <w:szCs w:val="32"/>
          <w:lang w:eastAsia="zh-CN"/>
        </w:rPr>
      </w:pPr>
      <w:r>
        <w:rPr>
          <w:rFonts w:hint="eastAsia" w:ascii="Times New Roman" w:hAnsi="Times New Roman" w:eastAsia="宋体" w:cs="宋体"/>
          <w:b/>
          <w:bCs/>
          <w:color w:val="auto"/>
          <w:kern w:val="2"/>
          <w:sz w:val="32"/>
          <w:szCs w:val="32"/>
          <w:lang w:eastAsia="zh-CN"/>
        </w:rPr>
        <w:t>江西赣州兴国石油分公司南坑加油站</w:t>
      </w:r>
    </w:p>
    <w:p w14:paraId="30DE7FAD">
      <w:pPr>
        <w:shd w:val="clear"/>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安全设施符合性诊断及整改设计</w:t>
      </w:r>
    </w:p>
    <w:p w14:paraId="0C9C7F98">
      <w:pPr>
        <w:shd w:val="clear"/>
        <w:jc w:val="center"/>
        <w:rPr>
          <w:rFonts w:hint="eastAsia"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安全设施竣工验收评价报告</w:t>
      </w:r>
    </w:p>
    <w:p w14:paraId="1DE84B23">
      <w:pPr>
        <w:widowControl w:val="0"/>
        <w:shd w:val="clear"/>
        <w:autoSpaceDE w:val="0"/>
        <w:autoSpaceDN w:val="0"/>
        <w:adjustRightInd w:val="0"/>
        <w:spacing w:line="360" w:lineRule="auto"/>
        <w:ind w:firstLine="454"/>
        <w:jc w:val="both"/>
        <w:rPr>
          <w:rFonts w:ascii="Times New Roman" w:hAnsi="Times New Roman" w:eastAsia="宋体" w:cs="宋体"/>
          <w:color w:val="auto"/>
          <w:kern w:val="0"/>
          <w:sz w:val="24"/>
          <w:szCs w:val="24"/>
          <w:lang w:val="en-US" w:eastAsia="zh-CN" w:bidi="ar-SA"/>
        </w:rPr>
      </w:pPr>
    </w:p>
    <w:p w14:paraId="0BD9CDEF">
      <w:pPr>
        <w:widowControl w:val="0"/>
        <w:shd w:val="clear"/>
        <w:autoSpaceDE w:val="0"/>
        <w:autoSpaceDN w:val="0"/>
        <w:adjustRightInd w:val="0"/>
        <w:spacing w:line="360" w:lineRule="auto"/>
        <w:ind w:firstLine="454"/>
        <w:jc w:val="both"/>
        <w:rPr>
          <w:rFonts w:ascii="Times New Roman" w:hAnsi="Times New Roman" w:eastAsia="宋体" w:cs="宋体"/>
          <w:color w:val="auto"/>
          <w:kern w:val="0"/>
          <w:sz w:val="24"/>
          <w:szCs w:val="24"/>
          <w:lang w:val="en-US" w:eastAsia="zh-CN" w:bidi="ar-SA"/>
        </w:rPr>
      </w:pPr>
    </w:p>
    <w:p w14:paraId="67169AA9">
      <w:pPr>
        <w:widowControl w:val="0"/>
        <w:shd w:val="clear"/>
        <w:autoSpaceDE w:val="0"/>
        <w:autoSpaceDN w:val="0"/>
        <w:adjustRightInd w:val="0"/>
        <w:spacing w:line="360" w:lineRule="auto"/>
        <w:ind w:firstLine="454"/>
        <w:jc w:val="both"/>
        <w:rPr>
          <w:rFonts w:ascii="Times New Roman" w:hAnsi="Times New Roman" w:eastAsia="宋体" w:cs="宋体"/>
          <w:color w:val="auto"/>
          <w:kern w:val="0"/>
          <w:sz w:val="24"/>
          <w:szCs w:val="24"/>
          <w:lang w:val="en-US" w:eastAsia="zh-CN" w:bidi="ar-SA"/>
        </w:rPr>
      </w:pPr>
    </w:p>
    <w:p w14:paraId="7777510D">
      <w:pPr>
        <w:widowControl w:val="0"/>
        <w:shd w:val="clear"/>
        <w:autoSpaceDE w:val="0"/>
        <w:autoSpaceDN w:val="0"/>
        <w:adjustRightInd w:val="0"/>
        <w:spacing w:line="360" w:lineRule="auto"/>
        <w:ind w:firstLine="454"/>
        <w:jc w:val="center"/>
        <w:rPr>
          <w:rFonts w:ascii="Times New Roman" w:hAnsi="Times New Roman" w:eastAsia="宋体" w:cs="Times New Roman"/>
          <w:color w:val="auto"/>
          <w:kern w:val="0"/>
          <w:sz w:val="24"/>
          <w:szCs w:val="24"/>
          <w:lang w:val="en-US" w:eastAsia="zh-CN" w:bidi="ar-SA"/>
        </w:rPr>
      </w:pPr>
    </w:p>
    <w:p w14:paraId="40DBA430">
      <w:pPr>
        <w:shd w:val="clear"/>
        <w:jc w:val="center"/>
        <w:rPr>
          <w:rFonts w:ascii="Times New Roman" w:hAnsi="Times New Roman" w:eastAsia="宋体" w:cs="Times New Roman"/>
          <w:bCs w:val="0"/>
          <w:color w:val="auto"/>
          <w:kern w:val="2"/>
          <w:sz w:val="28"/>
          <w:szCs w:val="28"/>
        </w:rPr>
      </w:pPr>
    </w:p>
    <w:p w14:paraId="79CC6689">
      <w:pPr>
        <w:shd w:val="clear"/>
        <w:spacing w:line="360" w:lineRule="auto"/>
        <w:ind w:firstLine="640" w:firstLineChars="200"/>
        <w:rPr>
          <w:rFonts w:hint="eastAsia" w:ascii="Times New Roman" w:hAnsi="Times New Roman" w:eastAsia="宋体" w:cs="Calibri"/>
          <w:bCs w:val="0"/>
          <w:color w:val="auto"/>
          <w:kern w:val="0"/>
          <w:sz w:val="32"/>
          <w:szCs w:val="32"/>
          <w:lang w:eastAsia="zh-CN"/>
        </w:rPr>
      </w:pPr>
      <w:r>
        <w:rPr>
          <w:rFonts w:ascii="Times New Roman" w:hAnsi="Times New Roman" w:eastAsia="宋体" w:cs="Calibri"/>
          <w:bCs w:val="0"/>
          <w:color w:val="auto"/>
          <w:kern w:val="0"/>
          <w:sz w:val="32"/>
          <w:szCs w:val="32"/>
        </w:rPr>
        <w:t>评价机构名称：</w:t>
      </w:r>
      <w:r>
        <w:rPr>
          <w:rFonts w:hint="eastAsia" w:ascii="Times New Roman" w:hAnsi="Times New Roman" w:eastAsia="宋体" w:cs="Calibri"/>
          <w:bCs w:val="0"/>
          <w:color w:val="auto"/>
          <w:kern w:val="0"/>
          <w:sz w:val="32"/>
          <w:szCs w:val="32"/>
          <w:lang w:eastAsia="zh-CN"/>
        </w:rPr>
        <w:t>江西赣安安全生产科学技术咨询服务中心</w:t>
      </w:r>
    </w:p>
    <w:p w14:paraId="09D7E6D3">
      <w:pPr>
        <w:shd w:val="clear"/>
        <w:spacing w:line="360" w:lineRule="auto"/>
        <w:ind w:firstLine="640" w:firstLineChars="200"/>
        <w:rPr>
          <w:rFonts w:hint="eastAsia" w:ascii="Times New Roman" w:hAnsi="Times New Roman" w:eastAsia="宋体" w:cs="Calibri"/>
          <w:bCs w:val="0"/>
          <w:color w:val="auto"/>
          <w:kern w:val="0"/>
          <w:sz w:val="32"/>
          <w:szCs w:val="32"/>
          <w:lang w:eastAsia="zh-CN"/>
        </w:rPr>
      </w:pPr>
      <w:r>
        <w:rPr>
          <w:rFonts w:ascii="Times New Roman" w:hAnsi="Times New Roman" w:eastAsia="宋体" w:cs="Calibri"/>
          <w:bCs w:val="0"/>
          <w:color w:val="auto"/>
          <w:kern w:val="0"/>
          <w:sz w:val="32"/>
          <w:szCs w:val="32"/>
        </w:rPr>
        <w:t>资质证书编号：</w:t>
      </w:r>
      <w:r>
        <w:rPr>
          <w:rFonts w:hint="eastAsia" w:ascii="Times New Roman" w:hAnsi="Times New Roman" w:eastAsia="宋体" w:cs="Calibri"/>
          <w:bCs w:val="0"/>
          <w:color w:val="auto"/>
          <w:kern w:val="0"/>
          <w:sz w:val="32"/>
          <w:szCs w:val="32"/>
        </w:rPr>
        <w:t>APJ-（赣）-00</w:t>
      </w:r>
      <w:r>
        <w:rPr>
          <w:rFonts w:hint="eastAsia" w:ascii="Times New Roman" w:hAnsi="Times New Roman" w:eastAsia="宋体" w:cs="Calibri"/>
          <w:bCs w:val="0"/>
          <w:color w:val="auto"/>
          <w:kern w:val="0"/>
          <w:sz w:val="32"/>
          <w:szCs w:val="32"/>
          <w:lang w:val="en-US" w:eastAsia="zh-CN"/>
        </w:rPr>
        <w:t>2</w:t>
      </w:r>
    </w:p>
    <w:p w14:paraId="69AC7B64">
      <w:pPr>
        <w:shd w:val="clear"/>
        <w:spacing w:line="360" w:lineRule="auto"/>
        <w:ind w:firstLine="640" w:firstLineChars="200"/>
        <w:rPr>
          <w:rFonts w:hint="eastAsia" w:ascii="Times New Roman" w:hAnsi="Times New Roman" w:eastAsia="宋体" w:cs="Calibri"/>
          <w:bCs w:val="0"/>
          <w:color w:val="auto"/>
          <w:kern w:val="0"/>
          <w:sz w:val="32"/>
          <w:szCs w:val="32"/>
        </w:rPr>
      </w:pPr>
      <w:r>
        <w:rPr>
          <w:rFonts w:hint="eastAsia" w:ascii="Times New Roman" w:hAnsi="Times New Roman" w:eastAsia="宋体" w:cs="Calibri"/>
          <w:bCs w:val="0"/>
          <w:color w:val="auto"/>
          <w:kern w:val="0"/>
          <w:sz w:val="32"/>
          <w:szCs w:val="32"/>
        </w:rPr>
        <w:t>法定代表人：应  宏</w:t>
      </w:r>
    </w:p>
    <w:p w14:paraId="45EB0760">
      <w:pPr>
        <w:shd w:val="clear"/>
        <w:spacing w:line="360" w:lineRule="auto"/>
        <w:ind w:firstLine="640" w:firstLineChars="200"/>
        <w:rPr>
          <w:rFonts w:hint="eastAsia" w:ascii="Times New Roman" w:hAnsi="Times New Roman" w:eastAsia="宋体" w:cs="Calibri"/>
          <w:bCs w:val="0"/>
          <w:color w:val="auto"/>
          <w:kern w:val="0"/>
          <w:sz w:val="32"/>
          <w:szCs w:val="32"/>
        </w:rPr>
      </w:pPr>
      <w:r>
        <w:rPr>
          <w:rFonts w:hint="eastAsia" w:ascii="Times New Roman" w:hAnsi="Times New Roman" w:eastAsia="宋体" w:cs="Calibri"/>
          <w:bCs w:val="0"/>
          <w:color w:val="auto"/>
          <w:kern w:val="0"/>
          <w:sz w:val="32"/>
          <w:szCs w:val="32"/>
        </w:rPr>
        <w:t>技术负责人：周红波</w:t>
      </w:r>
    </w:p>
    <w:p w14:paraId="4E5B8960">
      <w:pPr>
        <w:shd w:val="clear"/>
        <w:spacing w:line="360" w:lineRule="auto"/>
        <w:ind w:firstLine="640" w:firstLineChars="200"/>
        <w:rPr>
          <w:rFonts w:ascii="Times New Roman" w:hAnsi="Times New Roman" w:eastAsia="宋体" w:cs="Calibri"/>
          <w:bCs w:val="0"/>
          <w:color w:val="auto"/>
          <w:kern w:val="0"/>
          <w:sz w:val="32"/>
          <w:szCs w:val="32"/>
        </w:rPr>
      </w:pPr>
      <w:r>
        <w:rPr>
          <w:rFonts w:hint="eastAsia" w:ascii="Times New Roman" w:hAnsi="Times New Roman" w:eastAsia="宋体" w:cs="Calibri"/>
          <w:bCs w:val="0"/>
          <w:color w:val="auto"/>
          <w:kern w:val="0"/>
          <w:sz w:val="32"/>
          <w:szCs w:val="32"/>
        </w:rPr>
        <w:t>项目负责人：郑  强</w:t>
      </w:r>
    </w:p>
    <w:p w14:paraId="036C6E9B">
      <w:pPr>
        <w:shd w:val="clear"/>
        <w:spacing w:line="360" w:lineRule="auto"/>
        <w:rPr>
          <w:rFonts w:ascii="Times New Roman" w:hAnsi="Times New Roman" w:eastAsia="宋体" w:cs="Calibri"/>
          <w:bCs w:val="0"/>
          <w:color w:val="auto"/>
          <w:kern w:val="0"/>
          <w:sz w:val="32"/>
          <w:szCs w:val="32"/>
        </w:rPr>
      </w:pPr>
    </w:p>
    <w:p w14:paraId="3131A0DB">
      <w:pPr>
        <w:shd w:val="clear"/>
        <w:spacing w:line="360" w:lineRule="auto"/>
        <w:rPr>
          <w:rFonts w:ascii="Times New Roman" w:hAnsi="Times New Roman" w:eastAsia="宋体" w:cs="Calibri"/>
          <w:bCs w:val="0"/>
          <w:color w:val="auto"/>
          <w:kern w:val="0"/>
          <w:sz w:val="32"/>
          <w:szCs w:val="32"/>
        </w:rPr>
      </w:pPr>
    </w:p>
    <w:p w14:paraId="79D839B8">
      <w:pPr>
        <w:shd w:val="clear"/>
        <w:spacing w:line="360" w:lineRule="auto"/>
        <w:rPr>
          <w:rFonts w:ascii="Times New Roman" w:hAnsi="Times New Roman" w:eastAsia="宋体" w:cs="Calibri"/>
          <w:bCs w:val="0"/>
          <w:color w:val="auto"/>
          <w:kern w:val="0"/>
          <w:sz w:val="32"/>
          <w:szCs w:val="32"/>
        </w:rPr>
      </w:pPr>
    </w:p>
    <w:p w14:paraId="6E0E4B06">
      <w:pPr>
        <w:shd w:val="clear"/>
        <w:spacing w:line="360" w:lineRule="auto"/>
        <w:jc w:val="center"/>
        <w:rPr>
          <w:rFonts w:hint="eastAsia" w:ascii="Times New Roman" w:hAnsi="Times New Roman" w:eastAsia="宋体" w:cs="Calibri"/>
          <w:b/>
          <w:bCs/>
          <w:color w:val="auto"/>
          <w:kern w:val="0"/>
          <w:sz w:val="32"/>
          <w:szCs w:val="32"/>
          <w:lang w:eastAsia="zh-CN"/>
        </w:rPr>
      </w:pPr>
      <w:r>
        <w:rPr>
          <w:rFonts w:hint="eastAsia" w:ascii="Times New Roman" w:hAnsi="Times New Roman" w:eastAsia="宋体" w:cs="Calibri"/>
          <w:b/>
          <w:bCs/>
          <w:color w:val="auto"/>
          <w:kern w:val="0"/>
          <w:sz w:val="32"/>
          <w:szCs w:val="32"/>
          <w:lang w:eastAsia="zh-CN"/>
        </w:rPr>
        <w:t>江西赣安安全生产科学技术咨询服务中心</w:t>
      </w:r>
    </w:p>
    <w:p w14:paraId="663BD02B">
      <w:pPr>
        <w:shd w:val="clear"/>
        <w:spacing w:line="360" w:lineRule="auto"/>
        <w:jc w:val="center"/>
        <w:rPr>
          <w:rFonts w:hint="default" w:ascii="Times New Roman" w:hAnsi="Times New Roman" w:eastAsia="宋体" w:cs="Calibri"/>
          <w:b/>
          <w:bCs w:val="0"/>
          <w:color w:val="auto"/>
          <w:kern w:val="0"/>
          <w:sz w:val="32"/>
          <w:szCs w:val="32"/>
          <w:lang w:val="en-US" w:eastAsia="zh-CN"/>
        </w:rPr>
      </w:pPr>
      <w:r>
        <w:rPr>
          <w:rFonts w:hint="eastAsia" w:ascii="Times New Roman" w:hAnsi="Times New Roman" w:eastAsia="宋体" w:cs="Calibri"/>
          <w:b/>
          <w:bCs w:val="0"/>
          <w:color w:val="auto"/>
          <w:kern w:val="0"/>
          <w:sz w:val="32"/>
          <w:szCs w:val="32"/>
        </w:rPr>
        <w:t>202</w:t>
      </w:r>
      <w:r>
        <w:rPr>
          <w:rFonts w:hint="eastAsia" w:ascii="Times New Roman" w:hAnsi="Times New Roman" w:eastAsia="宋体" w:cs="Calibri"/>
          <w:b/>
          <w:bCs w:val="0"/>
          <w:color w:val="auto"/>
          <w:kern w:val="0"/>
          <w:sz w:val="32"/>
          <w:szCs w:val="32"/>
          <w:lang w:val="en-US" w:eastAsia="zh-CN"/>
        </w:rPr>
        <w:t>6</w:t>
      </w:r>
      <w:r>
        <w:rPr>
          <w:rFonts w:hint="eastAsia" w:ascii="Times New Roman" w:hAnsi="Times New Roman" w:eastAsia="宋体" w:cs="Calibri"/>
          <w:b/>
          <w:bCs w:val="0"/>
          <w:color w:val="auto"/>
          <w:kern w:val="0"/>
          <w:sz w:val="32"/>
          <w:szCs w:val="32"/>
        </w:rPr>
        <w:t>年</w:t>
      </w:r>
      <w:r>
        <w:rPr>
          <w:rFonts w:hint="eastAsia" w:ascii="Times New Roman" w:hAnsi="Times New Roman" w:eastAsia="宋体" w:cs="Calibri"/>
          <w:b/>
          <w:bCs w:val="0"/>
          <w:color w:val="auto"/>
          <w:kern w:val="0"/>
          <w:sz w:val="32"/>
          <w:szCs w:val="32"/>
          <w:lang w:val="en-US" w:eastAsia="zh-CN"/>
        </w:rPr>
        <w:t>8</w:t>
      </w:r>
      <w:r>
        <w:rPr>
          <w:rFonts w:hint="eastAsia" w:ascii="Times New Roman" w:hAnsi="Times New Roman" w:eastAsia="宋体" w:cs="Calibri"/>
          <w:b/>
          <w:bCs w:val="0"/>
          <w:color w:val="auto"/>
          <w:kern w:val="0"/>
          <w:sz w:val="32"/>
          <w:szCs w:val="32"/>
        </w:rPr>
        <w:t>月</w:t>
      </w:r>
      <w:r>
        <w:rPr>
          <w:rFonts w:hint="eastAsia" w:ascii="Times New Roman" w:hAnsi="Times New Roman" w:eastAsia="宋体" w:cs="Calibri"/>
          <w:b/>
          <w:bCs w:val="0"/>
          <w:color w:val="auto"/>
          <w:kern w:val="0"/>
          <w:sz w:val="32"/>
          <w:szCs w:val="32"/>
          <w:lang w:val="en-US" w:eastAsia="zh-CN"/>
        </w:rPr>
        <w:t>17日</w:t>
      </w:r>
    </w:p>
    <w:p w14:paraId="523FDE00">
      <w:pPr>
        <w:jc w:val="center"/>
        <w:rPr>
          <w:rFonts w:ascii="Times New Roman" w:hAnsi="Times New Roman" w:eastAsia="宋体" w:cs="Calibri"/>
          <w:bCs w:val="0"/>
          <w:color w:val="0000FF"/>
          <w:kern w:val="2"/>
          <w:sz w:val="36"/>
        </w:rPr>
      </w:pPr>
    </w:p>
    <w:p w14:paraId="0AA5AEE4">
      <w:pPr>
        <w:rPr>
          <w:rFonts w:ascii="Times New Roman" w:hAnsi="Times New Roman" w:eastAsia="宋体" w:cs="Calibri"/>
          <w:bCs w:val="0"/>
          <w:color w:val="0000FF"/>
          <w:kern w:val="2"/>
        </w:rPr>
      </w:pPr>
    </w:p>
    <w:p w14:paraId="287A14CB">
      <w:pPr>
        <w:jc w:val="center"/>
        <w:rPr>
          <w:rFonts w:ascii="Times New Roman" w:hAnsi="Times New Roman" w:eastAsia="宋体" w:cs="宋体"/>
          <w:b/>
          <w:bCs/>
          <w:color w:val="0000FF"/>
          <w:kern w:val="2"/>
          <w:sz w:val="32"/>
          <w:szCs w:val="32"/>
        </w:rPr>
      </w:pPr>
    </w:p>
    <w:p w14:paraId="63224AE4">
      <w:pPr>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中国石化销售股份有限公司</w:t>
      </w:r>
    </w:p>
    <w:p w14:paraId="7BC4801C">
      <w:pPr>
        <w:jc w:val="center"/>
        <w:rPr>
          <w:rFonts w:hint="eastAsia" w:ascii="Times New Roman" w:hAnsi="Times New Roman" w:eastAsia="宋体" w:cs="宋体"/>
          <w:b/>
          <w:bCs/>
          <w:color w:val="auto"/>
          <w:kern w:val="2"/>
          <w:sz w:val="32"/>
          <w:szCs w:val="32"/>
          <w:lang w:eastAsia="zh-CN"/>
        </w:rPr>
      </w:pPr>
      <w:r>
        <w:rPr>
          <w:rFonts w:hint="eastAsia" w:ascii="Times New Roman" w:hAnsi="Times New Roman" w:eastAsia="宋体" w:cs="宋体"/>
          <w:b/>
          <w:bCs/>
          <w:color w:val="auto"/>
          <w:kern w:val="2"/>
          <w:sz w:val="32"/>
          <w:szCs w:val="32"/>
          <w:lang w:eastAsia="zh-CN"/>
        </w:rPr>
        <w:t>江西赣州兴国石油分公司南坑加油站</w:t>
      </w:r>
    </w:p>
    <w:p w14:paraId="438CF907">
      <w:pPr>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安全设施符合性诊断及整改设计</w:t>
      </w:r>
    </w:p>
    <w:p w14:paraId="4CA81001">
      <w:pPr>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安全设施竣工验收评价技术服务承诺书</w:t>
      </w:r>
    </w:p>
    <w:p w14:paraId="3D6912CC">
      <w:pPr>
        <w:jc w:val="center"/>
        <w:rPr>
          <w:rFonts w:ascii="Times New Roman" w:hAnsi="Times New Roman" w:eastAsia="宋体" w:cs="Times New Roman"/>
          <w:b/>
          <w:bCs/>
          <w:color w:val="auto"/>
          <w:kern w:val="0"/>
          <w:sz w:val="36"/>
          <w:szCs w:val="36"/>
        </w:rPr>
      </w:pPr>
    </w:p>
    <w:p w14:paraId="1E146940">
      <w:pPr>
        <w:widowControl/>
        <w:wordWrap w:val="0"/>
        <w:spacing w:line="425" w:lineRule="auto"/>
        <w:jc w:val="left"/>
        <w:rPr>
          <w:rFonts w:ascii="Times New Roman" w:hAnsi="Times New Roman" w:eastAsia="宋体" w:cs="Times New Roman"/>
          <w:bCs w:val="0"/>
          <w:color w:val="auto"/>
          <w:kern w:val="0"/>
          <w:sz w:val="32"/>
          <w:szCs w:val="32"/>
        </w:rPr>
      </w:pPr>
      <w:r>
        <w:rPr>
          <w:rFonts w:ascii="Times New Roman" w:hAnsi="Times New Roman" w:eastAsia="宋体" w:cs="Times New Roman"/>
          <w:bCs w:val="0"/>
          <w:color w:val="auto"/>
          <w:kern w:val="0"/>
          <w:sz w:val="32"/>
          <w:szCs w:val="32"/>
        </w:rPr>
        <w:t xml:space="preserve">    </w:t>
      </w:r>
      <w:r>
        <w:rPr>
          <w:rFonts w:hint="eastAsia" w:ascii="Times New Roman" w:hAnsi="Times New Roman" w:eastAsia="宋体" w:cs="仿宋"/>
          <w:bCs w:val="0"/>
          <w:color w:val="auto"/>
          <w:kern w:val="0"/>
          <w:sz w:val="32"/>
          <w:szCs w:val="32"/>
        </w:rPr>
        <w:t>一、在本项目安全评价活动过程中，我单位严格遵守《安全生产法》及相关法律、法规和标准的要求。</w:t>
      </w:r>
      <w:r>
        <w:rPr>
          <w:rFonts w:ascii="Times New Roman" w:hAnsi="Times New Roman" w:eastAsia="宋体" w:cs="Times New Roman"/>
          <w:bCs w:val="0"/>
          <w:color w:val="auto"/>
          <w:kern w:val="0"/>
          <w:sz w:val="32"/>
          <w:szCs w:val="32"/>
        </w:rPr>
        <w:t xml:space="preserve">   </w:t>
      </w:r>
    </w:p>
    <w:p w14:paraId="38FD6B46">
      <w:pPr>
        <w:widowControl/>
        <w:wordWrap w:val="0"/>
        <w:spacing w:line="425" w:lineRule="auto"/>
        <w:jc w:val="left"/>
        <w:rPr>
          <w:rFonts w:ascii="Times New Roman" w:hAnsi="Times New Roman" w:eastAsia="宋体" w:cs="Times New Roman"/>
          <w:bCs w:val="0"/>
          <w:color w:val="auto"/>
          <w:kern w:val="0"/>
          <w:sz w:val="32"/>
          <w:szCs w:val="32"/>
        </w:rPr>
      </w:pPr>
      <w:r>
        <w:rPr>
          <w:rFonts w:ascii="Times New Roman" w:hAnsi="Times New Roman" w:eastAsia="宋体" w:cs="Times New Roman"/>
          <w:bCs w:val="0"/>
          <w:color w:val="auto"/>
          <w:kern w:val="0"/>
          <w:sz w:val="32"/>
          <w:szCs w:val="32"/>
        </w:rPr>
        <w:t xml:space="preserve">    </w:t>
      </w:r>
      <w:r>
        <w:rPr>
          <w:rFonts w:hint="eastAsia" w:ascii="Times New Roman" w:hAnsi="Times New Roman" w:eastAsia="宋体" w:cs="仿宋"/>
          <w:bCs w:val="0"/>
          <w:color w:val="auto"/>
          <w:kern w:val="0"/>
          <w:sz w:val="32"/>
          <w:szCs w:val="32"/>
        </w:rPr>
        <w:t>二、在本项目安全评价活动过程中，我单位作为第三方，未受到任何组织和个人的干预和影响，依法独立开展工作，保证了技术服务活动的客观公正性。</w:t>
      </w:r>
    </w:p>
    <w:p w14:paraId="6440A165">
      <w:pPr>
        <w:widowControl/>
        <w:wordWrap w:val="0"/>
        <w:spacing w:line="425" w:lineRule="auto"/>
        <w:ind w:firstLine="640" w:firstLineChars="200"/>
        <w:jc w:val="left"/>
        <w:rPr>
          <w:rFonts w:ascii="Times New Roman" w:hAnsi="Times New Roman" w:eastAsia="宋体" w:cs="Times New Roman"/>
          <w:bCs w:val="0"/>
          <w:color w:val="auto"/>
          <w:kern w:val="0"/>
          <w:sz w:val="32"/>
          <w:szCs w:val="32"/>
        </w:rPr>
      </w:pPr>
      <w:r>
        <w:rPr>
          <w:rFonts w:hint="eastAsia" w:ascii="Times New Roman" w:hAnsi="Times New Roman" w:eastAsia="宋体" w:cs="仿宋"/>
          <w:bCs w:val="0"/>
          <w:color w:val="auto"/>
          <w:kern w:val="0"/>
          <w:sz w:val="32"/>
          <w:szCs w:val="32"/>
        </w:rPr>
        <w:t>三、我单位按照实事求是的原则，对本项目进行安全评价，确保出具的报告均真实有效，报告所提出的措施具有针对性、有效性和可行性。</w:t>
      </w:r>
    </w:p>
    <w:p w14:paraId="58B833F9">
      <w:pPr>
        <w:widowControl/>
        <w:wordWrap w:val="0"/>
        <w:spacing w:line="425" w:lineRule="auto"/>
        <w:ind w:firstLine="640" w:firstLineChars="200"/>
        <w:jc w:val="left"/>
        <w:rPr>
          <w:rFonts w:ascii="Times New Roman" w:hAnsi="Times New Roman" w:eastAsia="宋体" w:cs="Times New Roman"/>
          <w:bCs w:val="0"/>
          <w:color w:val="auto"/>
          <w:kern w:val="0"/>
          <w:sz w:val="32"/>
          <w:szCs w:val="32"/>
        </w:rPr>
      </w:pPr>
      <w:r>
        <w:rPr>
          <w:rFonts w:hint="eastAsia" w:ascii="Times New Roman" w:hAnsi="Times New Roman" w:eastAsia="宋体" w:cs="仿宋"/>
          <w:bCs w:val="0"/>
          <w:color w:val="auto"/>
          <w:kern w:val="0"/>
          <w:sz w:val="32"/>
          <w:szCs w:val="32"/>
        </w:rPr>
        <w:t>四、我单位对本项目安全评价报告中结论性内容承担法律责任。</w:t>
      </w:r>
    </w:p>
    <w:p w14:paraId="0F3B2E63">
      <w:pPr>
        <w:widowControl/>
        <w:wordWrap w:val="0"/>
        <w:spacing w:before="100" w:beforeAutospacing="1" w:after="100" w:afterAutospacing="1" w:line="425" w:lineRule="auto"/>
        <w:ind w:firstLine="480"/>
        <w:jc w:val="left"/>
        <w:rPr>
          <w:rFonts w:ascii="Times New Roman" w:hAnsi="Times New Roman" w:eastAsia="宋体" w:cs="Times New Roman"/>
          <w:bCs w:val="0"/>
          <w:color w:val="auto"/>
          <w:kern w:val="0"/>
          <w:sz w:val="32"/>
          <w:szCs w:val="32"/>
        </w:rPr>
      </w:pPr>
      <w:r>
        <w:rPr>
          <w:rFonts w:ascii="Times New Roman" w:hAnsi="Times New Roman" w:eastAsia="宋体" w:cs="Times New Roman"/>
          <w:bCs w:val="0"/>
          <w:color w:val="auto"/>
          <w:kern w:val="0"/>
          <w:sz w:val="32"/>
          <w:szCs w:val="32"/>
        </w:rPr>
        <w:t xml:space="preserve">                      </w:t>
      </w:r>
    </w:p>
    <w:p w14:paraId="460A4843">
      <w:pPr>
        <w:widowControl/>
        <w:wordWrap w:val="0"/>
        <w:spacing w:before="100" w:beforeAutospacing="1" w:after="100" w:afterAutospacing="1" w:line="425" w:lineRule="auto"/>
        <w:ind w:firstLine="480"/>
        <w:jc w:val="right"/>
        <w:rPr>
          <w:rFonts w:ascii="Times New Roman" w:hAnsi="Times New Roman" w:eastAsia="宋体" w:cs="Times New Roman"/>
          <w:bCs w:val="0"/>
          <w:color w:val="auto"/>
          <w:kern w:val="0"/>
          <w:sz w:val="32"/>
          <w:szCs w:val="32"/>
        </w:rPr>
      </w:pPr>
      <w:r>
        <w:rPr>
          <w:rFonts w:ascii="Times New Roman" w:hAnsi="Times New Roman" w:eastAsia="宋体" w:cs="Times New Roman"/>
          <w:bCs w:val="0"/>
          <w:color w:val="auto"/>
          <w:kern w:val="0"/>
          <w:sz w:val="32"/>
          <w:szCs w:val="32"/>
        </w:rPr>
        <w:t xml:space="preserve">      </w:t>
      </w:r>
      <w:r>
        <w:rPr>
          <w:rFonts w:hint="eastAsia" w:ascii="Times New Roman" w:hAnsi="Times New Roman" w:eastAsia="宋体" w:cs="宋体"/>
          <w:bCs w:val="0"/>
          <w:color w:val="auto"/>
          <w:kern w:val="0"/>
          <w:sz w:val="32"/>
          <w:szCs w:val="32"/>
          <w:lang w:eastAsia="zh-CN"/>
        </w:rPr>
        <w:t>江西赣安安全生产科学技术咨询服务中心</w:t>
      </w:r>
      <w:r>
        <w:rPr>
          <w:rFonts w:hint="eastAsia" w:ascii="Times New Roman" w:hAnsi="Times New Roman" w:eastAsia="宋体" w:cs="宋体"/>
          <w:bCs w:val="0"/>
          <w:color w:val="auto"/>
          <w:kern w:val="0"/>
          <w:sz w:val="32"/>
          <w:szCs w:val="32"/>
        </w:rPr>
        <w:t>（公章）</w:t>
      </w:r>
    </w:p>
    <w:p w14:paraId="73311D2A">
      <w:pPr>
        <w:widowControl/>
        <w:wordWrap w:val="0"/>
        <w:spacing w:before="100" w:beforeAutospacing="1" w:after="100" w:afterAutospacing="1" w:line="425" w:lineRule="auto"/>
        <w:ind w:firstLine="480"/>
        <w:jc w:val="right"/>
        <w:rPr>
          <w:rFonts w:ascii="Times New Roman" w:hAnsi="Times New Roman" w:eastAsia="宋体" w:cs="Times New Roman"/>
          <w:bCs w:val="0"/>
          <w:color w:val="auto"/>
          <w:kern w:val="0"/>
          <w:sz w:val="32"/>
          <w:szCs w:val="32"/>
        </w:rPr>
      </w:pPr>
      <w:r>
        <w:rPr>
          <w:rFonts w:ascii="Times New Roman" w:hAnsi="Times New Roman" w:eastAsia="宋体" w:cs="Times New Roman"/>
          <w:bCs w:val="0"/>
          <w:color w:val="auto"/>
          <w:kern w:val="0"/>
          <w:sz w:val="32"/>
          <w:szCs w:val="32"/>
        </w:rPr>
        <w:t xml:space="preserve">                  </w:t>
      </w:r>
      <w:r>
        <w:rPr>
          <w:rFonts w:ascii="Times New Roman" w:hAnsi="Times New Roman" w:eastAsia="宋体" w:cs="Times New Roman"/>
          <w:bCs w:val="0"/>
          <w:color w:val="auto"/>
          <w:kern w:val="0"/>
          <w:sz w:val="32"/>
          <w:szCs w:val="32"/>
          <w:shd w:val="clear"/>
        </w:rPr>
        <w:t xml:space="preserve">      </w:t>
      </w:r>
      <w:r>
        <w:rPr>
          <w:rFonts w:hint="eastAsia" w:ascii="Times New Roman" w:hAnsi="Times New Roman" w:eastAsia="宋体" w:cs="Times New Roman"/>
          <w:bCs w:val="0"/>
          <w:color w:val="auto"/>
          <w:kern w:val="0"/>
          <w:sz w:val="32"/>
          <w:szCs w:val="32"/>
          <w:shd w:val="clear"/>
        </w:rPr>
        <w:t>202</w:t>
      </w:r>
      <w:r>
        <w:rPr>
          <w:rFonts w:hint="eastAsia" w:ascii="Times New Roman" w:hAnsi="Times New Roman" w:eastAsia="宋体" w:cs="Times New Roman"/>
          <w:bCs w:val="0"/>
          <w:color w:val="auto"/>
          <w:kern w:val="0"/>
          <w:sz w:val="32"/>
          <w:szCs w:val="32"/>
          <w:shd w:val="clear"/>
          <w:lang w:val="en-US" w:eastAsia="zh-CN"/>
        </w:rPr>
        <w:t>6</w:t>
      </w:r>
      <w:r>
        <w:rPr>
          <w:rFonts w:hint="eastAsia" w:ascii="Times New Roman" w:hAnsi="Times New Roman" w:eastAsia="宋体" w:cs="Times New Roman"/>
          <w:bCs w:val="0"/>
          <w:color w:val="auto"/>
          <w:kern w:val="0"/>
          <w:sz w:val="32"/>
          <w:szCs w:val="32"/>
          <w:shd w:val="clear"/>
        </w:rPr>
        <w:t>年</w:t>
      </w:r>
      <w:r>
        <w:rPr>
          <w:rFonts w:hint="eastAsia" w:ascii="Times New Roman" w:hAnsi="Times New Roman" w:eastAsia="宋体" w:cs="Times New Roman"/>
          <w:bCs w:val="0"/>
          <w:color w:val="auto"/>
          <w:kern w:val="0"/>
          <w:sz w:val="32"/>
          <w:szCs w:val="32"/>
          <w:shd w:val="clear"/>
          <w:lang w:val="en-US" w:eastAsia="zh-CN"/>
        </w:rPr>
        <w:t>8</w:t>
      </w:r>
      <w:r>
        <w:rPr>
          <w:rFonts w:hint="eastAsia" w:ascii="Times New Roman" w:hAnsi="Times New Roman" w:eastAsia="宋体" w:cs="Times New Roman"/>
          <w:bCs w:val="0"/>
          <w:color w:val="auto"/>
          <w:kern w:val="0"/>
          <w:sz w:val="32"/>
          <w:szCs w:val="32"/>
          <w:shd w:val="clear"/>
        </w:rPr>
        <w:t>月</w:t>
      </w:r>
      <w:r>
        <w:rPr>
          <w:rFonts w:hint="eastAsia" w:ascii="Times New Roman" w:hAnsi="Times New Roman" w:eastAsia="宋体" w:cs="Times New Roman"/>
          <w:bCs w:val="0"/>
          <w:color w:val="auto"/>
          <w:kern w:val="0"/>
          <w:sz w:val="32"/>
          <w:szCs w:val="32"/>
          <w:shd w:val="clear"/>
          <w:lang w:val="en-US" w:eastAsia="zh-CN"/>
        </w:rPr>
        <w:t>17日</w:t>
      </w:r>
      <w:r>
        <w:rPr>
          <w:rFonts w:ascii="Times New Roman" w:hAnsi="Times New Roman" w:eastAsia="宋体" w:cs="Times New Roman"/>
          <w:bCs w:val="0"/>
          <w:color w:val="auto"/>
          <w:kern w:val="0"/>
          <w:sz w:val="32"/>
          <w:szCs w:val="32"/>
          <w:shd w:val="clear"/>
        </w:rPr>
        <w:t xml:space="preserve"> </w:t>
      </w:r>
    </w:p>
    <w:p w14:paraId="570F8EB2">
      <w:pPr>
        <w:rPr>
          <w:rFonts w:ascii="Times New Roman" w:hAnsi="Times New Roman" w:eastAsia="宋体" w:cs="宋体"/>
          <w:b/>
          <w:bCs/>
          <w:color w:val="auto"/>
          <w:kern w:val="2"/>
          <w:sz w:val="36"/>
          <w:szCs w:val="36"/>
        </w:rPr>
      </w:pPr>
      <w:r>
        <w:rPr>
          <w:rFonts w:hint="eastAsia" w:ascii="Times New Roman" w:hAnsi="Times New Roman" w:eastAsia="宋体" w:cs="宋体"/>
          <w:b/>
          <w:bCs/>
          <w:color w:val="auto"/>
          <w:kern w:val="2"/>
          <w:sz w:val="36"/>
          <w:szCs w:val="36"/>
        </w:rPr>
        <w:br w:type="page"/>
      </w:r>
    </w:p>
    <w:p w14:paraId="137B10B3">
      <w:pPr>
        <w:widowControl w:val="0"/>
        <w:spacing w:before="0" w:beforeLines="0" w:line="240" w:lineRule="auto"/>
        <w:jc w:val="center"/>
        <w:outlineLvl w:val="9"/>
        <w:rPr>
          <w:rFonts w:ascii="Times New Roman" w:hAnsi="Times New Roman" w:eastAsia="宋体" w:cs="宋体"/>
          <w:b/>
          <w:color w:val="0000FF"/>
          <w:kern w:val="2"/>
          <w:sz w:val="36"/>
          <w:szCs w:val="36"/>
          <w:lang w:val="en-US" w:eastAsia="zh-CN" w:bidi="ar-SA"/>
        </w:rPr>
      </w:pPr>
    </w:p>
    <w:p w14:paraId="0B9E121A">
      <w:pPr>
        <w:widowControl w:val="0"/>
        <w:spacing w:before="0" w:beforeLines="0" w:line="240" w:lineRule="auto"/>
        <w:jc w:val="center"/>
        <w:outlineLvl w:val="9"/>
        <w:rPr>
          <w:rFonts w:ascii="Times New Roman" w:hAnsi="Times New Roman" w:eastAsia="宋体" w:cs="宋体"/>
          <w:b/>
          <w:color w:val="auto"/>
          <w:kern w:val="2"/>
          <w:sz w:val="36"/>
          <w:szCs w:val="36"/>
          <w:lang w:val="en-US" w:eastAsia="zh-CN" w:bidi="ar-SA"/>
        </w:rPr>
      </w:pPr>
      <w:r>
        <w:rPr>
          <w:rFonts w:hint="eastAsia" w:ascii="Times New Roman" w:hAnsi="Times New Roman" w:eastAsia="宋体" w:cs="宋体"/>
          <w:b/>
          <w:color w:val="auto"/>
          <w:kern w:val="2"/>
          <w:sz w:val="36"/>
          <w:szCs w:val="36"/>
          <w:lang w:val="en-US" w:eastAsia="zh-CN" w:bidi="ar-SA"/>
        </w:rPr>
        <w:t>安全评价人员</w:t>
      </w:r>
    </w:p>
    <w:p w14:paraId="48AC843C">
      <w:pPr>
        <w:jc w:val="center"/>
        <w:rPr>
          <w:rFonts w:ascii="Times New Roman" w:hAnsi="Times New Roman" w:eastAsia="宋体" w:cs="Calibri"/>
          <w:b/>
          <w:bCs/>
          <w:color w:val="auto"/>
          <w:kern w:val="2"/>
          <w:sz w:val="32"/>
        </w:rPr>
      </w:pPr>
    </w:p>
    <w:tbl>
      <w:tblPr>
        <w:tblStyle w:val="7"/>
        <w:tblW w:w="48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8"/>
        <w:gridCol w:w="1031"/>
        <w:gridCol w:w="3576"/>
        <w:gridCol w:w="1536"/>
        <w:gridCol w:w="1186"/>
      </w:tblGrid>
      <w:tr w14:paraId="364F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tcBorders>
              <w:top w:val="single" w:color="auto" w:sz="4" w:space="0"/>
              <w:left w:val="single" w:color="auto" w:sz="4" w:space="0"/>
              <w:bottom w:val="single" w:color="auto" w:sz="4" w:space="0"/>
              <w:right w:val="single" w:color="auto" w:sz="4" w:space="0"/>
            </w:tcBorders>
            <w:noWrap w:val="0"/>
            <w:vAlign w:val="center"/>
          </w:tcPr>
          <w:p w14:paraId="3163A49B">
            <w:pPr>
              <w:jc w:val="center"/>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noWrap w:val="0"/>
            <w:vAlign w:val="center"/>
          </w:tcPr>
          <w:p w14:paraId="2FE59CC9">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姓</w:t>
            </w:r>
            <w:r>
              <w:rPr>
                <w:rFonts w:ascii="Times New Roman" w:hAnsi="Times New Roman" w:eastAsia="宋体" w:cs="Times New Roman"/>
                <w:bCs w:val="0"/>
                <w:color w:val="auto"/>
                <w:kern w:val="2"/>
                <w:sz w:val="24"/>
                <w:szCs w:val="24"/>
                <w:highlight w:val="none"/>
              </w:rPr>
              <w:t xml:space="preserve">  </w:t>
            </w:r>
            <w:r>
              <w:rPr>
                <w:rFonts w:hint="eastAsia" w:ascii="Times New Roman" w:hAnsi="Times New Roman" w:eastAsia="宋体" w:cs="宋体"/>
                <w:bCs w:val="0"/>
                <w:color w:val="auto"/>
                <w:kern w:val="2"/>
                <w:sz w:val="24"/>
                <w:szCs w:val="24"/>
                <w:highlight w:val="none"/>
              </w:rPr>
              <w:t>名</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446CDF84">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职业资格证书编号</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1D7A6926">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从业信息</w:t>
            </w:r>
          </w:p>
          <w:p w14:paraId="6890BF8B">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识别卡编号</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73FEC399">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签</w:t>
            </w:r>
            <w:r>
              <w:rPr>
                <w:rFonts w:ascii="Times New Roman" w:hAnsi="Times New Roman" w:eastAsia="宋体" w:cs="Times New Roman"/>
                <w:bCs w:val="0"/>
                <w:color w:val="auto"/>
                <w:kern w:val="2"/>
                <w:sz w:val="24"/>
                <w:szCs w:val="24"/>
                <w:highlight w:val="none"/>
              </w:rPr>
              <w:t xml:space="preserve">  </w:t>
            </w:r>
            <w:r>
              <w:rPr>
                <w:rFonts w:hint="eastAsia" w:ascii="Times New Roman" w:hAnsi="Times New Roman" w:eastAsia="宋体" w:cs="宋体"/>
                <w:bCs w:val="0"/>
                <w:color w:val="auto"/>
                <w:kern w:val="2"/>
                <w:sz w:val="24"/>
                <w:szCs w:val="24"/>
                <w:highlight w:val="none"/>
              </w:rPr>
              <w:t>字</w:t>
            </w:r>
          </w:p>
        </w:tc>
      </w:tr>
      <w:tr w14:paraId="6C4D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tcBorders>
              <w:top w:val="single" w:color="auto" w:sz="4" w:space="0"/>
              <w:left w:val="single" w:color="auto" w:sz="4" w:space="0"/>
              <w:bottom w:val="single" w:color="auto" w:sz="4" w:space="0"/>
              <w:right w:val="single" w:color="auto" w:sz="4" w:space="0"/>
            </w:tcBorders>
            <w:noWrap w:val="0"/>
            <w:vAlign w:val="center"/>
          </w:tcPr>
          <w:p w14:paraId="3CCED383">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项目负责人</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1F664D0B">
            <w:pPr>
              <w:spacing w:line="400" w:lineRule="exact"/>
              <w:jc w:val="center"/>
              <w:rPr>
                <w:rFonts w:ascii="Times New Roman" w:hAnsi="Times New Roman" w:eastAsia="宋体" w:cs="Times New Roman"/>
                <w:bCs w:val="0"/>
                <w:color w:val="auto"/>
                <w:kern w:val="2"/>
                <w:sz w:val="24"/>
                <w:szCs w:val="24"/>
                <w:highlight w:val="none"/>
              </w:rPr>
            </w:pPr>
            <w:r>
              <w:rPr>
                <w:rFonts w:ascii="Times New Roman" w:hAnsi="Times New Roman" w:eastAsia="宋体" w:cs="Times New Roman"/>
                <w:bCs w:val="0"/>
                <w:color w:val="auto"/>
                <w:kern w:val="2"/>
                <w:sz w:val="24"/>
                <w:szCs w:val="24"/>
                <w:highlight w:val="none"/>
              </w:rPr>
              <w:t>郑  强</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4CA5687F">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0138957</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39DA65FE">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36110112733</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0BB7EA6D">
            <w:pPr>
              <w:jc w:val="center"/>
              <w:rPr>
                <w:rFonts w:ascii="Times New Roman" w:hAnsi="Times New Roman" w:eastAsia="宋体" w:cs="Times New Roman"/>
                <w:bCs w:val="0"/>
                <w:color w:val="auto"/>
                <w:kern w:val="2"/>
                <w:sz w:val="24"/>
                <w:szCs w:val="24"/>
                <w:highlight w:val="none"/>
              </w:rPr>
            </w:pPr>
          </w:p>
        </w:tc>
      </w:tr>
      <w:tr w14:paraId="4A55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vMerge w:val="restart"/>
            <w:tcBorders>
              <w:top w:val="single" w:color="auto" w:sz="4" w:space="0"/>
              <w:left w:val="single" w:color="auto" w:sz="4" w:space="0"/>
              <w:right w:val="single" w:color="auto" w:sz="4" w:space="0"/>
            </w:tcBorders>
            <w:noWrap w:val="0"/>
            <w:vAlign w:val="center"/>
          </w:tcPr>
          <w:p w14:paraId="7DF89CD0">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项目组成员</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11A6D9FA">
            <w:pPr>
              <w:spacing w:line="400" w:lineRule="exact"/>
              <w:jc w:val="center"/>
              <w:rPr>
                <w:rFonts w:ascii="Times New Roman" w:hAnsi="Times New Roman" w:eastAsia="宋体" w:cs="Times New Roman"/>
                <w:bCs w:val="0"/>
                <w:color w:val="auto"/>
                <w:kern w:val="2"/>
                <w:sz w:val="24"/>
                <w:szCs w:val="24"/>
                <w:highlight w:val="none"/>
              </w:rPr>
            </w:pPr>
            <w:r>
              <w:rPr>
                <w:rFonts w:ascii="Times New Roman" w:hAnsi="Times New Roman" w:eastAsia="宋体" w:cs="Times New Roman"/>
                <w:bCs w:val="0"/>
                <w:color w:val="auto"/>
                <w:kern w:val="2"/>
                <w:sz w:val="24"/>
                <w:szCs w:val="24"/>
                <w:highlight w:val="none"/>
              </w:rPr>
              <w:t>郑  强</w:t>
            </w:r>
          </w:p>
        </w:tc>
        <w:tc>
          <w:tcPr>
            <w:tcW w:w="3000" w:type="dxa"/>
            <w:tcBorders>
              <w:top w:val="single" w:color="auto" w:sz="4" w:space="0"/>
              <w:left w:val="single" w:color="auto" w:sz="4" w:space="0"/>
              <w:bottom w:val="single" w:color="auto" w:sz="4" w:space="0"/>
              <w:right w:val="single" w:color="auto" w:sz="4" w:space="0"/>
            </w:tcBorders>
            <w:noWrap w:val="0"/>
            <w:vAlign w:val="center"/>
          </w:tcPr>
          <w:p w14:paraId="1EBCB25C">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0138957</w:t>
            </w:r>
          </w:p>
        </w:tc>
        <w:tc>
          <w:tcPr>
            <w:tcW w:w="1595" w:type="dxa"/>
            <w:tcBorders>
              <w:top w:val="single" w:color="auto" w:sz="4" w:space="0"/>
              <w:left w:val="single" w:color="auto" w:sz="4" w:space="0"/>
              <w:bottom w:val="single" w:color="auto" w:sz="4" w:space="0"/>
              <w:right w:val="single" w:color="auto" w:sz="4" w:space="0"/>
            </w:tcBorders>
            <w:noWrap w:val="0"/>
            <w:vAlign w:val="center"/>
          </w:tcPr>
          <w:p w14:paraId="054CBD11">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36110112733</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5CC00657">
            <w:pPr>
              <w:jc w:val="center"/>
              <w:rPr>
                <w:rFonts w:ascii="Times New Roman" w:hAnsi="Times New Roman" w:eastAsia="宋体" w:cs="Times New Roman"/>
                <w:bCs w:val="0"/>
                <w:color w:val="auto"/>
                <w:kern w:val="2"/>
                <w:sz w:val="24"/>
                <w:szCs w:val="24"/>
                <w:highlight w:val="none"/>
              </w:rPr>
            </w:pPr>
          </w:p>
        </w:tc>
      </w:tr>
      <w:tr w14:paraId="5230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vMerge w:val="continue"/>
            <w:tcBorders>
              <w:left w:val="single" w:color="auto" w:sz="4" w:space="0"/>
              <w:right w:val="single" w:color="auto" w:sz="4" w:space="0"/>
            </w:tcBorders>
            <w:noWrap w:val="0"/>
            <w:vAlign w:val="center"/>
          </w:tcPr>
          <w:p w14:paraId="272D6BDC">
            <w:pPr>
              <w:widowControl/>
              <w:jc w:val="left"/>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noWrap w:val="0"/>
            <w:vAlign w:val="center"/>
          </w:tcPr>
          <w:p w14:paraId="77F7B337">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王  波</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453C793F">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2022100463600000016</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2B97B85D">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36250406368</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6E77F1B6">
            <w:pPr>
              <w:spacing w:line="520" w:lineRule="exact"/>
              <w:jc w:val="center"/>
              <w:rPr>
                <w:rFonts w:ascii="Times New Roman" w:hAnsi="Times New Roman" w:eastAsia="宋体" w:cs="Times New Roman"/>
                <w:bCs w:val="0"/>
                <w:color w:val="auto"/>
                <w:kern w:val="2"/>
                <w:sz w:val="24"/>
                <w:szCs w:val="24"/>
                <w:highlight w:val="none"/>
              </w:rPr>
            </w:pPr>
          </w:p>
        </w:tc>
      </w:tr>
      <w:tr w14:paraId="33CA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vMerge w:val="continue"/>
            <w:tcBorders>
              <w:left w:val="single" w:color="auto" w:sz="4" w:space="0"/>
              <w:right w:val="single" w:color="auto" w:sz="4" w:space="0"/>
            </w:tcBorders>
            <w:noWrap w:val="0"/>
            <w:vAlign w:val="center"/>
          </w:tcPr>
          <w:p w14:paraId="6C540283">
            <w:pPr>
              <w:widowControl/>
              <w:jc w:val="left"/>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noWrap w:val="0"/>
            <w:vAlign w:val="center"/>
          </w:tcPr>
          <w:p w14:paraId="4FDD9BD4">
            <w:pPr>
              <w:spacing w:line="400" w:lineRule="exact"/>
              <w:jc w:val="center"/>
              <w:rPr>
                <w:rFonts w:hint="eastAsia" w:ascii="Times New Roman" w:hAnsi="Times New Roman" w:eastAsia="宋体" w:cs="Times New Roman"/>
                <w:bCs w:val="0"/>
                <w:color w:val="auto"/>
                <w:kern w:val="2"/>
                <w:sz w:val="24"/>
                <w:szCs w:val="24"/>
                <w:highlight w:val="none"/>
                <w:lang w:val="en-US" w:eastAsia="zh-CN" w:bidi="ar-SA"/>
              </w:rPr>
            </w:pPr>
            <w:r>
              <w:rPr>
                <w:rFonts w:hint="eastAsia" w:ascii="Times New Roman" w:hAnsi="Times New Roman" w:eastAsia="宋体" w:cs="宋体"/>
                <w:bCs w:val="0"/>
                <w:color w:val="auto"/>
                <w:kern w:val="2"/>
                <w:sz w:val="24"/>
                <w:szCs w:val="24"/>
                <w:highlight w:val="none"/>
              </w:rPr>
              <w:t>谢寒梅</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05DDF17A">
            <w:pPr>
              <w:spacing w:line="400" w:lineRule="exact"/>
              <w:jc w:val="center"/>
              <w:rPr>
                <w:rFonts w:hint="eastAsia" w:ascii="Times New Roman" w:hAnsi="Times New Roman" w:eastAsia="宋体" w:cs="Times New Roman"/>
                <w:bCs w:val="0"/>
                <w:color w:val="auto"/>
                <w:kern w:val="2"/>
                <w:sz w:val="24"/>
                <w:szCs w:val="24"/>
                <w:highlight w:val="none"/>
                <w:lang w:val="en-US" w:eastAsia="zh-CN" w:bidi="ar-SA"/>
              </w:rPr>
            </w:pPr>
            <w:r>
              <w:rPr>
                <w:rFonts w:hint="eastAsia" w:ascii="Times New Roman" w:hAnsi="Times New Roman" w:eastAsia="宋体" w:cs="Times New Roman"/>
                <w:bCs w:val="0"/>
                <w:color w:val="auto"/>
                <w:kern w:val="2"/>
                <w:sz w:val="24"/>
                <w:szCs w:val="24"/>
                <w:highlight w:val="none"/>
                <w:lang w:bidi="ar"/>
              </w:rPr>
              <w:t>2013033360330000003312360008</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514AC830">
            <w:pPr>
              <w:spacing w:line="400" w:lineRule="exact"/>
              <w:jc w:val="center"/>
              <w:rPr>
                <w:rFonts w:hint="eastAsia" w:ascii="Times New Roman" w:hAnsi="Times New Roman" w:eastAsia="宋体" w:cs="Times New Roman"/>
                <w:bCs w:val="0"/>
                <w:color w:val="auto"/>
                <w:kern w:val="2"/>
                <w:sz w:val="24"/>
                <w:szCs w:val="24"/>
                <w:highlight w:val="none"/>
                <w:lang w:val="en-US" w:eastAsia="zh-CN" w:bidi="ar-SA"/>
              </w:rPr>
            </w:pPr>
            <w:r>
              <w:rPr>
                <w:rFonts w:hint="eastAsia" w:ascii="Times New Roman" w:hAnsi="Times New Roman" w:eastAsia="宋体" w:cs="Times New Roman"/>
                <w:bCs w:val="0"/>
                <w:color w:val="auto"/>
                <w:kern w:val="2"/>
                <w:sz w:val="24"/>
                <w:szCs w:val="24"/>
                <w:highlight w:val="none"/>
              </w:rPr>
              <w:t>36140160899</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47E88DE6">
            <w:pPr>
              <w:spacing w:line="520" w:lineRule="exact"/>
              <w:jc w:val="center"/>
              <w:rPr>
                <w:rFonts w:ascii="Times New Roman" w:hAnsi="Times New Roman" w:eastAsia="宋体" w:cs="Times New Roman"/>
                <w:bCs w:val="0"/>
                <w:color w:val="auto"/>
                <w:kern w:val="2"/>
                <w:sz w:val="24"/>
                <w:szCs w:val="24"/>
                <w:highlight w:val="none"/>
              </w:rPr>
            </w:pPr>
          </w:p>
        </w:tc>
      </w:tr>
      <w:tr w14:paraId="26BE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vMerge w:val="continue"/>
            <w:tcBorders>
              <w:left w:val="single" w:color="auto" w:sz="4" w:space="0"/>
              <w:right w:val="single" w:color="auto" w:sz="4" w:space="0"/>
            </w:tcBorders>
            <w:noWrap w:val="0"/>
            <w:vAlign w:val="center"/>
          </w:tcPr>
          <w:p w14:paraId="075E6AC8">
            <w:pPr>
              <w:widowControl/>
              <w:jc w:val="left"/>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noWrap w:val="0"/>
            <w:vAlign w:val="center"/>
          </w:tcPr>
          <w:p w14:paraId="13A9A0F5">
            <w:pPr>
              <w:spacing w:line="400" w:lineRule="exact"/>
              <w:jc w:val="center"/>
              <w:rPr>
                <w:rFonts w:hint="eastAsia" w:ascii="Times New Roman" w:hAnsi="Times New Roman" w:eastAsia="宋体" w:cs="宋体"/>
                <w:bCs w:val="0"/>
                <w:color w:val="auto"/>
                <w:kern w:val="2"/>
                <w:sz w:val="24"/>
                <w:szCs w:val="24"/>
                <w:highlight w:val="none"/>
              </w:rPr>
            </w:pPr>
            <w:r>
              <w:rPr>
                <w:rFonts w:hint="eastAsia" w:ascii="Times New Roman" w:hAnsi="Times New Roman" w:eastAsia="宋体" w:cs="宋体"/>
                <w:bCs w:val="0"/>
                <w:color w:val="auto"/>
                <w:kern w:val="2"/>
                <w:sz w:val="24"/>
                <w:szCs w:val="24"/>
                <w:highlight w:val="none"/>
                <w:lang w:eastAsia="zh-CN"/>
              </w:rPr>
              <w:t>黄伯扬</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2D23AA77">
            <w:pPr>
              <w:spacing w:line="400" w:lineRule="exact"/>
              <w:jc w:val="center"/>
              <w:rPr>
                <w:rFonts w:hint="eastAsia" w:ascii="Times New Roman" w:hAnsi="Times New Roman" w:eastAsia="宋体" w:cs="Times New Roman"/>
                <w:bCs w:val="0"/>
                <w:color w:val="auto"/>
                <w:kern w:val="2"/>
                <w:sz w:val="24"/>
                <w:szCs w:val="24"/>
                <w:highlight w:val="none"/>
                <w:lang w:val="en-US" w:eastAsia="zh-CN" w:bidi="ar"/>
              </w:rPr>
            </w:pPr>
            <w:r>
              <w:rPr>
                <w:rFonts w:hint="eastAsia" w:ascii="Times New Roman" w:hAnsi="Times New Roman" w:eastAsia="宋体" w:cs="Times New Roman"/>
                <w:bCs w:val="0"/>
                <w:color w:val="auto"/>
                <w:kern w:val="2"/>
                <w:sz w:val="24"/>
                <w:szCs w:val="24"/>
                <w:highlight w:val="none"/>
                <w:lang w:val="en-US" w:eastAsia="zh-CN" w:bidi="ar"/>
              </w:rPr>
              <w:t>2017033360332017360</w:t>
            </w:r>
          </w:p>
          <w:p w14:paraId="5BCF3309">
            <w:pPr>
              <w:spacing w:line="400" w:lineRule="exact"/>
              <w:jc w:val="center"/>
              <w:rPr>
                <w:rFonts w:hint="eastAsia" w:ascii="Times New Roman" w:hAnsi="Times New Roman" w:eastAsia="宋体" w:cs="Times New Roman"/>
                <w:bCs w:val="0"/>
                <w:color w:val="auto"/>
                <w:kern w:val="2"/>
                <w:sz w:val="24"/>
                <w:szCs w:val="24"/>
                <w:highlight w:val="none"/>
                <w:lang w:bidi="ar"/>
              </w:rPr>
            </w:pPr>
            <w:r>
              <w:rPr>
                <w:rFonts w:hint="eastAsia" w:ascii="Times New Roman" w:hAnsi="Times New Roman" w:eastAsia="宋体" w:cs="Times New Roman"/>
                <w:bCs w:val="0"/>
                <w:color w:val="auto"/>
                <w:kern w:val="2"/>
                <w:sz w:val="24"/>
                <w:szCs w:val="24"/>
                <w:highlight w:val="none"/>
                <w:lang w:val="en-US" w:eastAsia="zh-CN" w:bidi="ar"/>
              </w:rPr>
              <w:t>733000088</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13452CB6">
            <w:pPr>
              <w:spacing w:line="400" w:lineRule="exact"/>
              <w:jc w:val="center"/>
              <w:rPr>
                <w:rFonts w:hint="eastAsia"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36190212639</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6AE47F89">
            <w:pPr>
              <w:spacing w:line="520" w:lineRule="exact"/>
              <w:jc w:val="center"/>
              <w:rPr>
                <w:rFonts w:ascii="Times New Roman" w:hAnsi="Times New Roman" w:eastAsia="宋体" w:cs="Times New Roman"/>
                <w:bCs w:val="0"/>
                <w:color w:val="auto"/>
                <w:kern w:val="2"/>
                <w:sz w:val="24"/>
                <w:szCs w:val="24"/>
                <w:highlight w:val="none"/>
              </w:rPr>
            </w:pPr>
          </w:p>
        </w:tc>
      </w:tr>
      <w:tr w14:paraId="39ED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vMerge w:val="continue"/>
            <w:tcBorders>
              <w:left w:val="single" w:color="auto" w:sz="4" w:space="0"/>
              <w:right w:val="single" w:color="auto" w:sz="4" w:space="0"/>
            </w:tcBorders>
            <w:noWrap w:val="0"/>
            <w:vAlign w:val="center"/>
          </w:tcPr>
          <w:p w14:paraId="43A1712F">
            <w:pPr>
              <w:widowControl/>
              <w:jc w:val="left"/>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noWrap w:val="0"/>
            <w:vAlign w:val="center"/>
          </w:tcPr>
          <w:p w14:paraId="422036AD">
            <w:pPr>
              <w:spacing w:line="400" w:lineRule="exact"/>
              <w:jc w:val="center"/>
              <w:rPr>
                <w:rFonts w:hint="eastAsia" w:ascii="Times New Roman" w:hAnsi="Times New Roman" w:eastAsia="宋体" w:cs="宋体"/>
                <w:bCs w:val="0"/>
                <w:color w:val="auto"/>
                <w:kern w:val="2"/>
                <w:sz w:val="24"/>
                <w:szCs w:val="24"/>
                <w:highlight w:val="none"/>
                <w:lang w:val="en-US" w:eastAsia="zh-CN"/>
              </w:rPr>
            </w:pPr>
            <w:r>
              <w:rPr>
                <w:rFonts w:hint="eastAsia" w:ascii="Times New Roman" w:hAnsi="Times New Roman" w:eastAsia="宋体" w:cs="宋体"/>
                <w:bCs w:val="0"/>
                <w:color w:val="auto"/>
                <w:kern w:val="2"/>
                <w:sz w:val="24"/>
                <w:szCs w:val="24"/>
                <w:highlight w:val="none"/>
                <w:lang w:eastAsia="zh-CN"/>
              </w:rPr>
              <w:t>朱世斌</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342ACC26">
            <w:pPr>
              <w:spacing w:line="400" w:lineRule="exact"/>
              <w:jc w:val="center"/>
              <w:rPr>
                <w:rFonts w:hint="default" w:ascii="Times New Roman" w:hAnsi="Times New Roman" w:eastAsia="宋体" w:cs="Times New Roman"/>
                <w:bCs w:val="0"/>
                <w:color w:val="auto"/>
                <w:kern w:val="2"/>
                <w:sz w:val="24"/>
                <w:szCs w:val="24"/>
                <w:highlight w:val="none"/>
                <w:lang w:val="en-US" w:eastAsia="zh-CN" w:bidi="ar"/>
              </w:rPr>
            </w:pPr>
            <w:r>
              <w:rPr>
                <w:rFonts w:hint="eastAsia" w:ascii="Times New Roman" w:hAnsi="Times New Roman" w:eastAsia="宋体" w:cs="Times New Roman"/>
                <w:bCs w:val="0"/>
                <w:color w:val="auto"/>
                <w:kern w:val="2"/>
                <w:sz w:val="24"/>
                <w:szCs w:val="24"/>
                <w:highlight w:val="none"/>
                <w:lang w:val="en-US" w:eastAsia="zh-CN" w:bidi="ar"/>
              </w:rPr>
              <w:t>03320241036000000156</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28A5E108">
            <w:pPr>
              <w:spacing w:line="400" w:lineRule="exact"/>
              <w:jc w:val="center"/>
              <w:rPr>
                <w:rFonts w:hint="default" w:ascii="Times New Roman" w:hAnsi="Times New Roman" w:eastAsia="宋体" w:cs="Times New Roman"/>
                <w:bCs w:val="0"/>
                <w:color w:val="auto"/>
                <w:kern w:val="2"/>
                <w:sz w:val="24"/>
                <w:szCs w:val="24"/>
                <w:highlight w:val="none"/>
                <w:lang w:val="en-US" w:eastAsia="zh-CN" w:bidi="ar-SA"/>
              </w:rPr>
            </w:pPr>
            <w:r>
              <w:rPr>
                <w:rFonts w:hint="eastAsia" w:ascii="Times New Roman" w:hAnsi="Times New Roman" w:eastAsia="宋体" w:cs="Times New Roman"/>
                <w:bCs w:val="0"/>
                <w:color w:val="auto"/>
                <w:kern w:val="2"/>
                <w:sz w:val="24"/>
                <w:szCs w:val="24"/>
                <w:highlight w:val="none"/>
                <w:lang w:val="en-US" w:eastAsia="zh-CN"/>
              </w:rPr>
              <w:t>36250423318</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7850172F">
            <w:pPr>
              <w:spacing w:line="520" w:lineRule="exact"/>
              <w:jc w:val="center"/>
              <w:rPr>
                <w:rFonts w:ascii="Times New Roman" w:hAnsi="Times New Roman" w:eastAsia="宋体" w:cs="Times New Roman"/>
                <w:bCs w:val="0"/>
                <w:color w:val="auto"/>
                <w:kern w:val="2"/>
                <w:sz w:val="24"/>
                <w:szCs w:val="24"/>
                <w:highlight w:val="none"/>
              </w:rPr>
            </w:pPr>
          </w:p>
        </w:tc>
      </w:tr>
      <w:tr w14:paraId="20C1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46" w:type="pct"/>
            <w:vMerge w:val="continue"/>
            <w:tcBorders>
              <w:left w:val="single" w:color="auto" w:sz="4" w:space="0"/>
              <w:right w:val="single" w:color="auto" w:sz="4" w:space="0"/>
            </w:tcBorders>
            <w:noWrap w:val="0"/>
            <w:vAlign w:val="center"/>
          </w:tcPr>
          <w:p w14:paraId="59284308">
            <w:pPr>
              <w:widowControl/>
              <w:jc w:val="left"/>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right w:val="single" w:color="auto" w:sz="4" w:space="0"/>
            </w:tcBorders>
            <w:noWrap w:val="0"/>
            <w:vAlign w:val="center"/>
          </w:tcPr>
          <w:p w14:paraId="5A72C4F5">
            <w:pPr>
              <w:spacing w:line="400" w:lineRule="exact"/>
              <w:jc w:val="center"/>
              <w:rPr>
                <w:rFonts w:hint="eastAsia" w:ascii="Times New Roman" w:hAnsi="Times New Roman" w:eastAsia="宋体" w:cs="宋体"/>
                <w:bCs w:val="0"/>
                <w:color w:val="auto"/>
                <w:kern w:val="2"/>
                <w:sz w:val="24"/>
                <w:szCs w:val="24"/>
                <w:highlight w:val="none"/>
                <w:lang w:eastAsia="zh-CN"/>
              </w:rPr>
            </w:pPr>
            <w:r>
              <w:rPr>
                <w:rFonts w:hint="eastAsia" w:ascii="Times New Roman" w:hAnsi="Times New Roman" w:eastAsia="宋体" w:cs="宋体"/>
                <w:bCs w:val="0"/>
                <w:color w:val="auto"/>
                <w:kern w:val="2"/>
                <w:sz w:val="24"/>
                <w:szCs w:val="24"/>
                <w:highlight w:val="none"/>
                <w:lang w:eastAsia="zh-CN"/>
              </w:rPr>
              <w:t>王书杰</w:t>
            </w:r>
          </w:p>
        </w:tc>
        <w:tc>
          <w:tcPr>
            <w:tcW w:w="1650" w:type="pct"/>
            <w:tcBorders>
              <w:top w:val="single" w:color="auto" w:sz="4" w:space="0"/>
              <w:left w:val="single" w:color="auto" w:sz="4" w:space="0"/>
              <w:right w:val="single" w:color="auto" w:sz="4" w:space="0"/>
            </w:tcBorders>
            <w:noWrap w:val="0"/>
            <w:vAlign w:val="center"/>
          </w:tcPr>
          <w:p w14:paraId="0BFB1BD9">
            <w:pPr>
              <w:spacing w:line="400" w:lineRule="exact"/>
              <w:jc w:val="center"/>
              <w:rPr>
                <w:rFonts w:hint="eastAsia" w:ascii="Times New Roman" w:hAnsi="Times New Roman" w:eastAsia="宋体" w:cs="Times New Roman"/>
                <w:bCs w:val="0"/>
                <w:color w:val="auto"/>
                <w:kern w:val="2"/>
                <w:sz w:val="24"/>
                <w:szCs w:val="24"/>
                <w:highlight w:val="none"/>
                <w:lang w:bidi="ar"/>
              </w:rPr>
            </w:pPr>
            <w:r>
              <w:rPr>
                <w:rFonts w:hint="eastAsia" w:ascii="Times New Roman" w:hAnsi="Times New Roman" w:eastAsia="宋体" w:cs="Times New Roman"/>
                <w:bCs w:val="0"/>
                <w:color w:val="auto"/>
                <w:kern w:val="2"/>
                <w:sz w:val="24"/>
                <w:szCs w:val="24"/>
                <w:highlight w:val="none"/>
                <w:lang w:bidi="ar"/>
              </w:rPr>
              <w:t>20231004636000000428</w:t>
            </w:r>
          </w:p>
        </w:tc>
        <w:tc>
          <w:tcPr>
            <w:tcW w:w="877" w:type="pct"/>
            <w:tcBorders>
              <w:top w:val="single" w:color="auto" w:sz="4" w:space="0"/>
              <w:left w:val="single" w:color="auto" w:sz="4" w:space="0"/>
              <w:right w:val="single" w:color="auto" w:sz="4" w:space="0"/>
            </w:tcBorders>
            <w:noWrap w:val="0"/>
            <w:vAlign w:val="center"/>
          </w:tcPr>
          <w:p w14:paraId="3275DA9B">
            <w:pPr>
              <w:spacing w:line="400" w:lineRule="exact"/>
              <w:jc w:val="center"/>
              <w:rPr>
                <w:rFonts w:hint="eastAsia"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36250406361</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06A82B07">
            <w:pPr>
              <w:spacing w:line="520" w:lineRule="exact"/>
              <w:jc w:val="center"/>
              <w:rPr>
                <w:rFonts w:ascii="Times New Roman" w:hAnsi="Times New Roman" w:eastAsia="宋体" w:cs="Times New Roman"/>
                <w:bCs w:val="0"/>
                <w:color w:val="auto"/>
                <w:kern w:val="2"/>
                <w:sz w:val="24"/>
                <w:szCs w:val="24"/>
                <w:highlight w:val="none"/>
              </w:rPr>
            </w:pPr>
          </w:p>
        </w:tc>
      </w:tr>
      <w:tr w14:paraId="06BE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46" w:type="pct"/>
            <w:vMerge w:val="restart"/>
            <w:tcBorders>
              <w:left w:val="single" w:color="auto" w:sz="4" w:space="0"/>
              <w:right w:val="single" w:color="auto" w:sz="4" w:space="0"/>
            </w:tcBorders>
            <w:noWrap w:val="0"/>
            <w:vAlign w:val="center"/>
          </w:tcPr>
          <w:p w14:paraId="576E35D7">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报告编制人</w:t>
            </w:r>
          </w:p>
        </w:tc>
        <w:tc>
          <w:tcPr>
            <w:tcW w:w="1175" w:type="dxa"/>
            <w:tcBorders>
              <w:top w:val="single" w:color="auto" w:sz="4" w:space="0"/>
              <w:left w:val="single" w:color="auto" w:sz="4" w:space="0"/>
              <w:right w:val="single" w:color="auto" w:sz="4" w:space="0"/>
            </w:tcBorders>
            <w:noWrap w:val="0"/>
            <w:vAlign w:val="center"/>
          </w:tcPr>
          <w:p w14:paraId="60C648B7">
            <w:pPr>
              <w:spacing w:line="400" w:lineRule="exact"/>
              <w:jc w:val="center"/>
              <w:rPr>
                <w:rFonts w:hint="eastAsia" w:ascii="Times New Roman" w:hAnsi="Times New Roman" w:eastAsia="宋体" w:cs="宋体"/>
                <w:bCs w:val="0"/>
                <w:color w:val="auto"/>
                <w:kern w:val="2"/>
                <w:sz w:val="24"/>
                <w:szCs w:val="24"/>
                <w:highlight w:val="none"/>
                <w:lang w:eastAsia="zh-CN"/>
              </w:rPr>
            </w:pPr>
            <w:r>
              <w:rPr>
                <w:rFonts w:ascii="Times New Roman" w:hAnsi="Times New Roman" w:eastAsia="宋体" w:cs="Times New Roman"/>
                <w:bCs w:val="0"/>
                <w:color w:val="auto"/>
                <w:kern w:val="2"/>
                <w:sz w:val="24"/>
                <w:szCs w:val="24"/>
                <w:highlight w:val="none"/>
              </w:rPr>
              <w:t>郑  强</w:t>
            </w:r>
          </w:p>
        </w:tc>
        <w:tc>
          <w:tcPr>
            <w:tcW w:w="3000" w:type="dxa"/>
            <w:tcBorders>
              <w:top w:val="single" w:color="auto" w:sz="4" w:space="0"/>
              <w:left w:val="single" w:color="auto" w:sz="4" w:space="0"/>
              <w:right w:val="single" w:color="auto" w:sz="4" w:space="0"/>
            </w:tcBorders>
            <w:noWrap w:val="0"/>
            <w:vAlign w:val="center"/>
          </w:tcPr>
          <w:p w14:paraId="1ABA8FF2">
            <w:pPr>
              <w:spacing w:line="400" w:lineRule="exact"/>
              <w:jc w:val="center"/>
              <w:rPr>
                <w:rFonts w:hint="eastAsia" w:ascii="Times New Roman" w:hAnsi="Times New Roman" w:eastAsia="宋体" w:cs="Times New Roman"/>
                <w:bCs w:val="0"/>
                <w:color w:val="auto"/>
                <w:kern w:val="2"/>
                <w:sz w:val="24"/>
                <w:szCs w:val="24"/>
                <w:highlight w:val="none"/>
                <w:lang w:bidi="ar"/>
              </w:rPr>
            </w:pPr>
            <w:r>
              <w:rPr>
                <w:rFonts w:hint="eastAsia" w:ascii="Times New Roman" w:hAnsi="Times New Roman" w:eastAsia="宋体" w:cs="Times New Roman"/>
                <w:bCs w:val="0"/>
                <w:color w:val="auto"/>
                <w:kern w:val="2"/>
                <w:sz w:val="24"/>
                <w:szCs w:val="24"/>
                <w:highlight w:val="none"/>
              </w:rPr>
              <w:t>0138957</w:t>
            </w:r>
          </w:p>
        </w:tc>
        <w:tc>
          <w:tcPr>
            <w:tcW w:w="1595" w:type="dxa"/>
            <w:tcBorders>
              <w:top w:val="single" w:color="auto" w:sz="4" w:space="0"/>
              <w:left w:val="single" w:color="auto" w:sz="4" w:space="0"/>
              <w:right w:val="single" w:color="auto" w:sz="4" w:space="0"/>
            </w:tcBorders>
            <w:noWrap w:val="0"/>
            <w:vAlign w:val="center"/>
          </w:tcPr>
          <w:p w14:paraId="086D3EE7">
            <w:pPr>
              <w:spacing w:line="400" w:lineRule="exact"/>
              <w:jc w:val="center"/>
              <w:rPr>
                <w:rFonts w:hint="eastAsia"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36110112733</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434450D0">
            <w:pPr>
              <w:spacing w:line="520" w:lineRule="exact"/>
              <w:jc w:val="center"/>
              <w:rPr>
                <w:rFonts w:ascii="Times New Roman" w:hAnsi="Times New Roman" w:eastAsia="宋体" w:cs="Times New Roman"/>
                <w:bCs w:val="0"/>
                <w:color w:val="auto"/>
                <w:kern w:val="2"/>
                <w:sz w:val="24"/>
                <w:szCs w:val="24"/>
                <w:highlight w:val="none"/>
              </w:rPr>
            </w:pPr>
          </w:p>
        </w:tc>
      </w:tr>
      <w:tr w14:paraId="2F0F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vMerge w:val="continue"/>
            <w:tcBorders>
              <w:left w:val="single" w:color="auto" w:sz="4" w:space="0"/>
              <w:right w:val="single" w:color="auto" w:sz="4" w:space="0"/>
            </w:tcBorders>
            <w:noWrap w:val="0"/>
            <w:vAlign w:val="center"/>
          </w:tcPr>
          <w:p w14:paraId="36699896">
            <w:pPr>
              <w:jc w:val="center"/>
              <w:rPr>
                <w:rFonts w:ascii="Times New Roman" w:hAnsi="Times New Roman" w:eastAsia="宋体" w:cs="Times New Roman"/>
                <w:bCs w:val="0"/>
                <w:color w:val="auto"/>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noWrap w:val="0"/>
            <w:vAlign w:val="center"/>
          </w:tcPr>
          <w:p w14:paraId="5B67AB31">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lang w:eastAsia="zh-CN"/>
              </w:rPr>
              <w:t>王书杰</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09EB73FE">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lang w:bidi="ar"/>
              </w:rPr>
              <w:t>20231004636000000428</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6EDFD472">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36250406361</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6F84AB60">
            <w:pPr>
              <w:spacing w:line="520" w:lineRule="exact"/>
              <w:jc w:val="center"/>
              <w:rPr>
                <w:rFonts w:ascii="Times New Roman" w:hAnsi="Times New Roman" w:eastAsia="宋体" w:cs="Times New Roman"/>
                <w:bCs w:val="0"/>
                <w:color w:val="auto"/>
                <w:kern w:val="2"/>
                <w:sz w:val="24"/>
                <w:szCs w:val="24"/>
                <w:highlight w:val="none"/>
              </w:rPr>
            </w:pPr>
          </w:p>
        </w:tc>
      </w:tr>
      <w:tr w14:paraId="7883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tcBorders>
              <w:top w:val="single" w:color="auto" w:sz="4" w:space="0"/>
              <w:left w:val="single" w:color="auto" w:sz="4" w:space="0"/>
              <w:bottom w:val="single" w:color="auto" w:sz="4" w:space="0"/>
              <w:right w:val="single" w:color="auto" w:sz="4" w:space="0"/>
            </w:tcBorders>
            <w:noWrap w:val="0"/>
            <w:vAlign w:val="center"/>
          </w:tcPr>
          <w:p w14:paraId="4284B93D">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报告审核人</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40319C7F">
            <w:pPr>
              <w:spacing w:line="400" w:lineRule="exact"/>
              <w:jc w:val="center"/>
              <w:rPr>
                <w:rFonts w:hint="eastAsia" w:ascii="Times New Roman" w:hAnsi="Times New Roman" w:eastAsia="宋体" w:cs="Times New Roman"/>
                <w:bCs w:val="0"/>
                <w:color w:val="auto"/>
                <w:kern w:val="2"/>
                <w:sz w:val="24"/>
                <w:szCs w:val="24"/>
                <w:highlight w:val="none"/>
                <w:lang w:eastAsia="zh-CN"/>
              </w:rPr>
            </w:pPr>
            <w:r>
              <w:rPr>
                <w:rFonts w:hint="eastAsia" w:ascii="Times New Roman" w:hAnsi="Times New Roman" w:eastAsia="宋体" w:cs="宋体"/>
                <w:bCs w:val="0"/>
                <w:color w:val="auto"/>
                <w:kern w:val="2"/>
                <w:sz w:val="24"/>
                <w:szCs w:val="24"/>
                <w:highlight w:val="none"/>
                <w:lang w:eastAsia="zh-CN"/>
              </w:rPr>
              <w:t>黄香港</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24BECC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 w:val="0"/>
                <w:bCs w:val="0"/>
                <w:color w:val="auto"/>
                <w:kern w:val="2"/>
                <w:sz w:val="24"/>
                <w:szCs w:val="24"/>
                <w:highlight w:val="none"/>
                <w:lang w:val="en-US" w:eastAsia="zh-CN" w:bidi="ar-SA"/>
              </w:rPr>
              <w:t>20181003336000032</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2C0A71D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 w:val="0"/>
                <w:bCs w:val="0"/>
                <w:color w:val="auto"/>
                <w:kern w:val="2"/>
                <w:sz w:val="24"/>
                <w:szCs w:val="24"/>
                <w:highlight w:val="none"/>
                <w:lang w:val="en-US" w:eastAsia="zh-CN" w:bidi="ar-SA"/>
              </w:rPr>
              <w:t>19210262067</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4BCDEFA2">
            <w:pPr>
              <w:jc w:val="center"/>
              <w:rPr>
                <w:rFonts w:ascii="Times New Roman" w:hAnsi="Times New Roman" w:eastAsia="宋体" w:cs="Times New Roman"/>
                <w:bCs w:val="0"/>
                <w:color w:val="auto"/>
                <w:kern w:val="2"/>
                <w:sz w:val="24"/>
                <w:szCs w:val="24"/>
                <w:highlight w:val="none"/>
              </w:rPr>
            </w:pPr>
          </w:p>
        </w:tc>
      </w:tr>
      <w:tr w14:paraId="41C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tcBorders>
              <w:top w:val="single" w:color="auto" w:sz="4" w:space="0"/>
              <w:left w:val="single" w:color="auto" w:sz="4" w:space="0"/>
              <w:bottom w:val="single" w:color="auto" w:sz="4" w:space="0"/>
              <w:right w:val="single" w:color="auto" w:sz="4" w:space="0"/>
            </w:tcBorders>
            <w:noWrap w:val="0"/>
            <w:vAlign w:val="center"/>
          </w:tcPr>
          <w:p w14:paraId="064777B8">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过程控制负责人</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2F07F064">
            <w:pPr>
              <w:spacing w:line="400" w:lineRule="exact"/>
              <w:jc w:val="center"/>
              <w:rPr>
                <w:rFonts w:hint="eastAsia" w:ascii="Times New Roman" w:hAnsi="Times New Roman" w:eastAsia="宋体" w:cs="Times New Roman"/>
                <w:bCs w:val="0"/>
                <w:color w:val="auto"/>
                <w:kern w:val="2"/>
                <w:sz w:val="24"/>
                <w:szCs w:val="24"/>
                <w:highlight w:val="none"/>
                <w:lang w:eastAsia="zh-CN"/>
              </w:rPr>
            </w:pPr>
            <w:r>
              <w:rPr>
                <w:rFonts w:hint="eastAsia" w:ascii="Times New Roman" w:hAnsi="Times New Roman" w:eastAsia="宋体" w:cs="Times New Roman"/>
                <w:bCs w:val="0"/>
                <w:color w:val="auto"/>
                <w:kern w:val="2"/>
                <w:sz w:val="24"/>
                <w:szCs w:val="24"/>
                <w:highlight w:val="none"/>
              </w:rPr>
              <w:t>王  冠</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5BE1445E">
            <w:pPr>
              <w:spacing w:line="400" w:lineRule="exact"/>
              <w:jc w:val="center"/>
              <w:rPr>
                <w:rFonts w:hint="default" w:ascii="Times New Roman" w:hAnsi="Times New Roman" w:eastAsia="宋体" w:cs="Times New Roman"/>
                <w:bCs w:val="0"/>
                <w:color w:val="auto"/>
                <w:kern w:val="2"/>
                <w:sz w:val="24"/>
                <w:szCs w:val="24"/>
                <w:highlight w:val="none"/>
                <w:lang w:val="en-US" w:eastAsia="zh-CN"/>
              </w:rPr>
            </w:pPr>
            <w:r>
              <w:rPr>
                <w:rFonts w:hint="eastAsia" w:ascii="Times New Roman" w:hAnsi="Times New Roman" w:eastAsia="宋体" w:cs="Times New Roman"/>
                <w:bCs w:val="0"/>
                <w:color w:val="auto"/>
                <w:kern w:val="2"/>
                <w:sz w:val="24"/>
                <w:szCs w:val="24"/>
                <w:highlight w:val="none"/>
              </w:rPr>
              <w:t>2014033360332014360734000408</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0D947C40">
            <w:pPr>
              <w:spacing w:line="400" w:lineRule="exact"/>
              <w:jc w:val="center"/>
              <w:rPr>
                <w:rFonts w:hint="default" w:ascii="Times New Roman" w:hAnsi="Times New Roman" w:eastAsia="宋体" w:cs="Times New Roman"/>
                <w:bCs w:val="0"/>
                <w:color w:val="auto"/>
                <w:kern w:val="2"/>
                <w:sz w:val="24"/>
                <w:szCs w:val="24"/>
                <w:highlight w:val="none"/>
                <w:lang w:val="en-US" w:eastAsia="zh-CN"/>
              </w:rPr>
            </w:pPr>
            <w:r>
              <w:rPr>
                <w:rFonts w:hint="eastAsia" w:ascii="Times New Roman" w:hAnsi="Times New Roman" w:eastAsia="宋体" w:cs="Times New Roman"/>
                <w:bCs w:val="0"/>
                <w:color w:val="auto"/>
                <w:kern w:val="2"/>
                <w:sz w:val="24"/>
                <w:szCs w:val="24"/>
                <w:highlight w:val="none"/>
              </w:rPr>
              <w:t>36190212636</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17A614C4">
            <w:pPr>
              <w:jc w:val="center"/>
              <w:rPr>
                <w:rFonts w:ascii="Times New Roman" w:hAnsi="Times New Roman" w:eastAsia="宋体" w:cs="Times New Roman"/>
                <w:bCs w:val="0"/>
                <w:color w:val="auto"/>
                <w:kern w:val="2"/>
                <w:sz w:val="24"/>
                <w:szCs w:val="24"/>
                <w:highlight w:val="none"/>
              </w:rPr>
            </w:pPr>
          </w:p>
        </w:tc>
      </w:tr>
      <w:tr w14:paraId="3D11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46" w:type="pct"/>
            <w:tcBorders>
              <w:top w:val="single" w:color="auto" w:sz="4" w:space="0"/>
              <w:left w:val="single" w:color="auto" w:sz="4" w:space="0"/>
              <w:bottom w:val="single" w:color="auto" w:sz="4" w:space="0"/>
              <w:right w:val="single" w:color="auto" w:sz="4" w:space="0"/>
            </w:tcBorders>
            <w:noWrap w:val="0"/>
            <w:vAlign w:val="center"/>
          </w:tcPr>
          <w:p w14:paraId="24F39ECE">
            <w:pPr>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技术负责人</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41E4A7B1">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宋体"/>
                <w:bCs w:val="0"/>
                <w:color w:val="auto"/>
                <w:kern w:val="2"/>
                <w:sz w:val="24"/>
                <w:szCs w:val="24"/>
                <w:highlight w:val="none"/>
              </w:rPr>
              <w:t>周红波</w:t>
            </w:r>
          </w:p>
        </w:tc>
        <w:tc>
          <w:tcPr>
            <w:tcW w:w="1650" w:type="pct"/>
            <w:tcBorders>
              <w:top w:val="single" w:color="auto" w:sz="4" w:space="0"/>
              <w:left w:val="single" w:color="auto" w:sz="4" w:space="0"/>
              <w:bottom w:val="single" w:color="auto" w:sz="4" w:space="0"/>
              <w:right w:val="single" w:color="auto" w:sz="4" w:space="0"/>
            </w:tcBorders>
            <w:noWrap w:val="0"/>
            <w:vAlign w:val="center"/>
          </w:tcPr>
          <w:p w14:paraId="0954B174">
            <w:pPr>
              <w:spacing w:line="400" w:lineRule="exact"/>
              <w:jc w:val="center"/>
              <w:rPr>
                <w:rFonts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0107199</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69908C3B">
            <w:pPr>
              <w:spacing w:line="400" w:lineRule="exact"/>
              <w:jc w:val="center"/>
              <w:rPr>
                <w:rFonts w:hint="eastAsia" w:ascii="Times New Roman" w:hAnsi="Times New Roman" w:eastAsia="宋体" w:cs="Times New Roman"/>
                <w:bCs w:val="0"/>
                <w:color w:val="auto"/>
                <w:kern w:val="2"/>
                <w:sz w:val="24"/>
                <w:szCs w:val="24"/>
                <w:highlight w:val="none"/>
              </w:rPr>
            </w:pPr>
            <w:r>
              <w:rPr>
                <w:rFonts w:hint="eastAsia" w:ascii="Times New Roman" w:hAnsi="Times New Roman" w:eastAsia="宋体" w:cs="Times New Roman"/>
                <w:bCs w:val="0"/>
                <w:color w:val="auto"/>
                <w:kern w:val="2"/>
                <w:sz w:val="24"/>
                <w:szCs w:val="24"/>
                <w:highlight w:val="none"/>
              </w:rPr>
              <w:t>11100094846</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04734D1F">
            <w:pPr>
              <w:jc w:val="center"/>
              <w:rPr>
                <w:rFonts w:ascii="Times New Roman" w:hAnsi="Times New Roman" w:eastAsia="宋体" w:cs="Times New Roman"/>
                <w:bCs w:val="0"/>
                <w:color w:val="auto"/>
                <w:kern w:val="2"/>
                <w:sz w:val="24"/>
                <w:szCs w:val="24"/>
                <w:highlight w:val="none"/>
              </w:rPr>
            </w:pPr>
          </w:p>
        </w:tc>
      </w:tr>
    </w:tbl>
    <w:p w14:paraId="37C4BA3D">
      <w:pPr>
        <w:jc w:val="center"/>
        <w:outlineLvl w:val="0"/>
        <w:rPr>
          <w:rFonts w:ascii="Times New Roman" w:hAnsi="Times New Roman" w:eastAsia="宋体" w:cs="Times New Roman"/>
          <w:b/>
          <w:bCs/>
          <w:color w:val="auto"/>
          <w:kern w:val="2"/>
          <w:sz w:val="32"/>
          <w:szCs w:val="32"/>
        </w:rPr>
      </w:pPr>
      <w:r>
        <w:rPr>
          <w:rFonts w:ascii="Times New Roman" w:hAnsi="Times New Roman" w:eastAsia="宋体" w:cs="Calibri"/>
          <w:b/>
          <w:bCs/>
          <w:color w:val="auto"/>
          <w:kern w:val="2"/>
          <w:sz w:val="32"/>
        </w:rPr>
        <w:br w:type="page"/>
      </w:r>
      <w:r>
        <w:rPr>
          <w:rFonts w:hint="eastAsia" w:ascii="Times New Roman" w:hAnsi="Times New Roman" w:eastAsia="宋体" w:cs="宋体"/>
          <w:b/>
          <w:bCs/>
          <w:color w:val="auto"/>
          <w:kern w:val="2"/>
          <w:sz w:val="32"/>
          <w:szCs w:val="32"/>
        </w:rPr>
        <w:t xml:space="preserve">前 </w:t>
      </w:r>
      <w:r>
        <w:rPr>
          <w:rFonts w:ascii="Times New Roman" w:hAnsi="Times New Roman" w:eastAsia="宋体" w:cs="Times New Roman"/>
          <w:b/>
          <w:bCs/>
          <w:color w:val="auto"/>
          <w:kern w:val="2"/>
          <w:sz w:val="32"/>
          <w:szCs w:val="32"/>
        </w:rPr>
        <w:t xml:space="preserve"> </w:t>
      </w:r>
      <w:r>
        <w:rPr>
          <w:rFonts w:hint="eastAsia" w:ascii="Times New Roman" w:hAnsi="Times New Roman" w:eastAsia="宋体" w:cs="Times New Roman"/>
          <w:b/>
          <w:bCs/>
          <w:color w:val="auto"/>
          <w:kern w:val="2"/>
          <w:sz w:val="32"/>
          <w:szCs w:val="32"/>
        </w:rPr>
        <w:t xml:space="preserve">  </w:t>
      </w:r>
      <w:r>
        <w:rPr>
          <w:rFonts w:hint="eastAsia" w:ascii="Times New Roman" w:hAnsi="Times New Roman" w:eastAsia="宋体" w:cs="宋体"/>
          <w:b/>
          <w:bCs/>
          <w:color w:val="auto"/>
          <w:kern w:val="2"/>
          <w:sz w:val="32"/>
          <w:szCs w:val="32"/>
        </w:rPr>
        <w:t>言</w:t>
      </w:r>
    </w:p>
    <w:p w14:paraId="36A9EEAD">
      <w:pPr>
        <w:spacing w:line="600" w:lineRule="exact"/>
        <w:ind w:firstLine="560" w:firstLineChars="200"/>
        <w:rPr>
          <w:rFonts w:ascii="Times New Roman" w:hAnsi="Times New Roman" w:eastAsia="宋体" w:cs="Times New Roman"/>
          <w:bCs w:val="0"/>
          <w:color w:val="0000FF"/>
          <w:kern w:val="2"/>
          <w:sz w:val="28"/>
          <w:szCs w:val="28"/>
        </w:rPr>
      </w:pPr>
      <w:r>
        <w:rPr>
          <w:rFonts w:ascii="Times New Roman" w:hAnsi="Times New Roman" w:eastAsia="宋体" w:cs="Times New Roman"/>
          <w:bCs w:val="0"/>
          <w:color w:val="auto"/>
          <w:kern w:val="2"/>
          <w:sz w:val="28"/>
          <w:szCs w:val="28"/>
        </w:rPr>
        <w:t>中国石化销售股份有限公司</w:t>
      </w:r>
      <w:r>
        <w:rPr>
          <w:rFonts w:hint="eastAsia" w:ascii="Times New Roman" w:hAnsi="Times New Roman" w:eastAsia="宋体" w:cs="Times New Roman"/>
          <w:bCs w:val="0"/>
          <w:color w:val="auto"/>
          <w:kern w:val="2"/>
          <w:sz w:val="28"/>
          <w:szCs w:val="28"/>
          <w:lang w:eastAsia="zh-CN"/>
        </w:rPr>
        <w:t>江西赣州兴国石油分公司南坑加油站</w:t>
      </w:r>
      <w:r>
        <w:rPr>
          <w:rFonts w:ascii="Times New Roman" w:hAnsi="Times New Roman" w:eastAsia="宋体" w:cs="Times New Roman"/>
          <w:bCs w:val="0"/>
          <w:color w:val="auto"/>
          <w:kern w:val="2"/>
          <w:sz w:val="28"/>
          <w:szCs w:val="28"/>
        </w:rPr>
        <w:t>（以下简称</w:t>
      </w:r>
      <w:r>
        <w:rPr>
          <w:rFonts w:hint="eastAsia" w:ascii="Times New Roman" w:hAnsi="Times New Roman" w:eastAsia="宋体" w:cs="Times New Roman"/>
          <w:bCs w:val="0"/>
          <w:color w:val="auto"/>
          <w:kern w:val="2"/>
          <w:sz w:val="28"/>
          <w:szCs w:val="28"/>
        </w:rPr>
        <w:t>“</w:t>
      </w:r>
      <w:r>
        <w:rPr>
          <w:rFonts w:hint="eastAsia" w:ascii="Times New Roman" w:hAnsi="Times New Roman" w:eastAsia="宋体" w:cs="Times New Roman"/>
          <w:bCs w:val="0"/>
          <w:color w:val="auto"/>
          <w:kern w:val="2"/>
          <w:sz w:val="28"/>
          <w:szCs w:val="28"/>
          <w:lang w:eastAsia="zh-CN"/>
        </w:rPr>
        <w:t>该加油站</w:t>
      </w:r>
      <w:r>
        <w:rPr>
          <w:rFonts w:hint="eastAsia" w:ascii="Times New Roman" w:hAnsi="Times New Roman" w:eastAsia="宋体" w:cs="Times New Roman"/>
          <w:bCs w:val="0"/>
          <w:color w:val="auto"/>
          <w:kern w:val="2"/>
          <w:sz w:val="28"/>
          <w:szCs w:val="28"/>
        </w:rPr>
        <w:t>”</w:t>
      </w:r>
      <w:r>
        <w:rPr>
          <w:rFonts w:ascii="Times New Roman" w:hAnsi="Times New Roman" w:eastAsia="宋体" w:cs="Times New Roman"/>
          <w:bCs w:val="0"/>
          <w:color w:val="auto"/>
          <w:kern w:val="2"/>
          <w:sz w:val="28"/>
          <w:szCs w:val="28"/>
        </w:rPr>
        <w:t>）成立时间为</w:t>
      </w:r>
      <w:r>
        <w:rPr>
          <w:rFonts w:hint="eastAsia" w:ascii="Times New Roman" w:hAnsi="Times New Roman" w:eastAsia="宋体" w:cs="Times New Roman"/>
          <w:bCs w:val="0"/>
          <w:color w:val="auto"/>
          <w:kern w:val="2"/>
          <w:sz w:val="28"/>
          <w:szCs w:val="28"/>
          <w:lang w:val="en-US" w:eastAsia="zh-CN"/>
        </w:rPr>
        <w:t>2004</w:t>
      </w:r>
      <w:r>
        <w:rPr>
          <w:rFonts w:hint="eastAsia" w:ascii="Times New Roman" w:hAnsi="Times New Roman" w:eastAsia="宋体" w:cs="Times New Roman"/>
          <w:bCs w:val="0"/>
          <w:color w:val="auto"/>
          <w:kern w:val="2"/>
          <w:sz w:val="28"/>
          <w:szCs w:val="28"/>
        </w:rPr>
        <w:t>年0</w:t>
      </w:r>
      <w:r>
        <w:rPr>
          <w:rFonts w:hint="eastAsia" w:ascii="Times New Roman" w:hAnsi="Times New Roman" w:eastAsia="宋体" w:cs="Times New Roman"/>
          <w:bCs w:val="0"/>
          <w:color w:val="auto"/>
          <w:kern w:val="2"/>
          <w:sz w:val="28"/>
          <w:szCs w:val="28"/>
          <w:lang w:val="en-US" w:eastAsia="zh-CN"/>
        </w:rPr>
        <w:t>7</w:t>
      </w:r>
      <w:r>
        <w:rPr>
          <w:rFonts w:hint="eastAsia" w:ascii="Times New Roman" w:hAnsi="Times New Roman" w:eastAsia="宋体" w:cs="Times New Roman"/>
          <w:bCs w:val="0"/>
          <w:color w:val="auto"/>
          <w:kern w:val="2"/>
          <w:sz w:val="28"/>
          <w:szCs w:val="28"/>
        </w:rPr>
        <w:t>月</w:t>
      </w:r>
      <w:r>
        <w:rPr>
          <w:rFonts w:hint="eastAsia" w:ascii="Times New Roman" w:hAnsi="Times New Roman" w:eastAsia="宋体" w:cs="Times New Roman"/>
          <w:bCs w:val="0"/>
          <w:color w:val="auto"/>
          <w:kern w:val="2"/>
          <w:sz w:val="28"/>
          <w:szCs w:val="28"/>
          <w:lang w:val="en-US" w:eastAsia="zh-CN"/>
        </w:rPr>
        <w:t>01</w:t>
      </w:r>
      <w:r>
        <w:rPr>
          <w:rFonts w:hint="eastAsia" w:ascii="Times New Roman" w:hAnsi="Times New Roman" w:eastAsia="宋体" w:cs="Times New Roman"/>
          <w:bCs w:val="0"/>
          <w:color w:val="auto"/>
          <w:kern w:val="2"/>
          <w:sz w:val="28"/>
          <w:szCs w:val="28"/>
        </w:rPr>
        <w:t>日</w:t>
      </w:r>
      <w:r>
        <w:rPr>
          <w:rFonts w:ascii="Times New Roman" w:hAnsi="Times New Roman" w:eastAsia="宋体" w:cs="Times New Roman"/>
          <w:bCs w:val="0"/>
          <w:color w:val="auto"/>
          <w:kern w:val="2"/>
          <w:sz w:val="28"/>
          <w:szCs w:val="28"/>
        </w:rPr>
        <w:t>，位于</w:t>
      </w:r>
      <w:r>
        <w:rPr>
          <w:rFonts w:hint="eastAsia" w:ascii="Times New Roman" w:hAnsi="Times New Roman" w:eastAsia="宋体" w:cs="Times New Roman"/>
          <w:bCs w:val="0"/>
          <w:color w:val="auto"/>
          <w:kern w:val="2"/>
          <w:sz w:val="28"/>
          <w:szCs w:val="28"/>
          <w:lang w:eastAsia="zh-CN"/>
        </w:rPr>
        <w:t>江西省赣州市兴国县南坑乡</w:t>
      </w:r>
      <w:r>
        <w:rPr>
          <w:rFonts w:ascii="Times New Roman" w:hAnsi="Times New Roman" w:eastAsia="宋体" w:cs="Times New Roman"/>
          <w:bCs w:val="0"/>
          <w:color w:val="auto"/>
          <w:kern w:val="2"/>
          <w:sz w:val="28"/>
          <w:szCs w:val="28"/>
        </w:rPr>
        <w:t>，是从事成品油零售经营的企业，主要经营汽油、柴油。站内建筑、设备为自有，</w:t>
      </w:r>
      <w:r>
        <w:rPr>
          <w:rFonts w:hint="eastAsia" w:ascii="Times New Roman" w:hAnsi="Times New Roman" w:eastAsia="宋体" w:cs="Times New Roman"/>
          <w:bCs w:val="0"/>
          <w:color w:val="auto"/>
          <w:kern w:val="2"/>
          <w:sz w:val="28"/>
          <w:szCs w:val="28"/>
          <w:lang w:val="en-US" w:eastAsia="zh-CN"/>
        </w:rPr>
        <w:t>经营场所（土地产权）为租赁，</w:t>
      </w:r>
      <w:r>
        <w:rPr>
          <w:rFonts w:ascii="Times New Roman" w:hAnsi="Times New Roman" w:eastAsia="宋体" w:cs="Times New Roman"/>
          <w:bCs w:val="0"/>
          <w:color w:val="auto"/>
          <w:spacing w:val="-4"/>
          <w:kern w:val="2"/>
          <w:sz w:val="28"/>
          <w:szCs w:val="28"/>
        </w:rPr>
        <w:t>设有</w:t>
      </w:r>
      <w:r>
        <w:rPr>
          <w:rFonts w:hint="eastAsia" w:ascii="Times New Roman" w:hAnsi="Times New Roman" w:eastAsia="宋体" w:cs="Times New Roman"/>
          <w:bCs w:val="0"/>
          <w:color w:val="auto"/>
          <w:spacing w:val="-4"/>
          <w:kern w:val="2"/>
          <w:sz w:val="28"/>
          <w:szCs w:val="28"/>
          <w:lang w:val="en-US" w:eastAsia="zh-CN"/>
        </w:rPr>
        <w:t>2</w:t>
      </w:r>
      <w:r>
        <w:rPr>
          <w:rFonts w:ascii="Times New Roman" w:hAnsi="Times New Roman" w:eastAsia="宋体" w:cs="Times New Roman"/>
          <w:bCs w:val="0"/>
          <w:color w:val="auto"/>
          <w:spacing w:val="-4"/>
          <w:kern w:val="2"/>
          <w:sz w:val="28"/>
          <w:szCs w:val="28"/>
        </w:rPr>
        <w:t>个</w:t>
      </w:r>
      <w:r>
        <w:rPr>
          <w:rFonts w:hint="eastAsia" w:ascii="Times New Roman" w:hAnsi="Times New Roman" w:eastAsia="宋体" w:cs="Times New Roman"/>
          <w:bCs w:val="0"/>
          <w:color w:val="auto"/>
          <w:spacing w:val="-4"/>
          <w:kern w:val="2"/>
          <w:sz w:val="28"/>
          <w:szCs w:val="28"/>
          <w:lang w:val="en-US" w:eastAsia="zh-CN"/>
        </w:rPr>
        <w:t>双层油罐</w:t>
      </w:r>
      <w:r>
        <w:rPr>
          <w:rFonts w:ascii="Times New Roman" w:hAnsi="Times New Roman" w:eastAsia="宋体" w:cs="Times New Roman"/>
          <w:bCs w:val="0"/>
          <w:color w:val="auto"/>
          <w:spacing w:val="-4"/>
          <w:kern w:val="2"/>
          <w:sz w:val="28"/>
          <w:szCs w:val="28"/>
        </w:rPr>
        <w:t>，其中</w:t>
      </w:r>
      <w:r>
        <w:rPr>
          <w:rFonts w:hint="eastAsia" w:ascii="Times New Roman" w:hAnsi="Times New Roman" w:eastAsia="宋体" w:cs="Times New Roman"/>
          <w:bCs w:val="0"/>
          <w:color w:val="auto"/>
          <w:spacing w:val="-4"/>
          <w:kern w:val="2"/>
          <w:sz w:val="28"/>
          <w:szCs w:val="28"/>
          <w:lang w:val="en-US" w:eastAsia="zh-CN"/>
        </w:rPr>
        <w:t>3</w:t>
      </w:r>
      <w:r>
        <w:rPr>
          <w:rFonts w:ascii="Times New Roman" w:hAnsi="Times New Roman" w:eastAsia="宋体" w:cs="Times New Roman"/>
          <w:bCs w:val="0"/>
          <w:color w:val="auto"/>
          <w:spacing w:val="-4"/>
          <w:kern w:val="2"/>
          <w:sz w:val="28"/>
          <w:szCs w:val="28"/>
        </w:rPr>
        <w:t>0m</w:t>
      </w:r>
      <w:r>
        <w:rPr>
          <w:rFonts w:ascii="Times New Roman" w:hAnsi="Times New Roman" w:eastAsia="宋体" w:cs="Times New Roman"/>
          <w:bCs w:val="0"/>
          <w:color w:val="auto"/>
          <w:spacing w:val="-4"/>
          <w:kern w:val="2"/>
          <w:sz w:val="28"/>
          <w:szCs w:val="28"/>
          <w:vertAlign w:val="superscript"/>
        </w:rPr>
        <w:t>3</w:t>
      </w:r>
      <w:r>
        <w:rPr>
          <w:rFonts w:ascii="Times New Roman" w:hAnsi="Times New Roman" w:eastAsia="宋体" w:cs="Times New Roman"/>
          <w:bCs w:val="0"/>
          <w:color w:val="auto"/>
          <w:spacing w:val="-4"/>
          <w:kern w:val="2"/>
          <w:sz w:val="28"/>
          <w:szCs w:val="28"/>
        </w:rPr>
        <w:t>的9</w:t>
      </w:r>
      <w:r>
        <w:rPr>
          <w:rFonts w:hint="eastAsia" w:ascii="Times New Roman" w:hAnsi="Times New Roman" w:eastAsia="宋体" w:cs="Times New Roman"/>
          <w:bCs w:val="0"/>
          <w:color w:val="auto"/>
          <w:spacing w:val="-4"/>
          <w:kern w:val="2"/>
          <w:sz w:val="28"/>
          <w:szCs w:val="28"/>
          <w:lang w:val="en-US" w:eastAsia="zh-CN"/>
        </w:rPr>
        <w:t>2</w:t>
      </w:r>
      <w:r>
        <w:rPr>
          <w:rFonts w:ascii="Times New Roman" w:hAnsi="Times New Roman" w:eastAsia="宋体" w:cs="Times New Roman"/>
          <w:bCs w:val="0"/>
          <w:color w:val="auto"/>
          <w:spacing w:val="-4"/>
          <w:kern w:val="2"/>
          <w:sz w:val="28"/>
          <w:szCs w:val="28"/>
        </w:rPr>
        <w:t>#汽油储罐1个，</w:t>
      </w:r>
      <w:r>
        <w:rPr>
          <w:rFonts w:hint="eastAsia" w:ascii="Times New Roman" w:hAnsi="Times New Roman" w:eastAsia="宋体" w:cs="Times New Roman"/>
          <w:bCs w:val="0"/>
          <w:color w:val="auto"/>
          <w:spacing w:val="-4"/>
          <w:kern w:val="2"/>
          <w:sz w:val="28"/>
          <w:szCs w:val="28"/>
          <w:lang w:val="en-US" w:eastAsia="zh-CN"/>
        </w:rPr>
        <w:t>3</w:t>
      </w:r>
      <w:r>
        <w:rPr>
          <w:rFonts w:ascii="Times New Roman" w:hAnsi="Times New Roman" w:eastAsia="宋体" w:cs="Times New Roman"/>
          <w:bCs w:val="0"/>
          <w:color w:val="auto"/>
          <w:spacing w:val="-4"/>
          <w:kern w:val="2"/>
          <w:sz w:val="28"/>
          <w:szCs w:val="28"/>
        </w:rPr>
        <w:t>0m</w:t>
      </w:r>
      <w:r>
        <w:rPr>
          <w:rFonts w:ascii="Times New Roman" w:hAnsi="Times New Roman" w:eastAsia="宋体" w:cs="Times New Roman"/>
          <w:bCs w:val="0"/>
          <w:color w:val="auto"/>
          <w:spacing w:val="-4"/>
          <w:kern w:val="2"/>
          <w:sz w:val="28"/>
          <w:szCs w:val="28"/>
          <w:vertAlign w:val="superscript"/>
        </w:rPr>
        <w:t>3</w:t>
      </w:r>
      <w:r>
        <w:rPr>
          <w:rFonts w:ascii="Times New Roman" w:hAnsi="Times New Roman" w:eastAsia="宋体" w:cs="Times New Roman"/>
          <w:bCs w:val="0"/>
          <w:color w:val="auto"/>
          <w:spacing w:val="-4"/>
          <w:kern w:val="2"/>
          <w:sz w:val="28"/>
          <w:szCs w:val="28"/>
        </w:rPr>
        <w:t>的0#柴油储罐1个，总容积为</w:t>
      </w:r>
      <w:r>
        <w:rPr>
          <w:rFonts w:hint="eastAsia" w:ascii="Times New Roman" w:hAnsi="Times New Roman" w:eastAsia="宋体" w:cs="Times New Roman"/>
          <w:bCs w:val="0"/>
          <w:color w:val="auto"/>
          <w:spacing w:val="-4"/>
          <w:kern w:val="2"/>
          <w:sz w:val="28"/>
          <w:szCs w:val="28"/>
          <w:lang w:val="en-US" w:eastAsia="zh-CN"/>
        </w:rPr>
        <w:t>60</w:t>
      </w:r>
      <w:r>
        <w:rPr>
          <w:rFonts w:ascii="Times New Roman" w:hAnsi="Times New Roman" w:eastAsia="宋体" w:cs="Times New Roman"/>
          <w:bCs w:val="0"/>
          <w:color w:val="auto"/>
          <w:spacing w:val="-4"/>
          <w:kern w:val="2"/>
          <w:sz w:val="28"/>
          <w:szCs w:val="28"/>
        </w:rPr>
        <w:t>m</w:t>
      </w:r>
      <w:r>
        <w:rPr>
          <w:rFonts w:ascii="Times New Roman" w:hAnsi="Times New Roman" w:eastAsia="宋体" w:cs="Times New Roman"/>
          <w:bCs w:val="0"/>
          <w:color w:val="auto"/>
          <w:spacing w:val="-4"/>
          <w:kern w:val="2"/>
          <w:sz w:val="28"/>
          <w:szCs w:val="28"/>
          <w:vertAlign w:val="superscript"/>
        </w:rPr>
        <w:t>3</w:t>
      </w:r>
      <w:r>
        <w:rPr>
          <w:rFonts w:ascii="Times New Roman" w:hAnsi="Times New Roman" w:eastAsia="宋体" w:cs="Times New Roman"/>
          <w:bCs w:val="0"/>
          <w:color w:val="auto"/>
          <w:spacing w:val="-4"/>
          <w:kern w:val="2"/>
          <w:sz w:val="28"/>
          <w:szCs w:val="28"/>
        </w:rPr>
        <w:t>，折算后容积（柴油折半）为</w:t>
      </w:r>
      <w:r>
        <w:rPr>
          <w:rFonts w:hint="eastAsia" w:ascii="Times New Roman" w:hAnsi="Times New Roman" w:eastAsia="宋体" w:cs="Times New Roman"/>
          <w:bCs w:val="0"/>
          <w:color w:val="auto"/>
          <w:spacing w:val="-4"/>
          <w:kern w:val="2"/>
          <w:sz w:val="28"/>
          <w:szCs w:val="28"/>
          <w:lang w:val="en-US" w:eastAsia="zh-CN"/>
        </w:rPr>
        <w:t>45</w:t>
      </w:r>
      <w:r>
        <w:rPr>
          <w:rFonts w:ascii="Times New Roman" w:hAnsi="Times New Roman" w:eastAsia="宋体" w:cs="Times New Roman"/>
          <w:bCs w:val="0"/>
          <w:color w:val="auto"/>
          <w:spacing w:val="-4"/>
          <w:kern w:val="2"/>
          <w:sz w:val="28"/>
          <w:szCs w:val="28"/>
        </w:rPr>
        <w:t>m</w:t>
      </w:r>
      <w:r>
        <w:rPr>
          <w:rFonts w:ascii="Times New Roman" w:hAnsi="Times New Roman" w:eastAsia="宋体" w:cs="Times New Roman"/>
          <w:bCs w:val="0"/>
          <w:color w:val="auto"/>
          <w:spacing w:val="-4"/>
          <w:kern w:val="2"/>
          <w:sz w:val="28"/>
          <w:szCs w:val="28"/>
          <w:vertAlign w:val="superscript"/>
        </w:rPr>
        <w:t>3</w:t>
      </w:r>
      <w:r>
        <w:rPr>
          <w:rFonts w:ascii="Times New Roman" w:hAnsi="Times New Roman" w:eastAsia="宋体" w:cs="Times New Roman"/>
          <w:bCs w:val="0"/>
          <w:color w:val="auto"/>
          <w:spacing w:val="-4"/>
          <w:kern w:val="2"/>
          <w:sz w:val="28"/>
          <w:szCs w:val="28"/>
        </w:rPr>
        <w:t>，为</w:t>
      </w:r>
      <w:r>
        <w:rPr>
          <w:rFonts w:hint="eastAsia" w:ascii="Times New Roman" w:hAnsi="Times New Roman" w:eastAsia="宋体" w:cs="Times New Roman"/>
          <w:bCs w:val="0"/>
          <w:color w:val="auto"/>
          <w:spacing w:val="-4"/>
          <w:kern w:val="2"/>
          <w:sz w:val="28"/>
          <w:szCs w:val="28"/>
          <w:lang w:val="en-US" w:eastAsia="zh-CN"/>
        </w:rPr>
        <w:t>三级加油站</w:t>
      </w:r>
      <w:r>
        <w:rPr>
          <w:rFonts w:ascii="Times New Roman" w:hAnsi="Times New Roman" w:eastAsia="宋体" w:cs="Times New Roman"/>
          <w:bCs w:val="0"/>
          <w:color w:val="auto"/>
          <w:kern w:val="2"/>
          <w:sz w:val="28"/>
          <w:szCs w:val="28"/>
        </w:rPr>
        <w:t>。该站于</w:t>
      </w:r>
      <w:r>
        <w:rPr>
          <w:rFonts w:hint="eastAsia" w:ascii="Times New Roman" w:hAnsi="Times New Roman" w:eastAsia="宋体" w:cs="Times New Roman"/>
          <w:bCs w:val="0"/>
          <w:color w:val="auto"/>
          <w:kern w:val="2"/>
          <w:sz w:val="28"/>
          <w:szCs w:val="28"/>
          <w:lang w:eastAsia="zh-CN"/>
        </w:rPr>
        <w:t>2023年</w:t>
      </w:r>
      <w:r>
        <w:rPr>
          <w:rFonts w:hint="eastAsia" w:ascii="Times New Roman" w:hAnsi="Times New Roman" w:eastAsia="宋体" w:cs="Times New Roman"/>
          <w:bCs w:val="0"/>
          <w:color w:val="auto"/>
          <w:kern w:val="2"/>
          <w:sz w:val="28"/>
          <w:szCs w:val="28"/>
          <w:lang w:val="en-US" w:eastAsia="zh-CN"/>
        </w:rPr>
        <w:t>5</w:t>
      </w:r>
      <w:r>
        <w:rPr>
          <w:rFonts w:hint="eastAsia" w:ascii="Times New Roman" w:hAnsi="Times New Roman" w:eastAsia="宋体" w:cs="Times New Roman"/>
          <w:bCs w:val="0"/>
          <w:color w:val="auto"/>
          <w:kern w:val="2"/>
          <w:sz w:val="28"/>
          <w:szCs w:val="28"/>
          <w:lang w:eastAsia="zh-CN"/>
        </w:rPr>
        <w:t>月</w:t>
      </w:r>
      <w:r>
        <w:rPr>
          <w:rFonts w:hint="eastAsia" w:ascii="Times New Roman" w:hAnsi="Times New Roman" w:eastAsia="宋体" w:cs="Times New Roman"/>
          <w:bCs w:val="0"/>
          <w:color w:val="auto"/>
          <w:kern w:val="2"/>
          <w:sz w:val="28"/>
          <w:szCs w:val="28"/>
          <w:lang w:val="en-US" w:eastAsia="zh-CN"/>
        </w:rPr>
        <w:t>17</w:t>
      </w:r>
      <w:r>
        <w:rPr>
          <w:rFonts w:hint="eastAsia" w:ascii="Times New Roman" w:hAnsi="Times New Roman" w:eastAsia="宋体" w:cs="Times New Roman"/>
          <w:bCs w:val="0"/>
          <w:color w:val="auto"/>
          <w:kern w:val="2"/>
          <w:sz w:val="28"/>
          <w:szCs w:val="28"/>
          <w:lang w:eastAsia="zh-CN"/>
        </w:rPr>
        <w:t>日换发取得《危险化学品经营许可证》</w:t>
      </w:r>
      <w:r>
        <w:rPr>
          <w:rFonts w:ascii="Times New Roman" w:hAnsi="Times New Roman" w:eastAsia="宋体" w:cs="Times New Roman"/>
          <w:bCs w:val="0"/>
          <w:color w:val="auto"/>
          <w:kern w:val="2"/>
          <w:sz w:val="28"/>
          <w:szCs w:val="28"/>
        </w:rPr>
        <w:t>，证号：</w:t>
      </w:r>
      <w:r>
        <w:rPr>
          <w:rFonts w:hint="eastAsia" w:ascii="Times New Roman" w:hAnsi="Times New Roman" w:eastAsia="宋体" w:cs="Times New Roman"/>
          <w:bCs w:val="0"/>
          <w:color w:val="auto"/>
          <w:kern w:val="2"/>
          <w:sz w:val="28"/>
          <w:szCs w:val="28"/>
          <w:lang w:eastAsia="zh-CN"/>
        </w:rPr>
        <w:t>（赣）36073213202300017</w:t>
      </w:r>
      <w:r>
        <w:rPr>
          <w:rFonts w:ascii="Times New Roman" w:hAnsi="Times New Roman" w:eastAsia="宋体" w:cs="Times New Roman"/>
          <w:bCs w:val="0"/>
          <w:color w:val="auto"/>
          <w:kern w:val="2"/>
          <w:sz w:val="28"/>
          <w:szCs w:val="28"/>
        </w:rPr>
        <w:t>，有效期延续至</w:t>
      </w:r>
      <w:r>
        <w:rPr>
          <w:rFonts w:hint="eastAsia" w:ascii="Times New Roman" w:hAnsi="Times New Roman" w:eastAsia="宋体" w:cs="Times New Roman"/>
          <w:bCs w:val="0"/>
          <w:color w:val="auto"/>
          <w:kern w:val="2"/>
          <w:sz w:val="28"/>
          <w:szCs w:val="28"/>
          <w:lang w:eastAsia="zh-CN"/>
        </w:rPr>
        <w:t>2026年</w:t>
      </w:r>
      <w:r>
        <w:rPr>
          <w:rFonts w:hint="eastAsia" w:ascii="Times New Roman" w:hAnsi="Times New Roman" w:eastAsia="宋体" w:cs="Times New Roman"/>
          <w:bCs w:val="0"/>
          <w:color w:val="auto"/>
          <w:kern w:val="2"/>
          <w:sz w:val="28"/>
          <w:szCs w:val="28"/>
          <w:lang w:val="en-US" w:eastAsia="zh-CN"/>
        </w:rPr>
        <w:t>5</w:t>
      </w:r>
      <w:r>
        <w:rPr>
          <w:rFonts w:hint="eastAsia" w:ascii="Times New Roman" w:hAnsi="Times New Roman" w:eastAsia="宋体" w:cs="Times New Roman"/>
          <w:bCs w:val="0"/>
          <w:color w:val="auto"/>
          <w:kern w:val="2"/>
          <w:sz w:val="28"/>
          <w:szCs w:val="28"/>
          <w:lang w:eastAsia="zh-CN"/>
        </w:rPr>
        <w:t>月</w:t>
      </w:r>
      <w:r>
        <w:rPr>
          <w:rFonts w:hint="eastAsia" w:ascii="Times New Roman" w:hAnsi="Times New Roman" w:eastAsia="宋体" w:cs="Times New Roman"/>
          <w:bCs w:val="0"/>
          <w:color w:val="auto"/>
          <w:kern w:val="2"/>
          <w:sz w:val="28"/>
          <w:szCs w:val="28"/>
          <w:lang w:val="en-US" w:eastAsia="zh-CN"/>
        </w:rPr>
        <w:t>16</w:t>
      </w:r>
      <w:r>
        <w:rPr>
          <w:rFonts w:hint="eastAsia" w:ascii="Times New Roman" w:hAnsi="Times New Roman" w:eastAsia="宋体" w:cs="Times New Roman"/>
          <w:bCs w:val="0"/>
          <w:color w:val="auto"/>
          <w:kern w:val="2"/>
          <w:sz w:val="28"/>
          <w:szCs w:val="28"/>
          <w:lang w:eastAsia="zh-CN"/>
        </w:rPr>
        <w:t>日</w:t>
      </w:r>
      <w:r>
        <w:rPr>
          <w:rFonts w:ascii="Times New Roman" w:hAnsi="Times New Roman" w:eastAsia="宋体" w:cs="Times New Roman"/>
          <w:bCs w:val="0"/>
          <w:color w:val="auto"/>
          <w:kern w:val="2"/>
          <w:sz w:val="28"/>
          <w:szCs w:val="28"/>
        </w:rPr>
        <w:t>，许可经营范围为汽油、柴油，经营方式为</w:t>
      </w:r>
      <w:r>
        <w:rPr>
          <w:rFonts w:hint="eastAsia" w:ascii="Times New Roman" w:hAnsi="Times New Roman" w:eastAsia="宋体" w:cs="Times New Roman"/>
          <w:bCs w:val="0"/>
          <w:color w:val="auto"/>
          <w:kern w:val="2"/>
          <w:sz w:val="28"/>
          <w:szCs w:val="28"/>
        </w:rPr>
        <w:t>零售</w:t>
      </w:r>
      <w:r>
        <w:rPr>
          <w:rFonts w:hint="eastAsia" w:ascii="Times New Roman" w:hAnsi="Times New Roman" w:eastAsia="宋体" w:cs="宋体"/>
          <w:bCs w:val="0"/>
          <w:color w:val="auto"/>
          <w:kern w:val="2"/>
          <w:sz w:val="28"/>
          <w:szCs w:val="28"/>
        </w:rPr>
        <w:t>。</w:t>
      </w:r>
    </w:p>
    <w:p w14:paraId="27B42710">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加油站经营多年，部分设施与原设计或与现状存在出入，有的资料也缺失，加油站为了加强安全管理，隐患排查，补齐资料，于202</w:t>
      </w:r>
      <w:r>
        <w:rPr>
          <w:rFonts w:hint="eastAsia" w:ascii="Times New Roman" w:hAnsi="Times New Roman" w:eastAsia="宋体" w:cs="宋体"/>
          <w:bCs w:val="0"/>
          <w:color w:val="auto"/>
          <w:kern w:val="2"/>
          <w:sz w:val="28"/>
          <w:szCs w:val="28"/>
          <w:lang w:val="en-US" w:eastAsia="zh-CN"/>
        </w:rPr>
        <w:t>6</w:t>
      </w:r>
      <w:r>
        <w:rPr>
          <w:rFonts w:hint="eastAsia" w:ascii="Times New Roman" w:hAnsi="Times New Roman" w:eastAsia="宋体" w:cs="宋体"/>
          <w:bCs w:val="0"/>
          <w:color w:val="auto"/>
          <w:kern w:val="2"/>
          <w:sz w:val="28"/>
          <w:szCs w:val="28"/>
        </w:rPr>
        <w:t>年</w:t>
      </w:r>
      <w:r>
        <w:rPr>
          <w:rFonts w:hint="eastAsia" w:ascii="Times New Roman" w:hAnsi="Times New Roman" w:eastAsia="宋体" w:cs="宋体"/>
          <w:bCs w:val="0"/>
          <w:color w:val="auto"/>
          <w:kern w:val="2"/>
          <w:sz w:val="28"/>
          <w:szCs w:val="28"/>
          <w:lang w:val="en-US" w:eastAsia="zh-CN"/>
        </w:rPr>
        <w:t>5</w:t>
      </w:r>
      <w:r>
        <w:rPr>
          <w:rFonts w:hint="eastAsia" w:ascii="Times New Roman" w:hAnsi="Times New Roman" w:eastAsia="宋体" w:cs="宋体"/>
          <w:bCs w:val="0"/>
          <w:color w:val="auto"/>
          <w:kern w:val="2"/>
          <w:sz w:val="28"/>
          <w:szCs w:val="28"/>
        </w:rPr>
        <w:t>月委托海湾工程有限公司出具了《中国石化销售股份有限公司</w:t>
      </w:r>
      <w:r>
        <w:rPr>
          <w:rFonts w:hint="eastAsia" w:ascii="Times New Roman" w:hAnsi="Times New Roman" w:eastAsia="宋体" w:cs="宋体"/>
          <w:bCs w:val="0"/>
          <w:color w:val="auto"/>
          <w:kern w:val="2"/>
          <w:sz w:val="28"/>
          <w:szCs w:val="28"/>
          <w:lang w:eastAsia="zh-CN"/>
        </w:rPr>
        <w:t>江西赣州兴国石油分公司南坑加油站</w:t>
      </w:r>
      <w:r>
        <w:rPr>
          <w:rFonts w:hint="eastAsia" w:ascii="Times New Roman" w:hAnsi="Times New Roman" w:eastAsia="宋体" w:cs="宋体"/>
          <w:bCs w:val="0"/>
          <w:color w:val="auto"/>
          <w:kern w:val="2"/>
          <w:sz w:val="28"/>
          <w:szCs w:val="28"/>
        </w:rPr>
        <w:t>安全设施符合性诊断及整改设计》。</w:t>
      </w:r>
    </w:p>
    <w:p w14:paraId="7D7BBAF3">
      <w:pPr>
        <w:spacing w:line="60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lang w:val="en-US" w:eastAsia="zh-CN"/>
        </w:rPr>
        <w:t>江西</w:t>
      </w:r>
      <w:r>
        <w:rPr>
          <w:rFonts w:hint="eastAsia" w:ascii="Times New Roman" w:hAnsi="Times New Roman" w:eastAsia="宋体" w:cs="宋体"/>
          <w:bCs w:val="0"/>
          <w:color w:val="auto"/>
          <w:kern w:val="2"/>
          <w:sz w:val="28"/>
          <w:szCs w:val="28"/>
        </w:rPr>
        <w:t>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39916991">
      <w:pPr>
        <w:spacing w:line="60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因此</w:t>
      </w:r>
      <w:r>
        <w:rPr>
          <w:rFonts w:hint="eastAsia" w:ascii="Times New Roman" w:hAnsi="Times New Roman" w:eastAsia="宋体" w:cs="宋体"/>
          <w:bCs w:val="0"/>
          <w:color w:val="auto"/>
          <w:kern w:val="2"/>
          <w:sz w:val="28"/>
          <w:szCs w:val="28"/>
          <w:lang w:eastAsia="zh-CN"/>
        </w:rPr>
        <w:t>，根据</w:t>
      </w:r>
      <w:r>
        <w:rPr>
          <w:rFonts w:hint="eastAsia" w:ascii="Times New Roman" w:hAnsi="Times New Roman" w:eastAsia="宋体" w:cs="宋体"/>
          <w:bCs w:val="0"/>
          <w:color w:val="auto"/>
          <w:kern w:val="2"/>
          <w:sz w:val="28"/>
          <w:szCs w:val="28"/>
        </w:rPr>
        <w:t>《江西省应急管理厅办公室关于规范危险化学品经营许可工作的通知》（赣应急办字〔2025〕58号）、《中华人民共和国安全生产法》（国家主席令〔2021〕第88号）、《危险化学品安全管理条例》（国务院令〔2011〕第591号，〔2013〕第645号修订）、《危险化学品经营许可证管理办法》安监总局令第55号（安监总局令第79号修正）、《危险化学品建设项目安全监督管理办法》安监总局45号令（安监总局令第79号修正）的要求，中国石化销售股份有限公司</w:t>
      </w:r>
      <w:r>
        <w:rPr>
          <w:rFonts w:hint="eastAsia" w:ascii="Times New Roman" w:hAnsi="Times New Roman" w:eastAsia="宋体" w:cs="宋体"/>
          <w:bCs w:val="0"/>
          <w:color w:val="auto"/>
          <w:kern w:val="2"/>
          <w:sz w:val="28"/>
          <w:szCs w:val="28"/>
          <w:lang w:eastAsia="zh-CN"/>
        </w:rPr>
        <w:t>江西赣州兴国石油分公司</w:t>
      </w:r>
      <w:r>
        <w:rPr>
          <w:rFonts w:hint="eastAsia" w:ascii="Times New Roman" w:hAnsi="Times New Roman" w:eastAsia="宋体" w:cs="宋体"/>
          <w:bCs w:val="0"/>
          <w:color w:val="auto"/>
          <w:kern w:val="2"/>
          <w:sz w:val="28"/>
          <w:szCs w:val="28"/>
        </w:rPr>
        <w:t>委托</w:t>
      </w:r>
      <w:r>
        <w:rPr>
          <w:rFonts w:hint="eastAsia" w:ascii="Times New Roman" w:hAnsi="Times New Roman" w:eastAsia="宋体" w:cs="宋体"/>
          <w:bCs w:val="0"/>
          <w:color w:val="auto"/>
          <w:kern w:val="2"/>
          <w:sz w:val="28"/>
          <w:szCs w:val="28"/>
          <w:lang w:eastAsia="zh-CN"/>
        </w:rPr>
        <w:t>江西赣安安全生产科学技术咨询服务中心</w:t>
      </w:r>
      <w:r>
        <w:rPr>
          <w:rFonts w:hint="eastAsia" w:ascii="Times New Roman" w:hAnsi="Times New Roman" w:eastAsia="宋体" w:cs="宋体"/>
          <w:bCs w:val="0"/>
          <w:color w:val="auto"/>
          <w:kern w:val="2"/>
          <w:sz w:val="28"/>
          <w:szCs w:val="28"/>
        </w:rPr>
        <w:t>对</w:t>
      </w:r>
      <w:r>
        <w:rPr>
          <w:rFonts w:hint="eastAsia" w:ascii="Times New Roman" w:hAnsi="Times New Roman" w:eastAsia="宋体" w:cs="宋体"/>
          <w:bCs w:val="0"/>
          <w:color w:val="auto"/>
          <w:kern w:val="2"/>
          <w:sz w:val="28"/>
          <w:szCs w:val="28"/>
          <w:lang w:eastAsia="zh-CN"/>
        </w:rPr>
        <w:t>该加油站</w:t>
      </w:r>
      <w:r>
        <w:rPr>
          <w:rFonts w:hint="eastAsia" w:ascii="Times New Roman" w:hAnsi="Times New Roman" w:eastAsia="宋体" w:cs="宋体"/>
          <w:bCs w:val="0"/>
          <w:color w:val="auto"/>
          <w:kern w:val="2"/>
          <w:sz w:val="28"/>
          <w:szCs w:val="28"/>
        </w:rPr>
        <w:t>进行安全设施符合性诊断及整改设计验收。</w:t>
      </w:r>
    </w:p>
    <w:p w14:paraId="70B07070">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需说明，本安全设施竣工验收评价报告及结论，系基于评价期间加油站实际运行与现场现状编制，评价小组仅对评价时加油站的真实状况负责。</w:t>
      </w:r>
    </w:p>
    <w:p w14:paraId="1642EA1F">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评价小组在工作中得到了中国石化销售股份有限公司</w:t>
      </w:r>
      <w:r>
        <w:rPr>
          <w:rFonts w:hint="eastAsia" w:ascii="Times New Roman" w:hAnsi="Times New Roman" w:eastAsia="宋体" w:cs="宋体"/>
          <w:bCs w:val="0"/>
          <w:color w:val="auto"/>
          <w:kern w:val="2"/>
          <w:sz w:val="28"/>
          <w:szCs w:val="28"/>
          <w:lang w:eastAsia="zh-CN"/>
        </w:rPr>
        <w:t>江西赣州兴国石油分公司</w:t>
      </w:r>
      <w:r>
        <w:rPr>
          <w:rFonts w:hint="eastAsia" w:ascii="Times New Roman" w:hAnsi="Times New Roman" w:eastAsia="宋体" w:cs="宋体"/>
          <w:bCs w:val="0"/>
          <w:color w:val="auto"/>
          <w:kern w:val="2"/>
          <w:sz w:val="28"/>
          <w:szCs w:val="28"/>
        </w:rPr>
        <w:t>的大力支持，在此表示感谢。</w:t>
      </w:r>
    </w:p>
    <w:p w14:paraId="3570EEB9">
      <w:pPr>
        <w:spacing w:line="600" w:lineRule="exact"/>
        <w:ind w:firstLine="560" w:firstLineChars="200"/>
        <w:rPr>
          <w:rFonts w:hint="eastAsia"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需要特别说明的是，根据《江西省应急管理厅办公室关于规范危险化学品经营许可工作的通知》（赣应急办字〔2025〕58号），加油站应进行安全设计诊断并进行验收后方可延期换证</w:t>
      </w:r>
      <w:r>
        <w:rPr>
          <w:rFonts w:hint="eastAsia" w:ascii="Times New Roman" w:hAnsi="Times New Roman" w:eastAsia="宋体" w:cs="Times New Roman"/>
          <w:bCs w:val="0"/>
          <w:color w:val="auto"/>
          <w:kern w:val="2"/>
          <w:sz w:val="28"/>
          <w:szCs w:val="28"/>
          <w:lang w:eastAsia="zh-CN"/>
        </w:rPr>
        <w:t>，经整改完成后，该加油站安全设施符合设计文件及竣工相关规范要求，已具备验收条件。</w:t>
      </w:r>
      <w:r>
        <w:rPr>
          <w:rFonts w:hint="eastAsia" w:ascii="Times New Roman" w:hAnsi="Times New Roman" w:eastAsia="宋体" w:cs="Times New Roman"/>
          <w:bCs w:val="0"/>
          <w:color w:val="auto"/>
          <w:kern w:val="2"/>
          <w:sz w:val="28"/>
          <w:szCs w:val="28"/>
        </w:rPr>
        <w:t>因此中石化</w:t>
      </w:r>
      <w:r>
        <w:rPr>
          <w:rFonts w:hint="eastAsia" w:ascii="Times New Roman" w:hAnsi="Times New Roman" w:eastAsia="宋体" w:cs="Times New Roman"/>
          <w:bCs w:val="0"/>
          <w:color w:val="auto"/>
          <w:kern w:val="2"/>
          <w:sz w:val="28"/>
          <w:szCs w:val="28"/>
          <w:lang w:eastAsia="zh-CN"/>
        </w:rPr>
        <w:t>江西赣州兴国石油分公司</w:t>
      </w:r>
      <w:r>
        <w:rPr>
          <w:rFonts w:hint="eastAsia" w:ascii="Times New Roman" w:hAnsi="Times New Roman" w:eastAsia="宋体" w:cs="Times New Roman"/>
          <w:bCs w:val="0"/>
          <w:color w:val="auto"/>
          <w:kern w:val="2"/>
          <w:sz w:val="28"/>
          <w:szCs w:val="28"/>
        </w:rPr>
        <w:t>委托</w:t>
      </w:r>
      <w:r>
        <w:rPr>
          <w:rFonts w:hint="eastAsia" w:ascii="Times New Roman" w:hAnsi="Times New Roman" w:eastAsia="宋体" w:cs="Times New Roman"/>
          <w:bCs w:val="0"/>
          <w:color w:val="auto"/>
          <w:kern w:val="2"/>
          <w:sz w:val="28"/>
          <w:szCs w:val="28"/>
          <w:lang w:eastAsia="zh-CN"/>
        </w:rPr>
        <w:t>江西赣安安全生产科学技术咨询服务中心</w:t>
      </w:r>
      <w:r>
        <w:rPr>
          <w:rFonts w:hint="eastAsia" w:ascii="Times New Roman" w:hAnsi="Times New Roman" w:eastAsia="宋体" w:cs="Times New Roman"/>
          <w:bCs w:val="0"/>
          <w:color w:val="auto"/>
          <w:kern w:val="2"/>
          <w:sz w:val="28"/>
          <w:szCs w:val="28"/>
        </w:rPr>
        <w:t>对该加油站进行安全设施符合性诊断及整改设计验收。</w:t>
      </w:r>
    </w:p>
    <w:p w14:paraId="3013BB2B">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lang w:eastAsia="zh-CN"/>
        </w:rPr>
        <w:t>江西赣安安全生产科学技术咨询服务中心</w:t>
      </w:r>
      <w:r>
        <w:rPr>
          <w:rFonts w:hint="eastAsia" w:ascii="Times New Roman" w:hAnsi="Times New Roman" w:eastAsia="宋体" w:cs="宋体"/>
          <w:bCs w:val="0"/>
          <w:color w:val="auto"/>
          <w:kern w:val="2"/>
          <w:sz w:val="28"/>
          <w:szCs w:val="28"/>
        </w:rPr>
        <w:t>于</w:t>
      </w:r>
      <w:r>
        <w:rPr>
          <w:rFonts w:ascii="Times New Roman" w:hAnsi="Times New Roman" w:eastAsia="宋体" w:cs="Times New Roman"/>
          <w:bCs w:val="0"/>
          <w:color w:val="auto"/>
          <w:kern w:val="2"/>
          <w:sz w:val="28"/>
          <w:szCs w:val="28"/>
        </w:rPr>
        <w:t>202</w:t>
      </w:r>
      <w:r>
        <w:rPr>
          <w:rFonts w:hint="eastAsia" w:ascii="Times New Roman" w:hAnsi="Times New Roman" w:eastAsia="宋体" w:cs="Times New Roman"/>
          <w:bCs w:val="0"/>
          <w:color w:val="auto"/>
          <w:kern w:val="2"/>
          <w:sz w:val="28"/>
          <w:szCs w:val="28"/>
          <w:lang w:val="en-US" w:eastAsia="zh-CN"/>
        </w:rPr>
        <w:t>6</w:t>
      </w:r>
      <w:r>
        <w:rPr>
          <w:rFonts w:hint="eastAsia" w:ascii="Times New Roman" w:hAnsi="Times New Roman" w:eastAsia="宋体" w:cs="宋体"/>
          <w:bCs w:val="0"/>
          <w:color w:val="auto"/>
          <w:kern w:val="2"/>
          <w:sz w:val="28"/>
          <w:szCs w:val="28"/>
        </w:rPr>
        <w:t>年</w:t>
      </w:r>
      <w:r>
        <w:rPr>
          <w:rFonts w:hint="eastAsia" w:ascii="Times New Roman" w:hAnsi="Times New Roman" w:eastAsia="宋体" w:cs="Times New Roman"/>
          <w:bCs w:val="0"/>
          <w:color w:val="auto"/>
          <w:kern w:val="2"/>
          <w:sz w:val="28"/>
          <w:szCs w:val="28"/>
          <w:lang w:val="en-US" w:eastAsia="zh-CN"/>
        </w:rPr>
        <w:t>5</w:t>
      </w:r>
      <w:r>
        <w:rPr>
          <w:rFonts w:hint="eastAsia" w:ascii="Times New Roman" w:hAnsi="Times New Roman" w:eastAsia="宋体" w:cs="宋体"/>
          <w:bCs w:val="0"/>
          <w:color w:val="auto"/>
          <w:kern w:val="2"/>
          <w:sz w:val="28"/>
          <w:szCs w:val="28"/>
        </w:rPr>
        <w:t>月组成评价小组，对所提供的资料、文件</w:t>
      </w:r>
      <w:r>
        <w:rPr>
          <w:rFonts w:hint="eastAsia" w:ascii="Times New Roman" w:hAnsi="Times New Roman" w:eastAsia="宋体" w:cs="宋体"/>
          <w:bCs w:val="0"/>
          <w:color w:val="auto"/>
          <w:kern w:val="2"/>
          <w:sz w:val="28"/>
          <w:szCs w:val="28"/>
          <w:lang w:eastAsia="zh-CN"/>
        </w:rPr>
        <w:t>进行</w:t>
      </w:r>
      <w:r>
        <w:rPr>
          <w:rFonts w:hint="eastAsia" w:ascii="Times New Roman" w:hAnsi="Times New Roman" w:eastAsia="宋体" w:cs="宋体"/>
          <w:bCs w:val="0"/>
          <w:color w:val="auto"/>
          <w:kern w:val="2"/>
          <w:sz w:val="28"/>
          <w:szCs w:val="28"/>
        </w:rPr>
        <w:t>审核，对现场</w:t>
      </w:r>
      <w:r>
        <w:rPr>
          <w:rFonts w:hint="eastAsia" w:ascii="Times New Roman" w:hAnsi="Times New Roman" w:eastAsia="宋体" w:cs="宋体"/>
          <w:bCs w:val="0"/>
          <w:color w:val="auto"/>
          <w:kern w:val="2"/>
          <w:sz w:val="28"/>
          <w:szCs w:val="28"/>
          <w:lang w:eastAsia="zh-CN"/>
        </w:rPr>
        <w:t>进行</w:t>
      </w:r>
      <w:r>
        <w:rPr>
          <w:rFonts w:hint="eastAsia" w:ascii="Times New Roman" w:hAnsi="Times New Roman" w:eastAsia="宋体" w:cs="宋体"/>
          <w:bCs w:val="0"/>
          <w:color w:val="auto"/>
          <w:kern w:val="2"/>
          <w:sz w:val="28"/>
          <w:szCs w:val="28"/>
        </w:rPr>
        <w:t>实地检测，根据《安全评价通则》</w:t>
      </w:r>
      <w:r>
        <w:rPr>
          <w:rFonts w:ascii="Times New Roman" w:hAnsi="Times New Roman" w:eastAsia="宋体" w:cs="Times New Roman"/>
          <w:bCs w:val="0"/>
          <w:color w:val="auto"/>
          <w:kern w:val="2"/>
          <w:sz w:val="28"/>
          <w:szCs w:val="28"/>
        </w:rPr>
        <w:t>AQ8001-2007</w:t>
      </w:r>
      <w:r>
        <w:rPr>
          <w:rFonts w:hint="eastAsia" w:ascii="Times New Roman" w:hAnsi="Times New Roman" w:eastAsia="宋体" w:cs="宋体"/>
          <w:bCs w:val="0"/>
          <w:color w:val="auto"/>
          <w:kern w:val="2"/>
          <w:sz w:val="28"/>
          <w:szCs w:val="28"/>
        </w:rPr>
        <w:t>和《安全验收评价导则》</w:t>
      </w:r>
      <w:r>
        <w:rPr>
          <w:rFonts w:ascii="Times New Roman" w:hAnsi="Times New Roman" w:eastAsia="宋体" w:cs="Times New Roman"/>
          <w:bCs w:val="0"/>
          <w:color w:val="auto"/>
          <w:kern w:val="2"/>
          <w:sz w:val="28"/>
          <w:szCs w:val="28"/>
        </w:rPr>
        <w:t>AQ8003-2007</w:t>
      </w:r>
      <w:r>
        <w:rPr>
          <w:rFonts w:hint="eastAsia" w:ascii="Times New Roman" w:hAnsi="Times New Roman" w:eastAsia="宋体" w:cs="Times New Roman"/>
          <w:bCs w:val="0"/>
          <w:color w:val="auto"/>
          <w:kern w:val="2"/>
          <w:sz w:val="28"/>
          <w:szCs w:val="28"/>
        </w:rPr>
        <w:t>的</w:t>
      </w:r>
      <w:r>
        <w:rPr>
          <w:rFonts w:hint="eastAsia" w:ascii="Times New Roman" w:hAnsi="Times New Roman" w:eastAsia="宋体" w:cs="宋体"/>
          <w:bCs w:val="0"/>
          <w:color w:val="auto"/>
          <w:kern w:val="2"/>
          <w:sz w:val="28"/>
          <w:szCs w:val="28"/>
        </w:rPr>
        <w:t>要求，编写此评价报告。</w:t>
      </w:r>
    </w:p>
    <w:p w14:paraId="4E419BE1">
      <w:pPr>
        <w:pageBreakBefore/>
        <w:widowControl/>
        <w:spacing w:line="500" w:lineRule="exact"/>
        <w:jc w:val="center"/>
        <w:outlineLvl w:val="9"/>
        <w:rPr>
          <w:rFonts w:ascii="Times New Roman" w:hAnsi="Times New Roman" w:eastAsia="宋体" w:cs="Times New Roman"/>
          <w:b/>
          <w:bCs/>
          <w:color w:val="auto"/>
          <w:kern w:val="2"/>
          <w:sz w:val="28"/>
          <w:szCs w:val="28"/>
        </w:rPr>
      </w:pPr>
      <w:r>
        <w:rPr>
          <w:rFonts w:hint="eastAsia" w:ascii="Times New Roman" w:hAnsi="Times New Roman" w:eastAsia="宋体" w:cs="宋体"/>
          <w:b/>
          <w:bCs/>
          <w:color w:val="auto"/>
          <w:kern w:val="2"/>
          <w:sz w:val="28"/>
          <w:szCs w:val="28"/>
        </w:rPr>
        <w:t>目</w:t>
      </w:r>
      <w:r>
        <w:rPr>
          <w:rFonts w:ascii="Times New Roman" w:hAnsi="Times New Roman" w:eastAsia="宋体" w:cs="Times New Roman"/>
          <w:b/>
          <w:bCs/>
          <w:color w:val="auto"/>
          <w:kern w:val="2"/>
          <w:sz w:val="28"/>
          <w:szCs w:val="28"/>
        </w:rPr>
        <w:t xml:space="preserve"> </w:t>
      </w:r>
      <w:r>
        <w:rPr>
          <w:rFonts w:hint="eastAsia" w:ascii="Times New Roman" w:hAnsi="Times New Roman" w:eastAsia="宋体" w:cs="Times New Roman"/>
          <w:b/>
          <w:bCs/>
          <w:color w:val="auto"/>
          <w:kern w:val="2"/>
          <w:sz w:val="28"/>
          <w:szCs w:val="28"/>
        </w:rPr>
        <w:t xml:space="preserve">   </w:t>
      </w:r>
      <w:r>
        <w:rPr>
          <w:rFonts w:hint="eastAsia" w:ascii="Times New Roman" w:hAnsi="Times New Roman" w:eastAsia="宋体" w:cs="宋体"/>
          <w:b/>
          <w:bCs/>
          <w:color w:val="auto"/>
          <w:kern w:val="2"/>
          <w:sz w:val="28"/>
          <w:szCs w:val="28"/>
        </w:rPr>
        <w:t>录</w:t>
      </w:r>
    </w:p>
    <w:p w14:paraId="57F166C4">
      <w:pPr>
        <w:widowControl w:val="0"/>
        <w:tabs>
          <w:tab w:val="right" w:leader="dot" w:pos="9072"/>
        </w:tabs>
        <w:spacing w:line="520" w:lineRule="exact"/>
        <w:jc w:val="both"/>
        <w:rPr>
          <w:rFonts w:ascii="Times New Roman" w:hAnsi="Times New Roman" w:eastAsia="宋体" w:cs="Times New Roman"/>
          <w:b/>
          <w:bCs/>
          <w:color w:val="auto"/>
          <w:kern w:val="2"/>
          <w:sz w:val="24"/>
          <w:szCs w:val="24"/>
          <w:lang w:val="en-US" w:eastAsia="zh-CN" w:bidi="ar-SA"/>
        </w:rPr>
      </w:pPr>
    </w:p>
    <w:p w14:paraId="01008D79">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
          <w:bCs/>
          <w:color w:val="auto"/>
          <w:kern w:val="2"/>
          <w:sz w:val="24"/>
          <w:szCs w:val="24"/>
          <w:lang w:val="en-US" w:eastAsia="zh-CN" w:bidi="ar-SA"/>
        </w:rPr>
        <w:fldChar w:fldCharType="begin"/>
      </w:r>
      <w:r>
        <w:rPr>
          <w:rFonts w:ascii="Times New Roman" w:hAnsi="Times New Roman" w:eastAsia="宋体" w:cs="Times New Roman"/>
          <w:b/>
          <w:bCs/>
          <w:color w:val="auto"/>
          <w:kern w:val="2"/>
          <w:sz w:val="24"/>
          <w:szCs w:val="24"/>
          <w:lang w:val="en-US" w:eastAsia="zh-CN" w:bidi="ar-SA"/>
        </w:rPr>
        <w:instrText xml:space="preserve">TOC \o "1-2" \h \u </w:instrText>
      </w:r>
      <w:r>
        <w:rPr>
          <w:rFonts w:ascii="Times New Roman" w:hAnsi="Times New Roman" w:eastAsia="宋体" w:cs="Times New Roman"/>
          <w:b/>
          <w:bCs/>
          <w:color w:val="auto"/>
          <w:kern w:val="2"/>
          <w:sz w:val="24"/>
          <w:szCs w:val="24"/>
          <w:lang w:val="en-US" w:eastAsia="zh-CN" w:bidi="ar-SA"/>
        </w:rPr>
        <w:fldChar w:fldCharType="separate"/>
      </w: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_Toc18141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2"/>
          <w:lang w:val="en-US" w:eastAsia="zh-CN" w:bidi="ar-SA"/>
        </w:rPr>
        <w:t xml:space="preserve">1 </w:t>
      </w:r>
      <w:r>
        <w:rPr>
          <w:rFonts w:hint="eastAsia" w:ascii="Times New Roman" w:hAnsi="Times New Roman" w:eastAsia="宋体" w:cs="宋体"/>
          <w:color w:val="auto"/>
          <w:kern w:val="2"/>
          <w:sz w:val="21"/>
          <w:szCs w:val="32"/>
          <w:lang w:val="en-US" w:eastAsia="zh-CN" w:bidi="ar-SA"/>
        </w:rPr>
        <w:t>评价概述</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_Toc18141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119A7E22">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_Toc13532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2"/>
          <w:lang w:val="en-US" w:eastAsia="zh-CN" w:bidi="ar-SA"/>
        </w:rPr>
        <w:t>1.1</w:t>
      </w:r>
      <w:r>
        <w:rPr>
          <w:rFonts w:hint="eastAsia" w:ascii="Times New Roman" w:hAnsi="Times New Roman" w:eastAsia="宋体" w:cs="宋体"/>
          <w:color w:val="auto"/>
          <w:kern w:val="2"/>
          <w:sz w:val="21"/>
          <w:szCs w:val="32"/>
          <w:lang w:val="en-US" w:eastAsia="zh-CN" w:bidi="ar-SA"/>
        </w:rPr>
        <w:t>评价的目的和原则</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_Toc13532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0A3379C0">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_Toc15227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1.2</w:t>
      </w:r>
      <w:r>
        <w:rPr>
          <w:rFonts w:hint="eastAsia" w:ascii="Times New Roman" w:hAnsi="Times New Roman" w:eastAsia="宋体" w:cs="宋体"/>
          <w:color w:val="auto"/>
          <w:kern w:val="2"/>
          <w:sz w:val="21"/>
          <w:szCs w:val="21"/>
          <w:lang w:val="en-US" w:eastAsia="zh-CN" w:bidi="ar-SA"/>
        </w:rPr>
        <w:t>评价依据</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_Toc15227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05C09E8D">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_Toc17019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1.3</w:t>
      </w:r>
      <w:r>
        <w:rPr>
          <w:rFonts w:hint="eastAsia" w:ascii="Times New Roman" w:hAnsi="Times New Roman" w:eastAsia="宋体" w:cs="宋体"/>
          <w:color w:val="auto"/>
          <w:kern w:val="2"/>
          <w:sz w:val="21"/>
          <w:szCs w:val="21"/>
          <w:lang w:val="en-US" w:eastAsia="zh-CN" w:bidi="ar-SA"/>
        </w:rPr>
        <w:t>评价范围及内容</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_Toc17019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9</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2F7FDE87">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_Toc30418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1.4</w:t>
      </w:r>
      <w:r>
        <w:rPr>
          <w:rFonts w:hint="eastAsia" w:ascii="Times New Roman" w:hAnsi="Times New Roman" w:eastAsia="宋体" w:cs="宋体"/>
          <w:color w:val="auto"/>
          <w:kern w:val="2"/>
          <w:sz w:val="21"/>
          <w:szCs w:val="21"/>
          <w:lang w:val="en-US" w:eastAsia="zh-CN" w:bidi="ar-SA"/>
        </w:rPr>
        <w:t>评价程序</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_Toc30418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AC89064">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_Toc28665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bCs/>
          <w:color w:val="auto"/>
          <w:kern w:val="36"/>
          <w:sz w:val="21"/>
          <w:szCs w:val="32"/>
          <w:lang w:val="en-US" w:eastAsia="zh-CN" w:bidi="ar-SA"/>
        </w:rPr>
        <w:t>2 加油站概况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_Toc28665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75FF889E">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_Toc11122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2.1</w:t>
      </w:r>
      <w:r>
        <w:rPr>
          <w:rFonts w:hint="eastAsia" w:ascii="Times New Roman" w:hAnsi="Times New Roman" w:eastAsia="宋体" w:cs="宋体"/>
          <w:color w:val="auto"/>
          <w:kern w:val="2"/>
          <w:sz w:val="21"/>
          <w:szCs w:val="21"/>
          <w:lang w:val="en-US" w:eastAsia="zh-CN" w:bidi="ar-SA"/>
        </w:rPr>
        <w:t>建设项目基本情况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_Toc11122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5833E36">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_Toc2031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 xml:space="preserve">2.2 </w:t>
      </w:r>
      <w:r>
        <w:rPr>
          <w:rFonts w:hint="eastAsia" w:ascii="Times New Roman" w:hAnsi="Times New Roman" w:eastAsia="宋体" w:cs="宋体"/>
          <w:color w:val="auto"/>
          <w:kern w:val="2"/>
          <w:sz w:val="21"/>
          <w:szCs w:val="21"/>
          <w:lang w:val="en-US" w:eastAsia="zh-CN" w:bidi="ar-SA"/>
        </w:rPr>
        <w:t>加油站概况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_Toc2031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13</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05B11174">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_Toc31407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2.3</w:t>
      </w:r>
      <w:r>
        <w:rPr>
          <w:rFonts w:hint="eastAsia" w:ascii="Times New Roman" w:hAnsi="Times New Roman" w:eastAsia="宋体" w:cs="宋体"/>
          <w:color w:val="auto"/>
          <w:kern w:val="2"/>
          <w:sz w:val="21"/>
          <w:szCs w:val="21"/>
          <w:lang w:val="en-US" w:eastAsia="zh-CN" w:bidi="ar-SA"/>
        </w:rPr>
        <w:t>主要设备、建筑物及工艺：</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_Toc31407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17</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6423BA50">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_Toc11002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 xml:space="preserve">2.4 </w:t>
      </w:r>
      <w:r>
        <w:rPr>
          <w:rFonts w:hint="eastAsia" w:ascii="Times New Roman" w:hAnsi="Times New Roman" w:eastAsia="宋体" w:cs="宋体"/>
          <w:bCs/>
          <w:color w:val="auto"/>
          <w:kern w:val="2"/>
          <w:sz w:val="21"/>
          <w:szCs w:val="28"/>
          <w:lang w:val="en-US" w:eastAsia="zh-CN" w:bidi="ar-SA"/>
        </w:rPr>
        <w:t>辅助设施</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_Toc11002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19</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1363BE39">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_Toc23781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highlight w:val="none"/>
          <w:lang w:val="en-US" w:eastAsia="zh-CN" w:bidi="ar-SA"/>
        </w:rPr>
        <w:t xml:space="preserve">2.5 </w:t>
      </w:r>
      <w:r>
        <w:rPr>
          <w:rFonts w:hint="eastAsia" w:ascii="Times New Roman" w:hAnsi="Times New Roman" w:eastAsia="宋体" w:cs="宋体"/>
          <w:bCs/>
          <w:color w:val="auto"/>
          <w:kern w:val="2"/>
          <w:sz w:val="21"/>
          <w:szCs w:val="28"/>
          <w:highlight w:val="none"/>
          <w:lang w:val="en-US" w:eastAsia="zh-CN" w:bidi="ar-SA"/>
        </w:rPr>
        <w:t>消防、安全设施</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_Toc23781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21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62C909B9">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_Toc10610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36"/>
          <w:sz w:val="21"/>
          <w:szCs w:val="32"/>
          <w:lang w:val="en-US" w:eastAsia="zh-CN" w:bidi="ar-SA"/>
        </w:rPr>
        <w:t xml:space="preserve">3 </w:t>
      </w:r>
      <w:r>
        <w:rPr>
          <w:rFonts w:hint="eastAsia" w:ascii="Times New Roman" w:hAnsi="Times New Roman" w:eastAsia="宋体" w:cs="宋体"/>
          <w:bCs/>
          <w:color w:val="auto"/>
          <w:kern w:val="36"/>
          <w:sz w:val="21"/>
          <w:szCs w:val="32"/>
          <w:lang w:val="en-US" w:eastAsia="zh-CN" w:bidi="ar-SA"/>
        </w:rPr>
        <w:t>主要危险、有害因素分析</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_Toc10610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25</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40901AA">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_Toc23758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 xml:space="preserve">3.1 </w:t>
      </w:r>
      <w:r>
        <w:rPr>
          <w:rFonts w:hint="eastAsia" w:ascii="Times New Roman" w:hAnsi="Times New Roman" w:eastAsia="宋体" w:cs="宋体"/>
          <w:bCs/>
          <w:color w:val="auto"/>
          <w:kern w:val="2"/>
          <w:sz w:val="21"/>
          <w:szCs w:val="28"/>
          <w:lang w:val="en-US" w:eastAsia="zh-CN" w:bidi="ar-SA"/>
        </w:rPr>
        <w:t>物料的危险、有害因素分析</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_Toc23758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25</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EC5A44F">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_Toc30692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21"/>
          <w:lang w:val="en-US" w:eastAsia="zh-CN" w:bidi="ar-SA"/>
        </w:rPr>
        <w:t>3.2</w:t>
      </w:r>
      <w:r>
        <w:rPr>
          <w:rFonts w:hint="eastAsia" w:ascii="Times New Roman" w:hAnsi="Times New Roman" w:eastAsia="宋体" w:cs="宋体"/>
          <w:color w:val="auto"/>
          <w:kern w:val="2"/>
          <w:sz w:val="21"/>
          <w:szCs w:val="21"/>
          <w:lang w:val="en-US" w:eastAsia="zh-CN" w:bidi="ar-SA"/>
        </w:rPr>
        <w:t>危险化学品及危险工艺辨识</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_Toc30692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28</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E6657A3">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_Toc18070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 xml:space="preserve">3.3 </w:t>
      </w:r>
      <w:r>
        <w:rPr>
          <w:rFonts w:hint="eastAsia" w:ascii="Times New Roman" w:hAnsi="Times New Roman" w:eastAsia="宋体" w:cs="宋体"/>
          <w:bCs/>
          <w:color w:val="auto"/>
          <w:kern w:val="2"/>
          <w:sz w:val="21"/>
          <w:szCs w:val="28"/>
          <w:lang w:val="en-US" w:eastAsia="zh-CN" w:bidi="ar-SA"/>
        </w:rPr>
        <w:t>重大危险源辨识</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_Toc18070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29</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1F561949">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_Toc31826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3.4</w:t>
      </w:r>
      <w:r>
        <w:rPr>
          <w:rFonts w:hint="eastAsia" w:ascii="Times New Roman" w:hAnsi="Times New Roman" w:eastAsia="宋体" w:cs="宋体"/>
          <w:bCs/>
          <w:color w:val="auto"/>
          <w:kern w:val="2"/>
          <w:sz w:val="21"/>
          <w:szCs w:val="28"/>
          <w:lang w:val="en-US" w:eastAsia="zh-CN" w:bidi="ar-SA"/>
        </w:rPr>
        <w:t>加油站主要危险因素分析</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_Toc31826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31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BB644F5">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_Toc12440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3.5</w:t>
      </w:r>
      <w:r>
        <w:rPr>
          <w:rFonts w:hint="eastAsia" w:ascii="Times New Roman" w:hAnsi="Times New Roman" w:eastAsia="宋体" w:cs="宋体"/>
          <w:bCs/>
          <w:color w:val="auto"/>
          <w:kern w:val="2"/>
          <w:sz w:val="21"/>
          <w:szCs w:val="28"/>
          <w:lang w:val="en-US" w:eastAsia="zh-CN" w:bidi="ar-SA"/>
        </w:rPr>
        <w:t>经营过程中的危险辨识</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_Toc12440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34</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30633C4">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_Toc8840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3.6</w:t>
      </w:r>
      <w:r>
        <w:rPr>
          <w:rFonts w:hint="eastAsia" w:ascii="Times New Roman" w:hAnsi="Times New Roman" w:eastAsia="宋体" w:cs="宋体"/>
          <w:bCs/>
          <w:color w:val="auto"/>
          <w:kern w:val="2"/>
          <w:sz w:val="21"/>
          <w:szCs w:val="28"/>
          <w:lang w:val="en-US" w:eastAsia="zh-CN" w:bidi="ar-SA"/>
        </w:rPr>
        <w:t>环境、自然危害因素分析</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_Toc8840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8D51735">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_Toc13024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3.7</w:t>
      </w:r>
      <w:r>
        <w:rPr>
          <w:rFonts w:hint="eastAsia" w:ascii="Times New Roman" w:hAnsi="Times New Roman" w:eastAsia="宋体" w:cs="宋体"/>
          <w:bCs/>
          <w:color w:val="auto"/>
          <w:kern w:val="2"/>
          <w:sz w:val="21"/>
          <w:szCs w:val="28"/>
          <w:lang w:val="en-US" w:eastAsia="zh-CN" w:bidi="ar-SA"/>
        </w:rPr>
        <w:t>有害因素分析</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_Toc13024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42</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FBE4CF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_Toc22537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3.8</w:t>
      </w:r>
      <w:r>
        <w:rPr>
          <w:rFonts w:hint="eastAsia" w:ascii="Times New Roman" w:hAnsi="Times New Roman" w:eastAsia="宋体" w:cs="宋体"/>
          <w:bCs/>
          <w:color w:val="auto"/>
          <w:kern w:val="2"/>
          <w:sz w:val="21"/>
          <w:szCs w:val="28"/>
          <w:lang w:val="en-US" w:eastAsia="zh-CN" w:bidi="ar-SA"/>
        </w:rPr>
        <w:t>危险和有害因素分析总结</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_Toc22537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42</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600D84A">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_Toc3053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3.9</w:t>
      </w:r>
      <w:r>
        <w:rPr>
          <w:rFonts w:hint="eastAsia" w:ascii="Times New Roman" w:hAnsi="Times New Roman" w:eastAsia="宋体" w:cs="宋体"/>
          <w:bCs/>
          <w:color w:val="auto"/>
          <w:kern w:val="2"/>
          <w:sz w:val="21"/>
          <w:szCs w:val="28"/>
          <w:lang w:val="en-US" w:eastAsia="zh-CN" w:bidi="ar-SA"/>
        </w:rPr>
        <w:t>爆炸危险区域划分</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_Toc3053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42</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ED6736D">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_Toc21593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Times New Roman"/>
          <w:bCs/>
          <w:color w:val="auto"/>
          <w:kern w:val="2"/>
          <w:sz w:val="21"/>
          <w:szCs w:val="28"/>
          <w:lang w:val="en-US" w:eastAsia="zh-CN" w:bidi="ar-SA"/>
        </w:rPr>
        <w:t xml:space="preserve">3.10 </w:t>
      </w:r>
      <w:r>
        <w:rPr>
          <w:rFonts w:hint="eastAsia" w:ascii="Times New Roman" w:hAnsi="Times New Roman" w:eastAsia="宋体" w:cs="宋体"/>
          <w:bCs/>
          <w:color w:val="auto"/>
          <w:kern w:val="2"/>
          <w:sz w:val="21"/>
          <w:szCs w:val="28"/>
          <w:lang w:val="en-US" w:eastAsia="zh-CN" w:bidi="ar-SA"/>
        </w:rPr>
        <w:t>典型事故案例</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_Toc21593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44</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81DD008">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_Toc9281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2"/>
          <w:lang w:val="en-US" w:eastAsia="zh-CN" w:bidi="ar-SA"/>
        </w:rPr>
        <w:t xml:space="preserve">4 </w:t>
      </w:r>
      <w:r>
        <w:rPr>
          <w:rFonts w:hint="eastAsia" w:ascii="Times New Roman" w:hAnsi="Times New Roman" w:eastAsia="宋体" w:cs="Calibri"/>
          <w:color w:val="auto"/>
          <w:kern w:val="2"/>
          <w:sz w:val="21"/>
          <w:szCs w:val="32"/>
          <w:lang w:val="en-US" w:eastAsia="zh-CN" w:bidi="ar-SA"/>
        </w:rPr>
        <w:t>评价单元划分和评价方法选择</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_Toc9281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46</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B7D6451">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_Toc30901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0"/>
          <w:lang w:val="en-US" w:eastAsia="zh-CN" w:bidi="ar-SA"/>
        </w:rPr>
        <w:t xml:space="preserve">4.1 </w:t>
      </w:r>
      <w:r>
        <w:rPr>
          <w:rFonts w:hint="eastAsia" w:ascii="Times New Roman" w:hAnsi="Times New Roman" w:eastAsia="宋体" w:cs="Calibri"/>
          <w:color w:val="auto"/>
          <w:kern w:val="2"/>
          <w:sz w:val="21"/>
          <w:szCs w:val="30"/>
          <w:lang w:val="en-US" w:eastAsia="zh-CN" w:bidi="ar-SA"/>
        </w:rPr>
        <w:t>评价单元的划分和评价方法选择</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_Toc30901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46</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2C27EE2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_Toc12230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0"/>
          <w:lang w:val="en-US" w:eastAsia="zh-CN" w:bidi="ar-SA"/>
        </w:rPr>
        <w:t>4.</w:t>
      </w:r>
      <w:r>
        <w:rPr>
          <w:rFonts w:hint="eastAsia" w:ascii="Times New Roman" w:hAnsi="Times New Roman" w:eastAsia="宋体" w:cs="Calibri"/>
          <w:color w:val="auto"/>
          <w:kern w:val="2"/>
          <w:sz w:val="21"/>
          <w:szCs w:val="30"/>
          <w:lang w:val="en-US" w:eastAsia="zh-CN" w:bidi="ar-SA"/>
        </w:rPr>
        <w:t>2 评价方法简介</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_Toc12230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46</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208592AA">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_Toc10875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2"/>
          <w:lang w:val="en-US" w:eastAsia="zh-CN" w:bidi="ar-SA"/>
        </w:rPr>
        <w:t xml:space="preserve">5 </w:t>
      </w:r>
      <w:r>
        <w:rPr>
          <w:rFonts w:hint="eastAsia" w:ascii="Times New Roman" w:hAnsi="Times New Roman" w:eastAsia="宋体" w:cs="Calibri"/>
          <w:color w:val="auto"/>
          <w:kern w:val="2"/>
          <w:sz w:val="21"/>
          <w:szCs w:val="32"/>
          <w:lang w:val="en-US" w:eastAsia="zh-CN" w:bidi="ar-SA"/>
        </w:rPr>
        <w:t>定性、定量评价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_Toc10875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77A9240">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_Toc25365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0"/>
          <w:lang w:val="en-US" w:eastAsia="zh-CN" w:bidi="ar-SA"/>
        </w:rPr>
        <w:t>5.1 作业条件危险性评价法（</w:t>
      </w:r>
      <w:r>
        <w:rPr>
          <w:rFonts w:hint="eastAsia" w:ascii="Times New Roman" w:hAnsi="Times New Roman" w:eastAsia="宋体" w:cs="Calibri"/>
          <w:color w:val="auto"/>
          <w:kern w:val="2"/>
          <w:sz w:val="21"/>
          <w:szCs w:val="30"/>
          <w:lang w:val="en-US" w:eastAsia="zh-CN" w:bidi="ar-SA"/>
        </w:rPr>
        <w:t>D＝</w:t>
      </w:r>
      <w:r>
        <w:rPr>
          <w:rFonts w:ascii="Times New Roman" w:hAnsi="Times New Roman" w:eastAsia="宋体" w:cs="Calibri"/>
          <w:color w:val="auto"/>
          <w:kern w:val="2"/>
          <w:sz w:val="21"/>
          <w:szCs w:val="30"/>
          <w:lang w:val="en-US" w:eastAsia="zh-CN" w:bidi="ar-SA"/>
        </w:rPr>
        <w:t>LEC）</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_Toc25365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67F9129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_Toc26056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0"/>
          <w:lang w:val="en-US" w:eastAsia="zh-CN" w:bidi="ar-SA"/>
        </w:rPr>
        <w:t xml:space="preserve">5.2 </w:t>
      </w:r>
      <w:r>
        <w:rPr>
          <w:rFonts w:hint="eastAsia" w:ascii="Times New Roman" w:hAnsi="Times New Roman" w:eastAsia="宋体" w:cs="Calibri"/>
          <w:color w:val="auto"/>
          <w:kern w:val="2"/>
          <w:sz w:val="21"/>
          <w:szCs w:val="30"/>
          <w:lang w:val="en-US" w:eastAsia="zh-CN" w:bidi="ar-SA"/>
        </w:rPr>
        <w:t>危险度评价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_Toc26056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52</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73F2DC34">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_Toc9240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 xml:space="preserve">5.3 </w:t>
      </w:r>
      <w:r>
        <w:rPr>
          <w:rFonts w:ascii="Times New Roman" w:hAnsi="Times New Roman" w:eastAsia="宋体" w:cs="Calibri"/>
          <w:color w:val="auto"/>
          <w:kern w:val="2"/>
          <w:sz w:val="21"/>
          <w:szCs w:val="30"/>
          <w:lang w:val="en-US" w:eastAsia="zh-CN" w:bidi="ar-SA"/>
        </w:rPr>
        <w:t>安全管理</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_Toc9240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53</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FF311CE">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_Toc29212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5.4 站址选择符合性评价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_Toc29212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55</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833518E">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_Toc6308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5.5 平面布置符合性评价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_Toc6308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56</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13464D0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_Toc12545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5.6 工艺及设施符合性评价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_Toc12545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59</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6505EA7">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_Toc19196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5.7 消防设施及给排水符合性评价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_Toc19196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63</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FF47D4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_Toc32519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5.8 电气、报警和紧急切断系统符合性评价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_Toc32519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64</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375DBDD">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_Toc7007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5.9 采暖通风、建（构）筑物、绿化符合性评价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_Toc7007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66</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6725F20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_Toc8603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5.10加油站作业安全规范评价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_Toc8603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68</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3CB9B80">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_Toc12046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5.11 重点监管的危险化学品安全措施落实情况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_Toc12046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73</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FEF50F8">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_Toc20598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5.12 重大事故隐患情况分析</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_Toc20598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75</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1214A2BF">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_Toc20583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5.13 安全分类整治评价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_Toc20583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77</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5EB405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_Toc8132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5.14 安全经营条件评价</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_Toc8132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83</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2CC0E0C8">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_Toc4370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0"/>
          <w:lang w:val="en-US" w:eastAsia="zh-CN" w:bidi="ar-SA"/>
        </w:rPr>
        <w:t>5.15 安全设施符合性诊断及整改设计提出的对策措施采纳情况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_Toc4370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84</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F8302DE">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_Toc30760 </w:instrText>
      </w:r>
      <w:r>
        <w:rPr>
          <w:rFonts w:ascii="Times New Roman" w:hAnsi="Times New Roman" w:eastAsia="宋体" w:cs="Times New Roman"/>
          <w:bCs/>
          <w:color w:val="auto"/>
          <w:kern w:val="2"/>
          <w:sz w:val="21"/>
          <w:szCs w:val="24"/>
          <w:lang w:val="en-US" w:eastAsia="zh-CN" w:bidi="ar-SA"/>
        </w:rPr>
        <w:fldChar w:fldCharType="separate"/>
      </w:r>
      <w:r>
        <w:rPr>
          <w:rFonts w:ascii="Times New Roman" w:hAnsi="Times New Roman" w:eastAsia="宋体" w:cs="Calibri"/>
          <w:color w:val="auto"/>
          <w:kern w:val="2"/>
          <w:sz w:val="21"/>
          <w:szCs w:val="30"/>
          <w:lang w:val="en-US" w:eastAsia="zh-CN" w:bidi="ar-SA"/>
        </w:rPr>
        <w:t>5.</w:t>
      </w:r>
      <w:r>
        <w:rPr>
          <w:rFonts w:hint="eastAsia" w:ascii="Times New Roman" w:hAnsi="Times New Roman" w:eastAsia="宋体" w:cs="Calibri"/>
          <w:color w:val="auto"/>
          <w:kern w:val="2"/>
          <w:sz w:val="21"/>
          <w:szCs w:val="30"/>
          <w:lang w:val="en-US" w:eastAsia="zh-CN" w:bidi="ar-SA"/>
        </w:rPr>
        <w:t>16</w:t>
      </w:r>
      <w:r>
        <w:rPr>
          <w:rFonts w:ascii="Times New Roman" w:hAnsi="Times New Roman" w:eastAsia="宋体" w:cs="Calibri"/>
          <w:color w:val="auto"/>
          <w:kern w:val="2"/>
          <w:sz w:val="21"/>
          <w:szCs w:val="30"/>
          <w:lang w:val="en-US" w:eastAsia="zh-CN" w:bidi="ar-SA"/>
        </w:rPr>
        <w:t xml:space="preserve"> 加油站安全检查表</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_Toc30760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93</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1D722DC9">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_Toc17999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Times New Roman"/>
          <w:bCs/>
          <w:color w:val="auto"/>
          <w:kern w:val="36"/>
          <w:sz w:val="21"/>
          <w:szCs w:val="32"/>
          <w:lang w:val="en-US" w:eastAsia="zh-CN" w:bidi="ar-SA"/>
        </w:rPr>
        <w:t>6</w:t>
      </w:r>
      <w:r>
        <w:rPr>
          <w:rFonts w:ascii="Times New Roman" w:hAnsi="Times New Roman" w:eastAsia="宋体" w:cs="Times New Roman"/>
          <w:bCs/>
          <w:color w:val="auto"/>
          <w:kern w:val="36"/>
          <w:sz w:val="21"/>
          <w:szCs w:val="32"/>
          <w:lang w:val="en-US" w:eastAsia="zh-CN" w:bidi="ar-SA"/>
        </w:rPr>
        <w:t xml:space="preserve"> </w:t>
      </w:r>
      <w:r>
        <w:rPr>
          <w:rFonts w:hint="eastAsia" w:ascii="Times New Roman" w:hAnsi="Times New Roman" w:eastAsia="宋体" w:cs="宋体"/>
          <w:bCs/>
          <w:color w:val="auto"/>
          <w:kern w:val="36"/>
          <w:sz w:val="21"/>
          <w:szCs w:val="32"/>
          <w:lang w:val="en-US" w:eastAsia="zh-CN" w:bidi="ar-SA"/>
        </w:rPr>
        <w:t>整改落实情况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_Toc17999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100</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32DF4B2">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_Toc29776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Times New Roman"/>
          <w:bCs/>
          <w:color w:val="auto"/>
          <w:kern w:val="2"/>
          <w:sz w:val="21"/>
          <w:szCs w:val="28"/>
          <w:lang w:val="en-US" w:eastAsia="zh-CN" w:bidi="ar-SA"/>
        </w:rPr>
        <w:t>6.1</w:t>
      </w:r>
      <w:r>
        <w:rPr>
          <w:rFonts w:ascii="Times New Roman" w:hAnsi="Times New Roman" w:eastAsia="宋体" w:cs="Times New Roman"/>
          <w:bCs/>
          <w:color w:val="auto"/>
          <w:kern w:val="2"/>
          <w:sz w:val="21"/>
          <w:szCs w:val="28"/>
          <w:lang w:val="en-US" w:eastAsia="zh-CN" w:bidi="ar-SA"/>
        </w:rPr>
        <w:t xml:space="preserve"> </w:t>
      </w:r>
      <w:r>
        <w:rPr>
          <w:rFonts w:hint="eastAsia" w:ascii="Times New Roman" w:hAnsi="Times New Roman" w:eastAsia="宋体" w:cs="宋体"/>
          <w:bCs/>
          <w:color w:val="auto"/>
          <w:kern w:val="2"/>
          <w:sz w:val="21"/>
          <w:szCs w:val="28"/>
          <w:lang w:val="en-US" w:eastAsia="zh-CN" w:bidi="ar-SA"/>
        </w:rPr>
        <w:t>安全设施符合性诊断及整改设计提出的整改项落实情况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_Toc29776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100</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7D7C4383">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_Toc30942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Times New Roman"/>
          <w:bCs/>
          <w:color w:val="auto"/>
          <w:kern w:val="2"/>
          <w:sz w:val="21"/>
          <w:szCs w:val="28"/>
          <w:lang w:val="en-US" w:eastAsia="zh-CN" w:bidi="ar-SA"/>
        </w:rPr>
        <w:t>6</w:t>
      </w:r>
      <w:r>
        <w:rPr>
          <w:rFonts w:ascii="Times New Roman" w:hAnsi="Times New Roman" w:eastAsia="宋体" w:cs="Times New Roman"/>
          <w:bCs/>
          <w:color w:val="auto"/>
          <w:kern w:val="2"/>
          <w:sz w:val="21"/>
          <w:szCs w:val="28"/>
          <w:lang w:val="en-US" w:eastAsia="zh-CN" w:bidi="ar-SA"/>
        </w:rPr>
        <w:t>.</w:t>
      </w:r>
      <w:r>
        <w:rPr>
          <w:rFonts w:hint="eastAsia" w:ascii="Times New Roman" w:hAnsi="Times New Roman" w:eastAsia="宋体" w:cs="Times New Roman"/>
          <w:bCs/>
          <w:color w:val="auto"/>
          <w:kern w:val="2"/>
          <w:sz w:val="21"/>
          <w:szCs w:val="28"/>
          <w:lang w:val="en-US" w:eastAsia="zh-CN" w:bidi="ar-SA"/>
        </w:rPr>
        <w:t>2</w:t>
      </w:r>
      <w:r>
        <w:rPr>
          <w:rFonts w:hint="eastAsia" w:ascii="Times New Roman" w:hAnsi="Times New Roman" w:eastAsia="宋体" w:cs="宋体"/>
          <w:bCs/>
          <w:color w:val="auto"/>
          <w:kern w:val="2"/>
          <w:sz w:val="21"/>
          <w:szCs w:val="28"/>
          <w:lang w:val="en-US" w:eastAsia="zh-CN" w:bidi="ar-SA"/>
        </w:rPr>
        <w:t>隐患整改措施</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_Toc30942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100</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4A335A8">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_Toc30644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Times New Roman"/>
          <w:bCs/>
          <w:color w:val="auto"/>
          <w:kern w:val="2"/>
          <w:sz w:val="21"/>
          <w:szCs w:val="28"/>
          <w:lang w:val="en-US" w:eastAsia="zh-CN" w:bidi="ar-SA"/>
        </w:rPr>
        <w:t>6</w:t>
      </w:r>
      <w:r>
        <w:rPr>
          <w:rFonts w:ascii="Times New Roman" w:hAnsi="Times New Roman" w:eastAsia="宋体" w:cs="Times New Roman"/>
          <w:bCs/>
          <w:color w:val="auto"/>
          <w:kern w:val="2"/>
          <w:sz w:val="21"/>
          <w:szCs w:val="28"/>
          <w:lang w:val="en-US" w:eastAsia="zh-CN" w:bidi="ar-SA"/>
        </w:rPr>
        <w:t>.</w:t>
      </w:r>
      <w:r>
        <w:rPr>
          <w:rFonts w:hint="eastAsia" w:ascii="Times New Roman" w:hAnsi="Times New Roman" w:eastAsia="宋体" w:cs="Times New Roman"/>
          <w:bCs/>
          <w:color w:val="auto"/>
          <w:kern w:val="2"/>
          <w:sz w:val="21"/>
          <w:szCs w:val="28"/>
          <w:lang w:val="en-US" w:eastAsia="zh-CN" w:bidi="ar-SA"/>
        </w:rPr>
        <w:t>3</w:t>
      </w:r>
      <w:r>
        <w:rPr>
          <w:rFonts w:ascii="Times New Roman" w:hAnsi="Times New Roman" w:eastAsia="宋体" w:cs="Times New Roman"/>
          <w:bCs/>
          <w:color w:val="auto"/>
          <w:kern w:val="2"/>
          <w:sz w:val="21"/>
          <w:szCs w:val="28"/>
          <w:lang w:val="en-US" w:eastAsia="zh-CN" w:bidi="ar-SA"/>
        </w:rPr>
        <w:t xml:space="preserve"> </w:t>
      </w:r>
      <w:r>
        <w:rPr>
          <w:rFonts w:hint="eastAsia" w:ascii="Times New Roman" w:hAnsi="Times New Roman" w:eastAsia="宋体" w:cs="宋体"/>
          <w:bCs/>
          <w:color w:val="auto"/>
          <w:kern w:val="2"/>
          <w:sz w:val="21"/>
          <w:szCs w:val="28"/>
          <w:lang w:val="en-US" w:eastAsia="zh-CN" w:bidi="ar-SA"/>
        </w:rPr>
        <w:t>整改落实情况</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_Toc30644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100</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53DBAB15">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420" w:leftChars="200"/>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_Toc27939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Times New Roman"/>
          <w:bCs/>
          <w:color w:val="auto"/>
          <w:kern w:val="2"/>
          <w:sz w:val="21"/>
          <w:szCs w:val="28"/>
          <w:lang w:val="en-US" w:eastAsia="zh-CN" w:bidi="ar-SA"/>
        </w:rPr>
        <w:t>6</w:t>
      </w:r>
      <w:r>
        <w:rPr>
          <w:rFonts w:ascii="Times New Roman" w:hAnsi="Times New Roman" w:eastAsia="宋体" w:cs="Times New Roman"/>
          <w:bCs/>
          <w:color w:val="auto"/>
          <w:kern w:val="2"/>
          <w:sz w:val="21"/>
          <w:szCs w:val="28"/>
          <w:lang w:val="en-US" w:eastAsia="zh-CN" w:bidi="ar-SA"/>
        </w:rPr>
        <w:t>.</w:t>
      </w:r>
      <w:r>
        <w:rPr>
          <w:rFonts w:hint="eastAsia" w:ascii="Times New Roman" w:hAnsi="Times New Roman" w:eastAsia="宋体" w:cs="Times New Roman"/>
          <w:bCs/>
          <w:color w:val="auto"/>
          <w:kern w:val="2"/>
          <w:sz w:val="21"/>
          <w:szCs w:val="28"/>
          <w:lang w:val="en-US" w:eastAsia="zh-CN" w:bidi="ar-SA"/>
        </w:rPr>
        <w:t>4</w:t>
      </w:r>
      <w:r>
        <w:rPr>
          <w:rFonts w:ascii="Times New Roman" w:hAnsi="Times New Roman" w:eastAsia="宋体" w:cs="Times New Roman"/>
          <w:bCs/>
          <w:color w:val="auto"/>
          <w:kern w:val="2"/>
          <w:sz w:val="21"/>
          <w:szCs w:val="28"/>
          <w:lang w:val="en-US" w:eastAsia="zh-CN" w:bidi="ar-SA"/>
        </w:rPr>
        <w:t xml:space="preserve"> </w:t>
      </w:r>
      <w:r>
        <w:rPr>
          <w:rFonts w:hint="eastAsia" w:ascii="Times New Roman" w:hAnsi="Times New Roman" w:eastAsia="宋体" w:cs="宋体"/>
          <w:bCs/>
          <w:color w:val="auto"/>
          <w:kern w:val="2"/>
          <w:sz w:val="21"/>
          <w:szCs w:val="28"/>
          <w:lang w:val="en-US" w:eastAsia="zh-CN" w:bidi="ar-SA"/>
        </w:rPr>
        <w:t>建议补充的安全对策措施</w:t>
      </w:r>
      <w:bookmarkStart w:id="278" w:name="_GoBack"/>
      <w:bookmarkEnd w:id="278"/>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_Toc27939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101</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77266680">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_Toc12463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21"/>
          <w:lang w:val="en-US" w:eastAsia="zh-CN" w:bidi="ar-SA"/>
        </w:rPr>
        <w:t>7</w:t>
      </w:r>
      <w:r>
        <w:rPr>
          <w:rFonts w:ascii="Times New Roman" w:hAnsi="Times New Roman" w:eastAsia="宋体" w:cs="Calibri"/>
          <w:color w:val="auto"/>
          <w:kern w:val="2"/>
          <w:sz w:val="21"/>
          <w:szCs w:val="21"/>
          <w:lang w:val="en-US" w:eastAsia="zh-CN" w:bidi="ar-SA"/>
        </w:rPr>
        <w:t xml:space="preserve"> </w:t>
      </w:r>
      <w:r>
        <w:rPr>
          <w:rFonts w:hint="eastAsia" w:ascii="Times New Roman" w:hAnsi="Times New Roman" w:eastAsia="宋体" w:cs="Calibri"/>
          <w:color w:val="auto"/>
          <w:kern w:val="2"/>
          <w:sz w:val="21"/>
          <w:szCs w:val="21"/>
          <w:lang w:val="en-US" w:eastAsia="zh-CN" w:bidi="ar-SA"/>
        </w:rPr>
        <w:t>安全验收评价结论</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_Toc12463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102</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338A2ACB">
      <w:pPr>
        <w:keepNext w:val="0"/>
        <w:keepLines w:val="0"/>
        <w:pageBreakBefore w:val="0"/>
        <w:widowControl w:val="0"/>
        <w:tabs>
          <w:tab w:val="right" w:leader="dot" w:pos="9072"/>
        </w:tabs>
        <w:kinsoku/>
        <w:wordWrap/>
        <w:overflowPunct/>
        <w:topLinePunct w:val="0"/>
        <w:autoSpaceDE/>
        <w:autoSpaceDN/>
        <w:bidi w:val="0"/>
        <w:adjustRightInd/>
        <w:snapToGrid/>
        <w:spacing w:line="480" w:lineRule="exact"/>
        <w:jc w:val="both"/>
        <w:textAlignment w:val="auto"/>
        <w:rPr>
          <w:rFonts w:ascii="Times New Roman" w:hAnsi="Times New Roman" w:eastAsia="宋体" w:cs="Calibri"/>
          <w:color w:val="auto"/>
          <w:kern w:val="2"/>
          <w:sz w:val="21"/>
          <w:szCs w:val="21"/>
          <w:lang w:val="en-US" w:eastAsia="zh-CN" w:bidi="ar-SA"/>
        </w:rPr>
      </w:pPr>
      <w:r>
        <w:rPr>
          <w:rFonts w:ascii="Times New Roman" w:hAnsi="Times New Roman" w:eastAsia="宋体" w:cs="Times New Roman"/>
          <w:bCs/>
          <w:color w:val="auto"/>
          <w:kern w:val="2"/>
          <w:sz w:val="21"/>
          <w:szCs w:val="24"/>
          <w:lang w:val="en-US" w:eastAsia="zh-CN" w:bidi="ar-SA"/>
        </w:rPr>
        <w:fldChar w:fldCharType="begin"/>
      </w:r>
      <w:r>
        <w:rPr>
          <w:rFonts w:ascii="Times New Roman" w:hAnsi="Times New Roman" w:eastAsia="宋体" w:cs="Times New Roman"/>
          <w:bCs/>
          <w:color w:val="auto"/>
          <w:kern w:val="2"/>
          <w:sz w:val="21"/>
          <w:szCs w:val="24"/>
          <w:lang w:val="en-US" w:eastAsia="zh-CN" w:bidi="ar-SA"/>
        </w:rPr>
        <w:instrText xml:space="preserve"> HYPERLINK \l _Toc19828 </w:instrText>
      </w:r>
      <w:r>
        <w:rPr>
          <w:rFonts w:ascii="Times New Roman" w:hAnsi="Times New Roman" w:eastAsia="宋体" w:cs="Times New Roman"/>
          <w:bCs/>
          <w:color w:val="auto"/>
          <w:kern w:val="2"/>
          <w:sz w:val="21"/>
          <w:szCs w:val="24"/>
          <w:lang w:val="en-US" w:eastAsia="zh-CN" w:bidi="ar-SA"/>
        </w:rPr>
        <w:fldChar w:fldCharType="separate"/>
      </w:r>
      <w:r>
        <w:rPr>
          <w:rFonts w:hint="eastAsia" w:ascii="Times New Roman" w:hAnsi="Times New Roman" w:eastAsia="宋体" w:cs="Calibri"/>
          <w:color w:val="auto"/>
          <w:kern w:val="2"/>
          <w:sz w:val="21"/>
          <w:szCs w:val="32"/>
          <w:lang w:val="en-US" w:eastAsia="zh-CN" w:bidi="ar-SA"/>
        </w:rPr>
        <w:t>附件</w:t>
      </w:r>
      <w:r>
        <w:rPr>
          <w:rFonts w:ascii="Times New Roman" w:hAnsi="Times New Roman" w:eastAsia="宋体" w:cs="Calibri"/>
          <w:color w:val="auto"/>
          <w:kern w:val="2"/>
          <w:sz w:val="21"/>
          <w:szCs w:val="21"/>
          <w:lang w:val="en-US" w:eastAsia="zh-CN" w:bidi="ar-SA"/>
        </w:rPr>
        <w:tab/>
      </w:r>
      <w:r>
        <w:rPr>
          <w:rFonts w:ascii="Times New Roman" w:hAnsi="Times New Roman" w:eastAsia="宋体" w:cs="Calibri"/>
          <w:color w:val="auto"/>
          <w:kern w:val="2"/>
          <w:sz w:val="21"/>
          <w:szCs w:val="21"/>
          <w:lang w:val="en-US" w:eastAsia="zh-CN" w:bidi="ar-SA"/>
        </w:rPr>
        <w:fldChar w:fldCharType="begin"/>
      </w:r>
      <w:r>
        <w:rPr>
          <w:rFonts w:ascii="Times New Roman" w:hAnsi="Times New Roman" w:eastAsia="宋体" w:cs="Calibri"/>
          <w:color w:val="auto"/>
          <w:kern w:val="2"/>
          <w:sz w:val="21"/>
          <w:szCs w:val="21"/>
          <w:lang w:val="en-US" w:eastAsia="zh-CN" w:bidi="ar-SA"/>
        </w:rPr>
        <w:instrText xml:space="preserve"> PAGEREF _Toc19828 \h </w:instrText>
      </w:r>
      <w:r>
        <w:rPr>
          <w:rFonts w:ascii="Times New Roman" w:hAnsi="Times New Roman" w:eastAsia="宋体" w:cs="Calibri"/>
          <w:color w:val="auto"/>
          <w:kern w:val="2"/>
          <w:sz w:val="21"/>
          <w:szCs w:val="21"/>
          <w:lang w:val="en-US" w:eastAsia="zh-CN" w:bidi="ar-SA"/>
        </w:rPr>
        <w:fldChar w:fldCharType="separate"/>
      </w:r>
      <w:r>
        <w:rPr>
          <w:rFonts w:ascii="Times New Roman" w:hAnsi="Times New Roman" w:eastAsia="宋体" w:cs="Calibri"/>
          <w:color w:val="auto"/>
          <w:kern w:val="2"/>
          <w:sz w:val="21"/>
          <w:szCs w:val="21"/>
          <w:lang w:val="en-US" w:eastAsia="zh-CN" w:bidi="ar-SA"/>
        </w:rPr>
        <w:t>104</w:t>
      </w:r>
      <w:r>
        <w:rPr>
          <w:rFonts w:ascii="Times New Roman" w:hAnsi="Times New Roman" w:eastAsia="宋体" w:cs="Calibri"/>
          <w:color w:val="auto"/>
          <w:kern w:val="2"/>
          <w:sz w:val="21"/>
          <w:szCs w:val="21"/>
          <w:lang w:val="en-US" w:eastAsia="zh-CN" w:bidi="ar-SA"/>
        </w:rPr>
        <w:fldChar w:fldCharType="end"/>
      </w:r>
      <w:r>
        <w:rPr>
          <w:rFonts w:ascii="Times New Roman" w:hAnsi="Times New Roman" w:eastAsia="宋体" w:cs="Times New Roman"/>
          <w:bCs/>
          <w:color w:val="auto"/>
          <w:kern w:val="2"/>
          <w:sz w:val="21"/>
          <w:szCs w:val="24"/>
          <w:lang w:val="en-US" w:eastAsia="zh-CN" w:bidi="ar-SA"/>
        </w:rPr>
        <w:fldChar w:fldCharType="end"/>
      </w:r>
    </w:p>
    <w:p w14:paraId="4D5881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w:hAnsi="Times New Roman" w:eastAsia="宋体" w:cs="Times New Roman"/>
          <w:color w:val="0000FF"/>
          <w:sz w:val="28"/>
          <w:szCs w:val="28"/>
        </w:rPr>
        <w:sectPr>
          <w:pgSz w:w="11906" w:h="16838"/>
          <w:pgMar w:top="1417" w:right="1417" w:bottom="1417" w:left="1417"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r>
        <w:rPr>
          <w:rFonts w:ascii="Times New Roman" w:hAnsi="Times New Roman" w:eastAsia="宋体" w:cs="Times New Roman"/>
          <w:bCs/>
          <w:color w:val="auto"/>
          <w:kern w:val="2"/>
          <w:szCs w:val="24"/>
        </w:rPr>
        <w:fldChar w:fldCharType="end"/>
      </w:r>
    </w:p>
    <w:p w14:paraId="5B44EF86">
      <w:pPr>
        <w:spacing w:line="600" w:lineRule="exact"/>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中国石化销售股份有限公司</w:t>
      </w:r>
    </w:p>
    <w:p w14:paraId="5C936DCC">
      <w:pPr>
        <w:spacing w:line="600" w:lineRule="exact"/>
        <w:jc w:val="center"/>
        <w:rPr>
          <w:rFonts w:hint="eastAsia" w:ascii="Times New Roman" w:hAnsi="Times New Roman" w:eastAsia="宋体" w:cs="宋体"/>
          <w:b/>
          <w:bCs/>
          <w:color w:val="auto"/>
          <w:kern w:val="2"/>
          <w:sz w:val="32"/>
          <w:szCs w:val="32"/>
          <w:lang w:eastAsia="zh-CN"/>
        </w:rPr>
      </w:pPr>
      <w:r>
        <w:rPr>
          <w:rFonts w:hint="eastAsia" w:ascii="Times New Roman" w:hAnsi="Times New Roman" w:eastAsia="宋体" w:cs="宋体"/>
          <w:b/>
          <w:bCs/>
          <w:color w:val="auto"/>
          <w:kern w:val="2"/>
          <w:sz w:val="32"/>
          <w:szCs w:val="32"/>
          <w:lang w:eastAsia="zh-CN"/>
        </w:rPr>
        <w:t>江西赣州兴国石油分公司南坑加油站</w:t>
      </w:r>
    </w:p>
    <w:p w14:paraId="504CFFE5">
      <w:pPr>
        <w:spacing w:line="600" w:lineRule="exact"/>
        <w:jc w:val="center"/>
        <w:rPr>
          <w:rFonts w:ascii="Times New Roman" w:hAnsi="Times New Roman" w:eastAsia="宋体" w:cs="宋体"/>
          <w:b/>
          <w:bCs/>
          <w:color w:val="auto"/>
          <w:kern w:val="2"/>
          <w:sz w:val="32"/>
          <w:szCs w:val="32"/>
        </w:rPr>
      </w:pPr>
      <w:r>
        <w:rPr>
          <w:rFonts w:hint="eastAsia" w:ascii="Times New Roman" w:hAnsi="Times New Roman" w:eastAsia="宋体" w:cs="宋体"/>
          <w:b/>
          <w:bCs/>
          <w:color w:val="auto"/>
          <w:kern w:val="2"/>
          <w:sz w:val="32"/>
          <w:szCs w:val="32"/>
        </w:rPr>
        <w:t>安全设施符合性诊断及整改设计</w:t>
      </w:r>
    </w:p>
    <w:p w14:paraId="1B920775">
      <w:pPr>
        <w:spacing w:line="600" w:lineRule="exact"/>
        <w:jc w:val="center"/>
        <w:rPr>
          <w:rFonts w:ascii="Times New Roman" w:hAnsi="Times New Roman" w:eastAsia="宋体" w:cs="Times New Roman"/>
          <w:b/>
          <w:bCs/>
          <w:color w:val="auto"/>
          <w:kern w:val="2"/>
          <w:sz w:val="32"/>
          <w:szCs w:val="32"/>
        </w:rPr>
      </w:pPr>
      <w:r>
        <w:rPr>
          <w:rFonts w:hint="eastAsia" w:ascii="Times New Roman" w:hAnsi="Times New Roman" w:eastAsia="宋体" w:cs="宋体"/>
          <w:b/>
          <w:bCs/>
          <w:color w:val="auto"/>
          <w:kern w:val="2"/>
          <w:sz w:val="32"/>
          <w:szCs w:val="32"/>
        </w:rPr>
        <w:t>安全设施竣工验收评价报告</w:t>
      </w:r>
    </w:p>
    <w:p w14:paraId="77DDBEFE">
      <w:pPr>
        <w:pageBreakBefore w:val="0"/>
        <w:widowControl/>
        <w:kinsoku/>
        <w:wordWrap/>
        <w:overflowPunct/>
        <w:topLinePunct w:val="0"/>
        <w:autoSpaceDE/>
        <w:autoSpaceDN/>
        <w:bidi w:val="0"/>
        <w:spacing w:line="580" w:lineRule="exact"/>
        <w:jc w:val="both"/>
        <w:textAlignment w:val="auto"/>
        <w:outlineLvl w:val="0"/>
        <w:rPr>
          <w:rFonts w:ascii="Times New Roman" w:hAnsi="Times New Roman" w:eastAsia="宋体" w:cs="Times New Roman"/>
          <w:b/>
          <w:bCs/>
          <w:color w:val="auto"/>
          <w:kern w:val="36"/>
          <w:sz w:val="32"/>
          <w:szCs w:val="32"/>
          <w:lang w:val="en-US" w:eastAsia="zh-CN" w:bidi="ar-SA"/>
        </w:rPr>
      </w:pPr>
      <w:bookmarkStart w:id="0" w:name="_Toc18141"/>
      <w:bookmarkStart w:id="1" w:name="_Toc16878"/>
      <w:r>
        <w:rPr>
          <w:rFonts w:ascii="Times New Roman" w:hAnsi="Times New Roman" w:eastAsia="宋体" w:cs="Times New Roman"/>
          <w:b/>
          <w:bCs/>
          <w:color w:val="auto"/>
          <w:kern w:val="36"/>
          <w:sz w:val="32"/>
          <w:szCs w:val="32"/>
          <w:lang w:val="en-US" w:eastAsia="zh-CN" w:bidi="ar-SA"/>
        </w:rPr>
        <w:t xml:space="preserve">1 </w:t>
      </w:r>
      <w:r>
        <w:rPr>
          <w:rFonts w:hint="eastAsia" w:ascii="Times New Roman" w:hAnsi="Times New Roman" w:eastAsia="宋体" w:cs="宋体"/>
          <w:b/>
          <w:bCs/>
          <w:color w:val="auto"/>
          <w:kern w:val="36"/>
          <w:sz w:val="32"/>
          <w:szCs w:val="32"/>
          <w:lang w:val="en-US" w:eastAsia="zh-CN" w:bidi="ar-SA"/>
        </w:rPr>
        <w:t>评价概述</w:t>
      </w:r>
      <w:bookmarkEnd w:id="0"/>
      <w:bookmarkEnd w:id="1"/>
    </w:p>
    <w:p w14:paraId="6C23E7A4">
      <w:pPr>
        <w:keepNext/>
        <w:keepLines/>
        <w:pageBreakBefore w:val="0"/>
        <w:widowControl w:val="0"/>
        <w:kinsoku/>
        <w:wordWrap/>
        <w:overflowPunct/>
        <w:topLinePunct w:val="0"/>
        <w:autoSpaceDE/>
        <w:autoSpaceDN/>
        <w:bidi w:val="0"/>
        <w:spacing w:line="580" w:lineRule="exact"/>
        <w:jc w:val="both"/>
        <w:textAlignment w:val="auto"/>
        <w:outlineLvl w:val="1"/>
        <w:rPr>
          <w:rFonts w:ascii="Times New Roman" w:hAnsi="Times New Roman" w:eastAsia="宋体" w:cs="Times New Roman"/>
          <w:b/>
          <w:bCs/>
          <w:color w:val="auto"/>
          <w:kern w:val="0"/>
          <w:sz w:val="32"/>
          <w:szCs w:val="32"/>
          <w:lang w:val="en-US" w:eastAsia="zh-CN" w:bidi="ar-SA"/>
        </w:rPr>
      </w:pPr>
      <w:bookmarkStart w:id="2" w:name="_Toc343692239"/>
      <w:bookmarkStart w:id="3" w:name="_Toc20305"/>
      <w:bookmarkStart w:id="4" w:name="_Toc13532"/>
      <w:r>
        <w:rPr>
          <w:rFonts w:ascii="Times New Roman" w:hAnsi="Times New Roman" w:eastAsia="宋体" w:cs="Times New Roman"/>
          <w:b/>
          <w:bCs/>
          <w:color w:val="auto"/>
          <w:kern w:val="0"/>
          <w:sz w:val="32"/>
          <w:szCs w:val="32"/>
          <w:lang w:val="en-US" w:eastAsia="zh-CN" w:bidi="ar-SA"/>
        </w:rPr>
        <w:t>1.1</w:t>
      </w:r>
      <w:r>
        <w:rPr>
          <w:rFonts w:hint="eastAsia" w:ascii="Times New Roman" w:hAnsi="Times New Roman" w:eastAsia="宋体" w:cs="宋体"/>
          <w:b/>
          <w:bCs/>
          <w:color w:val="auto"/>
          <w:kern w:val="0"/>
          <w:sz w:val="32"/>
          <w:szCs w:val="32"/>
          <w:lang w:val="en-US" w:eastAsia="zh-CN" w:bidi="ar-SA"/>
        </w:rPr>
        <w:t>评价的目的和原则</w:t>
      </w:r>
      <w:bookmarkEnd w:id="2"/>
      <w:bookmarkEnd w:id="3"/>
      <w:bookmarkEnd w:id="4"/>
    </w:p>
    <w:p w14:paraId="5B8DCCF9">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Calibri"/>
          <w:b/>
          <w:bCs/>
          <w:color w:val="auto"/>
          <w:kern w:val="0"/>
          <w:sz w:val="32"/>
          <w:szCs w:val="32"/>
          <w:lang w:val="en-US" w:eastAsia="zh-CN" w:bidi="ar-SA"/>
        </w:rPr>
      </w:pPr>
      <w:bookmarkStart w:id="5" w:name="_Toc22256"/>
      <w:r>
        <w:rPr>
          <w:rFonts w:ascii="Times New Roman" w:hAnsi="Times New Roman" w:eastAsia="宋体" w:cs="Calibri"/>
          <w:b/>
          <w:bCs/>
          <w:color w:val="auto"/>
          <w:kern w:val="0"/>
          <w:sz w:val="32"/>
          <w:szCs w:val="32"/>
          <w:lang w:val="en-US" w:eastAsia="zh-CN" w:bidi="ar-SA"/>
        </w:rPr>
        <w:t>1.1.1</w:t>
      </w:r>
      <w:r>
        <w:rPr>
          <w:rFonts w:hint="eastAsia" w:ascii="Times New Roman" w:hAnsi="Times New Roman" w:eastAsia="宋体" w:cs="宋体"/>
          <w:b/>
          <w:bCs/>
          <w:color w:val="auto"/>
          <w:kern w:val="0"/>
          <w:sz w:val="32"/>
          <w:szCs w:val="32"/>
          <w:lang w:val="en-US" w:eastAsia="zh-CN" w:bidi="ar-SA"/>
        </w:rPr>
        <w:t>评价的目的</w:t>
      </w:r>
      <w:bookmarkEnd w:id="5"/>
      <w:r>
        <w:rPr>
          <w:rFonts w:ascii="Times New Roman" w:hAnsi="Times New Roman" w:eastAsia="宋体" w:cs="Calibri"/>
          <w:b/>
          <w:bCs/>
          <w:color w:val="auto"/>
          <w:kern w:val="0"/>
          <w:sz w:val="32"/>
          <w:szCs w:val="32"/>
          <w:lang w:val="en-US" w:eastAsia="zh-CN" w:bidi="ar-SA"/>
        </w:rPr>
        <w:t xml:space="preserve"> </w:t>
      </w:r>
    </w:p>
    <w:p w14:paraId="4FD144DA">
      <w:pPr>
        <w:pageBreakBefore w:val="0"/>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本项目验收评价的目的是贯彻“安全第一、预防为主、综合治理”的方针，为项目安全验收提供科学依据。</w:t>
      </w:r>
    </w:p>
    <w:p w14:paraId="07208B9A">
      <w:pPr>
        <w:pageBreakBefore w:val="0"/>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通过对项目的设施、设备、装置运行状况及安全管理状况的安全评价，查找该项目存在的危险、有害因素的种类和程度；评价项目及与之配套的安全设施是否符合国家有关安全生产的法律法规和技术标准；提出合理可行的安全对策措施及建议。</w:t>
      </w:r>
    </w:p>
    <w:p w14:paraId="1F29A87D">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Times New Roman"/>
          <w:b/>
          <w:bCs/>
          <w:color w:val="auto"/>
          <w:kern w:val="0"/>
          <w:sz w:val="32"/>
          <w:szCs w:val="32"/>
          <w:lang w:val="en-US" w:eastAsia="zh-CN" w:bidi="ar-SA"/>
        </w:rPr>
      </w:pPr>
      <w:bookmarkStart w:id="6" w:name="_Toc17968"/>
      <w:r>
        <w:rPr>
          <w:rFonts w:ascii="Times New Roman" w:hAnsi="Times New Roman" w:eastAsia="宋体" w:cs="Calibri"/>
          <w:b/>
          <w:bCs/>
          <w:color w:val="auto"/>
          <w:kern w:val="0"/>
          <w:sz w:val="32"/>
          <w:szCs w:val="32"/>
          <w:lang w:val="en-US" w:eastAsia="zh-CN" w:bidi="ar-SA"/>
        </w:rPr>
        <w:t>1.1.2</w:t>
      </w:r>
      <w:r>
        <w:rPr>
          <w:rFonts w:hint="eastAsia" w:ascii="Times New Roman" w:hAnsi="Times New Roman" w:eastAsia="宋体" w:cs="宋体"/>
          <w:b/>
          <w:bCs/>
          <w:color w:val="auto"/>
          <w:kern w:val="0"/>
          <w:sz w:val="32"/>
          <w:szCs w:val="32"/>
          <w:lang w:val="en-US" w:eastAsia="zh-CN" w:bidi="ar-SA"/>
        </w:rPr>
        <w:t>评价的原则</w:t>
      </w:r>
      <w:bookmarkEnd w:id="6"/>
    </w:p>
    <w:p w14:paraId="166BBAB8">
      <w:pPr>
        <w:pageBreakBefore w:val="0"/>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坚持科学性、</w:t>
      </w:r>
      <w:r>
        <w:rPr>
          <w:rFonts w:hint="eastAsia" w:ascii="Times New Roman" w:hAnsi="Times New Roman" w:eastAsia="宋体" w:cs="宋体"/>
          <w:bCs w:val="0"/>
          <w:color w:val="auto"/>
          <w:kern w:val="2"/>
          <w:sz w:val="28"/>
          <w:szCs w:val="28"/>
          <w:lang w:eastAsia="zh-CN"/>
        </w:rPr>
        <w:t>公平性</w:t>
      </w:r>
      <w:r>
        <w:rPr>
          <w:rFonts w:hint="eastAsia" w:ascii="Times New Roman" w:hAnsi="Times New Roman" w:eastAsia="宋体" w:cs="宋体"/>
          <w:bCs w:val="0"/>
          <w:color w:val="auto"/>
          <w:kern w:val="2"/>
          <w:sz w:val="28"/>
          <w:szCs w:val="28"/>
        </w:rPr>
        <w:t>、公正性、严肃性和针对性的原则，以国家有关法律、法规、规范、标准为依据，采用科学的态度，对安全评价的每一项工作都力求做到客观公正，安全对策措施及建议具有针对性和可操作性。</w:t>
      </w:r>
    </w:p>
    <w:p w14:paraId="1FB1DA56">
      <w:pPr>
        <w:keepNext/>
        <w:keepLines/>
        <w:pageBreakBefore w:val="0"/>
        <w:widowControl w:val="0"/>
        <w:kinsoku/>
        <w:wordWrap/>
        <w:overflowPunct/>
        <w:topLinePunct w:val="0"/>
        <w:autoSpaceDE/>
        <w:autoSpaceDN/>
        <w:bidi w:val="0"/>
        <w:spacing w:line="580" w:lineRule="exact"/>
        <w:jc w:val="both"/>
        <w:textAlignment w:val="auto"/>
        <w:outlineLvl w:val="1"/>
        <w:rPr>
          <w:rFonts w:ascii="Times New Roman" w:hAnsi="Times New Roman" w:eastAsia="宋体" w:cs="Times New Roman"/>
          <w:b/>
          <w:bCs/>
          <w:color w:val="auto"/>
          <w:kern w:val="0"/>
          <w:sz w:val="28"/>
          <w:szCs w:val="28"/>
          <w:lang w:val="en-US" w:eastAsia="zh-CN" w:bidi="ar-SA"/>
        </w:rPr>
      </w:pPr>
      <w:bookmarkStart w:id="7" w:name="_Toc15227"/>
      <w:bookmarkStart w:id="8" w:name="_Toc343692240"/>
      <w:bookmarkStart w:id="9" w:name="_Toc26059"/>
      <w:r>
        <w:rPr>
          <w:rFonts w:ascii="Times New Roman" w:hAnsi="Times New Roman" w:eastAsia="宋体" w:cs="Times New Roman"/>
          <w:b/>
          <w:bCs/>
          <w:color w:val="auto"/>
          <w:kern w:val="0"/>
          <w:sz w:val="28"/>
          <w:szCs w:val="28"/>
          <w:lang w:val="en-US" w:eastAsia="zh-CN" w:bidi="ar-SA"/>
        </w:rPr>
        <w:t>1.2</w:t>
      </w:r>
      <w:r>
        <w:rPr>
          <w:rFonts w:hint="eastAsia" w:ascii="Times New Roman" w:hAnsi="Times New Roman" w:eastAsia="宋体" w:cs="宋体"/>
          <w:b/>
          <w:bCs/>
          <w:color w:val="auto"/>
          <w:kern w:val="0"/>
          <w:sz w:val="28"/>
          <w:szCs w:val="28"/>
          <w:lang w:val="en-US" w:eastAsia="zh-CN" w:bidi="ar-SA"/>
        </w:rPr>
        <w:t>评价依据</w:t>
      </w:r>
      <w:bookmarkEnd w:id="7"/>
      <w:bookmarkEnd w:id="8"/>
      <w:bookmarkEnd w:id="9"/>
    </w:p>
    <w:p w14:paraId="2A694DBD">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Times New Roman"/>
          <w:b/>
          <w:bCs/>
          <w:color w:val="auto"/>
          <w:kern w:val="0"/>
          <w:sz w:val="32"/>
          <w:szCs w:val="32"/>
          <w:lang w:val="en-US" w:eastAsia="zh-CN" w:bidi="ar-SA"/>
        </w:rPr>
      </w:pPr>
      <w:bookmarkStart w:id="10" w:name="_Toc32728"/>
      <w:r>
        <w:rPr>
          <w:rFonts w:ascii="Times New Roman" w:hAnsi="Times New Roman" w:eastAsia="宋体" w:cs="Calibri"/>
          <w:b/>
          <w:bCs/>
          <w:color w:val="auto"/>
          <w:kern w:val="0"/>
          <w:sz w:val="32"/>
          <w:szCs w:val="32"/>
          <w:lang w:val="en-US" w:eastAsia="zh-CN" w:bidi="ar-SA"/>
        </w:rPr>
        <w:t>1.2.1</w:t>
      </w:r>
      <w:r>
        <w:rPr>
          <w:rFonts w:hint="eastAsia" w:ascii="Times New Roman" w:hAnsi="Times New Roman" w:eastAsia="宋体" w:cs="宋体"/>
          <w:b/>
          <w:bCs/>
          <w:color w:val="auto"/>
          <w:kern w:val="0"/>
          <w:sz w:val="32"/>
          <w:szCs w:val="32"/>
          <w:lang w:val="en-US" w:eastAsia="zh-CN" w:bidi="ar-SA"/>
        </w:rPr>
        <w:t>法律、法规、规定和规范性技术文件</w:t>
      </w:r>
      <w:bookmarkEnd w:id="10"/>
    </w:p>
    <w:p w14:paraId="0F662A85">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《中华人民共和国安全生产法》（国家主席令【2021】第八十八号，自2021年9月1日起实施）　　</w:t>
      </w:r>
    </w:p>
    <w:p w14:paraId="0CA556C6">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《中华人民共和国消防法》（国家主席令【2021】第八十一号修订，自2021年4月29日起实施）</w:t>
      </w:r>
    </w:p>
    <w:p w14:paraId="6E07E22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《中华人民共和国劳动法》（国家主席令【1994】第28号）（2018年12月29日修正）</w:t>
      </w:r>
    </w:p>
    <w:p w14:paraId="5CA5EEDE">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《中华人民共和国危险化学品安全法》（主席令［2025］第64号，2026年5月1日起实施）</w:t>
      </w:r>
    </w:p>
    <w:p w14:paraId="0509D39C">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《中华人民共和国职业病防治法》（主席令第81号，2018年12月29日第十三届全国人民代表大会常务委员会第七次会议《关于修改等七部法律的决定》第四次修正，2018年12月29日起施行）</w:t>
      </w:r>
    </w:p>
    <w:p w14:paraId="0AC5DBA4">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《中华人民共和国突发事件应对法》（2024年6月28日，中华人民共和国第十四届全国人民代表大会常务委员会第十次会议修订通过《中华人民共和国突发事件应对法》，自2024年11月1日起施行）</w:t>
      </w:r>
    </w:p>
    <w:p w14:paraId="7B36040D">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《危险化学品安全管理条例》国务院令【2011】第591号（2013年第645号修订）</w:t>
      </w:r>
    </w:p>
    <w:p w14:paraId="01132628">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《工伤保险条例》（国务院令第586号，2011年1月1日起施行）</w:t>
      </w:r>
    </w:p>
    <w:p w14:paraId="2B619CFD">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《易制毒化学品管理条例》国务院令【2005】第445号（2016年国务院第666号令、2018年国务院第703号修改）</w:t>
      </w:r>
    </w:p>
    <w:p w14:paraId="36A0E30C">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《中华人民共和国监控化学品管理条例》（国务院令第190号，自1995年12月27日起施行，国务院令第588号修正）</w:t>
      </w:r>
    </w:p>
    <w:p w14:paraId="7B52B396">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《中华人民共和国监控化学品管理条例》实施细则（2018年7月2日，中华人民共和国工业和信息化部令第48号）</w:t>
      </w:r>
    </w:p>
    <w:p w14:paraId="34479E7A">
      <w:pPr>
        <w:pageBreakBefore w:val="0"/>
        <w:numPr>
          <w:ilvl w:val="0"/>
          <w:numId w:val="1"/>
        </w:numPr>
        <w:kinsoku/>
        <w:wordWrap/>
        <w:overflowPunct/>
        <w:topLinePunct w:val="0"/>
        <w:autoSpaceDE/>
        <w:autoSpaceDN/>
        <w:bidi w:val="0"/>
        <w:spacing w:line="580" w:lineRule="exact"/>
        <w:ind w:firstLine="516" w:firstLineChars="200"/>
        <w:textAlignment w:val="auto"/>
        <w:rPr>
          <w:rFonts w:ascii="Times New Roman" w:hAnsi="Times New Roman" w:eastAsia="宋体" w:cs="Times New Roman"/>
          <w:bCs w:val="0"/>
          <w:color w:val="auto"/>
          <w:spacing w:val="-11"/>
          <w:kern w:val="2"/>
          <w:sz w:val="28"/>
          <w:szCs w:val="36"/>
        </w:rPr>
      </w:pPr>
      <w:r>
        <w:rPr>
          <w:rFonts w:hint="eastAsia" w:ascii="Times New Roman" w:hAnsi="Times New Roman" w:eastAsia="宋体" w:cs="Times New Roman"/>
          <w:bCs w:val="0"/>
          <w:color w:val="auto"/>
          <w:spacing w:val="-11"/>
          <w:kern w:val="2"/>
          <w:sz w:val="28"/>
          <w:szCs w:val="36"/>
        </w:rPr>
        <w:t>《国务院关于修改部分行政法规的决定》（国务院令第645号，2013年）</w:t>
      </w:r>
    </w:p>
    <w:p w14:paraId="30C92800">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《生产安全事故应急条例》国务院令【2019】第708号（2018年12月5日国务院第33次常务会议通过，2019年4</w:t>
      </w:r>
      <w:r>
        <w:rPr>
          <w:rFonts w:hint="eastAsia" w:ascii="Times New Roman" w:hAnsi="Times New Roman" w:eastAsia="宋体" w:cs="Times New Roman"/>
          <w:bCs w:val="0"/>
          <w:color w:val="auto"/>
          <w:kern w:val="2"/>
          <w:sz w:val="28"/>
          <w:szCs w:val="36"/>
          <w:lang w:eastAsia="zh-CN"/>
        </w:rPr>
        <w:t>月</w:t>
      </w:r>
      <w:r>
        <w:rPr>
          <w:rFonts w:hint="eastAsia" w:ascii="Times New Roman" w:hAnsi="Times New Roman" w:eastAsia="宋体" w:cs="Times New Roman"/>
          <w:bCs w:val="0"/>
          <w:color w:val="auto"/>
          <w:kern w:val="2"/>
          <w:sz w:val="28"/>
          <w:szCs w:val="36"/>
        </w:rPr>
        <w:t>1日起施行）</w:t>
      </w:r>
    </w:p>
    <w:p w14:paraId="60E6D848">
      <w:pPr>
        <w:pageBreakBefore w:val="0"/>
        <w:numPr>
          <w:ilvl w:val="0"/>
          <w:numId w:val="1"/>
        </w:numPr>
        <w:kinsoku/>
        <w:wordWrap/>
        <w:overflowPunct/>
        <w:topLinePunct w:val="0"/>
        <w:autoSpaceDE/>
        <w:autoSpaceDN/>
        <w:bidi w:val="0"/>
        <w:spacing w:line="580" w:lineRule="exact"/>
        <w:ind w:firstLine="536"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spacing w:val="-6"/>
          <w:kern w:val="2"/>
          <w:sz w:val="28"/>
          <w:szCs w:val="36"/>
        </w:rPr>
        <w:t>《安全生产事故应急预案管理办法》（2016年6月3日国家安全生产监督管理总局令第88号公布，根据2019年7月11日应急管理部令第2号《应急管理部关于修改</w:t>
      </w:r>
      <w:r>
        <w:rPr>
          <w:rFonts w:hint="eastAsia" w:ascii="Times New Roman" w:hAnsi="Times New Roman" w:eastAsia="宋体" w:cs="Times New Roman"/>
          <w:bCs w:val="0"/>
          <w:color w:val="auto"/>
          <w:spacing w:val="-6"/>
          <w:kern w:val="2"/>
          <w:sz w:val="28"/>
          <w:szCs w:val="36"/>
          <w:lang w:eastAsia="zh-CN"/>
        </w:rPr>
        <w:t>〈</w:t>
      </w:r>
      <w:r>
        <w:rPr>
          <w:rFonts w:hint="eastAsia" w:ascii="Times New Roman" w:hAnsi="Times New Roman" w:eastAsia="宋体" w:cs="Times New Roman"/>
          <w:bCs w:val="0"/>
          <w:color w:val="auto"/>
          <w:spacing w:val="-6"/>
          <w:kern w:val="2"/>
          <w:sz w:val="28"/>
          <w:szCs w:val="36"/>
        </w:rPr>
        <w:t>生产安全事故应急预案管理办法</w:t>
      </w:r>
      <w:r>
        <w:rPr>
          <w:rFonts w:hint="eastAsia" w:ascii="Times New Roman" w:hAnsi="Times New Roman" w:eastAsia="宋体" w:cs="Times New Roman"/>
          <w:bCs w:val="0"/>
          <w:color w:val="auto"/>
          <w:spacing w:val="-6"/>
          <w:kern w:val="2"/>
          <w:sz w:val="28"/>
          <w:szCs w:val="36"/>
          <w:lang w:eastAsia="zh-CN"/>
        </w:rPr>
        <w:t>〉</w:t>
      </w:r>
      <w:r>
        <w:rPr>
          <w:rFonts w:hint="eastAsia" w:ascii="Times New Roman" w:hAnsi="Times New Roman" w:eastAsia="宋体" w:cs="Times New Roman"/>
          <w:bCs w:val="0"/>
          <w:color w:val="auto"/>
          <w:spacing w:val="-6"/>
          <w:kern w:val="2"/>
          <w:sz w:val="28"/>
          <w:szCs w:val="36"/>
        </w:rPr>
        <w:t>的决定》修正）</w:t>
      </w:r>
    </w:p>
    <w:p w14:paraId="6D762EA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《建设项目安全设施“三同时”监督管理办法》（国家安监总局令36号，第77号修改）</w:t>
      </w:r>
    </w:p>
    <w:p w14:paraId="3A1C3025">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《危险化学品建设项目安全监督管理办法》（国家安监总局令第45号，第79号修改）</w:t>
      </w:r>
    </w:p>
    <w:p w14:paraId="20BA43F4">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《危险化学品重大危险源监督管理暂行规定》（国家安监总局令第40号，第79号修改）</w:t>
      </w:r>
    </w:p>
    <w:p w14:paraId="6E218A11">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《危险化学品目录（2015版）》（应急管理部等十部门公告202</w:t>
      </w:r>
      <w:r>
        <w:rPr>
          <w:rFonts w:hint="eastAsia" w:ascii="Times New Roman" w:hAnsi="Times New Roman" w:eastAsia="宋体" w:cs="Times New Roman"/>
          <w:bCs w:val="0"/>
          <w:color w:val="auto"/>
          <w:kern w:val="2"/>
          <w:sz w:val="28"/>
          <w:szCs w:val="36"/>
          <w:lang w:val="en-US" w:eastAsia="zh-CN"/>
        </w:rPr>
        <w:t>6</w:t>
      </w:r>
      <w:r>
        <w:rPr>
          <w:rFonts w:hint="eastAsia" w:ascii="Times New Roman" w:hAnsi="Times New Roman" w:eastAsia="宋体" w:cs="Times New Roman"/>
          <w:bCs w:val="0"/>
          <w:color w:val="auto"/>
          <w:kern w:val="2"/>
          <w:sz w:val="28"/>
          <w:szCs w:val="36"/>
        </w:rPr>
        <w:t>年第</w:t>
      </w:r>
      <w:r>
        <w:rPr>
          <w:rFonts w:hint="eastAsia" w:ascii="Times New Roman" w:hAnsi="Times New Roman" w:eastAsia="宋体" w:cs="Times New Roman"/>
          <w:bCs w:val="0"/>
          <w:color w:val="auto"/>
          <w:kern w:val="2"/>
          <w:sz w:val="28"/>
          <w:szCs w:val="36"/>
          <w:lang w:val="en-US" w:eastAsia="zh-CN"/>
        </w:rPr>
        <w:t>3</w:t>
      </w:r>
      <w:r>
        <w:rPr>
          <w:rFonts w:hint="eastAsia" w:ascii="Times New Roman" w:hAnsi="Times New Roman" w:eastAsia="宋体" w:cs="Times New Roman"/>
          <w:bCs w:val="0"/>
          <w:color w:val="auto"/>
          <w:kern w:val="2"/>
          <w:sz w:val="28"/>
          <w:szCs w:val="36"/>
        </w:rPr>
        <w:t>号）</w:t>
      </w:r>
    </w:p>
    <w:p w14:paraId="2B2B772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《关于印发危险化学品目录（2015版）实施指南（试行）的通知》（安监总厅管三〔2015〕80号）</w:t>
      </w:r>
    </w:p>
    <w:p w14:paraId="14AB15FE">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《生产经营单位安全培训规定》（国家安全生产监督管理总局令第80号，2015年7月修订）</w:t>
      </w:r>
    </w:p>
    <w:p w14:paraId="40AF5497">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《危险化学品经营许可证管理办法》 国家安监总局55号令（安监总局第79号令修正）</w:t>
      </w:r>
    </w:p>
    <w:p w14:paraId="6EBC16D8">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《企业安全生产费用提取和使用管理办法》（财资[2022]136号）</w:t>
      </w:r>
    </w:p>
    <w:p w14:paraId="19A776B2">
      <w:pPr>
        <w:pageBreakBefore w:val="0"/>
        <w:numPr>
          <w:ilvl w:val="0"/>
          <w:numId w:val="1"/>
        </w:numPr>
        <w:kinsoku/>
        <w:wordWrap/>
        <w:overflowPunct/>
        <w:topLinePunct w:val="0"/>
        <w:autoSpaceDE/>
        <w:autoSpaceDN/>
        <w:bidi w:val="0"/>
        <w:spacing w:line="580" w:lineRule="exact"/>
        <w:ind w:firstLine="516" w:firstLineChars="200"/>
        <w:textAlignment w:val="auto"/>
        <w:rPr>
          <w:rFonts w:ascii="Times New Roman" w:hAnsi="Times New Roman" w:eastAsia="宋体" w:cs="Times New Roman"/>
          <w:bCs w:val="0"/>
          <w:color w:val="auto"/>
          <w:spacing w:val="-11"/>
          <w:kern w:val="2"/>
          <w:sz w:val="28"/>
          <w:szCs w:val="36"/>
        </w:rPr>
      </w:pPr>
      <w:r>
        <w:rPr>
          <w:rFonts w:hint="eastAsia" w:ascii="Times New Roman" w:hAnsi="Times New Roman" w:eastAsia="宋体" w:cs="Times New Roman"/>
          <w:bCs w:val="0"/>
          <w:color w:val="auto"/>
          <w:spacing w:val="-11"/>
          <w:kern w:val="2"/>
          <w:sz w:val="28"/>
          <w:szCs w:val="36"/>
        </w:rPr>
        <w:t>《国家安全监督总局关于废止和修改劳动防护用品和安全培训等领域十部规章的决定》（国家安全生产监督管理总局令第80号，2015年7月修订）</w:t>
      </w:r>
    </w:p>
    <w:p w14:paraId="37CA8DF3">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《国家安全监管总局办公厅关于进一步加强加油站安全生产工作的通知》（安监总厅管三〔2016〕8号）</w:t>
      </w:r>
    </w:p>
    <w:p w14:paraId="7A8F4B5F">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《关于印发</w:t>
      </w:r>
      <w:r>
        <w:rPr>
          <w:rFonts w:hint="eastAsia" w:ascii="Times New Roman" w:hAnsi="Times New Roman" w:eastAsia="宋体" w:cs="Times New Roman"/>
          <w:bCs w:val="0"/>
          <w:color w:val="auto"/>
          <w:kern w:val="2"/>
          <w:sz w:val="28"/>
          <w:szCs w:val="36"/>
          <w:lang w:eastAsia="zh-CN"/>
        </w:rPr>
        <w:t>〈</w:t>
      </w:r>
      <w:r>
        <w:rPr>
          <w:rFonts w:hint="eastAsia" w:ascii="Times New Roman" w:hAnsi="Times New Roman" w:eastAsia="宋体" w:cs="Times New Roman"/>
          <w:bCs w:val="0"/>
          <w:color w:val="auto"/>
          <w:kern w:val="2"/>
          <w:sz w:val="28"/>
          <w:szCs w:val="36"/>
        </w:rPr>
        <w:t>安全生产责任保险实施办法</w:t>
      </w:r>
      <w:r>
        <w:rPr>
          <w:rFonts w:hint="eastAsia" w:ascii="Times New Roman" w:hAnsi="Times New Roman" w:eastAsia="宋体" w:cs="Times New Roman"/>
          <w:bCs w:val="0"/>
          <w:color w:val="auto"/>
          <w:kern w:val="2"/>
          <w:sz w:val="28"/>
          <w:szCs w:val="36"/>
          <w:lang w:eastAsia="zh-CN"/>
        </w:rPr>
        <w:t>〉的通知》</w:t>
      </w:r>
      <w:r>
        <w:rPr>
          <w:rFonts w:hint="eastAsia" w:ascii="Times New Roman" w:hAnsi="Times New Roman" w:eastAsia="宋体" w:cs="Times New Roman"/>
          <w:bCs w:val="0"/>
          <w:color w:val="auto"/>
          <w:kern w:val="2"/>
          <w:sz w:val="28"/>
          <w:szCs w:val="36"/>
        </w:rPr>
        <w:t>（国家安全监管总局 保监会 财政部 安监总办〔2017〕140号）</w:t>
      </w:r>
    </w:p>
    <w:p w14:paraId="042D4C38">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《特别管控危险化学品目录》（第一版）（应急管理部、工业和信息化部、公安部、交通运输部公告，2020年第1号）</w:t>
      </w:r>
    </w:p>
    <w:p w14:paraId="44B2B83D">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《部分第四类监控化学品名录（2019版）》（国家禁化武办）</w:t>
      </w:r>
    </w:p>
    <w:p w14:paraId="7324521C">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《工作场所职业卫生管理规定》（中华人民共和国国家卫生健康委员会〔2020〕第5号令）</w:t>
      </w:r>
    </w:p>
    <w:p w14:paraId="5429D314">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《关于全面加强危险化学品安全生产工作的意见》（中共中央办公厅、国务院办公厅厅字[2020]第3号）</w:t>
      </w:r>
    </w:p>
    <w:p w14:paraId="3B6AFB90">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《生产安全事故罚款处罚规定》（中华人民共和国应急管理部令第14号）</w:t>
      </w:r>
    </w:p>
    <w:p w14:paraId="2C0F8D46">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《危险化学品经营单位安全评价导则</w:t>
      </w:r>
      <w:r>
        <w:rPr>
          <w:rFonts w:hint="eastAsia" w:ascii="Times New Roman" w:hAnsi="Times New Roman" w:eastAsia="宋体" w:cs="Times New Roman"/>
          <w:bCs w:val="0"/>
          <w:color w:val="auto"/>
          <w:kern w:val="2"/>
          <w:sz w:val="28"/>
          <w:szCs w:val="36"/>
          <w:lang w:eastAsia="zh-CN"/>
        </w:rPr>
        <w:t>（</w:t>
      </w:r>
      <w:r>
        <w:rPr>
          <w:rFonts w:hint="eastAsia" w:ascii="Times New Roman" w:hAnsi="Times New Roman" w:eastAsia="宋体" w:cs="Times New Roman"/>
          <w:bCs w:val="0"/>
          <w:color w:val="auto"/>
          <w:kern w:val="2"/>
          <w:sz w:val="28"/>
          <w:szCs w:val="36"/>
        </w:rPr>
        <w:t>试行</w:t>
      </w:r>
      <w:r>
        <w:rPr>
          <w:rFonts w:hint="eastAsia" w:ascii="Times New Roman" w:hAnsi="Times New Roman" w:eastAsia="宋体" w:cs="Times New Roman"/>
          <w:bCs w:val="0"/>
          <w:color w:val="auto"/>
          <w:kern w:val="2"/>
          <w:sz w:val="28"/>
          <w:szCs w:val="36"/>
          <w:lang w:eastAsia="zh-CN"/>
        </w:rPr>
        <w:t>）</w:t>
      </w:r>
      <w:r>
        <w:rPr>
          <w:rFonts w:hint="eastAsia" w:ascii="Times New Roman" w:hAnsi="Times New Roman" w:eastAsia="宋体" w:cs="Times New Roman"/>
          <w:bCs w:val="0"/>
          <w:color w:val="auto"/>
          <w:kern w:val="2"/>
          <w:sz w:val="28"/>
          <w:szCs w:val="36"/>
        </w:rPr>
        <w:t>》（安监管管二字［2003］38号）</w:t>
      </w:r>
    </w:p>
    <w:p w14:paraId="33329A45">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《危险化学品目录（2015版）实施指南（试行）》（涉及柴油部分内容的通知）（应急部办公厅函〔2022〕300号）</w:t>
      </w:r>
    </w:p>
    <w:p w14:paraId="468DDBAA">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《高毒物品目录》（卫法监发[2003]142号）</w:t>
      </w:r>
    </w:p>
    <w:p w14:paraId="1E9674FA">
      <w:pPr>
        <w:pageBreakBefore w:val="0"/>
        <w:numPr>
          <w:ilvl w:val="0"/>
          <w:numId w:val="1"/>
        </w:numPr>
        <w:kinsoku/>
        <w:wordWrap/>
        <w:overflowPunct/>
        <w:topLinePunct w:val="0"/>
        <w:autoSpaceDE/>
        <w:autoSpaceDN/>
        <w:bidi w:val="0"/>
        <w:spacing w:line="580" w:lineRule="exact"/>
        <w:ind w:firstLine="536" w:firstLineChars="200"/>
        <w:textAlignment w:val="auto"/>
        <w:rPr>
          <w:rFonts w:ascii="Times New Roman" w:hAnsi="Times New Roman" w:eastAsia="宋体" w:cs="Times New Roman"/>
          <w:bCs w:val="0"/>
          <w:color w:val="auto"/>
          <w:spacing w:val="-6"/>
          <w:kern w:val="2"/>
          <w:sz w:val="28"/>
          <w:szCs w:val="36"/>
        </w:rPr>
      </w:pPr>
      <w:r>
        <w:rPr>
          <w:rFonts w:hint="eastAsia" w:ascii="Times New Roman" w:hAnsi="Times New Roman" w:eastAsia="宋体" w:cs="Times New Roman"/>
          <w:bCs w:val="0"/>
          <w:color w:val="auto"/>
          <w:spacing w:val="-6"/>
          <w:kern w:val="2"/>
          <w:sz w:val="28"/>
          <w:szCs w:val="36"/>
        </w:rPr>
        <w:t>《易制爆危险化学品名录》（公安部2017年5月11日（2017年版）</w:t>
      </w:r>
    </w:p>
    <w:p w14:paraId="18FFF157">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《国家安全监管总局关于公布首批重点监管的危险化学品目录的通知》（安监总管三〔2011〕95号）</w:t>
      </w:r>
    </w:p>
    <w:p w14:paraId="79A842E0">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《国家安全监管总局关于公布第二批重点监管危险化学品名录的通知》（安监总管三〔2013〕12号）</w:t>
      </w:r>
    </w:p>
    <w:p w14:paraId="342E80ED">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《国家安全监管总局办公厅关于印发首批重点监管的危险化学品安全措施和应急处置原则的通知》（安监总管三〔2011〕142号）</w:t>
      </w:r>
    </w:p>
    <w:p w14:paraId="18A904F8">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《国家安全监管总局关于公布首批重点监管的危险化工工艺目录的通知》（安监总管三〔2009〕116号）</w:t>
      </w:r>
    </w:p>
    <w:p w14:paraId="1EA949E0">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spacing w:val="-6"/>
          <w:kern w:val="2"/>
          <w:sz w:val="28"/>
          <w:szCs w:val="36"/>
        </w:rPr>
      </w:pPr>
      <w:r>
        <w:rPr>
          <w:rFonts w:hint="eastAsia" w:ascii="Times New Roman" w:hAnsi="Times New Roman" w:eastAsia="宋体" w:cs="Times New Roman"/>
          <w:bCs w:val="0"/>
          <w:color w:val="auto"/>
          <w:kern w:val="2"/>
          <w:sz w:val="28"/>
          <w:szCs w:val="36"/>
        </w:rPr>
        <w:t>《国家安全监管总局关于公布第二批重点监管危险化工工艺目录和调整首批重点监管危险化工工艺中部分典型工艺的通知》（安监总管三〔2013〕3号）</w:t>
      </w:r>
    </w:p>
    <w:p w14:paraId="3417566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《化工和危险化学品生产经营单位重大生产安全事故</w:t>
      </w:r>
      <w:r>
        <w:rPr>
          <w:rFonts w:hint="eastAsia" w:ascii="Times New Roman" w:hAnsi="Times New Roman" w:eastAsia="宋体" w:cs="Times New Roman"/>
          <w:bCs w:val="0"/>
          <w:color w:val="auto"/>
          <w:spacing w:val="-6"/>
          <w:kern w:val="2"/>
          <w:sz w:val="28"/>
          <w:szCs w:val="36"/>
        </w:rPr>
        <w:t>隐患判定标准（试行）》的通知（安监总管三[2017]121号）</w:t>
      </w:r>
    </w:p>
    <w:p w14:paraId="73CD763A">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spacing w:val="-6"/>
          <w:kern w:val="2"/>
          <w:sz w:val="28"/>
          <w:szCs w:val="36"/>
        </w:rPr>
      </w:pPr>
      <w:r>
        <w:rPr>
          <w:rFonts w:hint="eastAsia" w:ascii="Times New Roman" w:hAnsi="Times New Roman" w:eastAsia="宋体" w:cs="Calibri"/>
          <w:bCs w:val="0"/>
          <w:color w:val="auto"/>
          <w:kern w:val="2"/>
          <w:sz w:val="28"/>
          <w:szCs w:val="28"/>
        </w:rPr>
        <w:t>《应急管理部关于印发危险化学品企业安全分类整治目录（2020年）的通知》（应急〔2020〕84号）</w:t>
      </w:r>
    </w:p>
    <w:p w14:paraId="3F22743B">
      <w:pPr>
        <w:pageBreakBefore w:val="0"/>
        <w:numPr>
          <w:ilvl w:val="0"/>
          <w:numId w:val="1"/>
        </w:numPr>
        <w:kinsoku/>
        <w:wordWrap/>
        <w:overflowPunct/>
        <w:topLinePunct w:val="0"/>
        <w:autoSpaceDE/>
        <w:autoSpaceDN/>
        <w:bidi w:val="0"/>
        <w:spacing w:line="580" w:lineRule="exact"/>
        <w:ind w:firstLine="536" w:firstLineChars="200"/>
        <w:textAlignment w:val="auto"/>
        <w:rPr>
          <w:rFonts w:ascii="Times New Roman" w:hAnsi="Times New Roman" w:eastAsia="宋体" w:cs="Times New Roman"/>
          <w:bCs w:val="0"/>
          <w:color w:val="auto"/>
          <w:spacing w:val="-6"/>
          <w:kern w:val="2"/>
          <w:sz w:val="28"/>
          <w:szCs w:val="36"/>
        </w:rPr>
      </w:pPr>
      <w:r>
        <w:rPr>
          <w:rFonts w:hint="eastAsia" w:ascii="Times New Roman" w:hAnsi="Times New Roman" w:eastAsia="宋体" w:cs="Times New Roman"/>
          <w:bCs w:val="0"/>
          <w:color w:val="auto"/>
          <w:spacing w:val="-6"/>
          <w:kern w:val="2"/>
          <w:sz w:val="28"/>
          <w:szCs w:val="36"/>
        </w:rPr>
        <w:t xml:space="preserve">《安全生产责任保险实施办法》            </w:t>
      </w:r>
      <w:r>
        <w:rPr>
          <w:rFonts w:hint="eastAsia" w:ascii="Times New Roman" w:hAnsi="Times New Roman" w:eastAsia="宋体" w:cs="Times New Roman"/>
          <w:bCs w:val="0"/>
          <w:color w:val="auto"/>
          <w:spacing w:val="-6"/>
          <w:kern w:val="2"/>
          <w:sz w:val="28"/>
          <w:szCs w:val="36"/>
          <w:lang w:eastAsia="zh-CN"/>
        </w:rPr>
        <w:t>（</w:t>
      </w:r>
      <w:r>
        <w:rPr>
          <w:rFonts w:hint="eastAsia" w:ascii="Times New Roman" w:hAnsi="Times New Roman" w:eastAsia="宋体" w:cs="Times New Roman"/>
          <w:bCs w:val="0"/>
          <w:color w:val="auto"/>
          <w:spacing w:val="-6"/>
          <w:kern w:val="2"/>
          <w:sz w:val="28"/>
          <w:szCs w:val="36"/>
        </w:rPr>
        <w:t>安监总办(2017)140号</w:t>
      </w:r>
      <w:r>
        <w:rPr>
          <w:rFonts w:hint="eastAsia" w:ascii="Times New Roman" w:hAnsi="Times New Roman" w:eastAsia="宋体" w:cs="Times New Roman"/>
          <w:bCs w:val="0"/>
          <w:color w:val="auto"/>
          <w:spacing w:val="-6"/>
          <w:kern w:val="2"/>
          <w:sz w:val="28"/>
          <w:szCs w:val="36"/>
          <w:lang w:eastAsia="zh-CN"/>
        </w:rPr>
        <w:t>）</w:t>
      </w:r>
    </w:p>
    <w:p w14:paraId="78C84DA3">
      <w:pPr>
        <w:pageBreakBefore w:val="0"/>
        <w:numPr>
          <w:ilvl w:val="0"/>
          <w:numId w:val="1"/>
        </w:numPr>
        <w:kinsoku/>
        <w:wordWrap/>
        <w:overflowPunct/>
        <w:topLinePunct w:val="0"/>
        <w:autoSpaceDE/>
        <w:autoSpaceDN/>
        <w:bidi w:val="0"/>
        <w:spacing w:line="580" w:lineRule="exact"/>
        <w:ind w:firstLine="536"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spacing w:val="-6"/>
          <w:kern w:val="2"/>
          <w:sz w:val="28"/>
          <w:szCs w:val="36"/>
        </w:rPr>
        <w:t>《江西省安全生产条例》（2023年9月1日起施行）（2007年3月29日江西省第十届人民代表大会常务委员会第二十八次会议通过，2023年7月26日江西省第十四届人民代表大会常务委员会第三次会议第二次修订）。</w:t>
      </w:r>
    </w:p>
    <w:p w14:paraId="489D227E">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《江西省突发事件应对条例》（2013年7月27日江西省第十二届人民代表大会常务委员会第五次会议通过）</w:t>
      </w:r>
    </w:p>
    <w:p w14:paraId="3410D6F5">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《江西省消防条例》（2020年11月25日江西省第十三届人民代表大会常务委员会第二十五次会议第六次修正）</w:t>
      </w:r>
    </w:p>
    <w:p w14:paraId="41440D41">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《江西省生产安全事故隐患排查治理办法》（2021年6月9日省人民政府令第250号第一次修正）</w:t>
      </w:r>
    </w:p>
    <w:p w14:paraId="754F923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《江西省消防安全责任制实施办法》（江西省人民政府令[2021]第252号发布）</w:t>
      </w:r>
    </w:p>
    <w:p w14:paraId="73920F35">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《江西省应急管理厅关于印发江西省化工和危险化学品等安全生产治本攻坚三年行动实施方案（2024-2026年）的通知》（赣应急字〔2024〕23号）</w:t>
      </w:r>
    </w:p>
    <w:p w14:paraId="619BFB47">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《江西省商务厅关于取消和下放石油成品油经营资格审批权限有关事项的通知》（赣商务运行函〔2020〕27号）</w:t>
      </w:r>
    </w:p>
    <w:p w14:paraId="5568C946">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《江西省应急管理厅办公室关于印发</w:t>
      </w:r>
      <w:r>
        <w:rPr>
          <w:rFonts w:hint="eastAsia" w:ascii="Times New Roman" w:hAnsi="Times New Roman" w:eastAsia="宋体" w:cs="Times New Roman"/>
          <w:bCs w:val="0"/>
          <w:color w:val="auto"/>
          <w:kern w:val="2"/>
          <w:sz w:val="28"/>
          <w:szCs w:val="36"/>
          <w:lang w:eastAsia="zh-CN"/>
        </w:rPr>
        <w:t>〈</w:t>
      </w:r>
      <w:r>
        <w:rPr>
          <w:rFonts w:hint="eastAsia" w:ascii="Times New Roman" w:hAnsi="Times New Roman" w:eastAsia="宋体" w:cs="Times New Roman"/>
          <w:bCs w:val="0"/>
          <w:color w:val="auto"/>
          <w:kern w:val="2"/>
          <w:sz w:val="28"/>
          <w:szCs w:val="36"/>
        </w:rPr>
        <w:t>加油站安全检查表</w:t>
      </w:r>
      <w:r>
        <w:rPr>
          <w:rFonts w:hint="eastAsia" w:ascii="Times New Roman" w:hAnsi="Times New Roman" w:eastAsia="宋体" w:cs="Times New Roman"/>
          <w:bCs w:val="0"/>
          <w:color w:val="auto"/>
          <w:kern w:val="2"/>
          <w:sz w:val="28"/>
          <w:szCs w:val="36"/>
          <w:lang w:eastAsia="zh-CN"/>
        </w:rPr>
        <w:t>〉的通知》</w:t>
      </w:r>
      <w:r>
        <w:rPr>
          <w:rFonts w:hint="eastAsia" w:ascii="Times New Roman" w:hAnsi="Times New Roman" w:eastAsia="宋体" w:cs="Times New Roman"/>
          <w:bCs w:val="0"/>
          <w:color w:val="auto"/>
          <w:kern w:val="2"/>
          <w:sz w:val="28"/>
          <w:szCs w:val="36"/>
        </w:rPr>
        <w:t>（赣应急办字〔2023〕111号）</w:t>
      </w:r>
    </w:p>
    <w:p w14:paraId="7296C646">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36"/>
        </w:rPr>
        <w:t>《江西省人民政府关于印发江西省水污染防治工作方案的通知》（赣府发〔2015〕62号）</w:t>
      </w:r>
    </w:p>
    <w:p w14:paraId="69CCEE1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《赣州市应急管理局关于印发赣州市化工和危险化学品等领域安全生产治本攻坚三年行动实施方案（2024-2026年）的通知》（赣市应急字〔2024〕14号）</w:t>
      </w:r>
    </w:p>
    <w:p w14:paraId="658626BC">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《关于进一步规范和加强加油站安全管理工作的通知》（赣市安监〔2018〕76号）</w:t>
      </w:r>
    </w:p>
    <w:p w14:paraId="6BE5EFCE">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《关于开展全市加油站合法合规性专项执法检查的通知》（赣市安监〔2018〕73号）</w:t>
      </w:r>
    </w:p>
    <w:p w14:paraId="7FA42B2B">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《江西省生产经营单位安全生产主体责任规定》（赣府厅发〔2024〕20号）</w:t>
      </w:r>
    </w:p>
    <w:p w14:paraId="6B5ABD6A">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《关于进一步加强化工（危险化学品）企业检维修作业安全管理工作的通知》（赣市应急字〔2020〕2号）</w:t>
      </w:r>
    </w:p>
    <w:p w14:paraId="28415C55">
      <w:pPr>
        <w:pageBreakBefore w:val="0"/>
        <w:numPr>
          <w:ilvl w:val="0"/>
          <w:numId w:val="1"/>
        </w:numPr>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36"/>
        </w:rPr>
      </w:pPr>
      <w:r>
        <w:rPr>
          <w:rFonts w:hint="eastAsia" w:ascii="Times New Roman" w:hAnsi="Times New Roman" w:eastAsia="宋体" w:cs="Times New Roman"/>
          <w:bCs w:val="0"/>
          <w:color w:val="auto"/>
          <w:kern w:val="2"/>
          <w:sz w:val="28"/>
          <w:szCs w:val="36"/>
        </w:rPr>
        <w:t>《江西省应急管理厅办公室关于规范危险化学品经营许可工作的通知》（赣应急办字〔2025〕58号）</w:t>
      </w:r>
    </w:p>
    <w:p w14:paraId="2282CBC2">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Times New Roman"/>
          <w:b/>
          <w:bCs/>
          <w:color w:val="auto"/>
          <w:kern w:val="0"/>
          <w:sz w:val="32"/>
          <w:szCs w:val="32"/>
          <w:lang w:val="en-US" w:eastAsia="zh-CN" w:bidi="ar-SA"/>
        </w:rPr>
      </w:pPr>
      <w:bookmarkStart w:id="11" w:name="_Toc17479"/>
      <w:r>
        <w:rPr>
          <w:rFonts w:ascii="Times New Roman" w:hAnsi="Times New Roman" w:eastAsia="宋体" w:cs="Calibri"/>
          <w:b/>
          <w:bCs/>
          <w:color w:val="auto"/>
          <w:kern w:val="0"/>
          <w:sz w:val="32"/>
          <w:szCs w:val="32"/>
          <w:lang w:val="en-US" w:eastAsia="zh-CN" w:bidi="ar-SA"/>
        </w:rPr>
        <w:t>1.2.2</w:t>
      </w:r>
      <w:r>
        <w:rPr>
          <w:rFonts w:hint="eastAsia" w:ascii="Times New Roman" w:hAnsi="Times New Roman" w:eastAsia="宋体" w:cs="宋体"/>
          <w:b/>
          <w:bCs/>
          <w:color w:val="auto"/>
          <w:kern w:val="0"/>
          <w:sz w:val="32"/>
          <w:szCs w:val="32"/>
          <w:lang w:val="en-US" w:eastAsia="zh-CN" w:bidi="ar-SA"/>
        </w:rPr>
        <w:t>评价标准、规范</w:t>
      </w:r>
      <w:bookmarkEnd w:id="11"/>
    </w:p>
    <w:p w14:paraId="492E982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《建筑设计防火规范》GB50016-2014（2018年版）</w:t>
      </w:r>
    </w:p>
    <w:p w14:paraId="3FD4DD7D">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《建筑防火通用规范》GB55037-2022</w:t>
      </w:r>
    </w:p>
    <w:p w14:paraId="3FA9DD8A">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《消防设施通用规范》GB55036-2022</w:t>
      </w:r>
    </w:p>
    <w:p w14:paraId="7197DDB1">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《建筑照明设计标准》GB/T50034-2024</w:t>
      </w:r>
    </w:p>
    <w:p w14:paraId="330D32B0">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《危险化学品安全生产风险分级管控技术规范》GB/T45420-2025</w:t>
      </w:r>
    </w:p>
    <w:p w14:paraId="20ADECA0">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hint="eastAsia"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《汽车加油加气加氢站技术标准》GB50156-2021</w:t>
      </w:r>
    </w:p>
    <w:p w14:paraId="1AC59E5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hint="eastAsia"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《建筑与市政工程抗震通用规范》GB55002-2021</w:t>
      </w:r>
    </w:p>
    <w:p w14:paraId="6610A965">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hint="eastAsia"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《危险化学品企业雷电安全规范》GB15599-2025</w:t>
      </w:r>
    </w:p>
    <w:p w14:paraId="79647DDE">
      <w:pPr>
        <w:pageBreakBefore w:val="0"/>
        <w:numPr>
          <w:ilvl w:val="0"/>
          <w:numId w:val="2"/>
        </w:numPr>
        <w:kinsoku/>
        <w:wordWrap/>
        <w:overflowPunct/>
        <w:topLinePunct w:val="0"/>
        <w:autoSpaceDE/>
        <w:autoSpaceDN/>
        <w:bidi w:val="0"/>
        <w:adjustRightInd w:val="0"/>
        <w:snapToGrid w:val="0"/>
        <w:spacing w:line="580" w:lineRule="exact"/>
        <w:ind w:firstLine="536" w:firstLineChars="200"/>
        <w:textAlignment w:val="auto"/>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6"/>
          <w:kern w:val="2"/>
          <w:sz w:val="28"/>
          <w:szCs w:val="28"/>
        </w:rPr>
        <w:t>《石油化工可燃气体和有毒气体检测报警设计标准》GB/T50493-2019</w:t>
      </w:r>
    </w:p>
    <w:p w14:paraId="091BA51E">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《爆炸危险环境电力装置设计规范》GB50058-2014</w:t>
      </w:r>
    </w:p>
    <w:p w14:paraId="07D3C824">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《供配电系统设计规范》GB50052-2009</w:t>
      </w:r>
    </w:p>
    <w:p w14:paraId="6F71F925">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《危险化学品重大危险源辨识》GB18218-2018</w:t>
      </w:r>
    </w:p>
    <w:p w14:paraId="4368D8A9">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《建筑物防雷设计规范》GB50057-2010</w:t>
      </w:r>
    </w:p>
    <w:p w14:paraId="36D2D621">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《建筑灭火器配置设计规范》GB50140-2005</w:t>
      </w:r>
    </w:p>
    <w:p w14:paraId="4C59FD51">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《危险化学品企业特殊作业安全规范》GB30871-2022</w:t>
      </w:r>
    </w:p>
    <w:p w14:paraId="65779325">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《加油站大气污染物排放标准》GB 20952-2020</w:t>
      </w:r>
    </w:p>
    <w:p w14:paraId="2ED9315F">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《低压配电设计规范》GB50054-2011</w:t>
      </w:r>
    </w:p>
    <w:p w14:paraId="168749B1">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《防止静电事故通用要求》GB12158-20</w:t>
      </w:r>
      <w:r>
        <w:rPr>
          <w:rFonts w:hint="eastAsia" w:ascii="Times New Roman" w:hAnsi="Times New Roman" w:eastAsia="宋体" w:cs="Times New Roman"/>
          <w:bCs w:val="0"/>
          <w:color w:val="auto"/>
          <w:kern w:val="2"/>
          <w:sz w:val="28"/>
          <w:szCs w:val="28"/>
          <w:lang w:val="en-US" w:eastAsia="zh-CN"/>
        </w:rPr>
        <w:t>24</w:t>
      </w:r>
    </w:p>
    <w:p w14:paraId="6655532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w:t>
      </w:r>
      <w:r>
        <w:rPr>
          <w:rFonts w:hint="default" w:ascii="Times New Roman" w:hAnsi="Times New Roman" w:eastAsia="宋体" w:cs="Times New Roman"/>
          <w:bCs w:val="0"/>
          <w:color w:val="auto"/>
          <w:kern w:val="2"/>
          <w:sz w:val="28"/>
          <w:szCs w:val="28"/>
        </w:rPr>
        <w:t>生产安全事故分类与编码</w:t>
      </w:r>
      <w:r>
        <w:rPr>
          <w:rFonts w:ascii="Times New Roman" w:hAnsi="Times New Roman" w:eastAsia="宋体" w:cs="Times New Roman"/>
          <w:bCs w:val="0"/>
          <w:color w:val="auto"/>
          <w:kern w:val="2"/>
          <w:sz w:val="28"/>
          <w:szCs w:val="28"/>
        </w:rPr>
        <w:t>》GB6441-</w:t>
      </w:r>
      <w:r>
        <w:rPr>
          <w:rFonts w:hint="eastAsia" w:ascii="Times New Roman" w:hAnsi="Times New Roman" w:eastAsia="宋体" w:cs="Times New Roman"/>
          <w:bCs w:val="0"/>
          <w:color w:val="auto"/>
          <w:kern w:val="2"/>
          <w:sz w:val="28"/>
          <w:szCs w:val="28"/>
          <w:lang w:val="en-US" w:eastAsia="zh-CN"/>
        </w:rPr>
        <w:t>2025</w:t>
      </w:r>
    </w:p>
    <w:p w14:paraId="7C94E8AD">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《危险化学品仓库储存通则》GB15603-2022</w:t>
      </w:r>
    </w:p>
    <w:p w14:paraId="55D7F30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《20kV以下变电所设计规范》GB50053-2013</w:t>
      </w:r>
    </w:p>
    <w:p w14:paraId="0A870FE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《危险化学品经营企业安全技术基本要求》GB18265-2019</w:t>
      </w:r>
    </w:p>
    <w:p w14:paraId="177BE47A">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《安全色和安全标志》（GB2894-2025）</w:t>
      </w:r>
    </w:p>
    <w:p w14:paraId="3AEF8CC8">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《消防安全标志第1部分：标志》GB13495.1-2015</w:t>
      </w:r>
    </w:p>
    <w:p w14:paraId="5D8F75CB">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《工业企业总平面设计规范》GB50187-2012</w:t>
      </w:r>
    </w:p>
    <w:p w14:paraId="1EB47F65">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《个体防护装备配备规范 第1部分：总则》GB39800.1-2020</w:t>
      </w:r>
    </w:p>
    <w:p w14:paraId="198E9E26">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《个体防护装备安全管理规范》AQ6111-2023</w:t>
      </w:r>
    </w:p>
    <w:p w14:paraId="4F4CAFA8">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《危险化学品单位应急救援物资配备要求》GB30077-2023</w:t>
      </w:r>
    </w:p>
    <w:p w14:paraId="19734AE8">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《车用汽油》GB 17930-2016</w:t>
      </w:r>
    </w:p>
    <w:p w14:paraId="7E2E4F11">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《车用柴油》（国家标准第1号修改单）GB19147-2016/XG1-2018</w:t>
      </w:r>
    </w:p>
    <w:p w14:paraId="2F31EDE3">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《危险化学品单位应急救援物资配备要求》GB30077-2023</w:t>
      </w:r>
    </w:p>
    <w:p w14:paraId="61916D0E">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《消防应急照明和疏散指示系统》GB17945-2024</w:t>
      </w:r>
    </w:p>
    <w:p w14:paraId="2AAE577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《建筑抗震设计标准》（2024年版）（GB/T 50011-2010）</w:t>
      </w:r>
    </w:p>
    <w:p w14:paraId="312A531A">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《建筑结构荷载规范》（GB 50009-2012）</w:t>
      </w:r>
    </w:p>
    <w:p w14:paraId="35453ED9">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《构筑物抗震设计规范》(GB50191-2012)</w:t>
      </w:r>
    </w:p>
    <w:p w14:paraId="159F37BD">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《建筑灭火器配置验收及检查规范》（GB50444-2008）</w:t>
      </w:r>
    </w:p>
    <w:p w14:paraId="7ED9BB55">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《消防应急照明和疏散指示系统技术标准》GB51309-2018</w:t>
      </w:r>
    </w:p>
    <w:p w14:paraId="0B0BE5ED">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《化工设备安全管理规范》GB/T44958-2024</w:t>
      </w:r>
    </w:p>
    <w:p w14:paraId="1E36FF37">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《重大火灾隐患判定规则》（GB35181-20</w:t>
      </w:r>
      <w:r>
        <w:rPr>
          <w:rFonts w:hint="eastAsia" w:ascii="Times New Roman" w:hAnsi="Times New Roman" w:eastAsia="宋体" w:cs="Times New Roman"/>
          <w:bCs w:val="0"/>
          <w:color w:val="auto"/>
          <w:kern w:val="2"/>
          <w:sz w:val="28"/>
          <w:szCs w:val="28"/>
          <w:lang w:val="en-US" w:eastAsia="zh-CN"/>
        </w:rPr>
        <w:t>25</w:t>
      </w:r>
      <w:r>
        <w:rPr>
          <w:rFonts w:hint="eastAsia" w:ascii="Times New Roman" w:hAnsi="Times New Roman" w:eastAsia="宋体" w:cs="Times New Roman"/>
          <w:bCs w:val="0"/>
          <w:color w:val="auto"/>
          <w:kern w:val="2"/>
          <w:sz w:val="28"/>
          <w:szCs w:val="28"/>
        </w:rPr>
        <w:t>）</w:t>
      </w:r>
    </w:p>
    <w:p w14:paraId="4DE99B78">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《油气回收处理设施技术标准》GB50759-2022</w:t>
      </w:r>
    </w:p>
    <w:p w14:paraId="7CB9853C">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《油气回收装置通用技术条件》GB/T35579-2017</w:t>
      </w:r>
    </w:p>
    <w:p w14:paraId="71B08595">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《油气回收系统防爆技术要求》GB/T 34661-2017</w:t>
      </w:r>
    </w:p>
    <w:p w14:paraId="3EAF6A34">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《双层罐渗漏检测系统 第1部分：通则》GB/T30040.1-2013</w:t>
      </w:r>
    </w:p>
    <w:p w14:paraId="0C56ABB5">
      <w:pPr>
        <w:pageBreakBefore w:val="0"/>
        <w:numPr>
          <w:ilvl w:val="0"/>
          <w:numId w:val="2"/>
        </w:numPr>
        <w:kinsoku/>
        <w:wordWrap/>
        <w:overflowPunct/>
        <w:topLinePunct w:val="0"/>
        <w:autoSpaceDE/>
        <w:autoSpaceDN/>
        <w:bidi w:val="0"/>
        <w:adjustRightInd w:val="0"/>
        <w:snapToGrid w:val="0"/>
        <w:spacing w:line="580" w:lineRule="exact"/>
        <w:ind w:firstLine="536" w:firstLineChars="200"/>
        <w:textAlignment w:val="auto"/>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6"/>
          <w:kern w:val="2"/>
          <w:sz w:val="28"/>
          <w:szCs w:val="28"/>
        </w:rPr>
        <w:t>《生产经营单位生产安全事故应急预案编制导则》GB/T29639-2020</w:t>
      </w:r>
    </w:p>
    <w:p w14:paraId="088F587F">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《燃油加油站防爆安全技术 第1部分：燃油加油机防爆安全技术要求》GB/T 22380.1-2017</w:t>
      </w:r>
    </w:p>
    <w:p w14:paraId="32298563">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《燃油加油站防爆安全技术 第2部分：加油机用安全拉断阀结构和性能的安全要求》GB/T 22380.2-2019</w:t>
      </w:r>
    </w:p>
    <w:p w14:paraId="49858746">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《燃油加油站防爆安全技术 第3部分：剪切阀结构和性能的安全要求》GB/T 22380.3-2019</w:t>
      </w:r>
    </w:p>
    <w:p w14:paraId="46EDCF77">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《工业企业设计卫生标准》GBZ1-2010</w:t>
      </w:r>
    </w:p>
    <w:p w14:paraId="70038F52">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《工作场所有害因素职业接触限值 第1部分</w:t>
      </w:r>
      <w:r>
        <w:rPr>
          <w:rFonts w:hint="eastAsia" w:ascii="Times New Roman" w:hAnsi="Times New Roman" w:eastAsia="宋体" w:cs="Times New Roman"/>
          <w:bCs w:val="0"/>
          <w:color w:val="auto"/>
          <w:kern w:val="2"/>
          <w:sz w:val="28"/>
          <w:szCs w:val="28"/>
          <w:lang w:eastAsia="zh-CN"/>
        </w:rPr>
        <w:t>：</w:t>
      </w:r>
      <w:r>
        <w:rPr>
          <w:rFonts w:hint="eastAsia" w:ascii="Times New Roman" w:hAnsi="Times New Roman" w:eastAsia="宋体" w:cs="Times New Roman"/>
          <w:bCs w:val="0"/>
          <w:color w:val="auto"/>
          <w:kern w:val="2"/>
          <w:sz w:val="28"/>
          <w:szCs w:val="28"/>
        </w:rPr>
        <w:t>化学有害因素》</w:t>
      </w:r>
      <w:r>
        <w:rPr>
          <w:rFonts w:ascii="Times New Roman" w:hAnsi="Times New Roman" w:eastAsia="宋体" w:cs="Times New Roman"/>
          <w:bCs w:val="0"/>
          <w:color w:val="auto"/>
          <w:kern w:val="2"/>
          <w:sz w:val="28"/>
          <w:szCs w:val="28"/>
        </w:rPr>
        <w:t>行业标准第</w:t>
      </w:r>
      <w:r>
        <w:rPr>
          <w:rFonts w:hint="eastAsia" w:ascii="Times New Roman" w:hAnsi="Times New Roman" w:eastAsia="宋体" w:cs="Times New Roman"/>
          <w:bCs w:val="0"/>
          <w:color w:val="auto"/>
          <w:kern w:val="2"/>
          <w:sz w:val="28"/>
          <w:szCs w:val="28"/>
          <w:lang w:val="en-US" w:eastAsia="zh-CN"/>
        </w:rPr>
        <w:t>2</w:t>
      </w:r>
      <w:r>
        <w:rPr>
          <w:rFonts w:ascii="Times New Roman" w:hAnsi="Times New Roman" w:eastAsia="宋体" w:cs="Times New Roman"/>
          <w:bCs w:val="0"/>
          <w:color w:val="auto"/>
          <w:kern w:val="2"/>
          <w:sz w:val="28"/>
          <w:szCs w:val="28"/>
        </w:rPr>
        <w:t>号修改单GBZ 2.1-2019/XG</w:t>
      </w:r>
      <w:r>
        <w:rPr>
          <w:rFonts w:hint="eastAsia" w:ascii="Times New Roman" w:hAnsi="Times New Roman" w:eastAsia="宋体" w:cs="Times New Roman"/>
          <w:bCs w:val="0"/>
          <w:color w:val="auto"/>
          <w:kern w:val="2"/>
          <w:sz w:val="28"/>
          <w:szCs w:val="28"/>
          <w:lang w:val="en-US" w:eastAsia="zh-CN"/>
        </w:rPr>
        <w:t>2</w:t>
      </w:r>
      <w:r>
        <w:rPr>
          <w:rFonts w:ascii="Times New Roman" w:hAnsi="Times New Roman" w:eastAsia="宋体" w:cs="Times New Roman"/>
          <w:bCs w:val="0"/>
          <w:color w:val="auto"/>
          <w:kern w:val="2"/>
          <w:sz w:val="28"/>
          <w:szCs w:val="28"/>
        </w:rPr>
        <w:t>-202</w:t>
      </w:r>
      <w:r>
        <w:rPr>
          <w:rFonts w:hint="eastAsia" w:ascii="Times New Roman" w:hAnsi="Times New Roman" w:eastAsia="宋体" w:cs="Times New Roman"/>
          <w:bCs w:val="0"/>
          <w:color w:val="auto"/>
          <w:kern w:val="2"/>
          <w:sz w:val="28"/>
          <w:szCs w:val="28"/>
          <w:lang w:val="en-US" w:eastAsia="zh-CN"/>
        </w:rPr>
        <w:t>4</w:t>
      </w:r>
    </w:p>
    <w:p w14:paraId="0AE7D85B">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《汽车加油加气站消防安全管理》XF/T3004-2020</w:t>
      </w:r>
    </w:p>
    <w:p w14:paraId="086E940F">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《成品油零售企业管理技术规范》SB/T10390-2004</w:t>
      </w:r>
    </w:p>
    <w:p w14:paraId="1559E057">
      <w:pPr>
        <w:pageBreakBefore w:val="0"/>
        <w:numPr>
          <w:ilvl w:val="0"/>
          <w:numId w:val="2"/>
        </w:numPr>
        <w:kinsoku/>
        <w:wordWrap/>
        <w:overflowPunct/>
        <w:topLinePunct w:val="0"/>
        <w:autoSpaceDE/>
        <w:autoSpaceDN/>
        <w:bidi w:val="0"/>
        <w:adjustRightInd w:val="0"/>
        <w:snapToGrid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《加油站用埋地钢-玻璃纤维增强塑料双层油罐工程技术规范》</w:t>
      </w:r>
    </w:p>
    <w:p w14:paraId="0F50FEC3">
      <w:pPr>
        <w:pageBreakBefore w:val="0"/>
        <w:kinsoku/>
        <w:wordWrap/>
        <w:overflowPunct/>
        <w:topLinePunct w:val="0"/>
        <w:autoSpaceDE/>
        <w:autoSpaceDN/>
        <w:bidi w:val="0"/>
        <w:adjustRightInd w:val="0"/>
        <w:snapToGrid w:val="0"/>
        <w:spacing w:line="580" w:lineRule="exact"/>
        <w:ind w:left="420" w:leftChars="200"/>
        <w:jc w:val="righ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SH/T 3178-2015</w:t>
      </w:r>
    </w:p>
    <w:p w14:paraId="42D8DC54">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《加油站作业安全规范》AQ3010-2022</w:t>
      </w:r>
    </w:p>
    <w:p w14:paraId="602970EC">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《生产安全事故应急演练基本规范》YJ/T9007-2019</w:t>
      </w:r>
    </w:p>
    <w:p w14:paraId="104AB58F">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《危险场所电气防爆安全规范》AQ3009-2007</w:t>
      </w:r>
    </w:p>
    <w:p w14:paraId="69CD7C7C">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《安全评价通则》AQ8001-2007</w:t>
      </w:r>
    </w:p>
    <w:p w14:paraId="4412FE4D">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《安全验收评价导则》AQ8003-2007</w:t>
      </w:r>
    </w:p>
    <w:p w14:paraId="7C59A398">
      <w:pPr>
        <w:pageBreakBefore w:val="0"/>
        <w:numPr>
          <w:ilvl w:val="0"/>
          <w:numId w:val="2"/>
        </w:numPr>
        <w:kinsoku/>
        <w:wordWrap/>
        <w:overflowPunct/>
        <w:topLinePunct w:val="0"/>
        <w:autoSpaceDE/>
        <w:autoSpaceDN/>
        <w:bidi w:val="0"/>
        <w:adjustRightInd w:val="0"/>
        <w:snapToGrid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lang w:val="en-US" w:eastAsia="zh-CN"/>
        </w:rPr>
        <w:t>《化工和危险化学品生产经营企业重大生产安全事故隐患判定准则》（AQ 3067-2026）</w:t>
      </w:r>
    </w:p>
    <w:p w14:paraId="16FE7A6D">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相关的专业性国家标准、行业标准和地方标准及规定。</w:t>
      </w:r>
    </w:p>
    <w:p w14:paraId="2B1EB785">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Times New Roman"/>
          <w:b/>
          <w:bCs/>
          <w:color w:val="auto"/>
          <w:kern w:val="0"/>
          <w:sz w:val="32"/>
          <w:szCs w:val="32"/>
          <w:lang w:val="en-US" w:eastAsia="zh-CN" w:bidi="ar-SA"/>
        </w:rPr>
      </w:pPr>
      <w:bookmarkStart w:id="12" w:name="_Toc1957"/>
      <w:r>
        <w:rPr>
          <w:rFonts w:ascii="Times New Roman" w:hAnsi="Times New Roman" w:eastAsia="宋体" w:cs="Calibri"/>
          <w:b/>
          <w:bCs/>
          <w:color w:val="auto"/>
          <w:kern w:val="0"/>
          <w:sz w:val="32"/>
          <w:szCs w:val="32"/>
          <w:lang w:val="en-US" w:eastAsia="zh-CN" w:bidi="ar-SA"/>
        </w:rPr>
        <w:t>1.2.3</w:t>
      </w:r>
      <w:r>
        <w:rPr>
          <w:rFonts w:hint="eastAsia" w:ascii="Times New Roman" w:hAnsi="Times New Roman" w:eastAsia="宋体" w:cs="宋体"/>
          <w:b/>
          <w:bCs/>
          <w:color w:val="auto"/>
          <w:kern w:val="0"/>
          <w:sz w:val="32"/>
          <w:szCs w:val="32"/>
          <w:lang w:val="en-US" w:eastAsia="zh-CN" w:bidi="ar-SA"/>
        </w:rPr>
        <w:t>相关资料</w:t>
      </w:r>
      <w:bookmarkEnd w:id="12"/>
    </w:p>
    <w:p w14:paraId="1883A06F">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营业执照、土地证明、防雷装置检测检验报告；设计单位资质；安全管理制度、操作规程、应急预案及备案、整改后总平面布置图等。</w:t>
      </w:r>
    </w:p>
    <w:p w14:paraId="716CCA6E">
      <w:pPr>
        <w:keepNext/>
        <w:keepLines/>
        <w:pageBreakBefore w:val="0"/>
        <w:widowControl w:val="0"/>
        <w:kinsoku/>
        <w:wordWrap/>
        <w:overflowPunct/>
        <w:topLinePunct w:val="0"/>
        <w:autoSpaceDE/>
        <w:autoSpaceDN/>
        <w:bidi w:val="0"/>
        <w:spacing w:line="580" w:lineRule="exact"/>
        <w:jc w:val="both"/>
        <w:textAlignment w:val="auto"/>
        <w:outlineLvl w:val="1"/>
        <w:rPr>
          <w:rFonts w:ascii="Times New Roman" w:hAnsi="Times New Roman" w:eastAsia="宋体" w:cs="Times New Roman"/>
          <w:b/>
          <w:bCs/>
          <w:color w:val="auto"/>
          <w:kern w:val="0"/>
          <w:sz w:val="28"/>
          <w:szCs w:val="28"/>
          <w:lang w:val="en-US" w:eastAsia="zh-CN" w:bidi="ar-SA"/>
        </w:rPr>
      </w:pPr>
      <w:bookmarkStart w:id="13" w:name="_Toc29244"/>
      <w:bookmarkStart w:id="14" w:name="_Toc17019"/>
      <w:r>
        <w:rPr>
          <w:rFonts w:ascii="Times New Roman" w:hAnsi="Times New Roman" w:eastAsia="宋体" w:cs="Times New Roman"/>
          <w:b/>
          <w:bCs/>
          <w:color w:val="auto"/>
          <w:kern w:val="0"/>
          <w:sz w:val="28"/>
          <w:szCs w:val="28"/>
          <w:lang w:val="en-US" w:eastAsia="zh-CN" w:bidi="ar-SA"/>
        </w:rPr>
        <w:t>1.3</w:t>
      </w:r>
      <w:r>
        <w:rPr>
          <w:rFonts w:hint="eastAsia" w:ascii="Times New Roman" w:hAnsi="Times New Roman" w:eastAsia="宋体" w:cs="宋体"/>
          <w:b/>
          <w:bCs/>
          <w:color w:val="auto"/>
          <w:kern w:val="0"/>
          <w:sz w:val="28"/>
          <w:szCs w:val="28"/>
          <w:lang w:val="en-US" w:eastAsia="zh-CN" w:bidi="ar-SA"/>
        </w:rPr>
        <w:t>评价范围及内容</w:t>
      </w:r>
      <w:bookmarkEnd w:id="13"/>
      <w:bookmarkEnd w:id="14"/>
    </w:p>
    <w:p w14:paraId="49C278D6">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Times New Roman"/>
          <w:b/>
          <w:bCs/>
          <w:color w:val="auto"/>
          <w:kern w:val="0"/>
          <w:sz w:val="32"/>
          <w:szCs w:val="32"/>
          <w:lang w:val="en-US" w:eastAsia="zh-CN" w:bidi="ar-SA"/>
        </w:rPr>
      </w:pPr>
      <w:bookmarkStart w:id="15" w:name="_Toc8274"/>
      <w:r>
        <w:rPr>
          <w:rFonts w:ascii="Times New Roman" w:hAnsi="Times New Roman" w:eastAsia="宋体" w:cs="Calibri"/>
          <w:b/>
          <w:bCs/>
          <w:color w:val="auto"/>
          <w:kern w:val="0"/>
          <w:sz w:val="32"/>
          <w:szCs w:val="32"/>
          <w:lang w:val="en-US" w:eastAsia="zh-CN" w:bidi="ar-SA"/>
        </w:rPr>
        <w:t>1.3.1</w:t>
      </w:r>
      <w:r>
        <w:rPr>
          <w:rFonts w:hint="eastAsia" w:ascii="Times New Roman" w:hAnsi="Times New Roman" w:eastAsia="宋体" w:cs="宋体"/>
          <w:b/>
          <w:bCs/>
          <w:color w:val="auto"/>
          <w:kern w:val="0"/>
          <w:sz w:val="32"/>
          <w:szCs w:val="32"/>
          <w:lang w:val="en-US" w:eastAsia="zh-CN" w:bidi="ar-SA"/>
        </w:rPr>
        <w:t>评价范围</w:t>
      </w:r>
      <w:bookmarkEnd w:id="15"/>
    </w:p>
    <w:p w14:paraId="07E3CA84">
      <w:pPr>
        <w:pageBreakBefore w:val="0"/>
        <w:kinsoku/>
        <w:wordWrap/>
        <w:overflowPunct/>
        <w:topLinePunct w:val="0"/>
        <w:autoSpaceDE/>
        <w:autoSpaceDN/>
        <w:bidi w:val="0"/>
        <w:spacing w:line="580" w:lineRule="exact"/>
        <w:ind w:firstLine="536" w:firstLineChars="200"/>
        <w:textAlignment w:val="auto"/>
        <w:rPr>
          <w:rFonts w:ascii="Times New Roman" w:hAnsi="Times New Roman" w:eastAsia="宋体" w:cs="宋体"/>
          <w:bCs w:val="0"/>
          <w:color w:val="auto"/>
          <w:spacing w:val="-6"/>
          <w:kern w:val="2"/>
          <w:sz w:val="28"/>
          <w:szCs w:val="28"/>
        </w:rPr>
      </w:pPr>
      <w:r>
        <w:rPr>
          <w:rFonts w:hint="eastAsia" w:ascii="Times New Roman" w:hAnsi="Times New Roman" w:eastAsia="宋体" w:cs="宋体"/>
          <w:bCs w:val="0"/>
          <w:color w:val="auto"/>
          <w:spacing w:val="-6"/>
          <w:kern w:val="2"/>
          <w:sz w:val="28"/>
          <w:szCs w:val="28"/>
        </w:rPr>
        <w:t>根据委托，本次评价范围仅为</w:t>
      </w:r>
      <w:r>
        <w:rPr>
          <w:rFonts w:hint="eastAsia" w:ascii="Times New Roman" w:hAnsi="Times New Roman" w:eastAsia="宋体" w:cs="宋体"/>
          <w:bCs w:val="0"/>
          <w:color w:val="auto"/>
          <w:spacing w:val="-6"/>
          <w:kern w:val="2"/>
          <w:sz w:val="28"/>
          <w:szCs w:val="28"/>
          <w:lang w:eastAsia="zh-CN"/>
        </w:rPr>
        <w:t>该加油站</w:t>
      </w:r>
      <w:r>
        <w:rPr>
          <w:rFonts w:hint="eastAsia" w:ascii="Times New Roman" w:hAnsi="Times New Roman" w:eastAsia="宋体" w:cs="宋体"/>
          <w:bCs w:val="0"/>
          <w:color w:val="auto"/>
          <w:spacing w:val="-6"/>
          <w:kern w:val="2"/>
          <w:sz w:val="28"/>
          <w:szCs w:val="28"/>
        </w:rPr>
        <w:t>，主要包括加油区罩棚、站房及储罐区、经营、储存装置</w:t>
      </w:r>
      <w:r>
        <w:rPr>
          <w:rFonts w:hint="eastAsia" w:ascii="Times New Roman" w:hAnsi="Times New Roman" w:eastAsia="宋体" w:cs="宋体"/>
          <w:bCs w:val="0"/>
          <w:color w:val="auto"/>
          <w:spacing w:val="-6"/>
          <w:kern w:val="2"/>
          <w:sz w:val="28"/>
          <w:szCs w:val="28"/>
          <w:lang w:eastAsia="zh-CN"/>
        </w:rPr>
        <w:t>、</w:t>
      </w:r>
      <w:r>
        <w:rPr>
          <w:rFonts w:hint="eastAsia" w:ascii="Times New Roman" w:hAnsi="Times New Roman" w:eastAsia="宋体" w:cs="宋体"/>
          <w:bCs w:val="0"/>
          <w:color w:val="auto"/>
          <w:spacing w:val="-6"/>
          <w:kern w:val="2"/>
          <w:sz w:val="28"/>
          <w:szCs w:val="28"/>
        </w:rPr>
        <w:t>及其平面布置以及对项目的外部环境的评价，对企业安全管理、应急措施的评价。</w:t>
      </w:r>
    </w:p>
    <w:p w14:paraId="79729ECE">
      <w:pPr>
        <w:pageBreakBefore w:val="0"/>
        <w:kinsoku/>
        <w:wordWrap/>
        <w:overflowPunct/>
        <w:topLinePunct w:val="0"/>
        <w:autoSpaceDE/>
        <w:autoSpaceDN/>
        <w:bidi w:val="0"/>
        <w:spacing w:line="580" w:lineRule="exact"/>
        <w:ind w:firstLine="492" w:firstLineChars="200"/>
        <w:textAlignment w:val="auto"/>
        <w:rPr>
          <w:rFonts w:hint="default" w:ascii="Times New Roman" w:hAnsi="Times New Roman" w:eastAsia="宋体" w:cs="宋体"/>
          <w:bCs w:val="0"/>
          <w:color w:val="auto"/>
          <w:spacing w:val="-11"/>
          <w:kern w:val="2"/>
          <w:sz w:val="28"/>
          <w:szCs w:val="28"/>
          <w:lang w:val="en-US" w:eastAsia="zh-CN"/>
        </w:rPr>
      </w:pPr>
      <w:r>
        <w:rPr>
          <w:rFonts w:hint="eastAsia" w:ascii="Times New Roman" w:hAnsi="Times New Roman" w:eastAsia="宋体" w:cs="宋体"/>
          <w:bCs w:val="0"/>
          <w:color w:val="auto"/>
          <w:spacing w:val="-17"/>
          <w:kern w:val="2"/>
          <w:sz w:val="28"/>
          <w:szCs w:val="28"/>
        </w:rPr>
        <w:t>加油站围墙外的建（构）筑物、设施不在本次评价范围内，按站外建（构）筑物及设施考虑。根据有关法律、法规及标准规范的要求进行符合性、有效性评价。</w:t>
      </w:r>
    </w:p>
    <w:p w14:paraId="4D93C0FC">
      <w:pPr>
        <w:pageBreakBefore w:val="0"/>
        <w:kinsoku/>
        <w:wordWrap/>
        <w:overflowPunct/>
        <w:topLinePunct w:val="0"/>
        <w:autoSpaceDE/>
        <w:autoSpaceDN/>
        <w:bidi w:val="0"/>
        <w:spacing w:line="580" w:lineRule="exact"/>
        <w:ind w:firstLine="516" w:firstLineChars="200"/>
        <w:textAlignment w:val="auto"/>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spacing w:val="-11"/>
          <w:kern w:val="2"/>
          <w:sz w:val="28"/>
          <w:szCs w:val="28"/>
        </w:rPr>
        <w:t>如经营场所、储存条件、品种、设施等发生变化，则不在本评价报告范围内。</w:t>
      </w:r>
    </w:p>
    <w:p w14:paraId="4375EEAF">
      <w:pPr>
        <w:keepNext/>
        <w:keepLines/>
        <w:pageBreakBefore w:val="0"/>
        <w:widowControl w:val="0"/>
        <w:kinsoku/>
        <w:wordWrap/>
        <w:overflowPunct/>
        <w:topLinePunct w:val="0"/>
        <w:autoSpaceDE/>
        <w:autoSpaceDN/>
        <w:bidi w:val="0"/>
        <w:spacing w:line="580" w:lineRule="exact"/>
        <w:jc w:val="both"/>
        <w:textAlignment w:val="auto"/>
        <w:outlineLvl w:val="2"/>
        <w:rPr>
          <w:rFonts w:ascii="Times New Roman" w:hAnsi="Times New Roman" w:eastAsia="宋体" w:cs="Times New Roman"/>
          <w:b/>
          <w:bCs/>
          <w:color w:val="auto"/>
          <w:kern w:val="0"/>
          <w:sz w:val="32"/>
          <w:szCs w:val="32"/>
          <w:lang w:val="en-US" w:eastAsia="zh-CN" w:bidi="ar-SA"/>
        </w:rPr>
      </w:pPr>
      <w:bookmarkStart w:id="16" w:name="_Toc26802"/>
      <w:r>
        <w:rPr>
          <w:rFonts w:ascii="Times New Roman" w:hAnsi="Times New Roman" w:eastAsia="宋体" w:cs="Calibri"/>
          <w:b/>
          <w:bCs/>
          <w:color w:val="auto"/>
          <w:kern w:val="0"/>
          <w:sz w:val="32"/>
          <w:szCs w:val="32"/>
          <w:lang w:val="en-US" w:eastAsia="zh-CN" w:bidi="ar-SA"/>
        </w:rPr>
        <w:t>1.3.2</w:t>
      </w:r>
      <w:r>
        <w:rPr>
          <w:rFonts w:hint="eastAsia" w:ascii="Times New Roman" w:hAnsi="Times New Roman" w:eastAsia="宋体" w:cs="宋体"/>
          <w:b/>
          <w:bCs/>
          <w:color w:val="auto"/>
          <w:kern w:val="0"/>
          <w:sz w:val="32"/>
          <w:szCs w:val="32"/>
          <w:lang w:val="en-US" w:eastAsia="zh-CN" w:bidi="ar-SA"/>
        </w:rPr>
        <w:t>评价内容</w:t>
      </w:r>
      <w:bookmarkEnd w:id="16"/>
    </w:p>
    <w:p w14:paraId="603DCCE1">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、检查项目运行情况，以及对员工的安全教育培训情况和作业人员的培训、取证情况；</w:t>
      </w:r>
    </w:p>
    <w:p w14:paraId="51ADCF24">
      <w:pPr>
        <w:pageBreakBefore w:val="0"/>
        <w:kinsoku/>
        <w:wordWrap/>
        <w:overflowPunct/>
        <w:topLinePunct w:val="0"/>
        <w:autoSpaceDE/>
        <w:autoSpaceDN/>
        <w:bidi w:val="0"/>
        <w:spacing w:line="580" w:lineRule="exact"/>
        <w:ind w:firstLine="536" w:firstLineChars="200"/>
        <w:jc w:val="left"/>
        <w:textAlignment w:val="auto"/>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6"/>
          <w:kern w:val="2"/>
          <w:sz w:val="28"/>
          <w:szCs w:val="28"/>
        </w:rPr>
        <w:t>2</w:t>
      </w:r>
      <w:r>
        <w:rPr>
          <w:rFonts w:hint="eastAsia" w:ascii="Times New Roman" w:hAnsi="Times New Roman" w:eastAsia="宋体" w:cs="宋体"/>
          <w:bCs w:val="0"/>
          <w:color w:val="auto"/>
          <w:spacing w:val="-6"/>
          <w:kern w:val="2"/>
          <w:sz w:val="28"/>
          <w:szCs w:val="28"/>
        </w:rPr>
        <w:t>、检查安全生产管理体系及安全生产管理制度的建立健全和执行情况；</w:t>
      </w:r>
    </w:p>
    <w:p w14:paraId="2D9BA947">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3</w:t>
      </w:r>
      <w:r>
        <w:rPr>
          <w:rFonts w:hint="eastAsia" w:ascii="Times New Roman" w:hAnsi="Times New Roman" w:eastAsia="宋体" w:cs="宋体"/>
          <w:bCs w:val="0"/>
          <w:color w:val="auto"/>
          <w:kern w:val="2"/>
          <w:sz w:val="28"/>
          <w:szCs w:val="28"/>
        </w:rPr>
        <w:t>、检查审核国家要求的设备、管道等的检验取证工作及有强制检验要求的防雷、防静电设施的检测、校验情况，以及项目消防验收的情况；</w:t>
      </w:r>
    </w:p>
    <w:p w14:paraId="2602073E">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4</w:t>
      </w:r>
      <w:r>
        <w:rPr>
          <w:rFonts w:hint="eastAsia" w:ascii="Times New Roman" w:hAnsi="Times New Roman" w:eastAsia="宋体" w:cs="宋体"/>
          <w:bCs w:val="0"/>
          <w:color w:val="auto"/>
          <w:kern w:val="2"/>
          <w:sz w:val="28"/>
          <w:szCs w:val="28"/>
        </w:rPr>
        <w:t>、分析项目工程中存在的危险、有害因素，采用安全检查表法检查工程项目与国家相关标准的符合性；</w:t>
      </w:r>
    </w:p>
    <w:p w14:paraId="6E3B5702">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5</w:t>
      </w:r>
      <w:r>
        <w:rPr>
          <w:rFonts w:hint="eastAsia" w:ascii="Times New Roman" w:hAnsi="Times New Roman" w:eastAsia="宋体" w:cs="宋体"/>
          <w:bCs w:val="0"/>
          <w:color w:val="auto"/>
          <w:kern w:val="2"/>
          <w:sz w:val="28"/>
          <w:szCs w:val="28"/>
        </w:rPr>
        <w:t>、采用定性、定量的评价</w:t>
      </w:r>
      <w:r>
        <w:rPr>
          <w:rFonts w:hint="eastAsia" w:ascii="Times New Roman" w:hAnsi="Times New Roman" w:eastAsia="宋体" w:cs="宋体"/>
          <w:bCs w:val="0"/>
          <w:color w:val="auto"/>
          <w:kern w:val="2"/>
          <w:sz w:val="28"/>
          <w:szCs w:val="28"/>
          <w:lang w:eastAsia="zh-CN"/>
        </w:rPr>
        <w:t>方式</w:t>
      </w:r>
      <w:r>
        <w:rPr>
          <w:rFonts w:hint="eastAsia" w:ascii="Times New Roman" w:hAnsi="Times New Roman" w:eastAsia="宋体" w:cs="宋体"/>
          <w:bCs w:val="0"/>
          <w:color w:val="auto"/>
          <w:kern w:val="2"/>
          <w:sz w:val="28"/>
          <w:szCs w:val="28"/>
        </w:rPr>
        <w:t>进行评价；</w:t>
      </w:r>
    </w:p>
    <w:p w14:paraId="2E85D79E">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6</w:t>
      </w:r>
      <w:r>
        <w:rPr>
          <w:rFonts w:hint="eastAsia" w:ascii="Times New Roman" w:hAnsi="Times New Roman" w:eastAsia="宋体" w:cs="宋体"/>
          <w:bCs w:val="0"/>
          <w:color w:val="auto"/>
          <w:kern w:val="2"/>
          <w:sz w:val="28"/>
          <w:szCs w:val="28"/>
        </w:rPr>
        <w:t>、提出对策措施和建议；</w:t>
      </w:r>
    </w:p>
    <w:p w14:paraId="1CA31695">
      <w:pPr>
        <w:pageBreakBefore w:val="0"/>
        <w:kinsoku/>
        <w:wordWrap/>
        <w:overflowPunct/>
        <w:topLinePunct w:val="0"/>
        <w:autoSpaceDE/>
        <w:autoSpaceDN/>
        <w:bidi w:val="0"/>
        <w:spacing w:line="580" w:lineRule="exact"/>
        <w:ind w:firstLine="560" w:firstLineChars="200"/>
        <w:jc w:val="left"/>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7</w:t>
      </w:r>
      <w:r>
        <w:rPr>
          <w:rFonts w:hint="eastAsia" w:ascii="Times New Roman" w:hAnsi="Times New Roman" w:eastAsia="宋体" w:cs="宋体"/>
          <w:bCs w:val="0"/>
          <w:color w:val="auto"/>
          <w:kern w:val="2"/>
          <w:sz w:val="28"/>
          <w:szCs w:val="28"/>
        </w:rPr>
        <w:t>、得出评价结论。</w:t>
      </w:r>
    </w:p>
    <w:p w14:paraId="60E4F61A">
      <w:pPr>
        <w:pageBreakBefore w:val="0"/>
        <w:kinsoku/>
        <w:wordWrap/>
        <w:overflowPunct/>
        <w:topLinePunct w:val="0"/>
        <w:autoSpaceDE/>
        <w:autoSpaceDN/>
        <w:bidi w:val="0"/>
        <w:spacing w:line="580" w:lineRule="exact"/>
        <w:textAlignment w:val="auto"/>
        <w:outlineLvl w:val="1"/>
        <w:rPr>
          <w:rFonts w:ascii="Times New Roman" w:hAnsi="Times New Roman" w:eastAsia="宋体" w:cs="Calibri"/>
          <w:bCs w:val="0"/>
          <w:color w:val="auto"/>
          <w:kern w:val="2"/>
        </w:rPr>
      </w:pPr>
      <w:bookmarkStart w:id="17" w:name="_Toc30418"/>
      <w:bookmarkStart w:id="18" w:name="_Toc343692242"/>
      <w:bookmarkStart w:id="19" w:name="_Toc790"/>
      <w:r>
        <w:rPr>
          <w:rFonts w:ascii="Times New Roman" w:hAnsi="Times New Roman" w:eastAsia="宋体" w:cs="Times New Roman"/>
          <w:b/>
          <w:color w:val="auto"/>
          <w:kern w:val="2"/>
          <w:sz w:val="28"/>
          <w:szCs w:val="28"/>
        </w:rPr>
        <w:t>1.4</w:t>
      </w:r>
      <w:r>
        <w:rPr>
          <w:rFonts w:hint="eastAsia" w:ascii="Times New Roman" w:hAnsi="Times New Roman" w:eastAsia="宋体" w:cs="宋体"/>
          <w:b/>
          <w:color w:val="auto"/>
          <w:kern w:val="2"/>
          <w:sz w:val="28"/>
          <w:szCs w:val="28"/>
        </w:rPr>
        <w:t>评价程序</w:t>
      </w:r>
      <w:bookmarkEnd w:id="17"/>
      <w:bookmarkEnd w:id="18"/>
      <w:bookmarkEnd w:id="19"/>
    </w:p>
    <w:p w14:paraId="04F0F201">
      <w:pPr>
        <w:pageBreakBefore w:val="0"/>
        <w:kinsoku/>
        <w:wordWrap/>
        <w:overflowPunct/>
        <w:topLinePunct w:val="0"/>
        <w:autoSpaceDE/>
        <w:autoSpaceDN/>
        <w:bidi w:val="0"/>
        <w:spacing w:line="58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评价程序见图</w:t>
      </w:r>
      <w:r>
        <w:rPr>
          <w:rFonts w:ascii="Times New Roman" w:hAnsi="Times New Roman" w:eastAsia="宋体" w:cs="Times New Roman"/>
          <w:bCs w:val="0"/>
          <w:color w:val="auto"/>
          <w:kern w:val="2"/>
          <w:sz w:val="28"/>
          <w:szCs w:val="28"/>
        </w:rPr>
        <w:t>1.4-1</w:t>
      </w:r>
      <w:r>
        <w:rPr>
          <w:rFonts w:hint="eastAsia" w:ascii="Times New Roman" w:hAnsi="Times New Roman" w:eastAsia="宋体" w:cs="宋体"/>
          <w:bCs w:val="0"/>
          <w:color w:val="auto"/>
          <w:kern w:val="2"/>
          <w:sz w:val="28"/>
          <w:szCs w:val="28"/>
        </w:rPr>
        <w:t>。</w:t>
      </w:r>
    </w:p>
    <w:p w14:paraId="0A9AC99F">
      <w:pPr>
        <w:rPr>
          <w:rFonts w:ascii="Times New Roman" w:hAnsi="Times New Roman" w:eastAsia="宋体" w:cs="Times New Roman"/>
          <w:bCs w:val="0"/>
          <w:color w:val="auto"/>
          <w:kern w:val="2"/>
          <w:sz w:val="24"/>
          <w:szCs w:val="24"/>
        </w:rPr>
      </w:pPr>
    </w:p>
    <w:p w14:paraId="68CB86CC">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r>
        <w:rPr>
          <w:rFonts w:ascii="Times New Roman" w:hAnsi="Times New Roman" w:eastAsia="宋体" w:cs="宋体"/>
          <w:color w:val="auto"/>
          <w:kern w:val="0"/>
          <w:sz w:val="24"/>
          <w:szCs w:val="24"/>
          <w:lang w:val="en-US" w:eastAsia="zh-CN" w:bidi="ar-SA"/>
        </w:rPr>
        <mc:AlternateContent>
          <mc:Choice Requires="wpg">
            <w:drawing>
              <wp:anchor distT="0" distB="0" distL="114300" distR="114300" simplePos="0" relativeHeight="251659264" behindDoc="0" locked="0" layoutInCell="1" allowOverlap="1">
                <wp:simplePos x="0" y="0"/>
                <wp:positionH relativeFrom="column">
                  <wp:posOffset>1807210</wp:posOffset>
                </wp:positionH>
                <wp:positionV relativeFrom="paragraph">
                  <wp:posOffset>125730</wp:posOffset>
                </wp:positionV>
                <wp:extent cx="2368550" cy="3789045"/>
                <wp:effectExtent l="5080" t="4445" r="7620" b="16510"/>
                <wp:wrapNone/>
                <wp:docPr id="14" name="组合 85"/>
                <wp:cNvGraphicFramePr/>
                <a:graphic xmlns:a="http://schemas.openxmlformats.org/drawingml/2006/main">
                  <a:graphicData uri="http://schemas.microsoft.com/office/word/2010/wordprocessingGroup">
                    <wpg:wgp>
                      <wpg:cNvGrpSpPr/>
                      <wpg:grpSpPr>
                        <a:xfrm>
                          <a:off x="0" y="0"/>
                          <a:ext cx="2368550" cy="3789045"/>
                          <a:chOff x="4821" y="196352"/>
                          <a:chExt cx="3730" cy="5967"/>
                        </a:xfrm>
                      </wpg:grpSpPr>
                      <wps:wsp>
                        <wps:cNvPr id="1" name="文本框 35"/>
                        <wps:cNvSpPr txBox="1"/>
                        <wps:spPr>
                          <a:xfrm>
                            <a:off x="4864" y="19635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A2A908">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前</w:t>
                              </w:r>
                              <w:r>
                                <w:rPr>
                                  <w:rFonts w:ascii="Calibri" w:hAnsi="Calibri" w:eastAsia="宋体" w:cs="Calibri"/>
                                  <w:bCs w:val="0"/>
                                  <w:kern w:val="2"/>
                                  <w:sz w:val="24"/>
                                  <w:szCs w:val="24"/>
                                </w:rPr>
                                <w:t xml:space="preserve"> </w:t>
                              </w:r>
                              <w:r>
                                <w:rPr>
                                  <w:rFonts w:hint="eastAsia" w:ascii="Calibri" w:hAnsi="Calibri" w:eastAsia="宋体" w:cs="宋体"/>
                                  <w:bCs w:val="0"/>
                                  <w:kern w:val="2"/>
                                  <w:sz w:val="24"/>
                                  <w:szCs w:val="24"/>
                                </w:rPr>
                                <w:t>期</w:t>
                              </w:r>
                              <w:r>
                                <w:rPr>
                                  <w:rFonts w:ascii="Calibri" w:hAnsi="Calibri" w:eastAsia="宋体" w:cs="Calibri"/>
                                  <w:bCs w:val="0"/>
                                  <w:kern w:val="2"/>
                                  <w:sz w:val="24"/>
                                  <w:szCs w:val="24"/>
                                </w:rPr>
                                <w:t xml:space="preserve"> </w:t>
                              </w:r>
                              <w:r>
                                <w:rPr>
                                  <w:rFonts w:hint="eastAsia" w:ascii="Calibri" w:hAnsi="Calibri" w:eastAsia="宋体" w:cs="宋体"/>
                                  <w:bCs w:val="0"/>
                                  <w:kern w:val="2"/>
                                  <w:sz w:val="24"/>
                                  <w:szCs w:val="24"/>
                                </w:rPr>
                                <w:t>准</w:t>
                              </w:r>
                              <w:r>
                                <w:rPr>
                                  <w:rFonts w:ascii="Calibri" w:hAnsi="Calibri" w:eastAsia="宋体" w:cs="Calibri"/>
                                  <w:bCs w:val="0"/>
                                  <w:kern w:val="2"/>
                                  <w:sz w:val="24"/>
                                  <w:szCs w:val="24"/>
                                </w:rPr>
                                <w:t xml:space="preserve"> </w:t>
                              </w:r>
                              <w:r>
                                <w:rPr>
                                  <w:rFonts w:hint="eastAsia" w:ascii="Calibri" w:hAnsi="Calibri" w:eastAsia="宋体" w:cs="宋体"/>
                                  <w:bCs w:val="0"/>
                                  <w:kern w:val="2"/>
                                  <w:sz w:val="24"/>
                                  <w:szCs w:val="24"/>
                                </w:rPr>
                                <w:t>备</w:t>
                              </w:r>
                            </w:p>
                          </w:txbxContent>
                        </wps:txbx>
                        <wps:bodyPr upright="1"/>
                      </wps:wsp>
                      <wps:wsp>
                        <wps:cNvPr id="2" name="文本框 36"/>
                        <wps:cNvSpPr txBox="1"/>
                        <wps:spPr>
                          <a:xfrm>
                            <a:off x="4875" y="197276"/>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7A4FB4">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辨识与分析危险、有害因素</w:t>
                              </w:r>
                            </w:p>
                          </w:txbxContent>
                        </wps:txbx>
                        <wps:bodyPr upright="1"/>
                      </wps:wsp>
                      <wps:wsp>
                        <wps:cNvPr id="3" name="文本框 37"/>
                        <wps:cNvSpPr txBox="1"/>
                        <wps:spPr>
                          <a:xfrm>
                            <a:off x="4864" y="198187"/>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6C196B">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划分评价单元</w:t>
                              </w:r>
                            </w:p>
                          </w:txbxContent>
                        </wps:txbx>
                        <wps:bodyPr upright="1"/>
                      </wps:wsp>
                      <wps:wsp>
                        <wps:cNvPr id="4" name="文本框 38"/>
                        <wps:cNvSpPr txBox="1"/>
                        <wps:spPr>
                          <a:xfrm>
                            <a:off x="4842" y="199090"/>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634AEC">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定性、定量评价</w:t>
                              </w:r>
                            </w:p>
                          </w:txbxContent>
                        </wps:txbx>
                        <wps:bodyPr upright="1"/>
                      </wps:wsp>
                      <wps:wsp>
                        <wps:cNvPr id="5" name="文本框 39"/>
                        <wps:cNvSpPr txBox="1"/>
                        <wps:spPr>
                          <a:xfrm>
                            <a:off x="4821" y="199991"/>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3A67C">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提出安全对策措施建议</w:t>
                              </w:r>
                            </w:p>
                          </w:txbxContent>
                        </wps:txbx>
                        <wps:bodyPr upright="1"/>
                      </wps:wsp>
                      <wps:wsp>
                        <wps:cNvPr id="6" name="文本框 40"/>
                        <wps:cNvSpPr txBox="1"/>
                        <wps:spPr>
                          <a:xfrm>
                            <a:off x="4853" y="20089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C9DD99">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做出评价结论</w:t>
                              </w:r>
                            </w:p>
                          </w:txbxContent>
                        </wps:txbx>
                        <wps:bodyPr upright="1"/>
                      </wps:wsp>
                      <wps:wsp>
                        <wps:cNvPr id="7" name="文本框 41"/>
                        <wps:cNvSpPr txBox="1"/>
                        <wps:spPr>
                          <a:xfrm>
                            <a:off x="4843" y="201773"/>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A5DDE">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编制安全验收评价报告</w:t>
                              </w:r>
                            </w:p>
                          </w:txbxContent>
                        </wps:txbx>
                        <wps:bodyPr upright="1"/>
                      </wps:wsp>
                      <wps:wsp>
                        <wps:cNvPr id="8" name="直接连接符 42"/>
                        <wps:cNvCnPr/>
                        <wps:spPr>
                          <a:xfrm>
                            <a:off x="6715" y="196899"/>
                            <a:ext cx="13" cy="392"/>
                          </a:xfrm>
                          <a:prstGeom prst="line">
                            <a:avLst/>
                          </a:prstGeom>
                          <a:ln w="9525" cap="flat" cmpd="sng">
                            <a:solidFill>
                              <a:srgbClr val="000000"/>
                            </a:solidFill>
                            <a:prstDash val="solid"/>
                            <a:headEnd type="none" w="med" len="med"/>
                            <a:tailEnd type="triangle" w="med" len="med"/>
                          </a:ln>
                        </wps:spPr>
                        <wps:bodyPr/>
                      </wps:wsp>
                      <wps:wsp>
                        <wps:cNvPr id="9" name="直接连接符 80"/>
                        <wps:cNvCnPr/>
                        <wps:spPr>
                          <a:xfrm flipH="1">
                            <a:off x="6707" y="197803"/>
                            <a:ext cx="1" cy="355"/>
                          </a:xfrm>
                          <a:prstGeom prst="line">
                            <a:avLst/>
                          </a:prstGeom>
                          <a:ln w="9525" cap="flat" cmpd="sng">
                            <a:solidFill>
                              <a:srgbClr val="000000"/>
                            </a:solidFill>
                            <a:prstDash val="solid"/>
                            <a:headEnd type="none" w="med" len="med"/>
                            <a:tailEnd type="triangle" w="med" len="med"/>
                          </a:ln>
                        </wps:spPr>
                        <wps:bodyPr/>
                      </wps:wsp>
                      <wps:wsp>
                        <wps:cNvPr id="10" name="直接连接符 81"/>
                        <wps:cNvCnPr/>
                        <wps:spPr>
                          <a:xfrm flipH="1">
                            <a:off x="6722" y="198750"/>
                            <a:ext cx="1" cy="355"/>
                          </a:xfrm>
                          <a:prstGeom prst="line">
                            <a:avLst/>
                          </a:prstGeom>
                          <a:ln w="9525" cap="flat" cmpd="sng">
                            <a:solidFill>
                              <a:srgbClr val="000000"/>
                            </a:solidFill>
                            <a:prstDash val="solid"/>
                            <a:headEnd type="none" w="med" len="med"/>
                            <a:tailEnd type="triangle" w="med" len="med"/>
                          </a:ln>
                        </wps:spPr>
                        <wps:bodyPr/>
                      </wps:wsp>
                      <wps:wsp>
                        <wps:cNvPr id="11" name="直接连接符 82"/>
                        <wps:cNvCnPr/>
                        <wps:spPr>
                          <a:xfrm flipH="1">
                            <a:off x="6727" y="199633"/>
                            <a:ext cx="1" cy="355"/>
                          </a:xfrm>
                          <a:prstGeom prst="line">
                            <a:avLst/>
                          </a:prstGeom>
                          <a:ln w="9525" cap="flat" cmpd="sng">
                            <a:solidFill>
                              <a:srgbClr val="000000"/>
                            </a:solidFill>
                            <a:prstDash val="solid"/>
                            <a:headEnd type="none" w="med" len="med"/>
                            <a:tailEnd type="triangle" w="med" len="med"/>
                          </a:ln>
                        </wps:spPr>
                        <wps:bodyPr/>
                      </wps:wsp>
                      <wps:wsp>
                        <wps:cNvPr id="12" name="直接连接符 83"/>
                        <wps:cNvCnPr/>
                        <wps:spPr>
                          <a:xfrm flipH="1">
                            <a:off x="6731" y="200527"/>
                            <a:ext cx="1" cy="355"/>
                          </a:xfrm>
                          <a:prstGeom prst="line">
                            <a:avLst/>
                          </a:prstGeom>
                          <a:ln w="9525" cap="flat" cmpd="sng">
                            <a:solidFill>
                              <a:srgbClr val="000000"/>
                            </a:solidFill>
                            <a:prstDash val="solid"/>
                            <a:headEnd type="none" w="med" len="med"/>
                            <a:tailEnd type="triangle" w="med" len="med"/>
                          </a:ln>
                        </wps:spPr>
                        <wps:bodyPr/>
                      </wps:wsp>
                      <wps:wsp>
                        <wps:cNvPr id="13" name="直接连接符 84"/>
                        <wps:cNvCnPr/>
                        <wps:spPr>
                          <a:xfrm flipH="1">
                            <a:off x="6714" y="201442"/>
                            <a:ext cx="1" cy="355"/>
                          </a:xfrm>
                          <a:prstGeom prst="line">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85" o:spid="_x0000_s1026" o:spt="203" style="position:absolute;left:0pt;margin-left:142.3pt;margin-top:9.9pt;height:298.35pt;width:186.5pt;z-index:251659264;mso-width-relative:page;mso-height-relative:page;" coordorigin="4821,196352" coordsize="3730,5967" o:gfxdata="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&#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">
                <o:lock v:ext="edit" aspectratio="f"/>
                <v:shape id="文本框 35" o:spid="_x0000_s1026" o:spt="202" type="#_x0000_t202" style="position:absolute;left:4864;top:196352;height:547;width:3677;"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DA2A908">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前</w:t>
                        </w:r>
                        <w:r>
                          <w:rPr>
                            <w:rFonts w:ascii="Calibri" w:hAnsi="Calibri" w:eastAsia="宋体" w:cs="Calibri"/>
                            <w:bCs w:val="0"/>
                            <w:kern w:val="2"/>
                            <w:sz w:val="24"/>
                            <w:szCs w:val="24"/>
                          </w:rPr>
                          <w:t xml:space="preserve"> </w:t>
                        </w:r>
                        <w:r>
                          <w:rPr>
                            <w:rFonts w:hint="eastAsia" w:ascii="Calibri" w:hAnsi="Calibri" w:eastAsia="宋体" w:cs="宋体"/>
                            <w:bCs w:val="0"/>
                            <w:kern w:val="2"/>
                            <w:sz w:val="24"/>
                            <w:szCs w:val="24"/>
                          </w:rPr>
                          <w:t>期</w:t>
                        </w:r>
                        <w:r>
                          <w:rPr>
                            <w:rFonts w:ascii="Calibri" w:hAnsi="Calibri" w:eastAsia="宋体" w:cs="Calibri"/>
                            <w:bCs w:val="0"/>
                            <w:kern w:val="2"/>
                            <w:sz w:val="24"/>
                            <w:szCs w:val="24"/>
                          </w:rPr>
                          <w:t xml:space="preserve"> </w:t>
                        </w:r>
                        <w:r>
                          <w:rPr>
                            <w:rFonts w:hint="eastAsia" w:ascii="Calibri" w:hAnsi="Calibri" w:eastAsia="宋体" w:cs="宋体"/>
                            <w:bCs w:val="0"/>
                            <w:kern w:val="2"/>
                            <w:sz w:val="24"/>
                            <w:szCs w:val="24"/>
                          </w:rPr>
                          <w:t>准</w:t>
                        </w:r>
                        <w:r>
                          <w:rPr>
                            <w:rFonts w:ascii="Calibri" w:hAnsi="Calibri" w:eastAsia="宋体" w:cs="Calibri"/>
                            <w:bCs w:val="0"/>
                            <w:kern w:val="2"/>
                            <w:sz w:val="24"/>
                            <w:szCs w:val="24"/>
                          </w:rPr>
                          <w:t xml:space="preserve"> </w:t>
                        </w:r>
                        <w:r>
                          <w:rPr>
                            <w:rFonts w:hint="eastAsia" w:ascii="Calibri" w:hAnsi="Calibri" w:eastAsia="宋体" w:cs="宋体"/>
                            <w:bCs w:val="0"/>
                            <w:kern w:val="2"/>
                            <w:sz w:val="24"/>
                            <w:szCs w:val="24"/>
                          </w:rPr>
                          <w:t>备</w:t>
                        </w:r>
                      </w:p>
                    </w:txbxContent>
                  </v:textbox>
                </v:shape>
                <v:shape id="文本框 36" o:spid="_x0000_s1026" o:spt="202" type="#_x0000_t202" style="position:absolute;left:4875;top:197276;height:547;width:3677;"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F7A4FB4">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辨识与分析危险、有害因素</w:t>
                        </w:r>
                      </w:p>
                    </w:txbxContent>
                  </v:textbox>
                </v:shape>
                <v:shape id="文本框 37" o:spid="_x0000_s1026" o:spt="202" type="#_x0000_t202" style="position:absolute;left:4864;top:198187;height:547;width:3677;"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6C196B">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划分评价单元</w:t>
                        </w:r>
                      </w:p>
                    </w:txbxContent>
                  </v:textbox>
                </v:shape>
                <v:shape id="文本框 38" o:spid="_x0000_s1026" o:spt="202" type="#_x0000_t202" style="position:absolute;left:4842;top:199090;height:547;width:367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7634AEC">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定性、定量评价</w:t>
                        </w:r>
                      </w:p>
                    </w:txbxContent>
                  </v:textbox>
                </v:shape>
                <v:shape id="文本框 39" o:spid="_x0000_s1026" o:spt="202" type="#_x0000_t202" style="position:absolute;left:4821;top:199991;height:547;width:3677;"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63A67C">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提出安全对策措施建议</w:t>
                        </w:r>
                      </w:p>
                    </w:txbxContent>
                  </v:textbox>
                </v:shape>
                <v:shape id="文本框 40" o:spid="_x0000_s1026" o:spt="202" type="#_x0000_t202" style="position:absolute;left:4853;top:200892;height:547;width:3677;"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7C9DD99">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做出评价结论</w:t>
                        </w:r>
                      </w:p>
                    </w:txbxContent>
                  </v:textbox>
                </v:shape>
                <v:shape id="文本框 41" o:spid="_x0000_s1026" o:spt="202" type="#_x0000_t202" style="position:absolute;left:4843;top:201773;height:547;width:3677;"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8A5DDE">
                        <w:pPr>
                          <w:jc w:val="center"/>
                          <w:rPr>
                            <w:rFonts w:ascii="Calibri" w:hAnsi="Calibri" w:eastAsia="宋体" w:cs="Times New Roman"/>
                            <w:bCs w:val="0"/>
                            <w:kern w:val="2"/>
                            <w:sz w:val="24"/>
                            <w:szCs w:val="24"/>
                          </w:rPr>
                        </w:pPr>
                        <w:r>
                          <w:rPr>
                            <w:rFonts w:hint="eastAsia" w:ascii="Calibri" w:hAnsi="Calibri" w:eastAsia="宋体" w:cs="宋体"/>
                            <w:bCs w:val="0"/>
                            <w:kern w:val="2"/>
                            <w:sz w:val="24"/>
                            <w:szCs w:val="24"/>
                          </w:rPr>
                          <w:t>编制安全验收评价报告</w:t>
                        </w:r>
                      </w:p>
                    </w:txbxContent>
                  </v:textbox>
                </v:shape>
                <v:line id="直接连接符 42" o:spid="_x0000_s1026" o:spt="20" style="position:absolute;left:6715;top:196899;height:392;width:13;"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直接连接符 80" o:spid="_x0000_s1026" o:spt="20" style="position:absolute;left:6707;top:197803;flip:x;height:355;width:1;" filled="f" stroked="t" coordsize="21600,21600" o:gfxdata="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Ei6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1" o:spid="_x0000_s1026" o:spt="20" style="position:absolute;left:6722;top:198750;flip:x;height:355;width:1;" filled="f" stroked="t" coordsize="21600,21600" o:gfxdata="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La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2" o:spid="_x0000_s1026" o:spt="20" style="position:absolute;left:6727;top:199633;flip:x;height:355;width:1;" filled="f" stroked="t" coordsize="21600,21600" o:gfxdata="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3" o:spid="_x0000_s1026" o:spt="20" style="position:absolute;left:6731;top:200527;flip:x;height:355;width:1;" filled="f" stroked="t" coordsize="21600,21600" o:gfxdata="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s4Zu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4" o:spid="_x0000_s1026" o:spt="20" style="position:absolute;left:6714;top:201442;flip:x;height:355;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w:pict>
          </mc:Fallback>
        </mc:AlternateContent>
      </w:r>
    </w:p>
    <w:p w14:paraId="4EC4419E">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4B41B4EE">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00A736DC">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145D5834">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4D890F11">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7B08B412">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078600A9">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561DD7E9">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0A669B41">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40AB3319">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33AE0939">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44199675">
      <w:pPr>
        <w:widowControl w:val="0"/>
        <w:autoSpaceDE w:val="0"/>
        <w:autoSpaceDN w:val="0"/>
        <w:adjustRightInd w:val="0"/>
        <w:spacing w:line="360" w:lineRule="auto"/>
        <w:ind w:firstLine="454"/>
        <w:jc w:val="both"/>
        <w:rPr>
          <w:rFonts w:ascii="Times New Roman" w:hAnsi="Times New Roman" w:eastAsia="宋体" w:cs="Times New Roman"/>
          <w:color w:val="auto"/>
          <w:kern w:val="0"/>
          <w:sz w:val="24"/>
          <w:szCs w:val="24"/>
          <w:lang w:val="en-US" w:eastAsia="zh-CN" w:bidi="ar-SA"/>
        </w:rPr>
      </w:pPr>
    </w:p>
    <w:p w14:paraId="0D27DF97">
      <w:pPr>
        <w:jc w:val="center"/>
        <w:rPr>
          <w:rFonts w:ascii="Times New Roman" w:hAnsi="Times New Roman" w:eastAsia="宋体" w:cs="宋体"/>
          <w:b/>
          <w:bCs/>
          <w:color w:val="auto"/>
          <w:kern w:val="2"/>
          <w:sz w:val="28"/>
          <w:szCs w:val="28"/>
        </w:rPr>
      </w:pPr>
    </w:p>
    <w:p w14:paraId="259A396D">
      <w:pPr>
        <w:jc w:val="center"/>
        <w:rPr>
          <w:rFonts w:ascii="Times New Roman" w:hAnsi="Times New Roman" w:eastAsia="宋体" w:cs="Times New Roman"/>
          <w:b/>
          <w:bCs/>
          <w:color w:val="auto"/>
          <w:kern w:val="2"/>
          <w:sz w:val="28"/>
          <w:szCs w:val="28"/>
        </w:rPr>
      </w:pPr>
      <w:r>
        <w:rPr>
          <w:rFonts w:hint="eastAsia" w:ascii="Times New Roman" w:hAnsi="Times New Roman" w:eastAsia="宋体" w:cs="宋体"/>
          <w:b/>
          <w:bCs/>
          <w:color w:val="auto"/>
          <w:kern w:val="2"/>
          <w:sz w:val="28"/>
          <w:szCs w:val="28"/>
        </w:rPr>
        <w:t>图</w:t>
      </w:r>
      <w:r>
        <w:rPr>
          <w:rFonts w:ascii="Times New Roman" w:hAnsi="Times New Roman" w:eastAsia="宋体" w:cs="Times New Roman"/>
          <w:b/>
          <w:bCs/>
          <w:color w:val="auto"/>
          <w:kern w:val="2"/>
          <w:sz w:val="28"/>
          <w:szCs w:val="28"/>
        </w:rPr>
        <w:t xml:space="preserve">1.4-1 </w:t>
      </w:r>
      <w:r>
        <w:rPr>
          <w:rFonts w:hint="eastAsia" w:ascii="Times New Roman" w:hAnsi="Times New Roman" w:eastAsia="宋体" w:cs="宋体"/>
          <w:b/>
          <w:bCs/>
          <w:color w:val="auto"/>
          <w:kern w:val="2"/>
          <w:sz w:val="28"/>
          <w:szCs w:val="28"/>
        </w:rPr>
        <w:t>评价工作程序图</w:t>
      </w:r>
    </w:p>
    <w:p w14:paraId="5A6E6875">
      <w:pPr>
        <w:pageBreakBefore w:val="0"/>
        <w:widowControl w:val="0"/>
        <w:kinsoku/>
        <w:wordWrap/>
        <w:overflowPunct/>
        <w:topLinePunct w:val="0"/>
        <w:autoSpaceDE w:val="0"/>
        <w:autoSpaceDN w:val="0"/>
        <w:bidi w:val="0"/>
        <w:adjustRightInd w:val="0"/>
        <w:spacing w:line="580" w:lineRule="exact"/>
        <w:ind w:firstLine="0"/>
        <w:jc w:val="both"/>
        <w:textAlignment w:val="auto"/>
        <w:outlineLvl w:val="0"/>
        <w:rPr>
          <w:rFonts w:ascii="Times New Roman" w:hAnsi="Times New Roman" w:eastAsia="宋体" w:cs="宋体"/>
          <w:color w:val="auto"/>
          <w:kern w:val="0"/>
          <w:sz w:val="24"/>
          <w:szCs w:val="24"/>
          <w:lang w:val="en-US" w:eastAsia="zh-CN" w:bidi="ar-SA"/>
        </w:rPr>
      </w:pPr>
      <w:bookmarkStart w:id="20" w:name="_Toc343692243"/>
      <w:bookmarkStart w:id="21" w:name="_Toc22287"/>
      <w:bookmarkStart w:id="22" w:name="_Toc3289"/>
      <w:r>
        <w:rPr>
          <w:rFonts w:ascii="Times New Roman" w:hAnsi="Times New Roman" w:eastAsia="宋体" w:cs="Times New Roman"/>
          <w:b/>
          <w:bCs/>
          <w:color w:val="auto"/>
          <w:kern w:val="36"/>
          <w:sz w:val="28"/>
          <w:szCs w:val="28"/>
          <w:lang w:val="en-US" w:eastAsia="zh-CN" w:bidi="ar-SA"/>
        </w:rPr>
        <w:br w:type="page"/>
      </w:r>
      <w:bookmarkStart w:id="23" w:name="_Toc28665"/>
      <w:r>
        <w:rPr>
          <w:rFonts w:hint="eastAsia" w:ascii="Times New Roman" w:hAnsi="Times New Roman" w:eastAsia="宋体" w:cs="宋体"/>
          <w:b/>
          <w:bCs/>
          <w:color w:val="auto"/>
          <w:kern w:val="36"/>
          <w:sz w:val="32"/>
          <w:szCs w:val="32"/>
          <w:lang w:val="en-US" w:eastAsia="zh-CN" w:bidi="ar-SA"/>
        </w:rPr>
        <w:t>2 加油站概况</w:t>
      </w:r>
      <w:bookmarkEnd w:id="20"/>
      <w:bookmarkEnd w:id="21"/>
      <w:bookmarkEnd w:id="22"/>
      <w:bookmarkEnd w:id="23"/>
    </w:p>
    <w:p w14:paraId="4894874E">
      <w:pPr>
        <w:keepNext/>
        <w:keepLines/>
        <w:pageBreakBefore w:val="0"/>
        <w:widowControl w:val="0"/>
        <w:kinsoku/>
        <w:wordWrap/>
        <w:overflowPunct/>
        <w:topLinePunct w:val="0"/>
        <w:bidi w:val="0"/>
        <w:spacing w:line="580" w:lineRule="exact"/>
        <w:jc w:val="both"/>
        <w:textAlignment w:val="auto"/>
        <w:outlineLvl w:val="1"/>
        <w:rPr>
          <w:rFonts w:ascii="Times New Roman" w:hAnsi="Times New Roman" w:eastAsia="宋体" w:cs="Times New Roman"/>
          <w:b/>
          <w:bCs/>
          <w:color w:val="auto"/>
          <w:kern w:val="0"/>
          <w:sz w:val="28"/>
          <w:szCs w:val="28"/>
          <w:lang w:val="en-US" w:eastAsia="zh-CN" w:bidi="ar-SA"/>
        </w:rPr>
      </w:pPr>
      <w:bookmarkStart w:id="24" w:name="_Toc11122"/>
      <w:bookmarkStart w:id="25" w:name="_Toc14502"/>
      <w:bookmarkStart w:id="26" w:name="_Toc343692244"/>
      <w:r>
        <w:rPr>
          <w:rFonts w:ascii="Times New Roman" w:hAnsi="Times New Roman" w:eastAsia="宋体" w:cs="Times New Roman"/>
          <w:b/>
          <w:bCs/>
          <w:color w:val="auto"/>
          <w:kern w:val="0"/>
          <w:sz w:val="28"/>
          <w:szCs w:val="28"/>
          <w:lang w:val="en-US" w:eastAsia="zh-CN" w:bidi="ar-SA"/>
        </w:rPr>
        <w:t>2.1</w:t>
      </w:r>
      <w:r>
        <w:rPr>
          <w:rFonts w:hint="eastAsia" w:ascii="Times New Roman" w:hAnsi="Times New Roman" w:eastAsia="宋体" w:cs="宋体"/>
          <w:b/>
          <w:bCs/>
          <w:color w:val="auto"/>
          <w:kern w:val="0"/>
          <w:sz w:val="28"/>
          <w:szCs w:val="28"/>
          <w:lang w:val="en-US" w:eastAsia="zh-CN" w:bidi="ar-SA"/>
        </w:rPr>
        <w:t>建设项目基本情况</w:t>
      </w:r>
      <w:bookmarkEnd w:id="24"/>
    </w:p>
    <w:p w14:paraId="550526A7">
      <w:pPr>
        <w:keepNext/>
        <w:keepLines/>
        <w:pageBreakBefore w:val="0"/>
        <w:widowControl w:val="0"/>
        <w:kinsoku/>
        <w:wordWrap/>
        <w:overflowPunct/>
        <w:topLinePunct w:val="0"/>
        <w:bidi w:val="0"/>
        <w:snapToGrid w:val="0"/>
        <w:spacing w:line="580" w:lineRule="exact"/>
        <w:jc w:val="both"/>
        <w:textAlignment w:val="auto"/>
        <w:outlineLvl w:val="2"/>
        <w:rPr>
          <w:rFonts w:ascii="Times New Roman" w:hAnsi="Times New Roman" w:eastAsia="宋体" w:cs="Times New Roman"/>
          <w:b/>
          <w:bCs/>
          <w:color w:val="auto"/>
          <w:kern w:val="0"/>
          <w:sz w:val="28"/>
          <w:szCs w:val="28"/>
          <w:lang w:val="en-US" w:eastAsia="zh-CN" w:bidi="ar-SA"/>
        </w:rPr>
      </w:pPr>
      <w:r>
        <w:rPr>
          <w:rFonts w:ascii="Times New Roman" w:hAnsi="Times New Roman" w:eastAsia="宋体" w:cs="Times New Roman"/>
          <w:b/>
          <w:bCs/>
          <w:color w:val="auto"/>
          <w:kern w:val="0"/>
          <w:sz w:val="28"/>
          <w:szCs w:val="28"/>
          <w:lang w:val="en-US" w:eastAsia="zh-CN" w:bidi="ar-SA"/>
        </w:rPr>
        <w:t xml:space="preserve">2.1.1 </w:t>
      </w:r>
      <w:r>
        <w:rPr>
          <w:rFonts w:hint="eastAsia" w:ascii="Times New Roman" w:hAnsi="Times New Roman" w:eastAsia="宋体" w:cs="宋体"/>
          <w:b/>
          <w:bCs/>
          <w:color w:val="auto"/>
          <w:kern w:val="0"/>
          <w:sz w:val="28"/>
          <w:szCs w:val="28"/>
          <w:lang w:val="en-US" w:eastAsia="zh-CN" w:bidi="ar-SA"/>
        </w:rPr>
        <w:t>建设项目背景、组成</w:t>
      </w:r>
    </w:p>
    <w:p w14:paraId="2C06E275">
      <w:pPr>
        <w:pageBreakBefore w:val="0"/>
        <w:widowControl w:val="0"/>
        <w:kinsoku/>
        <w:wordWrap/>
        <w:overflowPunct/>
        <w:topLinePunct w:val="0"/>
        <w:bidi w:val="0"/>
        <w:spacing w:line="580" w:lineRule="exact"/>
        <w:ind w:firstLine="562" w:firstLineChars="200"/>
        <w:textAlignment w:val="auto"/>
        <w:rPr>
          <w:rFonts w:ascii="Times New Roman" w:hAnsi="Times New Roman" w:eastAsia="宋体" w:cs="Times New Roman"/>
          <w:b/>
          <w:bCs/>
          <w:color w:val="auto"/>
          <w:kern w:val="2"/>
          <w:sz w:val="28"/>
          <w:szCs w:val="28"/>
        </w:rPr>
      </w:pPr>
      <w:r>
        <w:rPr>
          <w:rFonts w:hint="eastAsia" w:ascii="Times New Roman" w:hAnsi="Times New Roman" w:eastAsia="宋体" w:cs="Times New Roman"/>
          <w:b/>
          <w:bCs/>
          <w:color w:val="auto"/>
          <w:kern w:val="2"/>
          <w:sz w:val="28"/>
          <w:szCs w:val="28"/>
        </w:rPr>
        <w:t>项目背景</w:t>
      </w:r>
    </w:p>
    <w:p w14:paraId="6DC7200A">
      <w:pPr>
        <w:pageBreakBefore w:val="0"/>
        <w:widowControl w:val="0"/>
        <w:kinsoku/>
        <w:wordWrap/>
        <w:overflowPunct/>
        <w:topLinePunct w:val="0"/>
        <w:bidi w:val="0"/>
        <w:spacing w:line="580" w:lineRule="exact"/>
        <w:ind w:firstLine="536" w:firstLineChars="200"/>
        <w:textAlignment w:val="auto"/>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spacing w:val="-6"/>
          <w:kern w:val="2"/>
          <w:sz w:val="28"/>
          <w:szCs w:val="28"/>
        </w:rPr>
        <w:t>中国石化销售股份有限公司</w:t>
      </w:r>
      <w:r>
        <w:rPr>
          <w:rFonts w:hint="eastAsia" w:ascii="Times New Roman" w:hAnsi="Times New Roman" w:eastAsia="宋体" w:cs="Times New Roman"/>
          <w:bCs w:val="0"/>
          <w:color w:val="auto"/>
          <w:spacing w:val="-6"/>
          <w:kern w:val="2"/>
          <w:sz w:val="28"/>
          <w:szCs w:val="28"/>
          <w:lang w:eastAsia="zh-CN"/>
        </w:rPr>
        <w:t>江西赣州兴国石油分公司南坑加油站</w:t>
      </w:r>
      <w:r>
        <w:rPr>
          <w:rFonts w:ascii="Times New Roman" w:hAnsi="Times New Roman" w:eastAsia="宋体" w:cs="Times New Roman"/>
          <w:bCs w:val="0"/>
          <w:color w:val="auto"/>
          <w:spacing w:val="-6"/>
          <w:kern w:val="2"/>
          <w:sz w:val="28"/>
          <w:szCs w:val="28"/>
        </w:rPr>
        <w:t>（以下简称</w:t>
      </w:r>
      <w:r>
        <w:rPr>
          <w:rFonts w:hint="eastAsia" w:ascii="Times New Roman" w:hAnsi="Times New Roman" w:eastAsia="宋体" w:cs="Times New Roman"/>
          <w:bCs w:val="0"/>
          <w:color w:val="auto"/>
          <w:spacing w:val="-6"/>
          <w:kern w:val="2"/>
          <w:sz w:val="28"/>
          <w:szCs w:val="28"/>
        </w:rPr>
        <w:t>“</w:t>
      </w:r>
      <w:r>
        <w:rPr>
          <w:rFonts w:hint="eastAsia" w:ascii="Times New Roman" w:hAnsi="Times New Roman" w:eastAsia="宋体" w:cs="Times New Roman"/>
          <w:bCs w:val="0"/>
          <w:color w:val="auto"/>
          <w:spacing w:val="-6"/>
          <w:kern w:val="2"/>
          <w:sz w:val="28"/>
          <w:szCs w:val="28"/>
          <w:lang w:val="en-US" w:eastAsia="zh-CN"/>
        </w:rPr>
        <w:t>该加油站</w:t>
      </w:r>
      <w:r>
        <w:rPr>
          <w:rFonts w:hint="eastAsia" w:ascii="Times New Roman" w:hAnsi="Times New Roman" w:eastAsia="宋体" w:cs="Times New Roman"/>
          <w:bCs w:val="0"/>
          <w:color w:val="auto"/>
          <w:spacing w:val="-6"/>
          <w:kern w:val="2"/>
          <w:sz w:val="28"/>
          <w:szCs w:val="28"/>
        </w:rPr>
        <w:t>”</w:t>
      </w:r>
      <w:r>
        <w:rPr>
          <w:rFonts w:ascii="Times New Roman" w:hAnsi="Times New Roman" w:eastAsia="宋体" w:cs="Times New Roman"/>
          <w:bCs w:val="0"/>
          <w:color w:val="auto"/>
          <w:spacing w:val="-6"/>
          <w:kern w:val="2"/>
          <w:sz w:val="28"/>
          <w:szCs w:val="28"/>
        </w:rPr>
        <w:t>）成立时间为</w:t>
      </w:r>
      <w:r>
        <w:rPr>
          <w:rFonts w:hint="eastAsia" w:ascii="Times New Roman" w:hAnsi="Times New Roman" w:eastAsia="宋体" w:cs="Times New Roman"/>
          <w:bCs w:val="0"/>
          <w:color w:val="auto"/>
          <w:spacing w:val="-6"/>
          <w:kern w:val="2"/>
          <w:sz w:val="28"/>
          <w:szCs w:val="28"/>
          <w:lang w:val="en-US" w:eastAsia="zh-CN"/>
        </w:rPr>
        <w:t>2004</w:t>
      </w:r>
      <w:r>
        <w:rPr>
          <w:rFonts w:hint="eastAsia" w:ascii="Times New Roman" w:hAnsi="Times New Roman" w:eastAsia="宋体" w:cs="Times New Roman"/>
          <w:bCs w:val="0"/>
          <w:color w:val="auto"/>
          <w:spacing w:val="-6"/>
          <w:kern w:val="2"/>
          <w:sz w:val="28"/>
          <w:szCs w:val="28"/>
        </w:rPr>
        <w:t>年0</w:t>
      </w:r>
      <w:r>
        <w:rPr>
          <w:rFonts w:hint="eastAsia" w:ascii="Times New Roman" w:hAnsi="Times New Roman" w:eastAsia="宋体" w:cs="Times New Roman"/>
          <w:bCs w:val="0"/>
          <w:color w:val="auto"/>
          <w:spacing w:val="-6"/>
          <w:kern w:val="2"/>
          <w:sz w:val="28"/>
          <w:szCs w:val="28"/>
          <w:lang w:val="en-US" w:eastAsia="zh-CN"/>
        </w:rPr>
        <w:t>7</w:t>
      </w:r>
      <w:r>
        <w:rPr>
          <w:rFonts w:hint="eastAsia" w:ascii="Times New Roman" w:hAnsi="Times New Roman" w:eastAsia="宋体" w:cs="Times New Roman"/>
          <w:bCs w:val="0"/>
          <w:color w:val="auto"/>
          <w:spacing w:val="-6"/>
          <w:kern w:val="2"/>
          <w:sz w:val="28"/>
          <w:szCs w:val="28"/>
        </w:rPr>
        <w:t>月</w:t>
      </w:r>
      <w:r>
        <w:rPr>
          <w:rFonts w:hint="eastAsia" w:ascii="Times New Roman" w:hAnsi="Times New Roman" w:eastAsia="宋体" w:cs="Times New Roman"/>
          <w:bCs w:val="0"/>
          <w:color w:val="auto"/>
          <w:spacing w:val="-6"/>
          <w:kern w:val="2"/>
          <w:sz w:val="28"/>
          <w:szCs w:val="28"/>
          <w:lang w:val="en-US" w:eastAsia="zh-CN"/>
        </w:rPr>
        <w:t>01</w:t>
      </w:r>
      <w:r>
        <w:rPr>
          <w:rFonts w:hint="eastAsia" w:ascii="Times New Roman" w:hAnsi="Times New Roman" w:eastAsia="宋体" w:cs="Times New Roman"/>
          <w:bCs w:val="0"/>
          <w:color w:val="auto"/>
          <w:spacing w:val="-6"/>
          <w:kern w:val="2"/>
          <w:sz w:val="28"/>
          <w:szCs w:val="28"/>
        </w:rPr>
        <w:t>日</w:t>
      </w:r>
      <w:r>
        <w:rPr>
          <w:rFonts w:ascii="Times New Roman" w:hAnsi="Times New Roman" w:eastAsia="宋体" w:cs="Times New Roman"/>
          <w:bCs w:val="0"/>
          <w:color w:val="auto"/>
          <w:spacing w:val="-6"/>
          <w:kern w:val="2"/>
          <w:sz w:val="28"/>
          <w:szCs w:val="28"/>
        </w:rPr>
        <w:t>，位于</w:t>
      </w:r>
      <w:r>
        <w:rPr>
          <w:rFonts w:hint="eastAsia" w:ascii="Times New Roman" w:hAnsi="Times New Roman" w:eastAsia="宋体" w:cs="Times New Roman"/>
          <w:bCs w:val="0"/>
          <w:color w:val="auto"/>
          <w:spacing w:val="-6"/>
          <w:kern w:val="2"/>
          <w:sz w:val="28"/>
          <w:szCs w:val="28"/>
          <w:lang w:eastAsia="zh-CN"/>
        </w:rPr>
        <w:t>江西省赣州市兴国县南坑乡</w:t>
      </w:r>
      <w:r>
        <w:rPr>
          <w:rFonts w:ascii="Times New Roman" w:hAnsi="Times New Roman" w:eastAsia="宋体" w:cs="Times New Roman"/>
          <w:bCs w:val="0"/>
          <w:color w:val="auto"/>
          <w:spacing w:val="-6"/>
          <w:kern w:val="2"/>
          <w:sz w:val="28"/>
          <w:szCs w:val="28"/>
        </w:rPr>
        <w:t>，是从事成品油零售经营的企业，主要经营汽油、柴油。站内建筑、设备为自有，</w:t>
      </w:r>
      <w:r>
        <w:rPr>
          <w:rFonts w:hint="eastAsia" w:ascii="Times New Roman" w:hAnsi="Times New Roman" w:eastAsia="宋体" w:cs="Times New Roman"/>
          <w:bCs w:val="0"/>
          <w:color w:val="auto"/>
          <w:spacing w:val="-6"/>
          <w:kern w:val="2"/>
          <w:sz w:val="28"/>
          <w:szCs w:val="28"/>
          <w:lang w:val="en-US" w:eastAsia="zh-CN"/>
        </w:rPr>
        <w:t>经营场所（土地产权）为租赁，</w:t>
      </w:r>
      <w:r>
        <w:rPr>
          <w:rFonts w:ascii="Times New Roman" w:hAnsi="Times New Roman" w:eastAsia="宋体" w:cs="Times New Roman"/>
          <w:bCs w:val="0"/>
          <w:color w:val="auto"/>
          <w:spacing w:val="-6"/>
          <w:kern w:val="2"/>
          <w:sz w:val="28"/>
          <w:szCs w:val="28"/>
        </w:rPr>
        <w:t>设有</w:t>
      </w:r>
      <w:r>
        <w:rPr>
          <w:rFonts w:hint="eastAsia" w:ascii="Times New Roman" w:hAnsi="Times New Roman" w:eastAsia="宋体" w:cs="Times New Roman"/>
          <w:bCs w:val="0"/>
          <w:color w:val="auto"/>
          <w:spacing w:val="-6"/>
          <w:kern w:val="2"/>
          <w:sz w:val="28"/>
          <w:szCs w:val="28"/>
          <w:lang w:val="en-US" w:eastAsia="zh-CN"/>
        </w:rPr>
        <w:t>2</w:t>
      </w:r>
      <w:r>
        <w:rPr>
          <w:rFonts w:ascii="Times New Roman" w:hAnsi="Times New Roman" w:eastAsia="宋体" w:cs="Times New Roman"/>
          <w:bCs w:val="0"/>
          <w:color w:val="auto"/>
          <w:spacing w:val="-6"/>
          <w:kern w:val="2"/>
          <w:sz w:val="28"/>
          <w:szCs w:val="28"/>
        </w:rPr>
        <w:t>个</w:t>
      </w:r>
      <w:r>
        <w:rPr>
          <w:rFonts w:hint="eastAsia" w:ascii="Times New Roman" w:hAnsi="Times New Roman" w:eastAsia="宋体" w:cs="Times New Roman"/>
          <w:bCs w:val="0"/>
          <w:color w:val="auto"/>
          <w:spacing w:val="-6"/>
          <w:kern w:val="2"/>
          <w:sz w:val="28"/>
          <w:szCs w:val="28"/>
          <w:lang w:val="en-US" w:eastAsia="zh-CN"/>
        </w:rPr>
        <w:t>双层油罐</w:t>
      </w:r>
      <w:r>
        <w:rPr>
          <w:rFonts w:ascii="Times New Roman" w:hAnsi="Times New Roman" w:eastAsia="宋体" w:cs="Times New Roman"/>
          <w:bCs w:val="0"/>
          <w:color w:val="auto"/>
          <w:spacing w:val="-6"/>
          <w:kern w:val="2"/>
          <w:sz w:val="28"/>
          <w:szCs w:val="28"/>
        </w:rPr>
        <w:t>，其中</w:t>
      </w:r>
      <w:r>
        <w:rPr>
          <w:rFonts w:hint="eastAsia" w:ascii="Times New Roman" w:hAnsi="Times New Roman" w:eastAsia="宋体" w:cs="Times New Roman"/>
          <w:bCs w:val="0"/>
          <w:color w:val="auto"/>
          <w:spacing w:val="-6"/>
          <w:kern w:val="2"/>
          <w:sz w:val="28"/>
          <w:szCs w:val="28"/>
          <w:lang w:val="en-US" w:eastAsia="zh-CN"/>
        </w:rPr>
        <w:t>3</w:t>
      </w:r>
      <w:r>
        <w:rPr>
          <w:rFonts w:ascii="Times New Roman" w:hAnsi="Times New Roman" w:eastAsia="宋体" w:cs="Times New Roman"/>
          <w:bCs w:val="0"/>
          <w:color w:val="auto"/>
          <w:spacing w:val="-6"/>
          <w:kern w:val="2"/>
          <w:sz w:val="28"/>
          <w:szCs w:val="28"/>
        </w:rPr>
        <w:t>0m</w:t>
      </w:r>
      <w:r>
        <w:rPr>
          <w:rFonts w:ascii="Times New Roman" w:hAnsi="Times New Roman" w:eastAsia="宋体" w:cs="Times New Roman"/>
          <w:bCs w:val="0"/>
          <w:color w:val="auto"/>
          <w:spacing w:val="-6"/>
          <w:kern w:val="2"/>
          <w:sz w:val="28"/>
          <w:szCs w:val="28"/>
          <w:vertAlign w:val="superscript"/>
        </w:rPr>
        <w:t>3</w:t>
      </w:r>
      <w:r>
        <w:rPr>
          <w:rFonts w:ascii="Times New Roman" w:hAnsi="Times New Roman" w:eastAsia="宋体" w:cs="Times New Roman"/>
          <w:bCs w:val="0"/>
          <w:color w:val="auto"/>
          <w:spacing w:val="-6"/>
          <w:kern w:val="2"/>
          <w:sz w:val="28"/>
          <w:szCs w:val="28"/>
        </w:rPr>
        <w:t>的9</w:t>
      </w:r>
      <w:r>
        <w:rPr>
          <w:rFonts w:hint="eastAsia" w:ascii="Times New Roman" w:hAnsi="Times New Roman" w:eastAsia="宋体" w:cs="Times New Roman"/>
          <w:bCs w:val="0"/>
          <w:color w:val="auto"/>
          <w:spacing w:val="-6"/>
          <w:kern w:val="2"/>
          <w:sz w:val="28"/>
          <w:szCs w:val="28"/>
          <w:lang w:val="en-US" w:eastAsia="zh-CN"/>
        </w:rPr>
        <w:t>2</w:t>
      </w:r>
      <w:r>
        <w:rPr>
          <w:rFonts w:ascii="Times New Roman" w:hAnsi="Times New Roman" w:eastAsia="宋体" w:cs="Times New Roman"/>
          <w:bCs w:val="0"/>
          <w:color w:val="auto"/>
          <w:spacing w:val="-6"/>
          <w:kern w:val="2"/>
          <w:sz w:val="28"/>
          <w:szCs w:val="28"/>
        </w:rPr>
        <w:t>#汽油储罐1个，</w:t>
      </w:r>
      <w:r>
        <w:rPr>
          <w:rFonts w:hint="eastAsia" w:ascii="Times New Roman" w:hAnsi="Times New Roman" w:eastAsia="宋体" w:cs="Times New Roman"/>
          <w:bCs w:val="0"/>
          <w:color w:val="auto"/>
          <w:spacing w:val="-6"/>
          <w:kern w:val="2"/>
          <w:sz w:val="28"/>
          <w:szCs w:val="28"/>
          <w:lang w:val="en-US" w:eastAsia="zh-CN"/>
        </w:rPr>
        <w:t>3</w:t>
      </w:r>
      <w:r>
        <w:rPr>
          <w:rFonts w:ascii="Times New Roman" w:hAnsi="Times New Roman" w:eastAsia="宋体" w:cs="Times New Roman"/>
          <w:bCs w:val="0"/>
          <w:color w:val="auto"/>
          <w:spacing w:val="-6"/>
          <w:kern w:val="2"/>
          <w:sz w:val="28"/>
          <w:szCs w:val="28"/>
        </w:rPr>
        <w:t>0m</w:t>
      </w:r>
      <w:r>
        <w:rPr>
          <w:rFonts w:ascii="Times New Roman" w:hAnsi="Times New Roman" w:eastAsia="宋体" w:cs="Times New Roman"/>
          <w:bCs w:val="0"/>
          <w:color w:val="auto"/>
          <w:spacing w:val="-6"/>
          <w:kern w:val="2"/>
          <w:sz w:val="28"/>
          <w:szCs w:val="28"/>
          <w:vertAlign w:val="superscript"/>
        </w:rPr>
        <w:t>3</w:t>
      </w:r>
      <w:r>
        <w:rPr>
          <w:rFonts w:ascii="Times New Roman" w:hAnsi="Times New Roman" w:eastAsia="宋体" w:cs="Times New Roman"/>
          <w:bCs w:val="0"/>
          <w:color w:val="auto"/>
          <w:spacing w:val="-6"/>
          <w:kern w:val="2"/>
          <w:sz w:val="28"/>
          <w:szCs w:val="28"/>
        </w:rPr>
        <w:t>的0#柴油储罐1个，总容积为</w:t>
      </w:r>
      <w:r>
        <w:rPr>
          <w:rFonts w:hint="eastAsia" w:ascii="Times New Roman" w:hAnsi="Times New Roman" w:eastAsia="宋体" w:cs="Times New Roman"/>
          <w:bCs w:val="0"/>
          <w:color w:val="auto"/>
          <w:spacing w:val="-6"/>
          <w:kern w:val="2"/>
          <w:sz w:val="28"/>
          <w:szCs w:val="28"/>
          <w:lang w:val="en-US" w:eastAsia="zh-CN"/>
        </w:rPr>
        <w:t>60</w:t>
      </w:r>
      <w:r>
        <w:rPr>
          <w:rFonts w:ascii="Times New Roman" w:hAnsi="Times New Roman" w:eastAsia="宋体" w:cs="Times New Roman"/>
          <w:bCs w:val="0"/>
          <w:color w:val="auto"/>
          <w:spacing w:val="-6"/>
          <w:kern w:val="2"/>
          <w:sz w:val="28"/>
          <w:szCs w:val="28"/>
        </w:rPr>
        <w:t>m</w:t>
      </w:r>
      <w:r>
        <w:rPr>
          <w:rFonts w:ascii="Times New Roman" w:hAnsi="Times New Roman" w:eastAsia="宋体" w:cs="Times New Roman"/>
          <w:bCs w:val="0"/>
          <w:color w:val="auto"/>
          <w:spacing w:val="-6"/>
          <w:kern w:val="2"/>
          <w:sz w:val="28"/>
          <w:szCs w:val="28"/>
          <w:vertAlign w:val="superscript"/>
        </w:rPr>
        <w:t>3</w:t>
      </w:r>
      <w:r>
        <w:rPr>
          <w:rFonts w:ascii="Times New Roman" w:hAnsi="Times New Roman" w:eastAsia="宋体" w:cs="Times New Roman"/>
          <w:bCs w:val="0"/>
          <w:color w:val="auto"/>
          <w:spacing w:val="-6"/>
          <w:kern w:val="2"/>
          <w:sz w:val="28"/>
          <w:szCs w:val="28"/>
        </w:rPr>
        <w:t>，折算后容积（柴油折半）为</w:t>
      </w:r>
      <w:r>
        <w:rPr>
          <w:rFonts w:hint="eastAsia" w:ascii="Times New Roman" w:hAnsi="Times New Roman" w:eastAsia="宋体" w:cs="Times New Roman"/>
          <w:bCs w:val="0"/>
          <w:color w:val="auto"/>
          <w:spacing w:val="-6"/>
          <w:kern w:val="2"/>
          <w:sz w:val="28"/>
          <w:szCs w:val="28"/>
          <w:lang w:val="en-US" w:eastAsia="zh-CN"/>
        </w:rPr>
        <w:t>45</w:t>
      </w:r>
      <w:r>
        <w:rPr>
          <w:rFonts w:ascii="Times New Roman" w:hAnsi="Times New Roman" w:eastAsia="宋体" w:cs="Times New Roman"/>
          <w:bCs w:val="0"/>
          <w:color w:val="auto"/>
          <w:spacing w:val="-6"/>
          <w:kern w:val="2"/>
          <w:sz w:val="28"/>
          <w:szCs w:val="28"/>
        </w:rPr>
        <w:t>m</w:t>
      </w:r>
      <w:r>
        <w:rPr>
          <w:rFonts w:ascii="Times New Roman" w:hAnsi="Times New Roman" w:eastAsia="宋体" w:cs="Times New Roman"/>
          <w:bCs w:val="0"/>
          <w:color w:val="auto"/>
          <w:spacing w:val="-6"/>
          <w:kern w:val="2"/>
          <w:sz w:val="28"/>
          <w:szCs w:val="28"/>
          <w:vertAlign w:val="superscript"/>
        </w:rPr>
        <w:t>3</w:t>
      </w:r>
      <w:r>
        <w:rPr>
          <w:rFonts w:ascii="Times New Roman" w:hAnsi="Times New Roman" w:eastAsia="宋体" w:cs="Times New Roman"/>
          <w:bCs w:val="0"/>
          <w:color w:val="auto"/>
          <w:spacing w:val="-6"/>
          <w:kern w:val="2"/>
          <w:sz w:val="28"/>
          <w:szCs w:val="28"/>
        </w:rPr>
        <w:t>，为</w:t>
      </w:r>
      <w:r>
        <w:rPr>
          <w:rFonts w:hint="eastAsia" w:ascii="Times New Roman" w:hAnsi="Times New Roman" w:eastAsia="宋体" w:cs="Times New Roman"/>
          <w:bCs w:val="0"/>
          <w:color w:val="auto"/>
          <w:spacing w:val="-6"/>
          <w:kern w:val="2"/>
          <w:sz w:val="28"/>
          <w:szCs w:val="28"/>
          <w:lang w:val="en-US" w:eastAsia="zh-CN"/>
        </w:rPr>
        <w:t>三级加油站</w:t>
      </w:r>
      <w:r>
        <w:rPr>
          <w:rFonts w:ascii="Times New Roman" w:hAnsi="Times New Roman" w:eastAsia="宋体" w:cs="Times New Roman"/>
          <w:bCs w:val="0"/>
          <w:color w:val="auto"/>
          <w:spacing w:val="-6"/>
          <w:kern w:val="2"/>
          <w:sz w:val="28"/>
          <w:szCs w:val="28"/>
        </w:rPr>
        <w:t>。该站于</w:t>
      </w:r>
      <w:r>
        <w:rPr>
          <w:rFonts w:hint="eastAsia" w:ascii="Times New Roman" w:hAnsi="Times New Roman" w:eastAsia="宋体" w:cs="Times New Roman"/>
          <w:bCs w:val="0"/>
          <w:color w:val="auto"/>
          <w:spacing w:val="-6"/>
          <w:kern w:val="2"/>
          <w:sz w:val="28"/>
          <w:szCs w:val="28"/>
          <w:lang w:eastAsia="zh-CN"/>
        </w:rPr>
        <w:t>2023年</w:t>
      </w:r>
      <w:r>
        <w:rPr>
          <w:rFonts w:hint="eastAsia" w:ascii="Times New Roman" w:hAnsi="Times New Roman" w:eastAsia="宋体" w:cs="Times New Roman"/>
          <w:bCs w:val="0"/>
          <w:color w:val="auto"/>
          <w:spacing w:val="-6"/>
          <w:kern w:val="2"/>
          <w:sz w:val="28"/>
          <w:szCs w:val="28"/>
          <w:lang w:val="en-US" w:eastAsia="zh-CN"/>
        </w:rPr>
        <w:t>5</w:t>
      </w:r>
      <w:r>
        <w:rPr>
          <w:rFonts w:hint="eastAsia" w:ascii="Times New Roman" w:hAnsi="Times New Roman" w:eastAsia="宋体" w:cs="Times New Roman"/>
          <w:bCs w:val="0"/>
          <w:color w:val="auto"/>
          <w:spacing w:val="-6"/>
          <w:kern w:val="2"/>
          <w:sz w:val="28"/>
          <w:szCs w:val="28"/>
          <w:lang w:eastAsia="zh-CN"/>
        </w:rPr>
        <w:t>月</w:t>
      </w:r>
      <w:r>
        <w:rPr>
          <w:rFonts w:hint="eastAsia" w:ascii="Times New Roman" w:hAnsi="Times New Roman" w:eastAsia="宋体" w:cs="Times New Roman"/>
          <w:bCs w:val="0"/>
          <w:color w:val="auto"/>
          <w:spacing w:val="-6"/>
          <w:kern w:val="2"/>
          <w:sz w:val="28"/>
          <w:szCs w:val="28"/>
          <w:lang w:val="en-US" w:eastAsia="zh-CN"/>
        </w:rPr>
        <w:t>17</w:t>
      </w:r>
      <w:r>
        <w:rPr>
          <w:rFonts w:hint="eastAsia" w:ascii="Times New Roman" w:hAnsi="Times New Roman" w:eastAsia="宋体" w:cs="Times New Roman"/>
          <w:bCs w:val="0"/>
          <w:color w:val="auto"/>
          <w:spacing w:val="-6"/>
          <w:kern w:val="2"/>
          <w:sz w:val="28"/>
          <w:szCs w:val="28"/>
          <w:lang w:eastAsia="zh-CN"/>
        </w:rPr>
        <w:t>日换发取得《危险化学品经营许可证》</w:t>
      </w:r>
      <w:r>
        <w:rPr>
          <w:rFonts w:ascii="Times New Roman" w:hAnsi="Times New Roman" w:eastAsia="宋体" w:cs="Times New Roman"/>
          <w:bCs w:val="0"/>
          <w:color w:val="auto"/>
          <w:spacing w:val="-6"/>
          <w:kern w:val="2"/>
          <w:sz w:val="28"/>
          <w:szCs w:val="28"/>
        </w:rPr>
        <w:t>，证号：</w:t>
      </w:r>
      <w:r>
        <w:rPr>
          <w:rFonts w:hint="eastAsia" w:ascii="Times New Roman" w:hAnsi="Times New Roman" w:eastAsia="宋体" w:cs="Times New Roman"/>
          <w:bCs w:val="0"/>
          <w:color w:val="auto"/>
          <w:spacing w:val="-6"/>
          <w:kern w:val="2"/>
          <w:sz w:val="28"/>
          <w:szCs w:val="28"/>
          <w:lang w:eastAsia="zh-CN"/>
        </w:rPr>
        <w:t>（赣）36073213202300017</w:t>
      </w:r>
      <w:r>
        <w:rPr>
          <w:rFonts w:ascii="Times New Roman" w:hAnsi="Times New Roman" w:eastAsia="宋体" w:cs="Times New Roman"/>
          <w:bCs w:val="0"/>
          <w:color w:val="auto"/>
          <w:spacing w:val="-6"/>
          <w:kern w:val="2"/>
          <w:sz w:val="28"/>
          <w:szCs w:val="28"/>
        </w:rPr>
        <w:t>，有效期延续至</w:t>
      </w:r>
      <w:r>
        <w:rPr>
          <w:rFonts w:hint="eastAsia" w:ascii="Times New Roman" w:hAnsi="Times New Roman" w:eastAsia="宋体" w:cs="Times New Roman"/>
          <w:bCs w:val="0"/>
          <w:color w:val="auto"/>
          <w:spacing w:val="-6"/>
          <w:kern w:val="2"/>
          <w:sz w:val="28"/>
          <w:szCs w:val="28"/>
          <w:lang w:eastAsia="zh-CN"/>
        </w:rPr>
        <w:t>2026年</w:t>
      </w:r>
      <w:r>
        <w:rPr>
          <w:rFonts w:hint="eastAsia" w:ascii="Times New Roman" w:hAnsi="Times New Roman" w:eastAsia="宋体" w:cs="Times New Roman"/>
          <w:bCs w:val="0"/>
          <w:color w:val="auto"/>
          <w:spacing w:val="-6"/>
          <w:kern w:val="2"/>
          <w:sz w:val="28"/>
          <w:szCs w:val="28"/>
          <w:lang w:val="en-US" w:eastAsia="zh-CN"/>
        </w:rPr>
        <w:t>5</w:t>
      </w:r>
      <w:r>
        <w:rPr>
          <w:rFonts w:hint="eastAsia" w:ascii="Times New Roman" w:hAnsi="Times New Roman" w:eastAsia="宋体" w:cs="Times New Roman"/>
          <w:bCs w:val="0"/>
          <w:color w:val="auto"/>
          <w:spacing w:val="-6"/>
          <w:kern w:val="2"/>
          <w:sz w:val="28"/>
          <w:szCs w:val="28"/>
          <w:lang w:eastAsia="zh-CN"/>
        </w:rPr>
        <w:t>月</w:t>
      </w:r>
      <w:r>
        <w:rPr>
          <w:rFonts w:hint="eastAsia" w:ascii="Times New Roman" w:hAnsi="Times New Roman" w:eastAsia="宋体" w:cs="Times New Roman"/>
          <w:bCs w:val="0"/>
          <w:color w:val="auto"/>
          <w:spacing w:val="-6"/>
          <w:kern w:val="2"/>
          <w:sz w:val="28"/>
          <w:szCs w:val="28"/>
          <w:lang w:val="en-US" w:eastAsia="zh-CN"/>
        </w:rPr>
        <w:t>16</w:t>
      </w:r>
      <w:r>
        <w:rPr>
          <w:rFonts w:hint="eastAsia" w:ascii="Times New Roman" w:hAnsi="Times New Roman" w:eastAsia="宋体" w:cs="Times New Roman"/>
          <w:bCs w:val="0"/>
          <w:color w:val="auto"/>
          <w:spacing w:val="-6"/>
          <w:kern w:val="2"/>
          <w:sz w:val="28"/>
          <w:szCs w:val="28"/>
          <w:lang w:eastAsia="zh-CN"/>
        </w:rPr>
        <w:t>日</w:t>
      </w:r>
      <w:r>
        <w:rPr>
          <w:rFonts w:ascii="Times New Roman" w:hAnsi="Times New Roman" w:eastAsia="宋体" w:cs="Times New Roman"/>
          <w:bCs w:val="0"/>
          <w:color w:val="auto"/>
          <w:spacing w:val="-6"/>
          <w:kern w:val="2"/>
          <w:sz w:val="28"/>
          <w:szCs w:val="28"/>
        </w:rPr>
        <w:t>，许可经营范围为汽油、柴油，经营方式为</w:t>
      </w:r>
      <w:r>
        <w:rPr>
          <w:rFonts w:hint="eastAsia" w:ascii="Times New Roman" w:hAnsi="Times New Roman" w:eastAsia="宋体" w:cs="Times New Roman"/>
          <w:bCs w:val="0"/>
          <w:color w:val="auto"/>
          <w:spacing w:val="-6"/>
          <w:kern w:val="2"/>
          <w:sz w:val="28"/>
          <w:szCs w:val="28"/>
        </w:rPr>
        <w:t>零售。</w:t>
      </w:r>
    </w:p>
    <w:p w14:paraId="394DFC29">
      <w:pPr>
        <w:pageBreakBefore w:val="0"/>
        <w:widowControl w:val="0"/>
        <w:kinsoku/>
        <w:wordWrap/>
        <w:overflowPunct/>
        <w:topLinePunct w:val="0"/>
        <w:bidi w:val="0"/>
        <w:spacing w:line="580" w:lineRule="exact"/>
        <w:ind w:firstLine="536" w:firstLineChars="200"/>
        <w:textAlignment w:val="auto"/>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spacing w:val="-6"/>
          <w:kern w:val="2"/>
          <w:sz w:val="28"/>
          <w:szCs w:val="28"/>
        </w:rPr>
        <w:t>加油站经营多年，部分设施与原设计或与现状存在出入，有的资料也缺失，加油站为了加强安全管理，隐患排查，补齐资料，于202</w:t>
      </w:r>
      <w:r>
        <w:rPr>
          <w:rFonts w:hint="eastAsia" w:ascii="Times New Roman" w:hAnsi="Times New Roman" w:eastAsia="宋体" w:cs="宋体"/>
          <w:bCs w:val="0"/>
          <w:color w:val="auto"/>
          <w:spacing w:val="-6"/>
          <w:kern w:val="2"/>
          <w:sz w:val="28"/>
          <w:szCs w:val="28"/>
          <w:lang w:val="en-US" w:eastAsia="zh-CN"/>
        </w:rPr>
        <w:t>6</w:t>
      </w:r>
      <w:r>
        <w:rPr>
          <w:rFonts w:hint="eastAsia" w:ascii="Times New Roman" w:hAnsi="Times New Roman" w:eastAsia="宋体" w:cs="宋体"/>
          <w:bCs w:val="0"/>
          <w:color w:val="auto"/>
          <w:spacing w:val="-6"/>
          <w:kern w:val="2"/>
          <w:sz w:val="28"/>
          <w:szCs w:val="28"/>
        </w:rPr>
        <w:t>年</w:t>
      </w:r>
      <w:r>
        <w:rPr>
          <w:rFonts w:hint="eastAsia" w:ascii="Times New Roman" w:hAnsi="Times New Roman" w:eastAsia="宋体" w:cs="宋体"/>
          <w:bCs w:val="0"/>
          <w:color w:val="auto"/>
          <w:spacing w:val="-6"/>
          <w:kern w:val="2"/>
          <w:sz w:val="28"/>
          <w:szCs w:val="28"/>
          <w:lang w:val="en-US" w:eastAsia="zh-CN"/>
        </w:rPr>
        <w:t>5</w:t>
      </w:r>
      <w:r>
        <w:rPr>
          <w:rFonts w:hint="eastAsia" w:ascii="Times New Roman" w:hAnsi="Times New Roman" w:eastAsia="宋体" w:cs="宋体"/>
          <w:bCs w:val="0"/>
          <w:color w:val="auto"/>
          <w:spacing w:val="-6"/>
          <w:kern w:val="2"/>
          <w:sz w:val="28"/>
          <w:szCs w:val="28"/>
        </w:rPr>
        <w:t>月委托海湾工程有限公司出具了《中国石化销售股份有限公司</w:t>
      </w:r>
      <w:r>
        <w:rPr>
          <w:rFonts w:hint="eastAsia" w:ascii="Times New Roman" w:hAnsi="Times New Roman" w:eastAsia="宋体" w:cs="宋体"/>
          <w:bCs w:val="0"/>
          <w:color w:val="auto"/>
          <w:spacing w:val="-6"/>
          <w:kern w:val="2"/>
          <w:sz w:val="28"/>
          <w:szCs w:val="28"/>
          <w:lang w:eastAsia="zh-CN"/>
        </w:rPr>
        <w:t>江西赣州兴国石油分公司南坑加油站</w:t>
      </w:r>
      <w:r>
        <w:rPr>
          <w:rFonts w:hint="eastAsia" w:ascii="Times New Roman" w:hAnsi="Times New Roman" w:eastAsia="宋体" w:cs="宋体"/>
          <w:bCs w:val="0"/>
          <w:color w:val="auto"/>
          <w:spacing w:val="-6"/>
          <w:kern w:val="2"/>
          <w:sz w:val="28"/>
          <w:szCs w:val="28"/>
        </w:rPr>
        <w:t>安全设施符合性诊断及整改设计》。</w:t>
      </w:r>
    </w:p>
    <w:p w14:paraId="68FC4CFC">
      <w:pPr>
        <w:pageBreakBefore w:val="0"/>
        <w:widowControl w:val="0"/>
        <w:kinsoku/>
        <w:wordWrap/>
        <w:overflowPunct/>
        <w:topLinePunct w:val="0"/>
        <w:bidi w:val="0"/>
        <w:spacing w:line="580" w:lineRule="exact"/>
        <w:ind w:firstLine="560" w:firstLineChars="200"/>
        <w:textAlignment w:val="auto"/>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5D4AB55D">
      <w:pPr>
        <w:pageBreakBefore w:val="0"/>
        <w:widowControl w:val="0"/>
        <w:kinsoku/>
        <w:wordWrap/>
        <w:overflowPunct/>
        <w:topLinePunct w:val="0"/>
        <w:bidi w:val="0"/>
        <w:spacing w:line="580" w:lineRule="exact"/>
        <w:ind w:firstLine="420" w:firstLineChars="150"/>
        <w:textAlignment w:val="auto"/>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因此中国石化销售股份有限公司</w:t>
      </w:r>
      <w:r>
        <w:rPr>
          <w:rFonts w:hint="eastAsia" w:ascii="Times New Roman" w:hAnsi="Times New Roman" w:eastAsia="宋体" w:cs="宋体"/>
          <w:bCs w:val="0"/>
          <w:color w:val="auto"/>
          <w:kern w:val="2"/>
          <w:sz w:val="28"/>
          <w:szCs w:val="28"/>
          <w:lang w:eastAsia="zh-CN"/>
        </w:rPr>
        <w:t>江西赣州兴国石油分公司</w:t>
      </w:r>
      <w:r>
        <w:rPr>
          <w:rFonts w:hint="eastAsia" w:ascii="Times New Roman" w:hAnsi="Times New Roman" w:eastAsia="宋体" w:cs="宋体"/>
          <w:bCs w:val="0"/>
          <w:color w:val="auto"/>
          <w:kern w:val="2"/>
          <w:sz w:val="28"/>
          <w:szCs w:val="28"/>
        </w:rPr>
        <w:t>委托</w:t>
      </w:r>
      <w:r>
        <w:rPr>
          <w:rFonts w:hint="eastAsia" w:ascii="Times New Roman" w:hAnsi="Times New Roman" w:eastAsia="宋体" w:cs="宋体"/>
          <w:bCs w:val="0"/>
          <w:color w:val="auto"/>
          <w:kern w:val="2"/>
          <w:sz w:val="28"/>
          <w:szCs w:val="28"/>
          <w:lang w:eastAsia="zh-CN"/>
        </w:rPr>
        <w:t>江西赣安安全生产科学技术咨询服务中心</w:t>
      </w:r>
      <w:r>
        <w:rPr>
          <w:rFonts w:hint="eastAsia" w:ascii="Times New Roman" w:hAnsi="Times New Roman" w:eastAsia="宋体" w:cs="宋体"/>
          <w:bCs w:val="0"/>
          <w:color w:val="auto"/>
          <w:kern w:val="2"/>
          <w:sz w:val="28"/>
          <w:szCs w:val="28"/>
        </w:rPr>
        <w:t>对</w:t>
      </w:r>
      <w:r>
        <w:rPr>
          <w:rFonts w:hint="eastAsia" w:ascii="Times New Roman" w:hAnsi="Times New Roman" w:eastAsia="宋体" w:cs="宋体"/>
          <w:bCs w:val="0"/>
          <w:color w:val="auto"/>
          <w:kern w:val="2"/>
          <w:sz w:val="28"/>
          <w:szCs w:val="28"/>
          <w:lang w:eastAsia="zh-CN"/>
        </w:rPr>
        <w:t>该加油站</w:t>
      </w:r>
      <w:r>
        <w:rPr>
          <w:rFonts w:hint="eastAsia" w:ascii="Times New Roman" w:hAnsi="Times New Roman" w:eastAsia="宋体" w:cs="宋体"/>
          <w:bCs w:val="0"/>
          <w:color w:val="auto"/>
          <w:kern w:val="2"/>
          <w:sz w:val="28"/>
          <w:szCs w:val="28"/>
        </w:rPr>
        <w:t>进行安全设施符合性诊断及整改设计验收。</w:t>
      </w:r>
    </w:p>
    <w:p w14:paraId="019EF9FE">
      <w:pPr>
        <w:keepNext/>
        <w:keepLines/>
        <w:widowControl w:val="0"/>
        <w:spacing w:line="600" w:lineRule="exact"/>
        <w:jc w:val="both"/>
        <w:outlineLvl w:val="2"/>
        <w:rPr>
          <w:rFonts w:ascii="Times New Roman" w:hAnsi="Times New Roman" w:eastAsia="宋体" w:cs="Times New Roman"/>
          <w:b/>
          <w:bCs/>
          <w:color w:val="auto"/>
          <w:kern w:val="0"/>
          <w:sz w:val="32"/>
          <w:szCs w:val="32"/>
          <w:lang w:val="en-US" w:eastAsia="zh-CN" w:bidi="ar-SA"/>
        </w:rPr>
      </w:pPr>
      <w:r>
        <w:rPr>
          <w:rFonts w:ascii="Times New Roman" w:hAnsi="Times New Roman" w:eastAsia="宋体" w:cs="Times New Roman"/>
          <w:b/>
          <w:bCs/>
          <w:color w:val="auto"/>
          <w:kern w:val="0"/>
          <w:sz w:val="32"/>
          <w:szCs w:val="32"/>
          <w:lang w:val="en-US" w:eastAsia="zh-CN" w:bidi="ar-SA"/>
        </w:rPr>
        <w:t xml:space="preserve">2.1.2 </w:t>
      </w:r>
      <w:r>
        <w:rPr>
          <w:rFonts w:hint="eastAsia" w:ascii="Times New Roman" w:hAnsi="Times New Roman" w:eastAsia="宋体" w:cs="宋体"/>
          <w:b/>
          <w:bCs/>
          <w:color w:val="auto"/>
          <w:kern w:val="0"/>
          <w:sz w:val="32"/>
          <w:szCs w:val="32"/>
          <w:lang w:val="en-US" w:eastAsia="zh-CN" w:bidi="ar-SA"/>
        </w:rPr>
        <w:t>建设基本情况</w:t>
      </w:r>
      <w:bookmarkEnd w:id="25"/>
      <w:bookmarkEnd w:id="26"/>
    </w:p>
    <w:p w14:paraId="38B91CF8">
      <w:pPr>
        <w:spacing w:line="600" w:lineRule="exact"/>
        <w:ind w:firstLine="420" w:firstLineChars="15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加油站情况简介如下表所示：</w:t>
      </w:r>
    </w:p>
    <w:p w14:paraId="63B06F9B">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表2</w:t>
      </w:r>
      <w:r>
        <w:rPr>
          <w:rFonts w:hint="eastAsia" w:ascii="Times New Roman" w:hAnsi="Times New Roman" w:eastAsia="宋体" w:cs="宋体"/>
          <w:bCs w:val="0"/>
          <w:color w:val="auto"/>
          <w:kern w:val="2"/>
          <w:sz w:val="24"/>
          <w:szCs w:val="24"/>
        </w:rPr>
        <w:t>.1</w:t>
      </w:r>
      <w:r>
        <w:rPr>
          <w:rFonts w:hint="eastAsia" w:ascii="Times New Roman" w:hAnsi="Times New Roman" w:eastAsia="宋体" w:cs="宋体"/>
          <w:bCs w:val="0"/>
          <w:color w:val="auto"/>
          <w:kern w:val="2"/>
          <w:sz w:val="24"/>
          <w:szCs w:val="24"/>
          <w:lang w:val="zh-CN"/>
        </w:rPr>
        <w:t>-</w:t>
      </w:r>
      <w:r>
        <w:rPr>
          <w:rFonts w:hint="eastAsia" w:ascii="Times New Roman" w:hAnsi="Times New Roman" w:eastAsia="宋体" w:cs="宋体"/>
          <w:bCs w:val="0"/>
          <w:color w:val="auto"/>
          <w:kern w:val="2"/>
          <w:sz w:val="24"/>
          <w:szCs w:val="24"/>
        </w:rPr>
        <w:t>2</w:t>
      </w:r>
      <w:r>
        <w:rPr>
          <w:rFonts w:hint="eastAsia" w:ascii="Times New Roman" w:hAnsi="Times New Roman" w:eastAsia="宋体" w:cs="宋体"/>
          <w:bCs w:val="0"/>
          <w:color w:val="auto"/>
          <w:kern w:val="2"/>
          <w:sz w:val="24"/>
          <w:szCs w:val="24"/>
          <w:lang w:val="zh-CN"/>
        </w:rPr>
        <w:t>加油站基本情况</w:t>
      </w:r>
    </w:p>
    <w:tbl>
      <w:tblPr>
        <w:tblStyle w:val="7"/>
        <w:tblW w:w="897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7"/>
        <w:gridCol w:w="365"/>
        <w:gridCol w:w="632"/>
        <w:gridCol w:w="567"/>
        <w:gridCol w:w="431"/>
        <w:gridCol w:w="34"/>
        <w:gridCol w:w="963"/>
        <w:gridCol w:w="227"/>
        <w:gridCol w:w="770"/>
        <w:gridCol w:w="169"/>
        <w:gridCol w:w="533"/>
        <w:gridCol w:w="211"/>
        <w:gridCol w:w="85"/>
        <w:gridCol w:w="438"/>
        <w:gridCol w:w="559"/>
        <w:gridCol w:w="286"/>
        <w:gridCol w:w="711"/>
        <w:gridCol w:w="1001"/>
      </w:tblGrid>
      <w:tr w14:paraId="3D0F2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27" w:hRule="atLeast"/>
        </w:trPr>
        <w:tc>
          <w:tcPr>
            <w:tcW w:w="1362" w:type="dxa"/>
            <w:gridSpan w:val="2"/>
            <w:vAlign w:val="center"/>
          </w:tcPr>
          <w:p w14:paraId="214F99B1">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企业名称</w:t>
            </w:r>
          </w:p>
        </w:tc>
        <w:tc>
          <w:tcPr>
            <w:tcW w:w="7617" w:type="dxa"/>
            <w:gridSpan w:val="16"/>
            <w:vAlign w:val="center"/>
          </w:tcPr>
          <w:p w14:paraId="5F667E83">
            <w:pPr>
              <w:spacing w:line="26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Times New Roman"/>
                <w:bCs w:val="0"/>
                <w:color w:val="auto"/>
                <w:kern w:val="2"/>
              </w:rPr>
              <w:t>中国石化销售股份有限公司</w:t>
            </w:r>
            <w:r>
              <w:rPr>
                <w:rFonts w:hint="eastAsia" w:ascii="Times New Roman" w:hAnsi="Times New Roman" w:eastAsia="宋体" w:cs="Times New Roman"/>
                <w:bCs w:val="0"/>
                <w:color w:val="auto"/>
                <w:kern w:val="2"/>
                <w:lang w:eastAsia="zh-CN"/>
              </w:rPr>
              <w:t>江西赣州兴国石油分公司南坑加油站</w:t>
            </w:r>
          </w:p>
        </w:tc>
      </w:tr>
      <w:tr w14:paraId="14F1E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21124585">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注册地址</w:t>
            </w:r>
          </w:p>
        </w:tc>
        <w:tc>
          <w:tcPr>
            <w:tcW w:w="7617" w:type="dxa"/>
            <w:gridSpan w:val="16"/>
            <w:vAlign w:val="center"/>
          </w:tcPr>
          <w:p w14:paraId="19E580E5">
            <w:pPr>
              <w:spacing w:line="26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lang w:eastAsia="zh-CN"/>
              </w:rPr>
              <w:t>江西省赣州市兴国县南坑乡</w:t>
            </w:r>
          </w:p>
        </w:tc>
      </w:tr>
      <w:tr w14:paraId="72D82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06A9DBD8">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联系电话</w:t>
            </w:r>
          </w:p>
        </w:tc>
        <w:tc>
          <w:tcPr>
            <w:tcW w:w="1664" w:type="dxa"/>
            <w:gridSpan w:val="4"/>
            <w:vAlign w:val="center"/>
          </w:tcPr>
          <w:p w14:paraId="19DABAE4">
            <w:pPr>
              <w:spacing w:line="26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lang w:val="en-US" w:eastAsia="zh-CN"/>
              </w:rPr>
              <w:t>19179069717</w:t>
            </w:r>
          </w:p>
        </w:tc>
        <w:tc>
          <w:tcPr>
            <w:tcW w:w="1190" w:type="dxa"/>
            <w:gridSpan w:val="2"/>
            <w:vAlign w:val="center"/>
          </w:tcPr>
          <w:p w14:paraId="51A9316B">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传真</w:t>
            </w:r>
          </w:p>
        </w:tc>
        <w:tc>
          <w:tcPr>
            <w:tcW w:w="1683" w:type="dxa"/>
            <w:gridSpan w:val="4"/>
            <w:vAlign w:val="center"/>
          </w:tcPr>
          <w:p w14:paraId="20224B41">
            <w:pPr>
              <w:spacing w:line="260" w:lineRule="exact"/>
              <w:jc w:val="center"/>
              <w:rPr>
                <w:rFonts w:ascii="Times New Roman" w:hAnsi="Times New Roman" w:eastAsia="宋体" w:cs="宋体"/>
                <w:bCs w:val="0"/>
                <w:color w:val="auto"/>
                <w:kern w:val="2"/>
              </w:rPr>
            </w:pPr>
          </w:p>
        </w:tc>
        <w:tc>
          <w:tcPr>
            <w:tcW w:w="1368" w:type="dxa"/>
            <w:gridSpan w:val="4"/>
            <w:vAlign w:val="center"/>
          </w:tcPr>
          <w:p w14:paraId="0154F7CB">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邮政编码</w:t>
            </w:r>
          </w:p>
        </w:tc>
        <w:tc>
          <w:tcPr>
            <w:tcW w:w="1712" w:type="dxa"/>
            <w:gridSpan w:val="2"/>
            <w:vAlign w:val="center"/>
          </w:tcPr>
          <w:p w14:paraId="0B7B2AD9">
            <w:pPr>
              <w:spacing w:line="260" w:lineRule="exact"/>
              <w:jc w:val="center"/>
              <w:rPr>
                <w:rFonts w:ascii="Times New Roman" w:hAnsi="Times New Roman" w:eastAsia="宋体" w:cs="宋体"/>
                <w:bCs w:val="0"/>
                <w:color w:val="auto"/>
                <w:kern w:val="2"/>
              </w:rPr>
            </w:pPr>
          </w:p>
        </w:tc>
      </w:tr>
      <w:tr w14:paraId="11786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69C70FF5">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企业类型</w:t>
            </w:r>
          </w:p>
        </w:tc>
        <w:tc>
          <w:tcPr>
            <w:tcW w:w="7617" w:type="dxa"/>
            <w:gridSpan w:val="16"/>
            <w:vAlign w:val="center"/>
          </w:tcPr>
          <w:p w14:paraId="2DFED4B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Times New Roman"/>
                <w:bCs w:val="0"/>
                <w:color w:val="auto"/>
                <w:kern w:val="2"/>
              </w:rPr>
              <w:t>外商投资企业分公司</w:t>
            </w:r>
          </w:p>
        </w:tc>
      </w:tr>
      <w:tr w14:paraId="5D70F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05FB7ABF">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非法人类别</w:t>
            </w:r>
          </w:p>
        </w:tc>
        <w:tc>
          <w:tcPr>
            <w:tcW w:w="7617" w:type="dxa"/>
            <w:gridSpan w:val="16"/>
            <w:vAlign w:val="center"/>
          </w:tcPr>
          <w:p w14:paraId="42BF56BA">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分公司☑              办事机构□</w:t>
            </w:r>
          </w:p>
        </w:tc>
      </w:tr>
      <w:tr w14:paraId="6E9F6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1405A06B">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经济类型</w:t>
            </w:r>
          </w:p>
        </w:tc>
        <w:tc>
          <w:tcPr>
            <w:tcW w:w="7617" w:type="dxa"/>
            <w:gridSpan w:val="16"/>
            <w:vAlign w:val="center"/>
          </w:tcPr>
          <w:p w14:paraId="59E77031">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全民所有制☑      集体所有制□      私有制</w:t>
            </w:r>
            <w:r>
              <w:rPr>
                <w:rFonts w:hint="eastAsia" w:ascii="Times New Roman" w:hAnsi="Times New Roman" w:eastAsia="宋体" w:cs="宋体"/>
                <w:bCs w:val="0"/>
                <w:color w:val="auto"/>
                <w:kern w:val="2"/>
              </w:rPr>
              <w:sym w:font="Wingdings 2" w:char="00A3"/>
            </w:r>
          </w:p>
        </w:tc>
      </w:tr>
      <w:tr w14:paraId="7D717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5D93B8A8">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登记机关</w:t>
            </w:r>
          </w:p>
        </w:tc>
        <w:tc>
          <w:tcPr>
            <w:tcW w:w="7617" w:type="dxa"/>
            <w:gridSpan w:val="16"/>
            <w:vAlign w:val="center"/>
          </w:tcPr>
          <w:p w14:paraId="71EDA62C">
            <w:pPr>
              <w:spacing w:line="260" w:lineRule="exact"/>
              <w:jc w:val="center"/>
              <w:rPr>
                <w:rFonts w:ascii="Times New Roman" w:hAnsi="Times New Roman" w:eastAsia="宋体" w:cs="宋体"/>
                <w:bCs w:val="0"/>
                <w:color w:val="auto"/>
                <w:kern w:val="2"/>
              </w:rPr>
            </w:pPr>
            <w:r>
              <w:rPr>
                <w:rFonts w:hint="eastAsia" w:ascii="Times New Roman" w:hAnsi="Times New Roman" w:eastAsia="宋体" w:cs="Times New Roman"/>
                <w:bCs w:val="0"/>
                <w:color w:val="auto"/>
                <w:kern w:val="2"/>
              </w:rPr>
              <w:t>赣州市市场监督管理局（营业执照）</w:t>
            </w:r>
          </w:p>
        </w:tc>
      </w:tr>
      <w:tr w14:paraId="2B9C4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Align w:val="center"/>
          </w:tcPr>
          <w:p w14:paraId="3ABE2EE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负责人</w:t>
            </w:r>
          </w:p>
        </w:tc>
        <w:tc>
          <w:tcPr>
            <w:tcW w:w="2854" w:type="dxa"/>
            <w:gridSpan w:val="6"/>
            <w:vAlign w:val="center"/>
          </w:tcPr>
          <w:p w14:paraId="293EFE2D">
            <w:pPr>
              <w:spacing w:line="26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lang w:val="en-US" w:eastAsia="zh-CN"/>
              </w:rPr>
              <w:t>李子丰</w:t>
            </w:r>
          </w:p>
        </w:tc>
        <w:tc>
          <w:tcPr>
            <w:tcW w:w="1472" w:type="dxa"/>
            <w:gridSpan w:val="3"/>
            <w:vAlign w:val="center"/>
          </w:tcPr>
          <w:p w14:paraId="6F8D0DF3">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主</w:t>
            </w:r>
            <w:r>
              <w:rPr>
                <w:rFonts w:hint="eastAsia" w:ascii="Times New Roman" w:hAnsi="Times New Roman" w:eastAsia="宋体" w:cs="宋体"/>
                <w:bCs w:val="0"/>
                <w:color w:val="auto"/>
                <w:kern w:val="2"/>
                <w:lang w:val="en-US" w:eastAsia="zh-CN"/>
              </w:rPr>
              <w:t>要</w:t>
            </w:r>
            <w:r>
              <w:rPr>
                <w:rFonts w:hint="eastAsia" w:ascii="Times New Roman" w:hAnsi="Times New Roman" w:eastAsia="宋体" w:cs="宋体"/>
                <w:bCs w:val="0"/>
                <w:color w:val="auto"/>
                <w:kern w:val="2"/>
              </w:rPr>
              <w:t>负责人</w:t>
            </w:r>
          </w:p>
        </w:tc>
        <w:tc>
          <w:tcPr>
            <w:tcW w:w="3291" w:type="dxa"/>
            <w:gridSpan w:val="7"/>
            <w:vAlign w:val="center"/>
          </w:tcPr>
          <w:p w14:paraId="535ECC0E">
            <w:pPr>
              <w:spacing w:line="26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lang w:val="en-US" w:eastAsia="zh-CN"/>
              </w:rPr>
              <w:t>吴兵兵</w:t>
            </w:r>
          </w:p>
        </w:tc>
      </w:tr>
      <w:tr w14:paraId="15F93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Merge w:val="restart"/>
            <w:vAlign w:val="center"/>
          </w:tcPr>
          <w:p w14:paraId="32E8B471">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经营场所</w:t>
            </w:r>
          </w:p>
        </w:tc>
        <w:tc>
          <w:tcPr>
            <w:tcW w:w="1199" w:type="dxa"/>
            <w:gridSpan w:val="2"/>
            <w:vAlign w:val="center"/>
          </w:tcPr>
          <w:p w14:paraId="56730E96">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地址</w:t>
            </w:r>
          </w:p>
        </w:tc>
        <w:tc>
          <w:tcPr>
            <w:tcW w:w="6418" w:type="dxa"/>
            <w:gridSpan w:val="14"/>
            <w:vAlign w:val="center"/>
          </w:tcPr>
          <w:p w14:paraId="69AC31E2">
            <w:pPr>
              <w:spacing w:line="26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lang w:eastAsia="zh-CN"/>
              </w:rPr>
              <w:t>江西省赣州市兴国县南坑乡</w:t>
            </w:r>
          </w:p>
        </w:tc>
      </w:tr>
      <w:tr w14:paraId="646B0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Merge w:val="continue"/>
            <w:vAlign w:val="center"/>
          </w:tcPr>
          <w:p w14:paraId="27B519DF">
            <w:pPr>
              <w:spacing w:line="260" w:lineRule="exact"/>
              <w:jc w:val="center"/>
              <w:rPr>
                <w:rFonts w:ascii="Times New Roman" w:hAnsi="Times New Roman" w:eastAsia="宋体" w:cs="宋体"/>
                <w:bCs w:val="0"/>
                <w:color w:val="auto"/>
                <w:kern w:val="2"/>
              </w:rPr>
            </w:pPr>
          </w:p>
        </w:tc>
        <w:tc>
          <w:tcPr>
            <w:tcW w:w="1199" w:type="dxa"/>
            <w:gridSpan w:val="2"/>
            <w:vAlign w:val="center"/>
          </w:tcPr>
          <w:p w14:paraId="475DA236">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产权</w:t>
            </w:r>
          </w:p>
        </w:tc>
        <w:tc>
          <w:tcPr>
            <w:tcW w:w="6418" w:type="dxa"/>
            <w:gridSpan w:val="14"/>
            <w:vAlign w:val="center"/>
          </w:tcPr>
          <w:p w14:paraId="0F2FD1B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自有</w:t>
            </w:r>
            <w:r>
              <w:rPr>
                <w:rFonts w:hint="eastAsia" w:ascii="Times New Roman" w:hAnsi="Times New Roman" w:eastAsia="宋体" w:cs="宋体"/>
                <w:bCs w:val="0"/>
                <w:color w:val="auto"/>
                <w:kern w:val="2"/>
              </w:rPr>
              <w:sym w:font="Wingdings 2" w:char="00A3"/>
            </w:r>
            <w:r>
              <w:rPr>
                <w:rFonts w:hint="eastAsia" w:ascii="Times New Roman" w:hAnsi="Times New Roman" w:eastAsia="宋体" w:cs="宋体"/>
                <w:bCs w:val="0"/>
                <w:color w:val="auto"/>
                <w:kern w:val="2"/>
              </w:rPr>
              <w:t xml:space="preserve">     租赁</w:t>
            </w:r>
            <w:r>
              <w:rPr>
                <w:rFonts w:hint="eastAsia" w:ascii="Times New Roman" w:hAnsi="Times New Roman" w:eastAsia="宋体" w:cs="宋体"/>
                <w:bCs w:val="0"/>
                <w:color w:val="auto"/>
                <w:kern w:val="2"/>
              </w:rPr>
              <w:sym w:font="Wingdings 2" w:char="0052"/>
            </w:r>
            <w:r>
              <w:rPr>
                <w:rFonts w:hint="eastAsia" w:ascii="Times New Roman" w:hAnsi="Times New Roman" w:eastAsia="宋体" w:cs="宋体"/>
                <w:bCs w:val="0"/>
                <w:color w:val="auto"/>
                <w:kern w:val="2"/>
              </w:rPr>
              <w:t xml:space="preserve">       承包□</w:t>
            </w:r>
          </w:p>
        </w:tc>
      </w:tr>
      <w:tr w14:paraId="3A404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Merge w:val="restart"/>
            <w:vAlign w:val="center"/>
          </w:tcPr>
          <w:p w14:paraId="3A60A6C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储存设施</w:t>
            </w:r>
          </w:p>
        </w:tc>
        <w:tc>
          <w:tcPr>
            <w:tcW w:w="1199" w:type="dxa"/>
            <w:gridSpan w:val="2"/>
            <w:vAlign w:val="center"/>
          </w:tcPr>
          <w:p w14:paraId="06CCC301">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地址</w:t>
            </w:r>
          </w:p>
        </w:tc>
        <w:tc>
          <w:tcPr>
            <w:tcW w:w="6418" w:type="dxa"/>
            <w:gridSpan w:val="14"/>
            <w:vAlign w:val="center"/>
          </w:tcPr>
          <w:p w14:paraId="5CA691D1">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eastAsia="zh-CN"/>
              </w:rPr>
              <w:t>该加油站</w:t>
            </w:r>
            <w:r>
              <w:rPr>
                <w:rFonts w:hint="eastAsia" w:ascii="Times New Roman" w:hAnsi="Times New Roman" w:eastAsia="宋体" w:cs="宋体"/>
                <w:bCs w:val="0"/>
                <w:color w:val="auto"/>
                <w:kern w:val="2"/>
              </w:rPr>
              <w:t>内</w:t>
            </w:r>
          </w:p>
        </w:tc>
      </w:tr>
      <w:tr w14:paraId="1C9C5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Merge w:val="continue"/>
            <w:vAlign w:val="center"/>
          </w:tcPr>
          <w:p w14:paraId="1C883813">
            <w:pPr>
              <w:spacing w:line="260" w:lineRule="exact"/>
              <w:jc w:val="center"/>
              <w:rPr>
                <w:rFonts w:ascii="Times New Roman" w:hAnsi="Times New Roman" w:eastAsia="宋体" w:cs="宋体"/>
                <w:bCs w:val="0"/>
                <w:color w:val="auto"/>
                <w:kern w:val="2"/>
              </w:rPr>
            </w:pPr>
          </w:p>
        </w:tc>
        <w:tc>
          <w:tcPr>
            <w:tcW w:w="1199" w:type="dxa"/>
            <w:gridSpan w:val="2"/>
            <w:vAlign w:val="center"/>
          </w:tcPr>
          <w:p w14:paraId="782C5AF8">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建筑结构</w:t>
            </w:r>
          </w:p>
        </w:tc>
        <w:tc>
          <w:tcPr>
            <w:tcW w:w="2594" w:type="dxa"/>
            <w:gridSpan w:val="6"/>
            <w:vAlign w:val="center"/>
          </w:tcPr>
          <w:p w14:paraId="1C33768B">
            <w:pPr>
              <w:spacing w:line="260" w:lineRule="exact"/>
              <w:jc w:val="center"/>
              <w:rPr>
                <w:rFonts w:hint="default" w:ascii="Times New Roman" w:hAnsi="Times New Roman" w:eastAsia="宋体" w:cs="宋体"/>
                <w:bCs w:val="0"/>
                <w:color w:val="auto"/>
                <w:kern w:val="2"/>
                <w:lang w:val="en-US" w:eastAsia="zh-CN"/>
              </w:rPr>
            </w:pPr>
            <w:r>
              <w:rPr>
                <w:rFonts w:hint="default" w:ascii="Times New Roman" w:hAnsi="Times New Roman" w:eastAsia="宋体" w:cs="宋体"/>
                <w:bCs w:val="0"/>
                <w:color w:val="auto"/>
                <w:kern w:val="2"/>
                <w:lang w:val="en-US" w:eastAsia="zh-CN"/>
              </w:rPr>
              <w:t>SF 双层储罐</w:t>
            </w:r>
          </w:p>
        </w:tc>
        <w:tc>
          <w:tcPr>
            <w:tcW w:w="1267" w:type="dxa"/>
            <w:gridSpan w:val="4"/>
            <w:vAlign w:val="center"/>
          </w:tcPr>
          <w:p w14:paraId="44FD5950">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储存能力</w:t>
            </w:r>
          </w:p>
        </w:tc>
        <w:tc>
          <w:tcPr>
            <w:tcW w:w="2557" w:type="dxa"/>
            <w:gridSpan w:val="4"/>
            <w:vAlign w:val="center"/>
          </w:tcPr>
          <w:p w14:paraId="437BF562">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（总）</w:t>
            </w:r>
            <w:r>
              <w:rPr>
                <w:rFonts w:hint="eastAsia" w:ascii="Times New Roman" w:hAnsi="Times New Roman" w:eastAsia="宋体" w:cs="宋体"/>
                <w:bCs w:val="0"/>
                <w:color w:val="auto"/>
                <w:kern w:val="2"/>
                <w:lang w:val="en-US" w:eastAsia="zh-CN"/>
              </w:rPr>
              <w:t>6</w:t>
            </w:r>
            <w:r>
              <w:rPr>
                <w:rFonts w:hint="eastAsia" w:ascii="Times New Roman" w:hAnsi="Times New Roman" w:eastAsia="宋体" w:cs="宋体"/>
                <w:bCs w:val="0"/>
                <w:color w:val="auto"/>
                <w:kern w:val="2"/>
              </w:rPr>
              <w:t>0m</w:t>
            </w:r>
            <w:r>
              <w:rPr>
                <w:rFonts w:hint="eastAsia" w:ascii="Times New Roman" w:hAnsi="Times New Roman" w:eastAsia="宋体" w:cs="宋体"/>
                <w:bCs w:val="0"/>
                <w:color w:val="auto"/>
                <w:kern w:val="2"/>
                <w:vertAlign w:val="superscript"/>
              </w:rPr>
              <w:t>3</w:t>
            </w:r>
            <w:r>
              <w:rPr>
                <w:rFonts w:hint="eastAsia" w:ascii="Times New Roman" w:hAnsi="Times New Roman" w:eastAsia="宋体" w:cs="宋体"/>
                <w:bCs w:val="0"/>
                <w:color w:val="auto"/>
                <w:kern w:val="2"/>
              </w:rPr>
              <w:t>，</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rPr>
              <w:t>折算</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lang w:val="en-US" w:eastAsia="zh-CN"/>
              </w:rPr>
              <w:t>4</w:t>
            </w:r>
            <w:r>
              <w:rPr>
                <w:rFonts w:hint="eastAsia" w:ascii="Times New Roman" w:hAnsi="Times New Roman" w:eastAsia="宋体" w:cs="宋体"/>
                <w:bCs w:val="0"/>
                <w:color w:val="auto"/>
                <w:kern w:val="2"/>
              </w:rPr>
              <w:t>5m</w:t>
            </w:r>
            <w:r>
              <w:rPr>
                <w:rFonts w:hint="eastAsia" w:ascii="Times New Roman" w:hAnsi="Times New Roman" w:eastAsia="宋体" w:cs="宋体"/>
                <w:bCs w:val="0"/>
                <w:color w:val="auto"/>
                <w:kern w:val="2"/>
                <w:vertAlign w:val="superscript"/>
              </w:rPr>
              <w:t>3</w:t>
            </w:r>
          </w:p>
        </w:tc>
      </w:tr>
      <w:tr w14:paraId="7C56F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62" w:type="dxa"/>
            <w:gridSpan w:val="2"/>
            <w:vMerge w:val="continue"/>
            <w:vAlign w:val="center"/>
          </w:tcPr>
          <w:p w14:paraId="6FE49949">
            <w:pPr>
              <w:spacing w:line="260" w:lineRule="exact"/>
              <w:jc w:val="center"/>
              <w:rPr>
                <w:rFonts w:ascii="Times New Roman" w:hAnsi="Times New Roman" w:eastAsia="宋体" w:cs="宋体"/>
                <w:bCs w:val="0"/>
                <w:color w:val="auto"/>
                <w:kern w:val="2"/>
              </w:rPr>
            </w:pPr>
          </w:p>
        </w:tc>
        <w:tc>
          <w:tcPr>
            <w:tcW w:w="1199" w:type="dxa"/>
            <w:gridSpan w:val="2"/>
            <w:vAlign w:val="center"/>
          </w:tcPr>
          <w:p w14:paraId="0CF2A1CF">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产权</w:t>
            </w:r>
          </w:p>
        </w:tc>
        <w:tc>
          <w:tcPr>
            <w:tcW w:w="6418" w:type="dxa"/>
            <w:gridSpan w:val="14"/>
            <w:vAlign w:val="center"/>
          </w:tcPr>
          <w:p w14:paraId="0C20A0F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自有</w:t>
            </w:r>
            <w:r>
              <w:rPr>
                <w:rFonts w:hint="eastAsia" w:ascii="Times New Roman" w:hAnsi="Times New Roman" w:eastAsia="宋体" w:cs="宋体"/>
                <w:bCs w:val="0"/>
                <w:color w:val="auto"/>
                <w:kern w:val="2"/>
              </w:rPr>
              <w:sym w:font="Wingdings 2" w:char="0052"/>
            </w:r>
            <w:r>
              <w:rPr>
                <w:rFonts w:hint="eastAsia" w:ascii="Times New Roman" w:hAnsi="Times New Roman" w:eastAsia="宋体" w:cs="宋体"/>
                <w:bCs w:val="0"/>
                <w:color w:val="auto"/>
                <w:kern w:val="2"/>
              </w:rPr>
              <w:t xml:space="preserve">      租赁□       承包□</w:t>
            </w:r>
          </w:p>
        </w:tc>
      </w:tr>
      <w:tr w14:paraId="785FF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979" w:type="dxa"/>
            <w:gridSpan w:val="18"/>
            <w:vAlign w:val="center"/>
          </w:tcPr>
          <w:p w14:paraId="271AE59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申请经营危险化学品范围</w:t>
            </w:r>
          </w:p>
        </w:tc>
      </w:tr>
      <w:tr w14:paraId="7EE86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992" w:type="dxa"/>
            <w:gridSpan w:val="5"/>
            <w:vAlign w:val="center"/>
          </w:tcPr>
          <w:p w14:paraId="3D14DCA8">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剧毒化学品</w:t>
            </w:r>
          </w:p>
        </w:tc>
        <w:tc>
          <w:tcPr>
            <w:tcW w:w="2992" w:type="dxa"/>
            <w:gridSpan w:val="8"/>
            <w:vAlign w:val="center"/>
          </w:tcPr>
          <w:p w14:paraId="7BDB5AFD">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成品油（储量）</w:t>
            </w:r>
          </w:p>
        </w:tc>
        <w:tc>
          <w:tcPr>
            <w:tcW w:w="2995" w:type="dxa"/>
            <w:gridSpan w:val="5"/>
            <w:vAlign w:val="center"/>
          </w:tcPr>
          <w:p w14:paraId="15AE0A13">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其他危险化学品</w:t>
            </w:r>
          </w:p>
        </w:tc>
      </w:tr>
      <w:tr w14:paraId="632F9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97" w:type="dxa"/>
            <w:vAlign w:val="center"/>
          </w:tcPr>
          <w:p w14:paraId="72B56219">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品名</w:t>
            </w:r>
          </w:p>
        </w:tc>
        <w:tc>
          <w:tcPr>
            <w:tcW w:w="997" w:type="dxa"/>
            <w:gridSpan w:val="2"/>
            <w:vAlign w:val="center"/>
          </w:tcPr>
          <w:p w14:paraId="6980D656">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规模</w:t>
            </w:r>
          </w:p>
        </w:tc>
        <w:tc>
          <w:tcPr>
            <w:tcW w:w="998" w:type="dxa"/>
            <w:gridSpan w:val="2"/>
            <w:vAlign w:val="center"/>
          </w:tcPr>
          <w:p w14:paraId="59CC390F">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用途</w:t>
            </w:r>
          </w:p>
        </w:tc>
        <w:tc>
          <w:tcPr>
            <w:tcW w:w="997" w:type="dxa"/>
            <w:gridSpan w:val="2"/>
            <w:vAlign w:val="center"/>
          </w:tcPr>
          <w:p w14:paraId="0E207023">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品名</w:t>
            </w:r>
          </w:p>
        </w:tc>
        <w:tc>
          <w:tcPr>
            <w:tcW w:w="997" w:type="dxa"/>
            <w:gridSpan w:val="2"/>
            <w:vAlign w:val="center"/>
          </w:tcPr>
          <w:p w14:paraId="0048005F">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规模</w:t>
            </w:r>
          </w:p>
        </w:tc>
        <w:tc>
          <w:tcPr>
            <w:tcW w:w="998" w:type="dxa"/>
            <w:gridSpan w:val="4"/>
            <w:vAlign w:val="center"/>
          </w:tcPr>
          <w:p w14:paraId="427F1A35">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用途</w:t>
            </w:r>
          </w:p>
        </w:tc>
        <w:tc>
          <w:tcPr>
            <w:tcW w:w="997" w:type="dxa"/>
            <w:gridSpan w:val="2"/>
            <w:vAlign w:val="center"/>
          </w:tcPr>
          <w:p w14:paraId="4DA52AA9">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品名</w:t>
            </w:r>
          </w:p>
        </w:tc>
        <w:tc>
          <w:tcPr>
            <w:tcW w:w="997" w:type="dxa"/>
            <w:gridSpan w:val="2"/>
            <w:vAlign w:val="center"/>
          </w:tcPr>
          <w:p w14:paraId="54225A5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规模</w:t>
            </w:r>
          </w:p>
        </w:tc>
        <w:tc>
          <w:tcPr>
            <w:tcW w:w="1001" w:type="dxa"/>
            <w:vAlign w:val="center"/>
          </w:tcPr>
          <w:p w14:paraId="5B60DC8C">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用途</w:t>
            </w:r>
          </w:p>
        </w:tc>
      </w:tr>
      <w:tr w14:paraId="37840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97" w:type="dxa"/>
            <w:vAlign w:val="center"/>
          </w:tcPr>
          <w:p w14:paraId="6A2D74E5">
            <w:pPr>
              <w:spacing w:line="260" w:lineRule="exact"/>
              <w:jc w:val="center"/>
              <w:rPr>
                <w:rFonts w:ascii="Times New Roman" w:hAnsi="Times New Roman" w:eastAsia="宋体" w:cs="宋体"/>
                <w:bCs w:val="0"/>
                <w:color w:val="auto"/>
                <w:kern w:val="2"/>
              </w:rPr>
            </w:pPr>
          </w:p>
        </w:tc>
        <w:tc>
          <w:tcPr>
            <w:tcW w:w="997" w:type="dxa"/>
            <w:gridSpan w:val="2"/>
            <w:vAlign w:val="center"/>
          </w:tcPr>
          <w:p w14:paraId="6CB4BFAE">
            <w:pPr>
              <w:spacing w:line="260" w:lineRule="exact"/>
              <w:jc w:val="center"/>
              <w:rPr>
                <w:rFonts w:ascii="Times New Roman" w:hAnsi="Times New Roman" w:eastAsia="宋体" w:cs="宋体"/>
                <w:bCs w:val="0"/>
                <w:color w:val="auto"/>
                <w:kern w:val="2"/>
              </w:rPr>
            </w:pPr>
          </w:p>
        </w:tc>
        <w:tc>
          <w:tcPr>
            <w:tcW w:w="998" w:type="dxa"/>
            <w:gridSpan w:val="2"/>
            <w:vAlign w:val="center"/>
          </w:tcPr>
          <w:p w14:paraId="309C1C94">
            <w:pPr>
              <w:spacing w:line="260" w:lineRule="exact"/>
              <w:jc w:val="center"/>
              <w:rPr>
                <w:rFonts w:ascii="Times New Roman" w:hAnsi="Times New Roman" w:eastAsia="宋体" w:cs="宋体"/>
                <w:bCs w:val="0"/>
                <w:color w:val="auto"/>
                <w:kern w:val="2"/>
              </w:rPr>
            </w:pPr>
          </w:p>
        </w:tc>
        <w:tc>
          <w:tcPr>
            <w:tcW w:w="997" w:type="dxa"/>
            <w:gridSpan w:val="2"/>
            <w:shd w:val="clear" w:color="auto" w:fill="auto"/>
            <w:vAlign w:val="center"/>
          </w:tcPr>
          <w:p w14:paraId="23BD8BD2">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0#柴油</w:t>
            </w:r>
          </w:p>
        </w:tc>
        <w:tc>
          <w:tcPr>
            <w:tcW w:w="997" w:type="dxa"/>
            <w:gridSpan w:val="2"/>
            <w:shd w:val="clear" w:color="auto" w:fill="auto"/>
            <w:vAlign w:val="center"/>
          </w:tcPr>
          <w:p w14:paraId="4AE88E35">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3</w:t>
            </w:r>
            <w:r>
              <w:rPr>
                <w:rFonts w:hint="eastAsia" w:ascii="Times New Roman" w:hAnsi="Times New Roman" w:eastAsia="宋体" w:cs="宋体"/>
                <w:bCs w:val="0"/>
                <w:color w:val="auto"/>
                <w:kern w:val="2"/>
              </w:rPr>
              <w:t>0m</w:t>
            </w:r>
            <w:r>
              <w:rPr>
                <w:rFonts w:hint="eastAsia" w:ascii="Times New Roman" w:hAnsi="Times New Roman" w:eastAsia="宋体" w:cs="宋体"/>
                <w:bCs w:val="0"/>
                <w:color w:val="auto"/>
                <w:kern w:val="2"/>
                <w:vertAlign w:val="superscript"/>
              </w:rPr>
              <w:t>3</w:t>
            </w:r>
          </w:p>
        </w:tc>
        <w:tc>
          <w:tcPr>
            <w:tcW w:w="998" w:type="dxa"/>
            <w:gridSpan w:val="4"/>
            <w:shd w:val="clear" w:color="auto" w:fill="auto"/>
            <w:vAlign w:val="center"/>
          </w:tcPr>
          <w:p w14:paraId="1E408877">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车用</w:t>
            </w:r>
          </w:p>
        </w:tc>
        <w:tc>
          <w:tcPr>
            <w:tcW w:w="997" w:type="dxa"/>
            <w:gridSpan w:val="2"/>
            <w:vAlign w:val="center"/>
          </w:tcPr>
          <w:p w14:paraId="4CC05A04">
            <w:pPr>
              <w:spacing w:line="260" w:lineRule="exact"/>
              <w:jc w:val="center"/>
              <w:rPr>
                <w:rFonts w:ascii="Times New Roman" w:hAnsi="Times New Roman" w:eastAsia="宋体" w:cs="宋体"/>
                <w:bCs w:val="0"/>
                <w:color w:val="auto"/>
                <w:kern w:val="2"/>
              </w:rPr>
            </w:pPr>
          </w:p>
        </w:tc>
        <w:tc>
          <w:tcPr>
            <w:tcW w:w="997" w:type="dxa"/>
            <w:gridSpan w:val="2"/>
            <w:vAlign w:val="center"/>
          </w:tcPr>
          <w:p w14:paraId="5C7C732F">
            <w:pPr>
              <w:spacing w:line="260" w:lineRule="exact"/>
              <w:jc w:val="center"/>
              <w:rPr>
                <w:rFonts w:ascii="Times New Roman" w:hAnsi="Times New Roman" w:eastAsia="宋体" w:cs="宋体"/>
                <w:bCs w:val="0"/>
                <w:color w:val="auto"/>
                <w:kern w:val="2"/>
              </w:rPr>
            </w:pPr>
          </w:p>
        </w:tc>
        <w:tc>
          <w:tcPr>
            <w:tcW w:w="1001" w:type="dxa"/>
            <w:vAlign w:val="center"/>
          </w:tcPr>
          <w:p w14:paraId="607EA6EE">
            <w:pPr>
              <w:spacing w:line="260" w:lineRule="exact"/>
              <w:jc w:val="center"/>
              <w:rPr>
                <w:rFonts w:ascii="Times New Roman" w:hAnsi="Times New Roman" w:eastAsia="宋体" w:cs="宋体"/>
                <w:bCs w:val="0"/>
                <w:color w:val="auto"/>
                <w:kern w:val="2"/>
              </w:rPr>
            </w:pPr>
          </w:p>
        </w:tc>
      </w:tr>
      <w:tr w14:paraId="1DBDA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97" w:type="dxa"/>
            <w:vAlign w:val="center"/>
          </w:tcPr>
          <w:p w14:paraId="410C521F">
            <w:pPr>
              <w:spacing w:line="260" w:lineRule="exact"/>
              <w:jc w:val="center"/>
              <w:rPr>
                <w:rFonts w:ascii="Times New Roman" w:hAnsi="Times New Roman" w:eastAsia="宋体" w:cs="宋体"/>
                <w:bCs w:val="0"/>
                <w:color w:val="auto"/>
                <w:kern w:val="2"/>
              </w:rPr>
            </w:pPr>
          </w:p>
        </w:tc>
        <w:tc>
          <w:tcPr>
            <w:tcW w:w="997" w:type="dxa"/>
            <w:gridSpan w:val="2"/>
            <w:vAlign w:val="center"/>
          </w:tcPr>
          <w:p w14:paraId="362F30AC">
            <w:pPr>
              <w:spacing w:line="260" w:lineRule="exact"/>
              <w:jc w:val="center"/>
              <w:rPr>
                <w:rFonts w:ascii="Times New Roman" w:hAnsi="Times New Roman" w:eastAsia="宋体" w:cs="宋体"/>
                <w:bCs w:val="0"/>
                <w:color w:val="auto"/>
                <w:kern w:val="2"/>
              </w:rPr>
            </w:pPr>
          </w:p>
        </w:tc>
        <w:tc>
          <w:tcPr>
            <w:tcW w:w="998" w:type="dxa"/>
            <w:gridSpan w:val="2"/>
            <w:vAlign w:val="center"/>
          </w:tcPr>
          <w:p w14:paraId="722DDC89">
            <w:pPr>
              <w:spacing w:line="260" w:lineRule="exact"/>
              <w:jc w:val="center"/>
              <w:rPr>
                <w:rFonts w:ascii="Times New Roman" w:hAnsi="Times New Roman" w:eastAsia="宋体" w:cs="宋体"/>
                <w:bCs w:val="0"/>
                <w:color w:val="auto"/>
                <w:kern w:val="2"/>
              </w:rPr>
            </w:pPr>
          </w:p>
        </w:tc>
        <w:tc>
          <w:tcPr>
            <w:tcW w:w="997" w:type="dxa"/>
            <w:gridSpan w:val="2"/>
            <w:shd w:val="clear" w:color="auto" w:fill="auto"/>
            <w:vAlign w:val="center"/>
          </w:tcPr>
          <w:p w14:paraId="2AC86010">
            <w:pPr>
              <w:spacing w:line="260" w:lineRule="exact"/>
              <w:jc w:val="center"/>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92#汽油</w:t>
            </w:r>
          </w:p>
        </w:tc>
        <w:tc>
          <w:tcPr>
            <w:tcW w:w="997" w:type="dxa"/>
            <w:gridSpan w:val="2"/>
            <w:shd w:val="clear" w:color="auto" w:fill="auto"/>
            <w:vAlign w:val="center"/>
          </w:tcPr>
          <w:p w14:paraId="2B6B5911">
            <w:pPr>
              <w:spacing w:line="260" w:lineRule="exact"/>
              <w:jc w:val="center"/>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3</w:t>
            </w:r>
            <w:r>
              <w:rPr>
                <w:rFonts w:hint="eastAsia" w:ascii="Times New Roman" w:hAnsi="Times New Roman" w:eastAsia="宋体" w:cs="宋体"/>
                <w:bCs w:val="0"/>
                <w:color w:val="auto"/>
                <w:kern w:val="2"/>
              </w:rPr>
              <w:t>0m</w:t>
            </w:r>
            <w:r>
              <w:rPr>
                <w:rFonts w:hint="eastAsia" w:ascii="Times New Roman" w:hAnsi="Times New Roman" w:eastAsia="宋体" w:cs="宋体"/>
                <w:bCs w:val="0"/>
                <w:color w:val="auto"/>
                <w:kern w:val="2"/>
                <w:vertAlign w:val="superscript"/>
              </w:rPr>
              <w:t>3</w:t>
            </w:r>
          </w:p>
        </w:tc>
        <w:tc>
          <w:tcPr>
            <w:tcW w:w="998" w:type="dxa"/>
            <w:gridSpan w:val="4"/>
            <w:shd w:val="clear" w:color="auto" w:fill="auto"/>
            <w:vAlign w:val="center"/>
          </w:tcPr>
          <w:p w14:paraId="197EB4F2">
            <w:pPr>
              <w:spacing w:line="260" w:lineRule="exact"/>
              <w:jc w:val="center"/>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车用</w:t>
            </w:r>
          </w:p>
        </w:tc>
        <w:tc>
          <w:tcPr>
            <w:tcW w:w="997" w:type="dxa"/>
            <w:gridSpan w:val="2"/>
            <w:vAlign w:val="center"/>
          </w:tcPr>
          <w:p w14:paraId="56D8FB21">
            <w:pPr>
              <w:spacing w:line="260" w:lineRule="exact"/>
              <w:jc w:val="center"/>
              <w:rPr>
                <w:rFonts w:ascii="Times New Roman" w:hAnsi="Times New Roman" w:eastAsia="宋体" w:cs="宋体"/>
                <w:bCs w:val="0"/>
                <w:color w:val="auto"/>
                <w:kern w:val="2"/>
              </w:rPr>
            </w:pPr>
          </w:p>
        </w:tc>
        <w:tc>
          <w:tcPr>
            <w:tcW w:w="997" w:type="dxa"/>
            <w:gridSpan w:val="2"/>
            <w:vAlign w:val="center"/>
          </w:tcPr>
          <w:p w14:paraId="0F153FA9">
            <w:pPr>
              <w:spacing w:line="260" w:lineRule="exact"/>
              <w:jc w:val="center"/>
              <w:rPr>
                <w:rFonts w:ascii="Times New Roman" w:hAnsi="Times New Roman" w:eastAsia="宋体" w:cs="宋体"/>
                <w:bCs w:val="0"/>
                <w:color w:val="auto"/>
                <w:kern w:val="2"/>
              </w:rPr>
            </w:pPr>
          </w:p>
        </w:tc>
        <w:tc>
          <w:tcPr>
            <w:tcW w:w="1001" w:type="dxa"/>
            <w:vAlign w:val="center"/>
          </w:tcPr>
          <w:p w14:paraId="154DA748">
            <w:pPr>
              <w:spacing w:line="260" w:lineRule="exact"/>
              <w:jc w:val="center"/>
              <w:rPr>
                <w:rFonts w:ascii="Times New Roman" w:hAnsi="Times New Roman" w:eastAsia="宋体" w:cs="宋体"/>
                <w:bCs w:val="0"/>
                <w:color w:val="auto"/>
                <w:kern w:val="2"/>
              </w:rPr>
            </w:pPr>
          </w:p>
        </w:tc>
      </w:tr>
      <w:tr w14:paraId="7191E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994" w:type="dxa"/>
            <w:gridSpan w:val="3"/>
            <w:vAlign w:val="center"/>
          </w:tcPr>
          <w:p w14:paraId="06F83275">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申请经营方式</w:t>
            </w:r>
          </w:p>
        </w:tc>
        <w:tc>
          <w:tcPr>
            <w:tcW w:w="6985" w:type="dxa"/>
            <w:gridSpan w:val="15"/>
            <w:vAlign w:val="center"/>
          </w:tcPr>
          <w:p w14:paraId="70F6F4E5">
            <w:pPr>
              <w:spacing w:line="26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 零售</w:t>
            </w:r>
            <w:r>
              <w:rPr>
                <w:rFonts w:hint="eastAsia" w:ascii="Times New Roman" w:hAnsi="Times New Roman" w:eastAsia="宋体" w:cs="宋体"/>
                <w:bCs w:val="0"/>
                <w:color w:val="auto"/>
                <w:kern w:val="2"/>
              </w:rPr>
              <w:sym w:font="Wingdings 2" w:char="0052"/>
            </w:r>
            <w:r>
              <w:rPr>
                <w:rFonts w:hint="eastAsia" w:ascii="Times New Roman" w:hAnsi="Times New Roman" w:eastAsia="宋体" w:cs="宋体"/>
                <w:bCs w:val="0"/>
                <w:color w:val="auto"/>
                <w:kern w:val="2"/>
              </w:rPr>
              <w:t xml:space="preserve"> </w:t>
            </w:r>
          </w:p>
        </w:tc>
      </w:tr>
      <w:tr w14:paraId="41EE5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994" w:type="dxa"/>
            <w:gridSpan w:val="3"/>
            <w:vAlign w:val="center"/>
          </w:tcPr>
          <w:p w14:paraId="7075C3AE">
            <w:pPr>
              <w:spacing w:line="2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诊断及整改设计单位</w:t>
            </w:r>
          </w:p>
        </w:tc>
        <w:tc>
          <w:tcPr>
            <w:tcW w:w="6985" w:type="dxa"/>
            <w:gridSpan w:val="15"/>
            <w:vAlign w:val="center"/>
          </w:tcPr>
          <w:p w14:paraId="02888BEF">
            <w:pPr>
              <w:spacing w:line="26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海湾工程有限公司，具有化工石化医药行业（化工工程）专业甲级资质</w:t>
            </w:r>
          </w:p>
        </w:tc>
      </w:tr>
    </w:tbl>
    <w:p w14:paraId="4186F915">
      <w:pPr>
        <w:rPr>
          <w:rFonts w:ascii="Times New Roman" w:hAnsi="Times New Roman" w:eastAsia="宋体" w:cs="Calibri"/>
          <w:b/>
          <w:bCs/>
          <w:color w:val="0000FF"/>
          <w:kern w:val="0"/>
          <w:sz w:val="28"/>
          <w:szCs w:val="28"/>
          <w:lang w:val="en-US" w:eastAsia="zh-CN" w:bidi="ar-SA"/>
        </w:rPr>
      </w:pPr>
      <w:bookmarkStart w:id="27" w:name="_Toc26252"/>
      <w:r>
        <w:rPr>
          <w:rFonts w:ascii="Times New Roman" w:hAnsi="Times New Roman" w:eastAsia="宋体" w:cs="Calibri"/>
          <w:b/>
          <w:bCs/>
          <w:color w:val="0000FF"/>
          <w:kern w:val="0"/>
          <w:sz w:val="28"/>
          <w:szCs w:val="28"/>
          <w:lang w:val="en-US" w:eastAsia="zh-CN" w:bidi="ar-SA"/>
        </w:rPr>
        <w:br w:type="page"/>
      </w:r>
    </w:p>
    <w:p w14:paraId="0E00C8FF">
      <w:pPr>
        <w:keepNext/>
        <w:keepLines/>
        <w:widowControl w:val="0"/>
        <w:spacing w:line="360" w:lineRule="auto"/>
        <w:jc w:val="both"/>
        <w:outlineLvl w:val="2"/>
        <w:rPr>
          <w:rFonts w:ascii="Times New Roman" w:hAnsi="Times New Roman" w:eastAsia="宋体" w:cs="Times New Roman"/>
          <w:b/>
          <w:bCs/>
          <w:color w:val="auto"/>
          <w:kern w:val="0"/>
          <w:sz w:val="28"/>
          <w:szCs w:val="28"/>
          <w:lang w:val="en-US" w:eastAsia="zh-CN" w:bidi="ar-SA"/>
        </w:rPr>
      </w:pPr>
      <w:r>
        <w:rPr>
          <w:rFonts w:ascii="Times New Roman" w:hAnsi="Times New Roman" w:eastAsia="宋体" w:cs="Calibri"/>
          <w:b/>
          <w:bCs/>
          <w:color w:val="auto"/>
          <w:kern w:val="0"/>
          <w:sz w:val="28"/>
          <w:szCs w:val="28"/>
          <w:lang w:val="en-US" w:eastAsia="zh-CN" w:bidi="ar-SA"/>
        </w:rPr>
        <w:t>2.1.3</w:t>
      </w:r>
      <w:r>
        <w:rPr>
          <w:rFonts w:hint="eastAsia" w:ascii="Times New Roman" w:hAnsi="Times New Roman" w:eastAsia="宋体" w:cs="宋体"/>
          <w:b/>
          <w:bCs/>
          <w:color w:val="auto"/>
          <w:kern w:val="0"/>
          <w:sz w:val="28"/>
          <w:szCs w:val="28"/>
          <w:lang w:val="en-US" w:eastAsia="zh-CN" w:bidi="ar-SA"/>
        </w:rPr>
        <w:t>安全设施符合性诊断及整改设计情况</w:t>
      </w:r>
    </w:p>
    <w:p w14:paraId="11B49A81">
      <w:pPr>
        <w:spacing w:line="360" w:lineRule="auto"/>
        <w:ind w:firstLine="536"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spacing w:val="-6"/>
          <w:kern w:val="2"/>
          <w:sz w:val="28"/>
          <w:szCs w:val="28"/>
        </w:rPr>
        <w:t>加油站经营多年，部分设施与原设计或与现状存在出入，有的资料也缺失，加油站为了加强安全管理，隐患排查，补齐资料，于202</w:t>
      </w:r>
      <w:r>
        <w:rPr>
          <w:rFonts w:hint="eastAsia" w:ascii="Times New Roman" w:hAnsi="Times New Roman" w:eastAsia="宋体" w:cs="宋体"/>
          <w:bCs w:val="0"/>
          <w:color w:val="auto"/>
          <w:spacing w:val="-6"/>
          <w:kern w:val="2"/>
          <w:sz w:val="28"/>
          <w:szCs w:val="28"/>
          <w:lang w:val="en-US" w:eastAsia="zh-CN"/>
        </w:rPr>
        <w:t>6</w:t>
      </w:r>
      <w:r>
        <w:rPr>
          <w:rFonts w:hint="eastAsia" w:ascii="Times New Roman" w:hAnsi="Times New Roman" w:eastAsia="宋体" w:cs="宋体"/>
          <w:bCs w:val="0"/>
          <w:color w:val="auto"/>
          <w:spacing w:val="-6"/>
          <w:kern w:val="2"/>
          <w:sz w:val="28"/>
          <w:szCs w:val="28"/>
        </w:rPr>
        <w:t>年</w:t>
      </w:r>
      <w:r>
        <w:rPr>
          <w:rFonts w:hint="eastAsia" w:ascii="Times New Roman" w:hAnsi="Times New Roman" w:eastAsia="宋体" w:cs="宋体"/>
          <w:bCs w:val="0"/>
          <w:color w:val="auto"/>
          <w:spacing w:val="-6"/>
          <w:kern w:val="2"/>
          <w:sz w:val="28"/>
          <w:szCs w:val="28"/>
          <w:lang w:val="en-US" w:eastAsia="zh-CN"/>
        </w:rPr>
        <w:t>5</w:t>
      </w:r>
      <w:r>
        <w:rPr>
          <w:rFonts w:hint="eastAsia" w:ascii="Times New Roman" w:hAnsi="Times New Roman" w:eastAsia="宋体" w:cs="宋体"/>
          <w:bCs w:val="0"/>
          <w:color w:val="auto"/>
          <w:spacing w:val="-6"/>
          <w:kern w:val="2"/>
          <w:sz w:val="28"/>
          <w:szCs w:val="28"/>
        </w:rPr>
        <w:t>月委托海湾工程有限公司出具了《中国石化销售股份有限公司</w:t>
      </w:r>
      <w:r>
        <w:rPr>
          <w:rFonts w:hint="eastAsia" w:ascii="Times New Roman" w:hAnsi="Times New Roman" w:eastAsia="宋体" w:cs="宋体"/>
          <w:bCs w:val="0"/>
          <w:color w:val="auto"/>
          <w:spacing w:val="-6"/>
          <w:kern w:val="2"/>
          <w:sz w:val="28"/>
          <w:szCs w:val="28"/>
          <w:lang w:eastAsia="zh-CN"/>
        </w:rPr>
        <w:t>江西赣州兴国石油分公司南坑加油站</w:t>
      </w:r>
      <w:r>
        <w:rPr>
          <w:rFonts w:hint="eastAsia" w:ascii="Times New Roman" w:hAnsi="Times New Roman" w:eastAsia="宋体" w:cs="宋体"/>
          <w:bCs w:val="0"/>
          <w:color w:val="auto"/>
          <w:spacing w:val="-6"/>
          <w:kern w:val="2"/>
          <w:sz w:val="28"/>
          <w:szCs w:val="28"/>
        </w:rPr>
        <w:t>安全设施符合性诊断及整改设计》，并通过专家审查。</w:t>
      </w:r>
    </w:p>
    <w:p w14:paraId="651FAA7E">
      <w:pPr>
        <w:widowControl w:val="0"/>
        <w:autoSpaceDE w:val="0"/>
        <w:autoSpaceDN w:val="0"/>
        <w:adjustRightInd w:val="0"/>
        <w:spacing w:line="360" w:lineRule="auto"/>
        <w:ind w:firstLine="454"/>
        <w:jc w:val="both"/>
        <w:rPr>
          <w:rFonts w:ascii="Times New Roman" w:hAnsi="Times New Roman" w:eastAsia="宋体" w:cs="宋体"/>
          <w:color w:val="auto"/>
          <w:kern w:val="0"/>
          <w:sz w:val="28"/>
          <w:szCs w:val="28"/>
          <w:lang w:val="en-US" w:eastAsia="zh-CN" w:bidi="ar-SA"/>
        </w:rPr>
      </w:pPr>
      <w:r>
        <w:rPr>
          <w:rFonts w:hint="eastAsia" w:ascii="Times New Roman" w:hAnsi="Times New Roman" w:eastAsia="宋体" w:cs="宋体"/>
          <w:color w:val="auto"/>
          <w:kern w:val="0"/>
          <w:sz w:val="28"/>
          <w:szCs w:val="28"/>
          <w:lang w:val="en-US" w:eastAsia="zh-CN" w:bidi="ar-SA"/>
        </w:rPr>
        <w:t>海湾工程有限公司针对加油站的总图、建构结构、工艺管道、电气仪表、消防等专业分别进行了诊断，并根据加油站的实际情况补充了对应的图纸，如总平面布置图、工艺流程图、消防器材布置图、视频监控、爆炸危险区域划分图、防雷接地图等图纸。</w:t>
      </w:r>
    </w:p>
    <w:p w14:paraId="68E66E12">
      <w:pPr>
        <w:widowControl w:val="0"/>
        <w:tabs>
          <w:tab w:val="center" w:pos="4536"/>
        </w:tabs>
        <w:autoSpaceDE w:val="0"/>
        <w:autoSpaceDN w:val="0"/>
        <w:adjustRightInd w:val="0"/>
        <w:spacing w:line="360" w:lineRule="auto"/>
        <w:ind w:firstLine="454"/>
        <w:jc w:val="both"/>
        <w:rPr>
          <w:rFonts w:ascii="Times New Roman" w:hAnsi="Times New Roman" w:eastAsia="宋体" w:cs="Times New Roman"/>
          <w:color w:val="auto"/>
          <w:kern w:val="0"/>
          <w:sz w:val="28"/>
          <w:szCs w:val="28"/>
          <w:lang w:val="en-US" w:eastAsia="zh-CN" w:bidi="ar-SA"/>
        </w:rPr>
      </w:pPr>
      <w:r>
        <w:rPr>
          <w:rFonts w:hint="eastAsia" w:ascii="Times New Roman" w:hAnsi="Times New Roman" w:eastAsia="宋体" w:cs="宋体"/>
          <w:color w:val="auto"/>
          <w:kern w:val="0"/>
          <w:sz w:val="28"/>
          <w:szCs w:val="28"/>
          <w:lang w:val="en-US" w:eastAsia="zh-CN" w:bidi="ar-SA"/>
        </w:rPr>
        <w:t>《安全设施符合性诊断及整改设计》中针对各专业提出了现场整改建议，加油站针对现场整改建议进行了整改，整改后加油站现场与设计一致，详见5.15章节。</w:t>
      </w:r>
    </w:p>
    <w:p w14:paraId="2065EC61">
      <w:pPr>
        <w:spacing w:line="360" w:lineRule="auto"/>
        <w:outlineLvl w:val="1"/>
        <w:rPr>
          <w:rFonts w:ascii="Times New Roman" w:hAnsi="Times New Roman" w:eastAsia="宋体" w:cs="Calibri"/>
          <w:bCs w:val="0"/>
          <w:color w:val="auto"/>
          <w:kern w:val="2"/>
        </w:rPr>
      </w:pPr>
      <w:bookmarkStart w:id="28" w:name="_Toc2031"/>
      <w:r>
        <w:rPr>
          <w:rFonts w:ascii="Times New Roman" w:hAnsi="Times New Roman" w:eastAsia="宋体" w:cs="Times New Roman"/>
          <w:b/>
          <w:color w:val="auto"/>
          <w:kern w:val="2"/>
          <w:sz w:val="28"/>
          <w:szCs w:val="28"/>
        </w:rPr>
        <w:t xml:space="preserve">2.2 </w:t>
      </w:r>
      <w:r>
        <w:rPr>
          <w:rFonts w:hint="eastAsia" w:ascii="Times New Roman" w:hAnsi="Times New Roman" w:eastAsia="宋体" w:cs="宋体"/>
          <w:b/>
          <w:color w:val="auto"/>
          <w:kern w:val="2"/>
          <w:sz w:val="28"/>
          <w:szCs w:val="28"/>
        </w:rPr>
        <w:t>加油站概况</w:t>
      </w:r>
      <w:bookmarkEnd w:id="27"/>
      <w:bookmarkEnd w:id="28"/>
    </w:p>
    <w:p w14:paraId="38A5320F">
      <w:pPr>
        <w:keepNext/>
        <w:keepLines/>
        <w:widowControl w:val="0"/>
        <w:spacing w:line="360" w:lineRule="auto"/>
        <w:jc w:val="both"/>
        <w:outlineLvl w:val="2"/>
        <w:rPr>
          <w:rFonts w:hint="default" w:ascii="Times New Roman" w:hAnsi="Times New Roman" w:eastAsia="宋体" w:cs="Times New Roman"/>
          <w:b/>
          <w:bCs/>
          <w:color w:val="auto"/>
          <w:kern w:val="0"/>
          <w:sz w:val="32"/>
          <w:szCs w:val="32"/>
          <w:lang w:val="en-US" w:eastAsia="zh-CN" w:bidi="ar-SA"/>
        </w:rPr>
      </w:pPr>
      <w:bookmarkStart w:id="29" w:name="_Toc25412"/>
      <w:r>
        <w:rPr>
          <w:rFonts w:ascii="Times New Roman" w:hAnsi="Times New Roman" w:eastAsia="宋体" w:cs="Calibri"/>
          <w:b/>
          <w:bCs/>
          <w:color w:val="auto"/>
          <w:kern w:val="0"/>
          <w:sz w:val="32"/>
          <w:szCs w:val="32"/>
          <w:lang w:val="en-US" w:eastAsia="zh-CN" w:bidi="ar-SA"/>
        </w:rPr>
        <w:t>2.2.1</w:t>
      </w:r>
      <w:r>
        <w:rPr>
          <w:rFonts w:hint="eastAsia" w:ascii="Times New Roman" w:hAnsi="Times New Roman" w:eastAsia="宋体" w:cs="宋体"/>
          <w:b/>
          <w:bCs/>
          <w:color w:val="auto"/>
          <w:kern w:val="0"/>
          <w:sz w:val="32"/>
          <w:szCs w:val="32"/>
          <w:lang w:val="en-US" w:eastAsia="zh-CN" w:bidi="ar-SA"/>
        </w:rPr>
        <w:t>周边环境</w:t>
      </w:r>
      <w:bookmarkEnd w:id="29"/>
    </w:p>
    <w:p w14:paraId="12E8A446">
      <w:pPr>
        <w:spacing w:line="360" w:lineRule="auto"/>
        <w:ind w:firstLine="560" w:firstLineChars="200"/>
        <w:jc w:val="both"/>
        <w:rPr>
          <w:rFonts w:hint="default" w:ascii="Times New Roman" w:hAnsi="Times New Roman" w:eastAsia="宋体" w:cs="Times New Roman"/>
          <w:bCs w:val="0"/>
          <w:color w:val="auto"/>
          <w:kern w:val="2"/>
          <w:sz w:val="28"/>
          <w:szCs w:val="28"/>
          <w:lang w:val="en-US" w:eastAsia="zh-CN"/>
        </w:rPr>
      </w:pPr>
      <w:r>
        <w:rPr>
          <w:rFonts w:hint="eastAsia" w:ascii="Times New Roman" w:hAnsi="Times New Roman" w:eastAsia="宋体" w:cs="Times New Roman"/>
          <w:bCs w:val="0"/>
          <w:color w:val="auto"/>
          <w:kern w:val="2"/>
          <w:sz w:val="28"/>
          <w:szCs w:val="28"/>
          <w:lang w:val="en-US" w:eastAsia="zh-CN"/>
        </w:rPr>
        <w:t>加油站位于江西省赣州市兴国县南坑乡。加油站东侧为架空通讯线（H=6m）、架空电力线（有绝缘层，H=7m）、民房（三类保护物）；南侧为架空电力线（有绝缘层，H=7m）；西侧为架空通讯线（H=6m）、民房（三类保护物）；北侧为X456县道、架空通讯线（H=7m）、民房（三类保护物）。</w:t>
      </w:r>
    </w:p>
    <w:p w14:paraId="6CBFDFB5">
      <w:pPr>
        <w:spacing w:line="360" w:lineRule="auto"/>
        <w:ind w:firstLine="560" w:firstLineChars="200"/>
        <w:jc w:val="both"/>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lang w:val="en-US" w:eastAsia="zh-CN"/>
        </w:rPr>
        <w:t xml:space="preserve">根据提供的总平面布置图和现场实地勘查，周边 </w:t>
      </w:r>
      <w:r>
        <w:rPr>
          <w:rFonts w:hint="default" w:ascii="Times New Roman" w:hAnsi="Times New Roman" w:eastAsia="宋体" w:cs="Times New Roman"/>
          <w:bCs w:val="0"/>
          <w:color w:val="auto"/>
          <w:kern w:val="2"/>
          <w:sz w:val="28"/>
          <w:szCs w:val="28"/>
          <w:lang w:val="en-US" w:eastAsia="zh-CN"/>
        </w:rPr>
        <w:t xml:space="preserve">50m </w:t>
      </w:r>
      <w:r>
        <w:rPr>
          <w:rFonts w:hint="eastAsia" w:ascii="Times New Roman" w:hAnsi="Times New Roman" w:eastAsia="宋体" w:cs="Times New Roman"/>
          <w:bCs w:val="0"/>
          <w:color w:val="auto"/>
          <w:kern w:val="2"/>
          <w:sz w:val="28"/>
          <w:szCs w:val="28"/>
          <w:lang w:val="en-US" w:eastAsia="zh-CN"/>
        </w:rPr>
        <w:t>内无重要建筑物，无自然保</w:t>
      </w:r>
      <w:r>
        <w:rPr>
          <w:rFonts w:hint="eastAsia" w:ascii="Times New Roman" w:hAnsi="Times New Roman" w:eastAsia="宋体" w:cs="Times New Roman"/>
          <w:bCs w:val="0"/>
          <w:color w:val="auto"/>
          <w:kern w:val="2"/>
          <w:sz w:val="28"/>
          <w:szCs w:val="28"/>
          <w:u w:val="none"/>
          <w:lang w:val="en-US" w:eastAsia="zh-CN"/>
        </w:rPr>
        <w:t>护</w:t>
      </w:r>
      <w:r>
        <w:rPr>
          <w:rFonts w:hint="eastAsia" w:ascii="Times New Roman" w:hAnsi="Times New Roman" w:eastAsia="宋体" w:cs="Times New Roman"/>
          <w:bCs w:val="0"/>
          <w:color w:val="auto"/>
          <w:kern w:val="2"/>
          <w:sz w:val="28"/>
          <w:szCs w:val="28"/>
          <w:lang w:val="en-US" w:eastAsia="zh-CN"/>
        </w:rPr>
        <w:t>、风景区等。站区内地势平坦，坡向道路。</w:t>
      </w:r>
    </w:p>
    <w:p w14:paraId="41D20714">
      <w:pPr>
        <w:spacing w:line="360" w:lineRule="auto"/>
        <w:ind w:firstLine="560" w:firstLineChars="200"/>
        <w:jc w:val="both"/>
        <w:rPr>
          <w:rFonts w:hint="eastAsia" w:ascii="Times New Roman" w:hAnsi="Times New Roman" w:eastAsia="宋体" w:cs="宋体"/>
          <w:bCs w:val="0"/>
          <w:color w:val="0000FF"/>
          <w:kern w:val="2"/>
          <w:sz w:val="24"/>
          <w:szCs w:val="24"/>
          <w:lang w:val="zh-CN"/>
        </w:rPr>
      </w:pPr>
      <w:r>
        <w:rPr>
          <w:rFonts w:hint="eastAsia" w:ascii="Times New Roman" w:hAnsi="Times New Roman" w:eastAsia="宋体" w:cs="宋体"/>
          <w:bCs w:val="0"/>
          <w:color w:val="auto"/>
          <w:kern w:val="2"/>
          <w:sz w:val="28"/>
          <w:szCs w:val="28"/>
        </w:rPr>
        <w:t>该站油罐、加油机和通气管管口与站外建、构筑物防火距离见下表。</w:t>
      </w:r>
      <w:r>
        <w:rPr>
          <w:rFonts w:hint="eastAsia" w:ascii="Times New Roman" w:hAnsi="Times New Roman" w:eastAsia="宋体" w:cs="宋体"/>
          <w:bCs w:val="0"/>
          <w:color w:val="0000FF"/>
          <w:kern w:val="2"/>
          <w:sz w:val="24"/>
          <w:szCs w:val="24"/>
          <w:lang w:val="zh-CN"/>
        </w:rPr>
        <w:br w:type="page"/>
      </w:r>
    </w:p>
    <w:p w14:paraId="05D4D61B">
      <w:pPr>
        <w:spacing w:line="240" w:lineRule="atLeast"/>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w:t>
      </w:r>
      <w:r>
        <w:rPr>
          <w:rFonts w:hint="eastAsia" w:ascii="Times New Roman" w:hAnsi="Times New Roman" w:eastAsia="宋体" w:cs="宋体"/>
          <w:bCs w:val="0"/>
          <w:color w:val="auto"/>
          <w:kern w:val="2"/>
          <w:sz w:val="24"/>
          <w:szCs w:val="24"/>
        </w:rPr>
        <w:t>2.2-1</w:t>
      </w:r>
      <w:r>
        <w:rPr>
          <w:rFonts w:hint="eastAsia" w:ascii="Times New Roman" w:hAnsi="Times New Roman" w:eastAsia="宋体" w:cs="宋体"/>
          <w:bCs w:val="0"/>
          <w:color w:val="auto"/>
          <w:kern w:val="2"/>
          <w:sz w:val="24"/>
          <w:szCs w:val="24"/>
          <w:lang w:val="zh-CN"/>
        </w:rPr>
        <w:t xml:space="preserve"> 油罐、加油机和通气管管口与站外</w:t>
      </w:r>
      <w:r>
        <w:rPr>
          <w:rFonts w:hint="eastAsia" w:ascii="Times New Roman" w:hAnsi="Times New Roman" w:eastAsia="宋体" w:cs="宋体"/>
          <w:bCs w:val="0"/>
          <w:color w:val="auto"/>
          <w:kern w:val="2"/>
          <w:sz w:val="24"/>
          <w:szCs w:val="24"/>
        </w:rPr>
        <w:t>建</w:t>
      </w:r>
      <w:r>
        <w:rPr>
          <w:rFonts w:hint="eastAsia" w:ascii="Times New Roman" w:hAnsi="Times New Roman" w:eastAsia="宋体" w:cs="宋体"/>
          <w:bCs w:val="0"/>
          <w:color w:val="auto"/>
          <w:kern w:val="2"/>
          <w:sz w:val="24"/>
          <w:szCs w:val="24"/>
          <w:lang w:val="zh-CN"/>
        </w:rPr>
        <w:t>、构筑物实际距离（m）</w:t>
      </w:r>
    </w:p>
    <w:tbl>
      <w:tblPr>
        <w:tblStyle w:val="7"/>
        <w:tblW w:w="93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1367"/>
        <w:gridCol w:w="4222"/>
        <w:gridCol w:w="1814"/>
      </w:tblGrid>
      <w:tr w14:paraId="46150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934" w:type="dxa"/>
            <w:vAlign w:val="center"/>
          </w:tcPr>
          <w:p w14:paraId="3193B748">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lang w:val="zh-CN"/>
              </w:rPr>
              <w:t>工艺装置</w:t>
            </w:r>
            <w:r>
              <w:rPr>
                <w:rFonts w:ascii="Times New Roman" w:hAnsi="Times New Roman" w:eastAsia="宋体" w:cs="Times New Roman"/>
                <w:b/>
                <w:bCs/>
                <w:color w:val="auto"/>
                <w:kern w:val="2"/>
                <w:szCs w:val="24"/>
              </w:rPr>
              <w:t>名称</w:t>
            </w:r>
          </w:p>
        </w:tc>
        <w:tc>
          <w:tcPr>
            <w:tcW w:w="1367" w:type="dxa"/>
            <w:vAlign w:val="center"/>
          </w:tcPr>
          <w:p w14:paraId="451C56A8">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szCs w:val="24"/>
              </w:rPr>
              <w:t>相对位置</w:t>
            </w:r>
          </w:p>
        </w:tc>
        <w:tc>
          <w:tcPr>
            <w:tcW w:w="4222" w:type="dxa"/>
            <w:vAlign w:val="center"/>
          </w:tcPr>
          <w:p w14:paraId="2DAFAE0E">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szCs w:val="24"/>
              </w:rPr>
              <w:t>建（构）筑物名称</w:t>
            </w:r>
          </w:p>
        </w:tc>
        <w:tc>
          <w:tcPr>
            <w:tcW w:w="1814" w:type="dxa"/>
            <w:vAlign w:val="center"/>
          </w:tcPr>
          <w:p w14:paraId="79A52273">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szCs w:val="24"/>
              </w:rPr>
              <w:t>防火间距（m）</w:t>
            </w:r>
          </w:p>
        </w:tc>
      </w:tr>
      <w:tr w14:paraId="3A147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restart"/>
            <w:vAlign w:val="center"/>
          </w:tcPr>
          <w:p w14:paraId="3D12FF23">
            <w:pPr>
              <w:spacing w:line="240" w:lineRule="exact"/>
              <w:jc w:val="center"/>
              <w:rPr>
                <w:rFonts w:ascii="Times New Roman" w:hAnsi="Times New Roman" w:eastAsia="宋体" w:cs="Times New Roman"/>
                <w:bCs/>
                <w:color w:val="auto"/>
                <w:kern w:val="2"/>
                <w:szCs w:val="24"/>
              </w:rPr>
            </w:pPr>
            <w:r>
              <w:rPr>
                <w:rFonts w:ascii="Times New Roman" w:hAnsi="Times New Roman" w:eastAsia="宋体" w:cs="Times New Roman"/>
                <w:bCs/>
                <w:color w:val="auto"/>
                <w:kern w:val="2"/>
                <w:szCs w:val="24"/>
              </w:rPr>
              <w:t>汽油/柴油埋地油罐</w:t>
            </w:r>
          </w:p>
        </w:tc>
        <w:tc>
          <w:tcPr>
            <w:tcW w:w="1367" w:type="dxa"/>
            <w:shd w:val="clear" w:color="auto" w:fill="auto"/>
            <w:vAlign w:val="center"/>
          </w:tcPr>
          <w:p w14:paraId="29F5502D">
            <w:pPr>
              <w:spacing w:line="240" w:lineRule="exact"/>
              <w:jc w:val="center"/>
              <w:rPr>
                <w:rFonts w:hint="eastAsia"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东北</w:t>
            </w:r>
            <w:r>
              <w:rPr>
                <w:rFonts w:hint="eastAsia" w:ascii="Times New Roman" w:hAnsi="Times New Roman" w:eastAsia="宋体" w:cs="Times New Roman"/>
                <w:bCs/>
                <w:color w:val="auto"/>
                <w:kern w:val="2"/>
                <w:szCs w:val="24"/>
              </w:rPr>
              <w:t>侧</w:t>
            </w:r>
          </w:p>
        </w:tc>
        <w:tc>
          <w:tcPr>
            <w:tcW w:w="4222" w:type="dxa"/>
            <w:shd w:val="clear" w:color="auto" w:fill="auto"/>
            <w:vAlign w:val="center"/>
          </w:tcPr>
          <w:p w14:paraId="6A6C6792">
            <w:pPr>
              <w:spacing w:line="240" w:lineRule="exact"/>
              <w:jc w:val="center"/>
              <w:rPr>
                <w:rFonts w:hint="eastAsia"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架空通讯线（H=6m）</w:t>
            </w:r>
          </w:p>
        </w:tc>
        <w:tc>
          <w:tcPr>
            <w:tcW w:w="1814" w:type="dxa"/>
            <w:vAlign w:val="center"/>
          </w:tcPr>
          <w:p w14:paraId="47E1B6F5">
            <w:pPr>
              <w:spacing w:line="240" w:lineRule="exact"/>
              <w:jc w:val="center"/>
              <w:rPr>
                <w:rFonts w:hint="default"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val="0"/>
                <w:color w:val="auto"/>
                <w:kern w:val="2"/>
                <w:lang w:val="en-US" w:eastAsia="zh-CN"/>
              </w:rPr>
              <w:t>17.0/21.0</w:t>
            </w:r>
          </w:p>
        </w:tc>
      </w:tr>
      <w:tr w14:paraId="0D530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73EF3464">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3E169121">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东北侧</w:t>
            </w:r>
          </w:p>
        </w:tc>
        <w:tc>
          <w:tcPr>
            <w:tcW w:w="4222" w:type="dxa"/>
            <w:shd w:val="clear" w:color="auto" w:fill="auto"/>
            <w:vAlign w:val="center"/>
          </w:tcPr>
          <w:p w14:paraId="35BC9FE3">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2DFA749B">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24.6/28.4</w:t>
            </w:r>
          </w:p>
        </w:tc>
      </w:tr>
      <w:tr w14:paraId="363262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20D22778">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523051B5">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东侧</w:t>
            </w:r>
          </w:p>
        </w:tc>
        <w:tc>
          <w:tcPr>
            <w:tcW w:w="4222" w:type="dxa"/>
            <w:shd w:val="clear" w:color="auto" w:fill="auto"/>
            <w:vAlign w:val="center"/>
          </w:tcPr>
          <w:p w14:paraId="4C49CACF">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814" w:type="dxa"/>
            <w:vAlign w:val="center"/>
          </w:tcPr>
          <w:p w14:paraId="517D423A">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14.5/17.9</w:t>
            </w:r>
          </w:p>
        </w:tc>
      </w:tr>
      <w:tr w14:paraId="45636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20338B20">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6D0C8FD4">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南侧</w:t>
            </w:r>
          </w:p>
        </w:tc>
        <w:tc>
          <w:tcPr>
            <w:tcW w:w="4222" w:type="dxa"/>
            <w:shd w:val="clear" w:color="auto" w:fill="auto"/>
            <w:vAlign w:val="center"/>
          </w:tcPr>
          <w:p w14:paraId="3492C104">
            <w:pPr>
              <w:spacing w:line="240" w:lineRule="exact"/>
              <w:jc w:val="center"/>
              <w:rPr>
                <w:rFonts w:hint="eastAsia"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架空电力线（有绝缘层，H=7m）</w:t>
            </w:r>
          </w:p>
        </w:tc>
        <w:tc>
          <w:tcPr>
            <w:tcW w:w="1814" w:type="dxa"/>
            <w:vAlign w:val="center"/>
          </w:tcPr>
          <w:p w14:paraId="4D7C2EC7">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8.6/6.1</w:t>
            </w:r>
          </w:p>
        </w:tc>
      </w:tr>
      <w:tr w14:paraId="3DEF6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0758A376">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3A769207">
            <w:pPr>
              <w:spacing w:line="240" w:lineRule="exact"/>
              <w:jc w:val="center"/>
              <w:rPr>
                <w:rFonts w:hint="default"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4222" w:type="dxa"/>
            <w:shd w:val="clear" w:color="auto" w:fill="auto"/>
            <w:vAlign w:val="center"/>
          </w:tcPr>
          <w:p w14:paraId="2319E157">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23906111">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15.4/11.6</w:t>
            </w:r>
          </w:p>
        </w:tc>
      </w:tr>
      <w:tr w14:paraId="28926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4C969D83">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2D52961B">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4222" w:type="dxa"/>
            <w:shd w:val="clear" w:color="auto" w:fill="auto"/>
            <w:vAlign w:val="center"/>
          </w:tcPr>
          <w:p w14:paraId="0F4303E5">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架空通讯线（H=6m）</w:t>
            </w:r>
          </w:p>
        </w:tc>
        <w:tc>
          <w:tcPr>
            <w:tcW w:w="1814" w:type="dxa"/>
            <w:vAlign w:val="center"/>
          </w:tcPr>
          <w:p w14:paraId="6C2FE5C1">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12.8/9.5</w:t>
            </w:r>
          </w:p>
        </w:tc>
      </w:tr>
      <w:tr w14:paraId="689BD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0C9B10F8">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55686FCA">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42778045">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X456县道</w:t>
            </w:r>
          </w:p>
        </w:tc>
        <w:tc>
          <w:tcPr>
            <w:tcW w:w="1814" w:type="dxa"/>
            <w:vAlign w:val="center"/>
          </w:tcPr>
          <w:p w14:paraId="41F8E3DD">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11.5/11.5</w:t>
            </w:r>
          </w:p>
        </w:tc>
      </w:tr>
      <w:tr w14:paraId="23247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1BFBC269">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714BF6EE">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6DA2E272">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架空通讯线（H=7m）</w:t>
            </w:r>
          </w:p>
        </w:tc>
        <w:tc>
          <w:tcPr>
            <w:tcW w:w="1814" w:type="dxa"/>
            <w:vAlign w:val="center"/>
          </w:tcPr>
          <w:p w14:paraId="4CDA26F3">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23.4/25.1</w:t>
            </w:r>
          </w:p>
        </w:tc>
      </w:tr>
      <w:tr w14:paraId="24893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1803D288">
            <w:pPr>
              <w:spacing w:line="240" w:lineRule="exact"/>
              <w:jc w:val="center"/>
              <w:rPr>
                <w:rFonts w:ascii="Times New Roman" w:hAnsi="Times New Roman" w:eastAsia="宋体" w:cs="Times New Roman"/>
                <w:bCs/>
                <w:color w:val="auto"/>
                <w:kern w:val="2"/>
                <w:szCs w:val="24"/>
              </w:rPr>
            </w:pPr>
          </w:p>
        </w:tc>
        <w:tc>
          <w:tcPr>
            <w:tcW w:w="1367" w:type="dxa"/>
            <w:shd w:val="clear" w:color="auto" w:fill="auto"/>
            <w:vAlign w:val="center"/>
          </w:tcPr>
          <w:p w14:paraId="21D1189B">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13318656">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5B44D9FC">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25.8/25.8</w:t>
            </w:r>
          </w:p>
        </w:tc>
      </w:tr>
      <w:tr w14:paraId="537EA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restart"/>
            <w:vAlign w:val="center"/>
          </w:tcPr>
          <w:p w14:paraId="53D2D5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r>
              <w:rPr>
                <w:rFonts w:ascii="Times New Roman" w:hAnsi="Times New Roman" w:eastAsia="宋体" w:cs="Times New Roman"/>
                <w:bCs/>
                <w:color w:val="auto"/>
                <w:kern w:val="2"/>
                <w:szCs w:val="24"/>
              </w:rPr>
              <w:t>汽油/柴油通气管</w:t>
            </w:r>
          </w:p>
        </w:tc>
        <w:tc>
          <w:tcPr>
            <w:tcW w:w="1367" w:type="dxa"/>
            <w:shd w:val="clear" w:color="auto" w:fill="auto"/>
            <w:vAlign w:val="center"/>
          </w:tcPr>
          <w:p w14:paraId="41BEB26C">
            <w:pPr>
              <w:spacing w:line="240" w:lineRule="exact"/>
              <w:jc w:val="center"/>
              <w:rPr>
                <w:rFonts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东北</w:t>
            </w:r>
            <w:r>
              <w:rPr>
                <w:rFonts w:hint="eastAsia" w:ascii="Times New Roman" w:hAnsi="Times New Roman" w:eastAsia="宋体" w:cs="Times New Roman"/>
                <w:bCs/>
                <w:color w:val="auto"/>
                <w:kern w:val="2"/>
                <w:szCs w:val="24"/>
              </w:rPr>
              <w:t>侧</w:t>
            </w:r>
          </w:p>
        </w:tc>
        <w:tc>
          <w:tcPr>
            <w:tcW w:w="4222" w:type="dxa"/>
            <w:shd w:val="clear" w:color="auto" w:fill="auto"/>
            <w:vAlign w:val="center"/>
          </w:tcPr>
          <w:p w14:paraId="579F926E">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架空通讯线（H=6m）</w:t>
            </w:r>
          </w:p>
        </w:tc>
        <w:tc>
          <w:tcPr>
            <w:tcW w:w="1814" w:type="dxa"/>
            <w:vAlign w:val="center"/>
          </w:tcPr>
          <w:p w14:paraId="7A83C16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20.0/20.0</w:t>
            </w:r>
          </w:p>
        </w:tc>
      </w:tr>
      <w:tr w14:paraId="567509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3050EB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06D9F5AE">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东北侧</w:t>
            </w:r>
          </w:p>
        </w:tc>
        <w:tc>
          <w:tcPr>
            <w:tcW w:w="4222" w:type="dxa"/>
            <w:shd w:val="clear" w:color="auto" w:fill="auto"/>
            <w:vAlign w:val="center"/>
          </w:tcPr>
          <w:p w14:paraId="3782FCF6">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07AF16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28.0/28.0</w:t>
            </w:r>
          </w:p>
        </w:tc>
      </w:tr>
      <w:tr w14:paraId="0C639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161E87A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1ECBD5FE">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东侧</w:t>
            </w:r>
          </w:p>
        </w:tc>
        <w:tc>
          <w:tcPr>
            <w:tcW w:w="4222" w:type="dxa"/>
            <w:shd w:val="clear" w:color="auto" w:fill="auto"/>
            <w:vAlign w:val="center"/>
          </w:tcPr>
          <w:p w14:paraId="76E96A28">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814" w:type="dxa"/>
            <w:vAlign w:val="center"/>
          </w:tcPr>
          <w:p w14:paraId="3382A40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17.8/17.8</w:t>
            </w:r>
          </w:p>
        </w:tc>
      </w:tr>
      <w:tr w14:paraId="15330C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5B728F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59248BD9">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南侧</w:t>
            </w:r>
          </w:p>
        </w:tc>
        <w:tc>
          <w:tcPr>
            <w:tcW w:w="4222" w:type="dxa"/>
            <w:shd w:val="clear" w:color="auto" w:fill="auto"/>
            <w:vAlign w:val="center"/>
          </w:tcPr>
          <w:p w14:paraId="0B6F3102">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814" w:type="dxa"/>
            <w:vAlign w:val="center"/>
          </w:tcPr>
          <w:p w14:paraId="7B81647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9.8/9.8</w:t>
            </w:r>
          </w:p>
        </w:tc>
      </w:tr>
      <w:tr w14:paraId="3ACB2C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384A8B3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4C9729D6">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4222" w:type="dxa"/>
            <w:shd w:val="clear" w:color="auto" w:fill="auto"/>
            <w:vAlign w:val="center"/>
          </w:tcPr>
          <w:p w14:paraId="15739398">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118671B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15.0/15.0</w:t>
            </w:r>
          </w:p>
        </w:tc>
      </w:tr>
      <w:tr w14:paraId="62602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5A7935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7F84786C">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4222" w:type="dxa"/>
            <w:shd w:val="clear" w:color="auto" w:fill="auto"/>
            <w:vAlign w:val="center"/>
          </w:tcPr>
          <w:p w14:paraId="61F4FAEC">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架空通讯线（H=6m）</w:t>
            </w:r>
          </w:p>
        </w:tc>
        <w:tc>
          <w:tcPr>
            <w:tcW w:w="1814" w:type="dxa"/>
            <w:vAlign w:val="center"/>
          </w:tcPr>
          <w:p w14:paraId="5607896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13.5/13.5</w:t>
            </w:r>
          </w:p>
        </w:tc>
      </w:tr>
      <w:tr w14:paraId="75D98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5B5189D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6D95AE19">
            <w:pPr>
              <w:spacing w:line="240" w:lineRule="exact"/>
              <w:jc w:val="center"/>
              <w:rPr>
                <w:rFonts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0BF903B4">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X456县道</w:t>
            </w:r>
          </w:p>
        </w:tc>
        <w:tc>
          <w:tcPr>
            <w:tcW w:w="1814" w:type="dxa"/>
            <w:vAlign w:val="center"/>
          </w:tcPr>
          <w:p w14:paraId="1142A22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15.1/15.1</w:t>
            </w:r>
          </w:p>
        </w:tc>
      </w:tr>
      <w:tr w14:paraId="188063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56905FB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6C87FF68">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6AEBFB9A">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架空通讯线（H=7m）</w:t>
            </w:r>
          </w:p>
        </w:tc>
        <w:tc>
          <w:tcPr>
            <w:tcW w:w="1814" w:type="dxa"/>
            <w:vAlign w:val="center"/>
          </w:tcPr>
          <w:p w14:paraId="74570B6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27.3/27.3</w:t>
            </w:r>
          </w:p>
        </w:tc>
      </w:tr>
      <w:tr w14:paraId="08CF5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394248E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66E8A75D">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78E0DB76">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0BBFA9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29.5/29.5</w:t>
            </w:r>
          </w:p>
        </w:tc>
      </w:tr>
      <w:tr w14:paraId="2FFB3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restart"/>
            <w:vAlign w:val="center"/>
          </w:tcPr>
          <w:p w14:paraId="6C4475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r>
              <w:rPr>
                <w:rFonts w:ascii="Times New Roman" w:hAnsi="Times New Roman" w:eastAsia="宋体" w:cs="Times New Roman"/>
                <w:bCs w:val="0"/>
                <w:color w:val="auto"/>
                <w:kern w:val="2"/>
                <w:szCs w:val="24"/>
                <w:lang w:val="zh-CN"/>
              </w:rPr>
              <w:t>汽油</w:t>
            </w:r>
            <w:r>
              <w:rPr>
                <w:rFonts w:ascii="Times New Roman" w:hAnsi="Times New Roman" w:eastAsia="宋体" w:cs="Times New Roman"/>
                <w:bCs w:val="0"/>
                <w:color w:val="auto"/>
                <w:kern w:val="2"/>
                <w:szCs w:val="24"/>
              </w:rPr>
              <w:t>/柴油</w:t>
            </w:r>
            <w:r>
              <w:rPr>
                <w:rFonts w:ascii="Times New Roman" w:hAnsi="Times New Roman" w:eastAsia="宋体" w:cs="Times New Roman"/>
                <w:bCs w:val="0"/>
                <w:color w:val="auto"/>
                <w:kern w:val="2"/>
                <w:szCs w:val="24"/>
                <w:lang w:val="zh-CN"/>
              </w:rPr>
              <w:t>加油机</w:t>
            </w:r>
          </w:p>
        </w:tc>
        <w:tc>
          <w:tcPr>
            <w:tcW w:w="1367" w:type="dxa"/>
            <w:shd w:val="clear" w:color="auto" w:fill="auto"/>
            <w:vAlign w:val="center"/>
          </w:tcPr>
          <w:p w14:paraId="0B03ADE3">
            <w:pPr>
              <w:spacing w:line="240" w:lineRule="exact"/>
              <w:jc w:val="center"/>
              <w:rPr>
                <w:rFonts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东</w:t>
            </w:r>
            <w:r>
              <w:rPr>
                <w:rFonts w:hint="eastAsia" w:ascii="Times New Roman" w:hAnsi="Times New Roman" w:eastAsia="宋体" w:cs="Times New Roman"/>
                <w:bCs/>
                <w:color w:val="auto"/>
                <w:kern w:val="2"/>
                <w:szCs w:val="24"/>
              </w:rPr>
              <w:t>侧</w:t>
            </w:r>
          </w:p>
        </w:tc>
        <w:tc>
          <w:tcPr>
            <w:tcW w:w="4222" w:type="dxa"/>
            <w:shd w:val="clear" w:color="auto" w:fill="auto"/>
            <w:vAlign w:val="center"/>
          </w:tcPr>
          <w:p w14:paraId="7E73B51B">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架空通讯线（H=6m）</w:t>
            </w:r>
          </w:p>
        </w:tc>
        <w:tc>
          <w:tcPr>
            <w:tcW w:w="1814" w:type="dxa"/>
            <w:vAlign w:val="center"/>
          </w:tcPr>
          <w:p w14:paraId="035C15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10.7/7.8</w:t>
            </w:r>
          </w:p>
        </w:tc>
      </w:tr>
      <w:tr w14:paraId="6CA72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48F580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367" w:type="dxa"/>
            <w:shd w:val="clear" w:color="auto" w:fill="auto"/>
            <w:vAlign w:val="center"/>
          </w:tcPr>
          <w:p w14:paraId="214179BE">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东侧</w:t>
            </w:r>
          </w:p>
        </w:tc>
        <w:tc>
          <w:tcPr>
            <w:tcW w:w="4222" w:type="dxa"/>
            <w:shd w:val="clear" w:color="auto" w:fill="auto"/>
            <w:vAlign w:val="center"/>
          </w:tcPr>
          <w:p w14:paraId="440DF1FC">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206494C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16.4/12.9</w:t>
            </w:r>
          </w:p>
        </w:tc>
      </w:tr>
      <w:tr w14:paraId="62821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79E5B41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367" w:type="dxa"/>
            <w:shd w:val="clear" w:color="auto" w:fill="auto"/>
            <w:vAlign w:val="center"/>
          </w:tcPr>
          <w:p w14:paraId="0BB41A14">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东侧</w:t>
            </w:r>
          </w:p>
        </w:tc>
        <w:tc>
          <w:tcPr>
            <w:tcW w:w="4222" w:type="dxa"/>
            <w:shd w:val="clear" w:color="auto" w:fill="auto"/>
            <w:vAlign w:val="center"/>
          </w:tcPr>
          <w:p w14:paraId="2A7D66EA">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814" w:type="dxa"/>
            <w:vAlign w:val="center"/>
          </w:tcPr>
          <w:p w14:paraId="264D71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12.3/8.4</w:t>
            </w:r>
          </w:p>
        </w:tc>
      </w:tr>
      <w:tr w14:paraId="4E8FC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45E8E5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367" w:type="dxa"/>
            <w:shd w:val="clear" w:color="auto" w:fill="auto"/>
            <w:vAlign w:val="center"/>
          </w:tcPr>
          <w:p w14:paraId="45B61005">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南侧</w:t>
            </w:r>
          </w:p>
        </w:tc>
        <w:tc>
          <w:tcPr>
            <w:tcW w:w="4222" w:type="dxa"/>
            <w:shd w:val="clear" w:color="auto" w:fill="auto"/>
            <w:vAlign w:val="center"/>
          </w:tcPr>
          <w:p w14:paraId="49593B2A">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814" w:type="dxa"/>
            <w:vAlign w:val="center"/>
          </w:tcPr>
          <w:p w14:paraId="66BABA9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24.2/26.7</w:t>
            </w:r>
          </w:p>
        </w:tc>
      </w:tr>
      <w:tr w14:paraId="2C07E2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2E049E0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367" w:type="dxa"/>
            <w:shd w:val="clear" w:color="auto" w:fill="auto"/>
            <w:vAlign w:val="center"/>
          </w:tcPr>
          <w:p w14:paraId="78C204C3">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西南侧</w:t>
            </w:r>
          </w:p>
        </w:tc>
        <w:tc>
          <w:tcPr>
            <w:tcW w:w="4222" w:type="dxa"/>
            <w:shd w:val="clear" w:color="auto" w:fill="auto"/>
            <w:vAlign w:val="center"/>
          </w:tcPr>
          <w:p w14:paraId="2567111B">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1E91FC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23.7/28.3</w:t>
            </w:r>
          </w:p>
        </w:tc>
      </w:tr>
      <w:tr w14:paraId="25005D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0159D7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367" w:type="dxa"/>
            <w:shd w:val="clear" w:color="auto" w:fill="auto"/>
            <w:vAlign w:val="center"/>
          </w:tcPr>
          <w:p w14:paraId="3C7964CC">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4222" w:type="dxa"/>
            <w:shd w:val="clear" w:color="auto" w:fill="auto"/>
            <w:vAlign w:val="center"/>
          </w:tcPr>
          <w:p w14:paraId="2156ED5D">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架空通讯线（H=6m）</w:t>
            </w:r>
          </w:p>
        </w:tc>
        <w:tc>
          <w:tcPr>
            <w:tcW w:w="1814" w:type="dxa"/>
            <w:vAlign w:val="center"/>
          </w:tcPr>
          <w:p w14:paraId="6AF38DB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17.0/21.0</w:t>
            </w:r>
          </w:p>
        </w:tc>
      </w:tr>
      <w:tr w14:paraId="4B768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02D116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33E49285">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5D45A3C4">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X456县道</w:t>
            </w:r>
          </w:p>
        </w:tc>
        <w:tc>
          <w:tcPr>
            <w:tcW w:w="1814" w:type="dxa"/>
            <w:vAlign w:val="center"/>
          </w:tcPr>
          <w:p w14:paraId="799DDE2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5.1/5.1</w:t>
            </w:r>
          </w:p>
        </w:tc>
      </w:tr>
      <w:tr w14:paraId="0EEB7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34" w:type="dxa"/>
            <w:vMerge w:val="continue"/>
            <w:vAlign w:val="center"/>
          </w:tcPr>
          <w:p w14:paraId="1541DC8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0F2DEC4A">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北侧</w:t>
            </w:r>
          </w:p>
        </w:tc>
        <w:tc>
          <w:tcPr>
            <w:tcW w:w="4222" w:type="dxa"/>
            <w:shd w:val="clear" w:color="auto" w:fill="auto"/>
            <w:vAlign w:val="center"/>
          </w:tcPr>
          <w:p w14:paraId="158A75AA">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架空通讯线（H=7m）</w:t>
            </w:r>
          </w:p>
        </w:tc>
        <w:tc>
          <w:tcPr>
            <w:tcW w:w="1814" w:type="dxa"/>
            <w:vAlign w:val="center"/>
          </w:tcPr>
          <w:p w14:paraId="0ECF6A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13.3/12.0</w:t>
            </w:r>
          </w:p>
        </w:tc>
      </w:tr>
      <w:tr w14:paraId="779C78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934" w:type="dxa"/>
            <w:vMerge w:val="continue"/>
            <w:vAlign w:val="center"/>
          </w:tcPr>
          <w:p w14:paraId="6D8CC5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367" w:type="dxa"/>
            <w:shd w:val="clear" w:color="auto" w:fill="auto"/>
            <w:vAlign w:val="center"/>
          </w:tcPr>
          <w:p w14:paraId="4F60C5B2">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西北侧</w:t>
            </w:r>
          </w:p>
        </w:tc>
        <w:tc>
          <w:tcPr>
            <w:tcW w:w="4222" w:type="dxa"/>
            <w:shd w:val="clear" w:color="auto" w:fill="auto"/>
            <w:vAlign w:val="center"/>
          </w:tcPr>
          <w:p w14:paraId="220766D7">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814" w:type="dxa"/>
            <w:vAlign w:val="center"/>
          </w:tcPr>
          <w:p w14:paraId="4C312F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19.4/19.4</w:t>
            </w:r>
          </w:p>
        </w:tc>
      </w:tr>
    </w:tbl>
    <w:p w14:paraId="0FB26A44">
      <w:pPr>
        <w:keepNext/>
        <w:keepLines/>
        <w:widowControl w:val="0"/>
        <w:spacing w:line="360" w:lineRule="auto"/>
        <w:jc w:val="both"/>
        <w:outlineLvl w:val="2"/>
        <w:rPr>
          <w:rFonts w:ascii="Times New Roman" w:hAnsi="Times New Roman" w:eastAsia="宋体" w:cs="Times New Roman"/>
          <w:b/>
          <w:bCs/>
          <w:color w:val="auto"/>
          <w:kern w:val="0"/>
          <w:sz w:val="28"/>
          <w:szCs w:val="28"/>
          <w:lang w:val="en-US" w:eastAsia="zh-CN" w:bidi="ar-SA"/>
        </w:rPr>
      </w:pPr>
      <w:bookmarkStart w:id="30" w:name="_Toc7824"/>
      <w:r>
        <w:rPr>
          <w:rFonts w:ascii="Times New Roman" w:hAnsi="Times New Roman" w:eastAsia="宋体" w:cs="Calibri"/>
          <w:b/>
          <w:bCs/>
          <w:color w:val="auto"/>
          <w:kern w:val="0"/>
          <w:sz w:val="28"/>
          <w:szCs w:val="28"/>
          <w:lang w:val="en-US" w:eastAsia="zh-CN" w:bidi="ar-SA"/>
        </w:rPr>
        <w:t>2.2.3</w:t>
      </w:r>
      <w:r>
        <w:rPr>
          <w:rFonts w:hint="eastAsia" w:ascii="Times New Roman" w:hAnsi="Times New Roman" w:eastAsia="宋体" w:cs="宋体"/>
          <w:b/>
          <w:bCs/>
          <w:color w:val="auto"/>
          <w:kern w:val="0"/>
          <w:sz w:val="28"/>
          <w:szCs w:val="28"/>
          <w:lang w:val="en-US" w:eastAsia="zh-CN" w:bidi="ar-SA"/>
        </w:rPr>
        <w:t>总图及平面布置</w:t>
      </w:r>
      <w:bookmarkEnd w:id="30"/>
    </w:p>
    <w:p w14:paraId="50EA0E8C">
      <w:pPr>
        <w:spacing w:line="360" w:lineRule="auto"/>
        <w:ind w:firstLine="560" w:firstLineChars="200"/>
        <w:jc w:val="left"/>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加油站总平面布置按功能划分为站房、油罐区、加油区、密闭卸油口、隔油池等。</w:t>
      </w:r>
    </w:p>
    <w:p w14:paraId="7E62B986">
      <w:pPr>
        <w:spacing w:line="360" w:lineRule="auto"/>
        <w:ind w:firstLine="560" w:firstLineChars="200"/>
        <w:jc w:val="left"/>
        <w:rPr>
          <w:rFonts w:hint="eastAsia"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加油站区内地势平坦，坡向道路，地面坡度&lt;2%。站内混凝土路面与</w:t>
      </w:r>
      <w:r>
        <w:rPr>
          <w:rFonts w:hint="eastAsia" w:ascii="Times New Roman" w:hAnsi="Times New Roman" w:eastAsia="宋体" w:cs="Times New Roman"/>
          <w:bCs w:val="0"/>
          <w:color w:val="auto"/>
          <w:kern w:val="2"/>
          <w:sz w:val="28"/>
          <w:szCs w:val="28"/>
          <w:lang w:val="en-US" w:eastAsia="zh-CN"/>
        </w:rPr>
        <w:t>将军大道</w:t>
      </w:r>
      <w:r>
        <w:rPr>
          <w:rFonts w:hint="eastAsia" w:ascii="Times New Roman" w:hAnsi="Times New Roman" w:eastAsia="宋体" w:cs="Times New Roman"/>
          <w:bCs w:val="0"/>
          <w:color w:val="auto"/>
          <w:kern w:val="2"/>
          <w:sz w:val="28"/>
          <w:szCs w:val="28"/>
        </w:rPr>
        <w:t>相连，进口、出口分开设置。站后设有高2.2m的实体围墙与外部隔开。</w:t>
      </w:r>
    </w:p>
    <w:p w14:paraId="78175118">
      <w:pPr>
        <w:spacing w:line="360" w:lineRule="auto"/>
        <w:ind w:firstLine="562" w:firstLineChars="200"/>
        <w:jc w:val="left"/>
        <w:rPr>
          <w:rFonts w:hint="default" w:ascii="Times New Roman" w:hAnsi="Times New Roman" w:eastAsia="宋体" w:cs="Times New Roman"/>
          <w:bCs w:val="0"/>
          <w:color w:val="0000FF"/>
          <w:kern w:val="2"/>
          <w:sz w:val="28"/>
          <w:szCs w:val="28"/>
          <w:lang w:val="en-US" w:eastAsia="zh-CN"/>
        </w:rPr>
      </w:pPr>
      <w:r>
        <w:rPr>
          <w:rFonts w:hint="eastAsia" w:ascii="Times New Roman" w:hAnsi="Times New Roman" w:eastAsia="宋体" w:cs="宋体"/>
          <w:b/>
          <w:bCs/>
          <w:color w:val="auto"/>
          <w:kern w:val="2"/>
          <w:sz w:val="28"/>
          <w:szCs w:val="28"/>
          <w:lang w:val="zh-CN"/>
        </w:rPr>
        <w:t>站房：</w:t>
      </w:r>
      <w:r>
        <w:rPr>
          <w:rFonts w:hint="eastAsia" w:ascii="Times New Roman" w:hAnsi="Times New Roman" w:eastAsia="宋体" w:cs="Times New Roman"/>
          <w:bCs w:val="0"/>
          <w:color w:val="auto"/>
          <w:kern w:val="2"/>
          <w:sz w:val="28"/>
          <w:szCs w:val="28"/>
        </w:rPr>
        <w:t>位于站区</w:t>
      </w:r>
      <w:r>
        <w:rPr>
          <w:rFonts w:hint="eastAsia" w:ascii="Times New Roman" w:hAnsi="Times New Roman" w:eastAsia="宋体" w:cs="Times New Roman"/>
          <w:bCs w:val="0"/>
          <w:color w:val="auto"/>
          <w:kern w:val="2"/>
          <w:sz w:val="28"/>
          <w:szCs w:val="28"/>
          <w:lang w:val="en-US" w:eastAsia="zh-CN"/>
        </w:rPr>
        <w:t>中部</w:t>
      </w:r>
      <w:r>
        <w:rPr>
          <w:rFonts w:hint="eastAsia" w:ascii="Times New Roman" w:hAnsi="Times New Roman" w:eastAsia="宋体" w:cs="Times New Roman"/>
          <w:bCs w:val="0"/>
          <w:color w:val="auto"/>
          <w:kern w:val="2"/>
          <w:sz w:val="28"/>
          <w:szCs w:val="28"/>
        </w:rPr>
        <w:t>，为一层建筑，砖混结构，砼地面，占地面积</w:t>
      </w:r>
      <w:r>
        <w:rPr>
          <w:rFonts w:hint="eastAsia" w:ascii="Times New Roman" w:hAnsi="Times New Roman" w:eastAsia="宋体" w:cs="Times New Roman"/>
          <w:bCs w:val="0"/>
          <w:color w:val="auto"/>
          <w:kern w:val="2"/>
          <w:sz w:val="28"/>
          <w:szCs w:val="28"/>
          <w:lang w:val="en-US" w:eastAsia="zh-CN"/>
        </w:rPr>
        <w:t>108.34</w:t>
      </w:r>
      <w:r>
        <w:rPr>
          <w:rFonts w:hint="eastAsia" w:ascii="Times New Roman" w:hAnsi="Times New Roman" w:eastAsia="宋体" w:cs="Times New Roman"/>
          <w:bCs w:val="0"/>
          <w:color w:val="auto"/>
          <w:kern w:val="2"/>
          <w:sz w:val="28"/>
          <w:szCs w:val="28"/>
        </w:rPr>
        <w:t>m</w:t>
      </w:r>
      <w:r>
        <w:rPr>
          <w:rFonts w:hint="eastAsia" w:ascii="Times New Roman" w:hAnsi="Times New Roman" w:eastAsia="宋体" w:cs="Times New Roman"/>
          <w:bCs w:val="0"/>
          <w:color w:val="auto"/>
          <w:kern w:val="2"/>
          <w:sz w:val="28"/>
          <w:szCs w:val="28"/>
          <w:vertAlign w:val="superscript"/>
        </w:rPr>
        <w:t>2</w:t>
      </w:r>
      <w:r>
        <w:rPr>
          <w:rFonts w:hint="eastAsia" w:ascii="Times New Roman" w:hAnsi="Times New Roman" w:eastAsia="宋体" w:cs="Times New Roman"/>
          <w:bCs w:val="0"/>
          <w:color w:val="auto"/>
          <w:kern w:val="2"/>
          <w:sz w:val="28"/>
          <w:szCs w:val="28"/>
        </w:rPr>
        <w:t>，内设值班室、营业厅、站长室、卫生间</w:t>
      </w:r>
      <w:r>
        <w:rPr>
          <w:rFonts w:hint="eastAsia" w:ascii="Times New Roman" w:hAnsi="Times New Roman" w:eastAsia="宋体" w:cs="Times New Roman"/>
          <w:bCs w:val="0"/>
          <w:color w:val="auto"/>
          <w:kern w:val="2"/>
          <w:sz w:val="28"/>
          <w:szCs w:val="28"/>
          <w:lang w:eastAsia="zh-CN"/>
        </w:rPr>
        <w:t>、</w:t>
      </w:r>
      <w:r>
        <w:rPr>
          <w:rFonts w:hint="eastAsia" w:ascii="Times New Roman" w:hAnsi="Times New Roman" w:eastAsia="宋体" w:cs="Times New Roman"/>
          <w:bCs w:val="0"/>
          <w:color w:val="auto"/>
          <w:kern w:val="2"/>
          <w:sz w:val="28"/>
          <w:szCs w:val="28"/>
          <w:lang w:val="en-US" w:eastAsia="zh-CN"/>
        </w:rPr>
        <w:t>配电间</w:t>
      </w:r>
      <w:r>
        <w:rPr>
          <w:rFonts w:hint="eastAsia" w:ascii="Times New Roman" w:hAnsi="Times New Roman" w:eastAsia="宋体" w:cs="Times New Roman"/>
          <w:bCs w:val="0"/>
          <w:color w:val="auto"/>
          <w:kern w:val="2"/>
          <w:sz w:val="28"/>
          <w:szCs w:val="28"/>
        </w:rPr>
        <w:t>等。</w:t>
      </w:r>
    </w:p>
    <w:p w14:paraId="11EB6DF8">
      <w:pPr>
        <w:spacing w:line="360" w:lineRule="auto"/>
        <w:ind w:firstLine="562" w:firstLineChars="200"/>
        <w:jc w:val="left"/>
        <w:rPr>
          <w:rFonts w:hint="eastAsia" w:ascii="Times New Roman" w:hAnsi="Times New Roman" w:eastAsia="宋体" w:cs="宋体"/>
          <w:bCs w:val="0"/>
          <w:color w:val="auto"/>
          <w:kern w:val="2"/>
          <w:sz w:val="28"/>
          <w:szCs w:val="28"/>
          <w:lang w:val="zh-CN" w:eastAsia="zh-CN"/>
        </w:rPr>
      </w:pPr>
      <w:r>
        <w:rPr>
          <w:rFonts w:hint="eastAsia" w:ascii="Times New Roman" w:hAnsi="Times New Roman" w:eastAsia="宋体" w:cs="宋体"/>
          <w:b/>
          <w:bCs/>
          <w:color w:val="auto"/>
          <w:kern w:val="2"/>
          <w:sz w:val="28"/>
          <w:szCs w:val="28"/>
          <w:lang w:val="zh-CN"/>
        </w:rPr>
        <w:t>油罐区：</w:t>
      </w:r>
      <w:r>
        <w:rPr>
          <w:rFonts w:hint="eastAsia" w:ascii="Times New Roman" w:hAnsi="Times New Roman" w:eastAsia="宋体" w:cs="宋体"/>
          <w:bCs w:val="0"/>
          <w:color w:val="auto"/>
          <w:kern w:val="2"/>
          <w:sz w:val="28"/>
          <w:szCs w:val="28"/>
          <w:lang w:val="zh-CN"/>
        </w:rPr>
        <w:t>位于站区</w:t>
      </w:r>
      <w:r>
        <w:rPr>
          <w:rFonts w:hint="eastAsia" w:ascii="Times New Roman" w:hAnsi="Times New Roman" w:eastAsia="宋体" w:cs="宋体"/>
          <w:bCs w:val="0"/>
          <w:color w:val="auto"/>
          <w:kern w:val="2"/>
          <w:sz w:val="28"/>
          <w:szCs w:val="28"/>
          <w:lang w:val="en-US" w:eastAsia="zh-CN"/>
        </w:rPr>
        <w:t>西</w:t>
      </w:r>
      <w:r>
        <w:rPr>
          <w:rFonts w:hint="eastAsia" w:ascii="Times New Roman" w:hAnsi="Times New Roman" w:eastAsia="宋体" w:cs="宋体"/>
          <w:bCs w:val="0"/>
          <w:color w:val="auto"/>
          <w:kern w:val="2"/>
          <w:sz w:val="28"/>
          <w:szCs w:val="28"/>
          <w:lang w:val="zh-CN"/>
        </w:rPr>
        <w:t>南</w:t>
      </w:r>
      <w:r>
        <w:rPr>
          <w:rFonts w:hint="eastAsia" w:ascii="Times New Roman" w:hAnsi="Times New Roman" w:eastAsia="宋体" w:cs="宋体"/>
          <w:bCs w:val="0"/>
          <w:color w:val="auto"/>
          <w:kern w:val="2"/>
          <w:sz w:val="28"/>
          <w:szCs w:val="28"/>
          <w:lang w:val="en-US" w:eastAsia="zh-CN"/>
        </w:rPr>
        <w:t>部</w:t>
      </w:r>
      <w:r>
        <w:rPr>
          <w:rFonts w:hint="eastAsia" w:ascii="Times New Roman" w:hAnsi="Times New Roman" w:eastAsia="宋体" w:cs="宋体"/>
          <w:bCs w:val="0"/>
          <w:color w:val="auto"/>
          <w:kern w:val="2"/>
          <w:sz w:val="28"/>
          <w:szCs w:val="28"/>
          <w:lang w:val="zh-CN"/>
        </w:rPr>
        <w:t>，</w:t>
      </w:r>
      <w:r>
        <w:rPr>
          <w:rFonts w:hint="eastAsia" w:ascii="Times New Roman" w:hAnsi="Times New Roman" w:eastAsia="宋体" w:cs="宋体"/>
          <w:bCs w:val="0"/>
          <w:color w:val="auto"/>
          <w:kern w:val="2"/>
          <w:sz w:val="28"/>
          <w:szCs w:val="28"/>
          <w:lang w:val="en-US" w:eastAsia="zh-CN"/>
        </w:rPr>
        <w:t>2</w:t>
      </w:r>
      <w:r>
        <w:rPr>
          <w:rFonts w:hint="eastAsia" w:ascii="Times New Roman" w:hAnsi="Times New Roman" w:eastAsia="宋体" w:cs="宋体"/>
          <w:bCs w:val="0"/>
          <w:color w:val="auto"/>
          <w:kern w:val="2"/>
          <w:sz w:val="28"/>
          <w:szCs w:val="28"/>
          <w:lang w:val="zh-CN"/>
        </w:rPr>
        <w:t>个卧式埋地SF油罐，分别为</w:t>
      </w:r>
      <w:r>
        <w:rPr>
          <w:rFonts w:hint="eastAsia" w:ascii="Times New Roman" w:hAnsi="Times New Roman" w:eastAsia="宋体" w:cs="Times New Roman"/>
          <w:bCs w:val="0"/>
          <w:color w:val="auto"/>
          <w:kern w:val="2"/>
          <w:sz w:val="28"/>
          <w:szCs w:val="28"/>
          <w:lang w:val="en-US" w:eastAsia="zh-CN"/>
        </w:rPr>
        <w:t>3</w:t>
      </w:r>
      <w:r>
        <w:rPr>
          <w:rFonts w:ascii="Times New Roman" w:hAnsi="Times New Roman" w:eastAsia="宋体" w:cs="Times New Roman"/>
          <w:bCs w:val="0"/>
          <w:color w:val="auto"/>
          <w:kern w:val="2"/>
          <w:sz w:val="28"/>
          <w:szCs w:val="28"/>
        </w:rPr>
        <w:t>0m</w:t>
      </w:r>
      <w:r>
        <w:rPr>
          <w:rFonts w:ascii="Times New Roman" w:hAnsi="Times New Roman" w:eastAsia="宋体" w:cs="Times New Roman"/>
          <w:bCs w:val="0"/>
          <w:color w:val="auto"/>
          <w:kern w:val="2"/>
          <w:sz w:val="28"/>
          <w:szCs w:val="28"/>
          <w:vertAlign w:val="superscript"/>
        </w:rPr>
        <w:t>3</w:t>
      </w:r>
      <w:r>
        <w:rPr>
          <w:rFonts w:ascii="Times New Roman" w:hAnsi="Times New Roman" w:eastAsia="宋体" w:cs="Times New Roman"/>
          <w:bCs w:val="0"/>
          <w:color w:val="auto"/>
          <w:kern w:val="2"/>
          <w:sz w:val="28"/>
          <w:szCs w:val="28"/>
        </w:rPr>
        <w:t>的9</w:t>
      </w:r>
      <w:r>
        <w:rPr>
          <w:rFonts w:hint="eastAsia" w:ascii="Times New Roman" w:hAnsi="Times New Roman" w:eastAsia="宋体" w:cs="Times New Roman"/>
          <w:bCs w:val="0"/>
          <w:color w:val="auto"/>
          <w:kern w:val="2"/>
          <w:sz w:val="28"/>
          <w:szCs w:val="28"/>
          <w:lang w:val="en-US" w:eastAsia="zh-CN"/>
        </w:rPr>
        <w:t>2</w:t>
      </w:r>
      <w:r>
        <w:rPr>
          <w:rFonts w:ascii="Times New Roman" w:hAnsi="Times New Roman" w:eastAsia="宋体" w:cs="Times New Roman"/>
          <w:bCs w:val="0"/>
          <w:color w:val="auto"/>
          <w:kern w:val="2"/>
          <w:sz w:val="28"/>
          <w:szCs w:val="28"/>
        </w:rPr>
        <w:t>#汽油储罐1个，</w:t>
      </w:r>
      <w:r>
        <w:rPr>
          <w:rFonts w:hint="eastAsia" w:ascii="Times New Roman" w:hAnsi="Times New Roman" w:eastAsia="宋体" w:cs="Times New Roman"/>
          <w:bCs w:val="0"/>
          <w:color w:val="auto"/>
          <w:kern w:val="2"/>
          <w:sz w:val="28"/>
          <w:szCs w:val="28"/>
          <w:lang w:val="en-US" w:eastAsia="zh-CN"/>
        </w:rPr>
        <w:t>3</w:t>
      </w:r>
      <w:r>
        <w:rPr>
          <w:rFonts w:ascii="Times New Roman" w:hAnsi="Times New Roman" w:eastAsia="宋体" w:cs="Times New Roman"/>
          <w:bCs w:val="0"/>
          <w:color w:val="auto"/>
          <w:kern w:val="2"/>
          <w:sz w:val="28"/>
          <w:szCs w:val="28"/>
        </w:rPr>
        <w:t>0m</w:t>
      </w:r>
      <w:r>
        <w:rPr>
          <w:rFonts w:ascii="Times New Roman" w:hAnsi="Times New Roman" w:eastAsia="宋体" w:cs="Times New Roman"/>
          <w:bCs w:val="0"/>
          <w:color w:val="auto"/>
          <w:kern w:val="2"/>
          <w:sz w:val="28"/>
          <w:szCs w:val="28"/>
          <w:vertAlign w:val="superscript"/>
        </w:rPr>
        <w:t>3</w:t>
      </w:r>
      <w:r>
        <w:rPr>
          <w:rFonts w:ascii="Times New Roman" w:hAnsi="Times New Roman" w:eastAsia="宋体" w:cs="Times New Roman"/>
          <w:bCs w:val="0"/>
          <w:color w:val="auto"/>
          <w:kern w:val="2"/>
          <w:sz w:val="28"/>
          <w:szCs w:val="28"/>
        </w:rPr>
        <w:t>的0#柴油储罐1个</w:t>
      </w:r>
      <w:r>
        <w:rPr>
          <w:rFonts w:hint="eastAsia" w:ascii="Times New Roman" w:hAnsi="Times New Roman" w:eastAsia="宋体" w:cs="宋体"/>
          <w:bCs w:val="0"/>
          <w:color w:val="auto"/>
          <w:kern w:val="2"/>
          <w:sz w:val="28"/>
          <w:szCs w:val="28"/>
          <w:lang w:val="zh-CN"/>
        </w:rPr>
        <w:t>。柴油通气管、汽油通气管</w:t>
      </w:r>
      <w:r>
        <w:rPr>
          <w:rFonts w:hint="eastAsia" w:ascii="Times New Roman" w:hAnsi="Times New Roman" w:eastAsia="宋体" w:cs="宋体"/>
          <w:bCs w:val="0"/>
          <w:color w:val="auto"/>
          <w:kern w:val="2"/>
          <w:sz w:val="28"/>
          <w:szCs w:val="28"/>
          <w:lang w:val="zh-CN" w:eastAsia="zh-CN"/>
        </w:rPr>
        <w:t>位于</w:t>
      </w:r>
      <w:r>
        <w:rPr>
          <w:rFonts w:hint="eastAsia" w:ascii="Times New Roman" w:hAnsi="Times New Roman" w:eastAsia="宋体" w:cs="宋体"/>
          <w:bCs w:val="0"/>
          <w:color w:val="auto"/>
          <w:kern w:val="2"/>
          <w:sz w:val="28"/>
          <w:szCs w:val="28"/>
          <w:lang w:val="en-US" w:eastAsia="zh-CN"/>
        </w:rPr>
        <w:t>罐区</w:t>
      </w:r>
      <w:r>
        <w:rPr>
          <w:rFonts w:hint="eastAsia" w:ascii="Times New Roman" w:hAnsi="Times New Roman" w:eastAsia="宋体" w:cs="宋体"/>
          <w:bCs w:val="0"/>
          <w:color w:val="auto"/>
          <w:kern w:val="2"/>
          <w:sz w:val="28"/>
          <w:szCs w:val="28"/>
          <w:lang w:val="zh-CN" w:eastAsia="zh-CN"/>
        </w:rPr>
        <w:t>内，为50mm无缝钢管，通气管高出</w:t>
      </w:r>
      <w:r>
        <w:rPr>
          <w:rFonts w:hint="eastAsia" w:ascii="Times New Roman" w:hAnsi="Times New Roman" w:eastAsia="宋体" w:cs="宋体"/>
          <w:bCs w:val="0"/>
          <w:color w:val="auto"/>
          <w:kern w:val="2"/>
          <w:sz w:val="28"/>
          <w:szCs w:val="28"/>
          <w:lang w:val="en-US" w:eastAsia="zh-CN"/>
        </w:rPr>
        <w:t>地面4</w:t>
      </w:r>
      <w:r>
        <w:rPr>
          <w:rFonts w:hint="eastAsia" w:ascii="Times New Roman" w:hAnsi="Times New Roman" w:eastAsia="宋体" w:cs="宋体"/>
          <w:bCs w:val="0"/>
          <w:color w:val="auto"/>
          <w:kern w:val="2"/>
          <w:sz w:val="28"/>
          <w:szCs w:val="28"/>
          <w:lang w:val="zh-CN" w:eastAsia="zh-CN"/>
        </w:rPr>
        <w:t>m。</w:t>
      </w:r>
    </w:p>
    <w:p w14:paraId="030C30C9">
      <w:pPr>
        <w:spacing w:line="360" w:lineRule="auto"/>
        <w:ind w:firstLine="562" w:firstLineChars="200"/>
        <w:jc w:val="both"/>
        <w:rPr>
          <w:rFonts w:hint="eastAsia" w:ascii="Times New Roman" w:hAnsi="Times New Roman" w:eastAsia="宋体" w:cs="Times New Roman"/>
          <w:bCs w:val="0"/>
          <w:color w:val="0000FF"/>
          <w:kern w:val="2"/>
          <w:sz w:val="28"/>
          <w:szCs w:val="28"/>
          <w:lang w:eastAsia="zh-CN"/>
        </w:rPr>
      </w:pPr>
      <w:r>
        <w:rPr>
          <w:rFonts w:hint="eastAsia" w:ascii="Times New Roman" w:hAnsi="Times New Roman" w:eastAsia="宋体" w:cs="宋体"/>
          <w:b/>
          <w:bCs/>
          <w:color w:val="auto"/>
          <w:kern w:val="2"/>
          <w:sz w:val="28"/>
          <w:szCs w:val="28"/>
          <w:lang w:val="zh-CN"/>
        </w:rPr>
        <w:t>加油区：</w:t>
      </w:r>
      <w:r>
        <w:rPr>
          <w:rFonts w:hint="eastAsia" w:ascii="Times New Roman" w:hAnsi="Times New Roman" w:eastAsia="宋体" w:cs="Times New Roman"/>
          <w:bCs w:val="0"/>
          <w:color w:val="auto"/>
          <w:kern w:val="2"/>
          <w:sz w:val="28"/>
          <w:szCs w:val="28"/>
        </w:rPr>
        <w:t>加油罩棚位于站区</w:t>
      </w:r>
      <w:r>
        <w:rPr>
          <w:rFonts w:hint="eastAsia" w:ascii="Times New Roman" w:hAnsi="Times New Roman" w:eastAsia="宋体" w:cs="Times New Roman"/>
          <w:bCs w:val="0"/>
          <w:color w:val="auto"/>
          <w:kern w:val="2"/>
          <w:sz w:val="28"/>
          <w:szCs w:val="28"/>
          <w:lang w:val="en-US" w:eastAsia="zh-CN"/>
        </w:rPr>
        <w:t>北</w:t>
      </w:r>
      <w:r>
        <w:rPr>
          <w:rFonts w:hint="eastAsia" w:ascii="Times New Roman" w:hAnsi="Times New Roman" w:eastAsia="宋体" w:cs="Times New Roman"/>
          <w:bCs w:val="0"/>
          <w:color w:val="auto"/>
          <w:kern w:val="2"/>
          <w:sz w:val="28"/>
          <w:szCs w:val="28"/>
        </w:rPr>
        <w:t>部，罩棚高</w:t>
      </w:r>
      <w:r>
        <w:rPr>
          <w:rFonts w:hint="eastAsia" w:ascii="Times New Roman" w:hAnsi="Times New Roman" w:eastAsia="宋体" w:cs="Times New Roman"/>
          <w:bCs w:val="0"/>
          <w:color w:val="auto"/>
          <w:kern w:val="2"/>
          <w:sz w:val="28"/>
          <w:szCs w:val="28"/>
          <w:lang w:val="en-US" w:eastAsia="zh-CN"/>
        </w:rPr>
        <w:t>7.0</w:t>
      </w:r>
      <w:r>
        <w:rPr>
          <w:rFonts w:hint="eastAsia" w:ascii="Times New Roman" w:hAnsi="Times New Roman" w:eastAsia="宋体" w:cs="Times New Roman"/>
          <w:bCs w:val="0"/>
          <w:color w:val="auto"/>
          <w:kern w:val="2"/>
          <w:sz w:val="28"/>
          <w:szCs w:val="28"/>
        </w:rPr>
        <w:t>m，罩棚边缘突出加油机</w:t>
      </w:r>
      <w:r>
        <w:rPr>
          <w:rFonts w:hint="eastAsia" w:ascii="Times New Roman" w:hAnsi="Times New Roman" w:eastAsia="宋体" w:cs="Times New Roman"/>
          <w:bCs w:val="0"/>
          <w:color w:val="auto"/>
          <w:kern w:val="2"/>
          <w:sz w:val="28"/>
          <w:szCs w:val="28"/>
          <w:lang w:val="en-US" w:eastAsia="zh-CN"/>
        </w:rPr>
        <w:t>3</w:t>
      </w:r>
      <w:r>
        <w:rPr>
          <w:rFonts w:hint="eastAsia" w:ascii="Times New Roman" w:hAnsi="Times New Roman" w:eastAsia="宋体" w:cs="Times New Roman"/>
          <w:bCs w:val="0"/>
          <w:color w:val="auto"/>
          <w:kern w:val="2"/>
          <w:sz w:val="28"/>
          <w:szCs w:val="28"/>
        </w:rPr>
        <w:t>m。罩棚共</w:t>
      </w:r>
      <w:r>
        <w:rPr>
          <w:rFonts w:hint="eastAsia" w:ascii="Times New Roman" w:hAnsi="Times New Roman" w:eastAsia="宋体" w:cs="Times New Roman"/>
          <w:bCs w:val="0"/>
          <w:color w:val="auto"/>
          <w:kern w:val="2"/>
          <w:sz w:val="28"/>
          <w:szCs w:val="28"/>
          <w:lang w:val="en-US" w:eastAsia="zh-CN"/>
        </w:rPr>
        <w:t>2</w:t>
      </w:r>
      <w:r>
        <w:rPr>
          <w:rFonts w:hint="eastAsia" w:ascii="Times New Roman" w:hAnsi="Times New Roman" w:eastAsia="宋体" w:cs="Times New Roman"/>
          <w:bCs w:val="0"/>
          <w:color w:val="auto"/>
          <w:kern w:val="2"/>
          <w:sz w:val="28"/>
          <w:szCs w:val="28"/>
        </w:rPr>
        <w:t>根现浇钢筋混凝土立柱，罩棚为螺栓球网架结构，</w:t>
      </w:r>
      <w:r>
        <w:rPr>
          <w:rFonts w:hint="eastAsia" w:ascii="Times New Roman" w:hAnsi="Times New Roman" w:eastAsia="宋体" w:cs="Times New Roman"/>
          <w:bCs w:val="0"/>
          <w:color w:val="auto"/>
          <w:kern w:val="2"/>
          <w:sz w:val="28"/>
          <w:szCs w:val="28"/>
          <w:lang w:val="en-US" w:eastAsia="zh-CN"/>
        </w:rPr>
        <w:t>占地面积126</w:t>
      </w:r>
      <w:r>
        <w:rPr>
          <w:rFonts w:hint="eastAsia" w:ascii="Times New Roman" w:hAnsi="Times New Roman" w:eastAsia="宋体" w:cs="Times New Roman"/>
          <w:bCs w:val="0"/>
          <w:color w:val="auto"/>
          <w:kern w:val="2"/>
          <w:sz w:val="28"/>
          <w:szCs w:val="28"/>
        </w:rPr>
        <w:t>m</w:t>
      </w:r>
      <w:r>
        <w:rPr>
          <w:rFonts w:hint="eastAsia" w:ascii="Times New Roman" w:hAnsi="Times New Roman" w:eastAsia="宋体" w:cs="Times New Roman"/>
          <w:bCs w:val="0"/>
          <w:color w:val="auto"/>
          <w:kern w:val="2"/>
          <w:sz w:val="28"/>
          <w:szCs w:val="28"/>
          <w:vertAlign w:val="superscript"/>
        </w:rPr>
        <w:t>2</w:t>
      </w:r>
      <w:r>
        <w:rPr>
          <w:rFonts w:hint="eastAsia" w:ascii="Times New Roman" w:hAnsi="Times New Roman" w:eastAsia="宋体" w:cs="Times New Roman"/>
          <w:bCs w:val="0"/>
          <w:color w:val="auto"/>
          <w:kern w:val="2"/>
          <w:sz w:val="28"/>
          <w:szCs w:val="28"/>
        </w:rPr>
        <w:t>。内设有</w:t>
      </w:r>
      <w:r>
        <w:rPr>
          <w:rFonts w:hint="eastAsia" w:ascii="Times New Roman" w:hAnsi="Times New Roman" w:eastAsia="宋体" w:cs="Times New Roman"/>
          <w:bCs w:val="0"/>
          <w:color w:val="auto"/>
          <w:kern w:val="2"/>
          <w:sz w:val="28"/>
          <w:szCs w:val="28"/>
          <w:lang w:val="en-US" w:eastAsia="zh-CN"/>
        </w:rPr>
        <w:t>1座通长</w:t>
      </w:r>
      <w:r>
        <w:rPr>
          <w:rFonts w:hint="eastAsia" w:ascii="Times New Roman" w:hAnsi="Times New Roman" w:eastAsia="宋体" w:cs="Times New Roman"/>
          <w:bCs w:val="0"/>
          <w:color w:val="auto"/>
          <w:kern w:val="2"/>
          <w:sz w:val="28"/>
          <w:szCs w:val="28"/>
        </w:rPr>
        <w:t>加油岛，高0.2m，宽1.2m，长</w:t>
      </w:r>
      <w:r>
        <w:rPr>
          <w:rFonts w:hint="eastAsia" w:ascii="Times New Roman" w:hAnsi="Times New Roman" w:eastAsia="宋体" w:cs="Times New Roman"/>
          <w:bCs w:val="0"/>
          <w:color w:val="auto"/>
          <w:kern w:val="2"/>
          <w:sz w:val="28"/>
          <w:szCs w:val="28"/>
          <w:lang w:val="en-US" w:eastAsia="zh-CN"/>
        </w:rPr>
        <w:t>9.5m</w:t>
      </w:r>
      <w:r>
        <w:rPr>
          <w:rFonts w:hint="eastAsia" w:ascii="Times New Roman" w:hAnsi="Times New Roman" w:eastAsia="宋体" w:cs="Times New Roman"/>
          <w:bCs w:val="0"/>
          <w:color w:val="auto"/>
          <w:kern w:val="2"/>
          <w:sz w:val="28"/>
          <w:szCs w:val="28"/>
        </w:rPr>
        <w:t>，加油岛上罩棚支柱距岛端部为0.6m，加油岛布置</w:t>
      </w:r>
      <w:r>
        <w:rPr>
          <w:rFonts w:hint="eastAsia" w:ascii="Times New Roman" w:hAnsi="Times New Roman" w:eastAsia="宋体" w:cs="Times New Roman"/>
          <w:bCs w:val="0"/>
          <w:color w:val="auto"/>
          <w:kern w:val="2"/>
          <w:sz w:val="28"/>
          <w:szCs w:val="28"/>
          <w:lang w:val="en-US" w:eastAsia="zh-CN"/>
        </w:rPr>
        <w:t>2</w:t>
      </w:r>
      <w:r>
        <w:rPr>
          <w:rFonts w:hint="eastAsia" w:ascii="Times New Roman" w:hAnsi="Times New Roman" w:eastAsia="宋体" w:cs="Times New Roman"/>
          <w:bCs w:val="0"/>
          <w:color w:val="auto"/>
          <w:kern w:val="2"/>
          <w:sz w:val="28"/>
          <w:szCs w:val="28"/>
        </w:rPr>
        <w:t>台</w:t>
      </w:r>
      <w:r>
        <w:rPr>
          <w:rFonts w:hint="eastAsia" w:ascii="Times New Roman" w:hAnsi="Times New Roman" w:eastAsia="宋体" w:cs="Times New Roman"/>
          <w:bCs w:val="0"/>
          <w:color w:val="auto"/>
          <w:kern w:val="2"/>
          <w:sz w:val="28"/>
          <w:szCs w:val="28"/>
          <w:lang w:val="en-US" w:eastAsia="zh-CN"/>
        </w:rPr>
        <w:t>双枪</w:t>
      </w:r>
      <w:r>
        <w:rPr>
          <w:rFonts w:hint="eastAsia" w:ascii="Times New Roman" w:hAnsi="Times New Roman" w:eastAsia="宋体" w:cs="Times New Roman"/>
          <w:bCs w:val="0"/>
          <w:color w:val="auto"/>
          <w:kern w:val="2"/>
          <w:sz w:val="28"/>
          <w:szCs w:val="28"/>
        </w:rPr>
        <w:t>加油机</w:t>
      </w:r>
      <w:r>
        <w:rPr>
          <w:rFonts w:hint="eastAsia" w:ascii="Times New Roman" w:hAnsi="Times New Roman" w:eastAsia="宋体" w:cs="Times New Roman"/>
          <w:bCs w:val="0"/>
          <w:color w:val="auto"/>
          <w:kern w:val="2"/>
          <w:sz w:val="28"/>
          <w:szCs w:val="28"/>
          <w:lang w:eastAsia="zh-CN"/>
        </w:rPr>
        <w:t>，</w:t>
      </w:r>
      <w:r>
        <w:rPr>
          <w:rFonts w:hint="eastAsia" w:ascii="Times New Roman" w:hAnsi="Times New Roman" w:eastAsia="宋体" w:cs="Times New Roman"/>
          <w:bCs w:val="0"/>
          <w:color w:val="auto"/>
          <w:kern w:val="2"/>
          <w:sz w:val="28"/>
          <w:szCs w:val="28"/>
          <w:lang w:val="en-US" w:eastAsia="zh-CN"/>
        </w:rPr>
        <w:t>东侧为0#柴油双枪加油机，西侧为92#汽油双枪加油机</w:t>
      </w:r>
      <w:r>
        <w:rPr>
          <w:rFonts w:hint="eastAsia" w:ascii="Times New Roman" w:hAnsi="Times New Roman" w:eastAsia="宋体" w:cs="Times New Roman"/>
          <w:bCs w:val="0"/>
          <w:color w:val="auto"/>
          <w:kern w:val="2"/>
          <w:sz w:val="28"/>
          <w:szCs w:val="28"/>
        </w:rPr>
        <w:t>。</w:t>
      </w:r>
    </w:p>
    <w:p w14:paraId="78A2FF4A">
      <w:pPr>
        <w:spacing w:line="360" w:lineRule="auto"/>
        <w:ind w:firstLine="562" w:firstLineChars="200"/>
        <w:jc w:val="left"/>
        <w:rPr>
          <w:rFonts w:hint="eastAsia" w:ascii="Times New Roman" w:hAnsi="Times New Roman" w:eastAsia="宋体" w:cs="宋体"/>
          <w:bCs w:val="0"/>
          <w:color w:val="auto"/>
          <w:kern w:val="2"/>
          <w:sz w:val="28"/>
          <w:szCs w:val="28"/>
          <w:lang w:val="zh-CN"/>
        </w:rPr>
      </w:pPr>
      <w:r>
        <w:rPr>
          <w:rFonts w:hint="eastAsia" w:ascii="Times New Roman" w:hAnsi="Times New Roman" w:eastAsia="宋体" w:cs="宋体"/>
          <w:b/>
          <w:bCs/>
          <w:color w:val="auto"/>
          <w:kern w:val="2"/>
          <w:sz w:val="28"/>
          <w:szCs w:val="28"/>
          <w:lang w:val="zh-CN"/>
        </w:rPr>
        <w:t>密闭卸油口：</w:t>
      </w:r>
      <w:r>
        <w:rPr>
          <w:rFonts w:hint="eastAsia" w:ascii="Times New Roman" w:hAnsi="Times New Roman" w:eastAsia="宋体" w:cs="宋体"/>
          <w:bCs w:val="0"/>
          <w:color w:val="auto"/>
          <w:kern w:val="2"/>
          <w:sz w:val="28"/>
          <w:szCs w:val="28"/>
          <w:lang w:val="zh-CN"/>
        </w:rPr>
        <w:t>位于罐区</w:t>
      </w:r>
      <w:r>
        <w:rPr>
          <w:rFonts w:hint="eastAsia" w:ascii="Times New Roman" w:hAnsi="Times New Roman" w:eastAsia="宋体" w:cs="宋体"/>
          <w:bCs w:val="0"/>
          <w:color w:val="auto"/>
          <w:kern w:val="2"/>
          <w:sz w:val="28"/>
          <w:szCs w:val="28"/>
          <w:lang w:val="en-US" w:eastAsia="zh-CN"/>
        </w:rPr>
        <w:t>北</w:t>
      </w:r>
      <w:r>
        <w:rPr>
          <w:rFonts w:hint="eastAsia" w:ascii="Times New Roman" w:hAnsi="Times New Roman" w:eastAsia="宋体" w:cs="宋体"/>
          <w:bCs w:val="0"/>
          <w:color w:val="auto"/>
          <w:kern w:val="2"/>
          <w:sz w:val="28"/>
          <w:szCs w:val="28"/>
          <w:lang w:val="zh-CN"/>
        </w:rPr>
        <w:t>侧，设置1座2m</w:t>
      </w:r>
      <w:r>
        <w:rPr>
          <w:rFonts w:hint="eastAsia" w:ascii="Times New Roman" w:hAnsi="Times New Roman" w:eastAsia="宋体" w:cs="宋体"/>
          <w:bCs w:val="0"/>
          <w:color w:val="auto"/>
          <w:kern w:val="2"/>
          <w:sz w:val="28"/>
          <w:szCs w:val="28"/>
          <w:vertAlign w:val="superscript"/>
          <w:lang w:val="zh-CN"/>
        </w:rPr>
        <w:t>3</w:t>
      </w:r>
      <w:r>
        <w:rPr>
          <w:rFonts w:hint="eastAsia" w:ascii="Times New Roman" w:hAnsi="Times New Roman" w:eastAsia="宋体" w:cs="宋体"/>
          <w:bCs w:val="0"/>
          <w:color w:val="auto"/>
          <w:kern w:val="2"/>
          <w:sz w:val="28"/>
          <w:szCs w:val="28"/>
          <w:lang w:val="zh-CN"/>
        </w:rPr>
        <w:t>消防沙池，1个消防器材箱。</w:t>
      </w:r>
    </w:p>
    <w:p w14:paraId="173AC782">
      <w:pPr>
        <w:spacing w:line="360" w:lineRule="auto"/>
        <w:ind w:firstLine="562" w:firstLineChars="200"/>
        <w:jc w:val="left"/>
        <w:rPr>
          <w:rFonts w:hint="eastAsia" w:ascii="Times New Roman" w:hAnsi="Times New Roman" w:eastAsia="宋体" w:cs="宋体"/>
          <w:bCs w:val="0"/>
          <w:color w:val="auto"/>
          <w:kern w:val="2"/>
          <w:sz w:val="28"/>
          <w:szCs w:val="28"/>
          <w:lang w:val="zh-CN"/>
        </w:rPr>
      </w:pPr>
      <w:r>
        <w:rPr>
          <w:rFonts w:hint="eastAsia" w:ascii="Times New Roman" w:hAnsi="Times New Roman" w:eastAsia="宋体" w:cs="宋体"/>
          <w:b/>
          <w:bCs/>
          <w:color w:val="auto"/>
          <w:kern w:val="2"/>
          <w:sz w:val="28"/>
          <w:szCs w:val="28"/>
          <w:lang w:val="zh-CN"/>
        </w:rPr>
        <w:t>隔油池：</w:t>
      </w:r>
      <w:r>
        <w:rPr>
          <w:rFonts w:hint="eastAsia" w:ascii="Times New Roman" w:hAnsi="Times New Roman" w:eastAsia="宋体" w:cs="宋体"/>
          <w:bCs w:val="0"/>
          <w:color w:val="auto"/>
          <w:kern w:val="2"/>
          <w:sz w:val="28"/>
          <w:szCs w:val="28"/>
          <w:lang w:val="zh-CN"/>
        </w:rPr>
        <w:t>设有隔油池一座，位于站区</w:t>
      </w:r>
      <w:r>
        <w:rPr>
          <w:rFonts w:hint="eastAsia" w:ascii="Times New Roman" w:hAnsi="Times New Roman" w:eastAsia="宋体" w:cs="宋体"/>
          <w:bCs w:val="0"/>
          <w:color w:val="auto"/>
          <w:kern w:val="2"/>
          <w:sz w:val="28"/>
          <w:szCs w:val="28"/>
          <w:lang w:val="en-US" w:eastAsia="zh-CN"/>
        </w:rPr>
        <w:t>入口旁</w:t>
      </w:r>
      <w:r>
        <w:rPr>
          <w:rFonts w:hint="eastAsia" w:ascii="Times New Roman" w:hAnsi="Times New Roman" w:eastAsia="宋体" w:cs="宋体"/>
          <w:bCs w:val="0"/>
          <w:color w:val="auto"/>
          <w:kern w:val="2"/>
          <w:sz w:val="28"/>
          <w:szCs w:val="28"/>
          <w:lang w:val="zh-CN"/>
        </w:rPr>
        <w:t>。</w:t>
      </w:r>
    </w:p>
    <w:p w14:paraId="4FE59C4F">
      <w:pPr>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站内设施防火间距详见下表。</w:t>
      </w:r>
    </w:p>
    <w:p w14:paraId="0CAE515E">
      <w:pPr>
        <w:rPr>
          <w:rFonts w:hint="eastAsia"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br w:type="page"/>
      </w:r>
    </w:p>
    <w:p w14:paraId="10B2E0F3">
      <w:pPr>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w:t>
      </w:r>
      <w:r>
        <w:rPr>
          <w:rFonts w:hint="eastAsia" w:ascii="Times New Roman" w:hAnsi="Times New Roman" w:eastAsia="宋体" w:cs="Times New Roman"/>
          <w:bCs w:val="0"/>
          <w:color w:val="auto"/>
          <w:kern w:val="2"/>
          <w:sz w:val="24"/>
          <w:szCs w:val="24"/>
        </w:rPr>
        <w:t>2.2-2</w:t>
      </w:r>
      <w:r>
        <w:rPr>
          <w:rFonts w:hint="eastAsia" w:ascii="Times New Roman" w:hAnsi="Times New Roman" w:eastAsia="宋体" w:cs="宋体"/>
          <w:bCs w:val="0"/>
          <w:color w:val="auto"/>
          <w:kern w:val="2"/>
          <w:sz w:val="24"/>
          <w:szCs w:val="24"/>
          <w:lang w:val="zh-CN"/>
        </w:rPr>
        <w:t>站内加油设施之间防火间距</w:t>
      </w:r>
      <w:r>
        <w:rPr>
          <w:rFonts w:hint="eastAsia" w:ascii="Times New Roman" w:hAnsi="Times New Roman" w:eastAsia="宋体" w:cs="宋体"/>
          <w:bCs w:val="0"/>
          <w:color w:val="auto"/>
          <w:kern w:val="2"/>
          <w:sz w:val="24"/>
          <w:szCs w:val="24"/>
        </w:rPr>
        <w:t>表</w:t>
      </w:r>
    </w:p>
    <w:tbl>
      <w:tblPr>
        <w:tblStyle w:val="7"/>
        <w:tblW w:w="521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51"/>
        <w:gridCol w:w="2187"/>
        <w:gridCol w:w="3017"/>
        <w:gridCol w:w="1925"/>
        <w:gridCol w:w="1808"/>
      </w:tblGrid>
      <w:tr w14:paraId="7C61D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290" w:type="pct"/>
            <w:vAlign w:val="center"/>
          </w:tcPr>
          <w:p w14:paraId="63C8415A">
            <w:pPr>
              <w:autoSpaceDE w:val="0"/>
              <w:autoSpaceDN w:val="0"/>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序号</w:t>
            </w:r>
          </w:p>
        </w:tc>
        <w:tc>
          <w:tcPr>
            <w:tcW w:w="1152" w:type="pct"/>
            <w:vAlign w:val="center"/>
          </w:tcPr>
          <w:p w14:paraId="389EA685">
            <w:pPr>
              <w:autoSpaceDE w:val="0"/>
              <w:autoSpaceDN w:val="0"/>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设施名称</w:t>
            </w:r>
          </w:p>
        </w:tc>
        <w:tc>
          <w:tcPr>
            <w:tcW w:w="1589" w:type="pct"/>
            <w:vAlign w:val="center"/>
          </w:tcPr>
          <w:p w14:paraId="1172C92D">
            <w:pPr>
              <w:autoSpaceDE w:val="0"/>
              <w:autoSpaceDN w:val="0"/>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相邻设施</w:t>
            </w:r>
          </w:p>
        </w:tc>
        <w:tc>
          <w:tcPr>
            <w:tcW w:w="1014" w:type="pct"/>
            <w:vAlign w:val="center"/>
          </w:tcPr>
          <w:p w14:paraId="15845DBD">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标准要求（m）</w:t>
            </w:r>
          </w:p>
        </w:tc>
        <w:tc>
          <w:tcPr>
            <w:tcW w:w="952" w:type="pct"/>
            <w:vAlign w:val="center"/>
          </w:tcPr>
          <w:p w14:paraId="1171369A">
            <w:pPr>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检查记录（m）</w:t>
            </w:r>
          </w:p>
        </w:tc>
      </w:tr>
      <w:tr w14:paraId="266BB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077060F8">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1F8793FB">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埋地油罐</w:t>
            </w:r>
          </w:p>
        </w:tc>
        <w:tc>
          <w:tcPr>
            <w:tcW w:w="1589" w:type="pct"/>
            <w:vAlign w:val="center"/>
          </w:tcPr>
          <w:p w14:paraId="5D09655F">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埋地油罐</w:t>
            </w:r>
          </w:p>
        </w:tc>
        <w:tc>
          <w:tcPr>
            <w:tcW w:w="1014" w:type="pct"/>
            <w:vAlign w:val="center"/>
          </w:tcPr>
          <w:p w14:paraId="18908505">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0.5</w:t>
            </w:r>
          </w:p>
        </w:tc>
        <w:tc>
          <w:tcPr>
            <w:tcW w:w="952" w:type="pct"/>
            <w:vAlign w:val="center"/>
          </w:tcPr>
          <w:p w14:paraId="7116D2DB">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0.5</w:t>
            </w:r>
          </w:p>
        </w:tc>
      </w:tr>
      <w:tr w14:paraId="57F47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290" w:type="pct"/>
            <w:vAlign w:val="center"/>
          </w:tcPr>
          <w:p w14:paraId="246207E6">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3AE242C4">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汽油罐</w:t>
            </w:r>
          </w:p>
        </w:tc>
        <w:tc>
          <w:tcPr>
            <w:tcW w:w="1589" w:type="pct"/>
            <w:vAlign w:val="center"/>
          </w:tcPr>
          <w:p w14:paraId="5E42B472">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7C376AE5">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4</w:t>
            </w:r>
          </w:p>
        </w:tc>
        <w:tc>
          <w:tcPr>
            <w:tcW w:w="952" w:type="pct"/>
            <w:vAlign w:val="center"/>
          </w:tcPr>
          <w:p w14:paraId="6415606E">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5.7</w:t>
            </w:r>
          </w:p>
        </w:tc>
      </w:tr>
      <w:tr w14:paraId="4233E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2514AFE1">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3C47EE76">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柴油罐</w:t>
            </w:r>
          </w:p>
        </w:tc>
        <w:tc>
          <w:tcPr>
            <w:tcW w:w="1589" w:type="pct"/>
            <w:vAlign w:val="center"/>
          </w:tcPr>
          <w:p w14:paraId="6100875C">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77E1F47A">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3</w:t>
            </w:r>
          </w:p>
        </w:tc>
        <w:tc>
          <w:tcPr>
            <w:tcW w:w="952" w:type="pct"/>
            <w:vAlign w:val="center"/>
          </w:tcPr>
          <w:p w14:paraId="6D5C570A">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9.5</w:t>
            </w:r>
          </w:p>
        </w:tc>
      </w:tr>
      <w:tr w14:paraId="654D3C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5A04F2DC">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shd w:val="clear" w:color="auto" w:fill="auto"/>
            <w:vAlign w:val="center"/>
          </w:tcPr>
          <w:p w14:paraId="3A82E9DB">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汽油罐</w:t>
            </w:r>
          </w:p>
        </w:tc>
        <w:tc>
          <w:tcPr>
            <w:tcW w:w="1589" w:type="pct"/>
            <w:shd w:val="clear" w:color="auto" w:fill="auto"/>
            <w:vAlign w:val="center"/>
          </w:tcPr>
          <w:p w14:paraId="1CA4E38B">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14" w:type="pct"/>
            <w:shd w:val="clear" w:color="auto" w:fill="auto"/>
            <w:vAlign w:val="center"/>
          </w:tcPr>
          <w:p w14:paraId="63B9C738">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952" w:type="pct"/>
            <w:vAlign w:val="center"/>
          </w:tcPr>
          <w:p w14:paraId="424A834F">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5.2</w:t>
            </w:r>
          </w:p>
        </w:tc>
      </w:tr>
      <w:tr w14:paraId="743DC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290" w:type="pct"/>
            <w:vAlign w:val="center"/>
          </w:tcPr>
          <w:p w14:paraId="5BDF9E30">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shd w:val="clear" w:color="auto" w:fill="auto"/>
            <w:vAlign w:val="center"/>
          </w:tcPr>
          <w:p w14:paraId="20EA98E4">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柴油罐</w:t>
            </w:r>
          </w:p>
        </w:tc>
        <w:tc>
          <w:tcPr>
            <w:tcW w:w="1589" w:type="pct"/>
            <w:shd w:val="clear" w:color="auto" w:fill="auto"/>
            <w:vAlign w:val="center"/>
          </w:tcPr>
          <w:p w14:paraId="70C76149">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14" w:type="pct"/>
            <w:shd w:val="clear" w:color="auto" w:fill="auto"/>
            <w:vAlign w:val="center"/>
          </w:tcPr>
          <w:p w14:paraId="6289798B">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952" w:type="pct"/>
            <w:vAlign w:val="center"/>
          </w:tcPr>
          <w:p w14:paraId="476D1E8B">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2.2</w:t>
            </w:r>
          </w:p>
        </w:tc>
      </w:tr>
      <w:tr w14:paraId="032E9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6C3A682F">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2ECAED80">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1589" w:type="pct"/>
            <w:vAlign w:val="center"/>
          </w:tcPr>
          <w:p w14:paraId="2BF246E1">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5BE649EE">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4</w:t>
            </w:r>
          </w:p>
        </w:tc>
        <w:tc>
          <w:tcPr>
            <w:tcW w:w="952" w:type="pct"/>
            <w:vAlign w:val="center"/>
          </w:tcPr>
          <w:p w14:paraId="7887849A">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8.6</w:t>
            </w:r>
          </w:p>
        </w:tc>
      </w:tr>
      <w:tr w14:paraId="6C7FC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3C074D9F">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7CF06CB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柴油通气管管口</w:t>
            </w:r>
          </w:p>
        </w:tc>
        <w:tc>
          <w:tcPr>
            <w:tcW w:w="1589" w:type="pct"/>
            <w:vAlign w:val="center"/>
          </w:tcPr>
          <w:p w14:paraId="2F572566">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3FC2275B">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3.5</w:t>
            </w:r>
          </w:p>
        </w:tc>
        <w:tc>
          <w:tcPr>
            <w:tcW w:w="952" w:type="pct"/>
            <w:vAlign w:val="center"/>
          </w:tcPr>
          <w:p w14:paraId="701F5B34">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8.6</w:t>
            </w:r>
          </w:p>
        </w:tc>
      </w:tr>
      <w:tr w14:paraId="23716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3248DC47">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5AB1A656">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1589" w:type="pct"/>
            <w:vAlign w:val="center"/>
          </w:tcPr>
          <w:p w14:paraId="0E575D22">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油品卸车点</w:t>
            </w:r>
          </w:p>
        </w:tc>
        <w:tc>
          <w:tcPr>
            <w:tcW w:w="1014" w:type="pct"/>
            <w:vAlign w:val="center"/>
          </w:tcPr>
          <w:p w14:paraId="47748C45">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3</w:t>
            </w:r>
          </w:p>
        </w:tc>
        <w:tc>
          <w:tcPr>
            <w:tcW w:w="952" w:type="pct"/>
            <w:vAlign w:val="center"/>
          </w:tcPr>
          <w:p w14:paraId="6899256D">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r>
      <w:tr w14:paraId="416F6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12ECB61E">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21DBBC70">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柴油通气管管口</w:t>
            </w:r>
          </w:p>
        </w:tc>
        <w:tc>
          <w:tcPr>
            <w:tcW w:w="1589" w:type="pct"/>
            <w:vAlign w:val="center"/>
          </w:tcPr>
          <w:p w14:paraId="5D3FAC1E">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油品卸车点</w:t>
            </w:r>
          </w:p>
        </w:tc>
        <w:tc>
          <w:tcPr>
            <w:tcW w:w="1014" w:type="pct"/>
            <w:vAlign w:val="center"/>
          </w:tcPr>
          <w:p w14:paraId="74D3D470">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2</w:t>
            </w:r>
          </w:p>
        </w:tc>
        <w:tc>
          <w:tcPr>
            <w:tcW w:w="952" w:type="pct"/>
            <w:vAlign w:val="center"/>
          </w:tcPr>
          <w:p w14:paraId="57094F25">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r>
      <w:tr w14:paraId="2CBB6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39FD96EE">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3D38E307">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1589" w:type="pct"/>
            <w:vAlign w:val="center"/>
          </w:tcPr>
          <w:p w14:paraId="5EE0139E">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14" w:type="pct"/>
            <w:vAlign w:val="center"/>
          </w:tcPr>
          <w:p w14:paraId="6D24C3B3">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952" w:type="pct"/>
            <w:vAlign w:val="center"/>
          </w:tcPr>
          <w:p w14:paraId="4F5F0423">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5.6</w:t>
            </w:r>
          </w:p>
        </w:tc>
      </w:tr>
      <w:tr w14:paraId="1B642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32284725">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07AE9A35">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柴油通气管管口</w:t>
            </w:r>
          </w:p>
        </w:tc>
        <w:tc>
          <w:tcPr>
            <w:tcW w:w="1589" w:type="pct"/>
            <w:vAlign w:val="center"/>
          </w:tcPr>
          <w:p w14:paraId="73276069">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14" w:type="pct"/>
            <w:vAlign w:val="center"/>
          </w:tcPr>
          <w:p w14:paraId="258124EC">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952" w:type="pct"/>
            <w:vAlign w:val="center"/>
          </w:tcPr>
          <w:p w14:paraId="18B63092">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5.6</w:t>
            </w:r>
          </w:p>
        </w:tc>
      </w:tr>
      <w:tr w14:paraId="55747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50F0507D">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0B6ACC0A">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汽油加油机</w:t>
            </w:r>
          </w:p>
        </w:tc>
        <w:tc>
          <w:tcPr>
            <w:tcW w:w="1589" w:type="pct"/>
            <w:vAlign w:val="center"/>
          </w:tcPr>
          <w:p w14:paraId="255F9BB3">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15E85BF5">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5</w:t>
            </w:r>
          </w:p>
        </w:tc>
        <w:tc>
          <w:tcPr>
            <w:tcW w:w="952" w:type="pct"/>
            <w:vAlign w:val="center"/>
          </w:tcPr>
          <w:p w14:paraId="3568E460">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r>
      <w:tr w14:paraId="554F5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779A2C80">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5F64E820">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柴油加油机</w:t>
            </w:r>
          </w:p>
        </w:tc>
        <w:tc>
          <w:tcPr>
            <w:tcW w:w="1589" w:type="pct"/>
            <w:vAlign w:val="center"/>
          </w:tcPr>
          <w:p w14:paraId="2C58A01A">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0CC1C0D2">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4</w:t>
            </w:r>
          </w:p>
        </w:tc>
        <w:tc>
          <w:tcPr>
            <w:tcW w:w="952" w:type="pct"/>
            <w:vAlign w:val="center"/>
          </w:tcPr>
          <w:p w14:paraId="098C527E">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r>
      <w:tr w14:paraId="482D3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7879138D">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6CA305A9">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油品卸车点</w:t>
            </w:r>
          </w:p>
        </w:tc>
        <w:tc>
          <w:tcPr>
            <w:tcW w:w="1589" w:type="pct"/>
            <w:vAlign w:val="center"/>
          </w:tcPr>
          <w:p w14:paraId="7DA0B3C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14" w:type="pct"/>
            <w:vAlign w:val="center"/>
          </w:tcPr>
          <w:p w14:paraId="3D1A16C0">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5</w:t>
            </w:r>
          </w:p>
        </w:tc>
        <w:tc>
          <w:tcPr>
            <w:tcW w:w="952" w:type="pct"/>
            <w:vAlign w:val="center"/>
          </w:tcPr>
          <w:p w14:paraId="4385A724">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5.5</w:t>
            </w:r>
          </w:p>
        </w:tc>
      </w:tr>
      <w:tr w14:paraId="7CE05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51C04B95">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464153A5">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汽油埋地卧式油罐</w:t>
            </w:r>
          </w:p>
        </w:tc>
        <w:tc>
          <w:tcPr>
            <w:tcW w:w="1589" w:type="pct"/>
            <w:vAlign w:val="center"/>
          </w:tcPr>
          <w:p w14:paraId="2544C997">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14" w:type="pct"/>
            <w:vAlign w:val="center"/>
          </w:tcPr>
          <w:p w14:paraId="7E321E6A">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sz w:val="18"/>
                <w:szCs w:val="18"/>
              </w:rPr>
              <w:t>4.5</w:t>
            </w:r>
          </w:p>
        </w:tc>
        <w:tc>
          <w:tcPr>
            <w:tcW w:w="952" w:type="pct"/>
            <w:vAlign w:val="center"/>
          </w:tcPr>
          <w:p w14:paraId="7ED340AE">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14.6</w:t>
            </w:r>
          </w:p>
        </w:tc>
      </w:tr>
      <w:tr w14:paraId="5299C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290" w:type="pct"/>
            <w:vAlign w:val="center"/>
          </w:tcPr>
          <w:p w14:paraId="21BD28BA">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06080E1E">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lang w:val="en-US" w:eastAsia="zh-CN"/>
              </w:rPr>
              <w:t>柴油</w:t>
            </w:r>
            <w:r>
              <w:rPr>
                <w:rFonts w:ascii="Times New Roman" w:hAnsi="Times New Roman" w:eastAsia="宋体" w:cs="Times New Roman"/>
                <w:bCs w:val="0"/>
                <w:color w:val="auto"/>
                <w:kern w:val="0"/>
              </w:rPr>
              <w:t>埋地卧式油罐</w:t>
            </w:r>
          </w:p>
        </w:tc>
        <w:tc>
          <w:tcPr>
            <w:tcW w:w="1589" w:type="pct"/>
            <w:vAlign w:val="center"/>
          </w:tcPr>
          <w:p w14:paraId="21357052">
            <w:pPr>
              <w:autoSpaceDE w:val="0"/>
              <w:autoSpaceDN w:val="0"/>
              <w:jc w:val="center"/>
              <w:rPr>
                <w:rFonts w:hint="eastAsia"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14" w:type="pct"/>
            <w:vAlign w:val="center"/>
          </w:tcPr>
          <w:p w14:paraId="47BF0A59">
            <w:pPr>
              <w:autoSpaceDE w:val="0"/>
              <w:autoSpaceDN w:val="0"/>
              <w:jc w:val="center"/>
              <w:rPr>
                <w:rFonts w:hint="eastAsia" w:ascii="Times New Roman" w:hAnsi="Times New Roman" w:eastAsia="宋体" w:cs="Times New Roman"/>
                <w:bCs w:val="0"/>
                <w:color w:val="auto"/>
                <w:kern w:val="0"/>
                <w:sz w:val="18"/>
                <w:szCs w:val="18"/>
                <w:lang w:val="en-US" w:eastAsia="zh-CN"/>
              </w:rPr>
            </w:pPr>
            <w:r>
              <w:rPr>
                <w:rFonts w:hint="eastAsia" w:ascii="Times New Roman" w:hAnsi="Times New Roman" w:eastAsia="宋体" w:cs="Times New Roman"/>
                <w:bCs w:val="0"/>
                <w:color w:val="auto"/>
                <w:kern w:val="0"/>
                <w:sz w:val="18"/>
                <w:szCs w:val="18"/>
                <w:lang w:val="en-US" w:eastAsia="zh-CN"/>
              </w:rPr>
              <w:t>3</w:t>
            </w:r>
          </w:p>
        </w:tc>
        <w:tc>
          <w:tcPr>
            <w:tcW w:w="952" w:type="pct"/>
            <w:vAlign w:val="center"/>
          </w:tcPr>
          <w:p w14:paraId="3BC46674">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18.2</w:t>
            </w:r>
          </w:p>
        </w:tc>
      </w:tr>
      <w:tr w14:paraId="3C512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01B0E638">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7D50C003">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1589" w:type="pct"/>
            <w:vAlign w:val="center"/>
          </w:tcPr>
          <w:p w14:paraId="23D01F44">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14" w:type="pct"/>
            <w:vAlign w:val="center"/>
          </w:tcPr>
          <w:p w14:paraId="743FEEAE">
            <w:pPr>
              <w:autoSpaceDE w:val="0"/>
              <w:autoSpaceDN w:val="0"/>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0"/>
                <w:sz w:val="18"/>
                <w:szCs w:val="18"/>
              </w:rPr>
              <w:t>5（有卸油油气回收）</w:t>
            </w:r>
          </w:p>
        </w:tc>
        <w:tc>
          <w:tcPr>
            <w:tcW w:w="952" w:type="pct"/>
            <w:vAlign w:val="center"/>
          </w:tcPr>
          <w:p w14:paraId="29A4E5DD">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17.5</w:t>
            </w:r>
          </w:p>
        </w:tc>
      </w:tr>
      <w:tr w14:paraId="01856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90" w:type="pct"/>
            <w:vAlign w:val="center"/>
          </w:tcPr>
          <w:p w14:paraId="5EDE5398">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37676569">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lang w:val="en-US" w:eastAsia="zh-CN"/>
              </w:rPr>
              <w:t>柴油</w:t>
            </w:r>
            <w:r>
              <w:rPr>
                <w:rFonts w:ascii="Times New Roman" w:hAnsi="Times New Roman" w:eastAsia="宋体" w:cs="Times New Roman"/>
                <w:bCs w:val="0"/>
                <w:color w:val="auto"/>
                <w:kern w:val="0"/>
              </w:rPr>
              <w:t>通气管管口</w:t>
            </w:r>
          </w:p>
        </w:tc>
        <w:tc>
          <w:tcPr>
            <w:tcW w:w="1589" w:type="pct"/>
            <w:vAlign w:val="center"/>
          </w:tcPr>
          <w:p w14:paraId="49387853">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14" w:type="pct"/>
            <w:vAlign w:val="center"/>
          </w:tcPr>
          <w:p w14:paraId="592BB4B8">
            <w:pPr>
              <w:autoSpaceDE w:val="0"/>
              <w:autoSpaceDN w:val="0"/>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3</w:t>
            </w:r>
          </w:p>
        </w:tc>
        <w:tc>
          <w:tcPr>
            <w:tcW w:w="952" w:type="pct"/>
            <w:vAlign w:val="center"/>
          </w:tcPr>
          <w:p w14:paraId="322C9A07">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17.5</w:t>
            </w:r>
          </w:p>
        </w:tc>
      </w:tr>
      <w:tr w14:paraId="7AEAD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290" w:type="pct"/>
            <w:vAlign w:val="center"/>
          </w:tcPr>
          <w:p w14:paraId="07222977">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3562028B">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汽油</w:t>
            </w:r>
            <w:r>
              <w:rPr>
                <w:rFonts w:ascii="Times New Roman" w:hAnsi="Times New Roman" w:eastAsia="宋体" w:cs="Times New Roman"/>
                <w:bCs w:val="0"/>
                <w:color w:val="auto"/>
                <w:kern w:val="0"/>
              </w:rPr>
              <w:t>加油机</w:t>
            </w:r>
          </w:p>
        </w:tc>
        <w:tc>
          <w:tcPr>
            <w:tcW w:w="1589" w:type="pct"/>
            <w:vAlign w:val="center"/>
          </w:tcPr>
          <w:p w14:paraId="3AB6AA30">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14" w:type="pct"/>
            <w:vAlign w:val="center"/>
          </w:tcPr>
          <w:p w14:paraId="48D707DE">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sz w:val="18"/>
                <w:szCs w:val="18"/>
              </w:rPr>
              <w:t>6</w:t>
            </w:r>
            <w:r>
              <w:rPr>
                <w:rFonts w:hint="eastAsia" w:ascii="Times New Roman" w:hAnsi="Times New Roman" w:eastAsia="宋体" w:cs="Times New Roman"/>
                <w:bCs w:val="0"/>
                <w:color w:val="auto"/>
                <w:kern w:val="0"/>
                <w:sz w:val="18"/>
                <w:szCs w:val="18"/>
              </w:rPr>
              <w:t>（有卸油油气回收）</w:t>
            </w:r>
          </w:p>
        </w:tc>
        <w:tc>
          <w:tcPr>
            <w:tcW w:w="952" w:type="pct"/>
            <w:vAlign w:val="center"/>
          </w:tcPr>
          <w:p w14:paraId="5B3A3135">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10.8</w:t>
            </w:r>
          </w:p>
        </w:tc>
      </w:tr>
      <w:tr w14:paraId="702F61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290" w:type="pct"/>
            <w:vAlign w:val="center"/>
          </w:tcPr>
          <w:p w14:paraId="5B130B84">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vAlign w:val="center"/>
          </w:tcPr>
          <w:p w14:paraId="0DC0157D">
            <w:pPr>
              <w:autoSpaceDE w:val="0"/>
              <w:autoSpaceDN w:val="0"/>
              <w:jc w:val="center"/>
              <w:rPr>
                <w:rFonts w:hint="eastAsia" w:ascii="Times New Roman" w:hAnsi="Times New Roman" w:eastAsia="宋体" w:cs="Times New Roman"/>
                <w:bCs w:val="0"/>
                <w:color w:val="auto"/>
                <w:kern w:val="0"/>
              </w:rPr>
            </w:pPr>
            <w:r>
              <w:rPr>
                <w:rFonts w:hint="eastAsia" w:ascii="Times New Roman" w:hAnsi="Times New Roman" w:eastAsia="宋体" w:cs="Times New Roman"/>
                <w:bCs w:val="0"/>
                <w:color w:val="auto"/>
                <w:kern w:val="0"/>
                <w:lang w:val="en-US" w:eastAsia="zh-CN"/>
              </w:rPr>
              <w:t>柴油</w:t>
            </w:r>
            <w:r>
              <w:rPr>
                <w:rFonts w:hint="eastAsia" w:ascii="Times New Roman" w:hAnsi="Times New Roman" w:eastAsia="宋体" w:cs="Times New Roman"/>
                <w:bCs w:val="0"/>
                <w:color w:val="auto"/>
                <w:kern w:val="0"/>
              </w:rPr>
              <w:t>加油机</w:t>
            </w:r>
          </w:p>
        </w:tc>
        <w:tc>
          <w:tcPr>
            <w:tcW w:w="1589" w:type="pct"/>
            <w:vAlign w:val="center"/>
          </w:tcPr>
          <w:p w14:paraId="453D3A6F">
            <w:pPr>
              <w:autoSpaceDE w:val="0"/>
              <w:autoSpaceDN w:val="0"/>
              <w:jc w:val="center"/>
              <w:rPr>
                <w:rFonts w:hint="eastAsia"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14" w:type="pct"/>
            <w:vAlign w:val="center"/>
          </w:tcPr>
          <w:p w14:paraId="19F0C0DD">
            <w:pPr>
              <w:autoSpaceDE w:val="0"/>
              <w:autoSpaceDN w:val="0"/>
              <w:jc w:val="center"/>
              <w:rPr>
                <w:rFonts w:hint="eastAsia" w:ascii="Times New Roman" w:hAnsi="Times New Roman" w:eastAsia="宋体" w:cs="Times New Roman"/>
                <w:bCs w:val="0"/>
                <w:color w:val="auto"/>
                <w:kern w:val="0"/>
                <w:sz w:val="18"/>
                <w:szCs w:val="18"/>
                <w:lang w:val="en-US" w:eastAsia="zh-CN"/>
              </w:rPr>
            </w:pPr>
            <w:r>
              <w:rPr>
                <w:rFonts w:hint="eastAsia" w:ascii="Times New Roman" w:hAnsi="Times New Roman" w:eastAsia="宋体" w:cs="Times New Roman"/>
                <w:bCs w:val="0"/>
                <w:color w:val="auto"/>
                <w:kern w:val="0"/>
                <w:sz w:val="18"/>
                <w:szCs w:val="18"/>
                <w:lang w:val="en-US" w:eastAsia="zh-CN"/>
              </w:rPr>
              <w:t>3</w:t>
            </w:r>
          </w:p>
        </w:tc>
        <w:tc>
          <w:tcPr>
            <w:tcW w:w="952" w:type="pct"/>
            <w:vAlign w:val="center"/>
          </w:tcPr>
          <w:p w14:paraId="444B1577">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8.7</w:t>
            </w:r>
          </w:p>
        </w:tc>
      </w:tr>
      <w:tr w14:paraId="117C5C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290" w:type="pct"/>
            <w:vAlign w:val="center"/>
          </w:tcPr>
          <w:p w14:paraId="2E7C181E">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52" w:type="pct"/>
            <w:shd w:val="clear" w:color="auto" w:fill="auto"/>
            <w:vAlign w:val="center"/>
          </w:tcPr>
          <w:p w14:paraId="283A639B">
            <w:pPr>
              <w:autoSpaceDE w:val="0"/>
              <w:autoSpaceDN w:val="0"/>
              <w:jc w:val="center"/>
              <w:rPr>
                <w:rFonts w:hint="eastAsia" w:ascii="Times New Roman" w:hAnsi="Times New Roman" w:eastAsia="宋体" w:cs="Times New Roman"/>
                <w:bCs w:val="0"/>
                <w:color w:val="auto"/>
                <w:kern w:val="0"/>
                <w:sz w:val="21"/>
                <w:szCs w:val="21"/>
                <w:lang w:val="en-US" w:eastAsia="zh-CN" w:bidi="ar-SA"/>
              </w:rPr>
            </w:pPr>
            <w:r>
              <w:rPr>
                <w:rFonts w:ascii="Times New Roman" w:hAnsi="Times New Roman" w:eastAsia="宋体" w:cs="Times New Roman"/>
                <w:bCs w:val="0"/>
                <w:color w:val="auto"/>
                <w:kern w:val="0"/>
              </w:rPr>
              <w:t>汽油密闭卸油口</w:t>
            </w:r>
          </w:p>
        </w:tc>
        <w:tc>
          <w:tcPr>
            <w:tcW w:w="1589" w:type="pct"/>
            <w:shd w:val="clear" w:color="auto" w:fill="auto"/>
            <w:vAlign w:val="center"/>
          </w:tcPr>
          <w:p w14:paraId="1C6A37D2">
            <w:pPr>
              <w:autoSpaceDE w:val="0"/>
              <w:autoSpaceDN w:val="0"/>
              <w:jc w:val="center"/>
              <w:rPr>
                <w:rFonts w:hint="eastAsia"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rPr>
              <w:t>配电间</w:t>
            </w:r>
          </w:p>
        </w:tc>
        <w:tc>
          <w:tcPr>
            <w:tcW w:w="1014" w:type="pct"/>
            <w:shd w:val="clear" w:color="auto" w:fill="auto"/>
            <w:vAlign w:val="center"/>
          </w:tcPr>
          <w:p w14:paraId="092CF0DD">
            <w:pPr>
              <w:autoSpaceDE w:val="0"/>
              <w:autoSpaceDN w:val="0"/>
              <w:jc w:val="center"/>
              <w:rPr>
                <w:rFonts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Times New Roman"/>
                <w:bCs w:val="0"/>
                <w:color w:val="auto"/>
                <w:kern w:val="0"/>
              </w:rPr>
              <w:t>4.5</w:t>
            </w:r>
          </w:p>
        </w:tc>
        <w:tc>
          <w:tcPr>
            <w:tcW w:w="952" w:type="pct"/>
            <w:shd w:val="clear" w:color="auto" w:fill="auto"/>
            <w:vAlign w:val="center"/>
          </w:tcPr>
          <w:p w14:paraId="5A8722B0">
            <w:pPr>
              <w:autoSpaceDE w:val="0"/>
              <w:autoSpaceDN w:val="0"/>
              <w:jc w:val="center"/>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14.3</w:t>
            </w:r>
          </w:p>
        </w:tc>
      </w:tr>
    </w:tbl>
    <w:p w14:paraId="719FD588">
      <w:pPr>
        <w:keepNext/>
        <w:keepLines/>
        <w:widowControl w:val="0"/>
        <w:spacing w:line="600" w:lineRule="exact"/>
        <w:jc w:val="both"/>
        <w:outlineLvl w:val="2"/>
        <w:rPr>
          <w:rFonts w:ascii="Times New Roman" w:hAnsi="Times New Roman" w:eastAsia="宋体" w:cs="Times New Roman"/>
          <w:b/>
          <w:bCs/>
          <w:color w:val="auto"/>
          <w:kern w:val="0"/>
          <w:sz w:val="32"/>
          <w:szCs w:val="32"/>
          <w:lang w:val="en-US" w:eastAsia="zh-CN" w:bidi="ar-SA"/>
        </w:rPr>
      </w:pPr>
      <w:r>
        <w:rPr>
          <w:rFonts w:ascii="Times New Roman" w:hAnsi="Times New Roman" w:eastAsia="宋体" w:cs="Calibri"/>
          <w:b/>
          <w:bCs/>
          <w:color w:val="auto"/>
          <w:kern w:val="0"/>
          <w:sz w:val="32"/>
          <w:szCs w:val="32"/>
          <w:lang w:val="en-US" w:eastAsia="zh-CN" w:bidi="ar-SA"/>
        </w:rPr>
        <w:t xml:space="preserve">2.2.2 </w:t>
      </w:r>
      <w:r>
        <w:rPr>
          <w:rFonts w:hint="eastAsia" w:ascii="Times New Roman" w:hAnsi="Times New Roman" w:eastAsia="宋体" w:cs="宋体"/>
          <w:b/>
          <w:bCs/>
          <w:color w:val="auto"/>
          <w:kern w:val="0"/>
          <w:sz w:val="32"/>
          <w:szCs w:val="32"/>
          <w:lang w:val="en-US" w:eastAsia="zh-CN" w:bidi="ar-SA"/>
        </w:rPr>
        <w:t>气象条件</w:t>
      </w:r>
    </w:p>
    <w:p w14:paraId="3A8FEFCA">
      <w:pPr>
        <w:widowControl w:val="0"/>
        <w:autoSpaceDE w:val="0"/>
        <w:autoSpaceDN w:val="0"/>
        <w:adjustRightInd w:val="0"/>
        <w:spacing w:line="360" w:lineRule="auto"/>
        <w:ind w:firstLine="536" w:firstLineChars="200"/>
        <w:jc w:val="both"/>
        <w:rPr>
          <w:rFonts w:hint="eastAsia" w:ascii="Times New Roman" w:hAnsi="Times New Roman" w:eastAsia="宋体" w:cs="Times New Roman"/>
          <w:color w:val="auto"/>
          <w:spacing w:val="-6"/>
          <w:kern w:val="0"/>
          <w:sz w:val="28"/>
          <w:szCs w:val="28"/>
          <w:lang w:val="en-US" w:eastAsia="zh-CN" w:bidi="ar-SA"/>
        </w:rPr>
      </w:pPr>
      <w:r>
        <w:rPr>
          <w:rFonts w:hint="eastAsia" w:ascii="Times New Roman" w:hAnsi="Times New Roman" w:eastAsia="宋体" w:cs="Times New Roman"/>
          <w:color w:val="auto"/>
          <w:spacing w:val="-6"/>
          <w:kern w:val="0"/>
          <w:sz w:val="28"/>
          <w:szCs w:val="28"/>
          <w:lang w:val="en-US" w:eastAsia="zh-CN" w:bidi="ar-SA"/>
        </w:rPr>
        <w:t>江西赣州兴国县系亚热带季风湿润气候。气候温和，雨量充沛，光照充足，四季分明，无霜期长。年平均气温为 18.8℃，日照 1926.5 小时，降雨量 1560 毫米，年平均降雨量为 1515.6 毫米，年平均无霜期 284 天，适宜各种农作物生长。</w:t>
      </w:r>
    </w:p>
    <w:p w14:paraId="464E8AFC">
      <w:pPr>
        <w:widowControl w:val="0"/>
        <w:autoSpaceDE w:val="0"/>
        <w:autoSpaceDN w:val="0"/>
        <w:adjustRightInd w:val="0"/>
        <w:spacing w:line="360" w:lineRule="auto"/>
        <w:ind w:firstLine="560" w:firstLineChars="200"/>
        <w:jc w:val="both"/>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该项目在雷电易发区，年平均地闪密度为5.97，雷电活动频繁，无历史雷电害灾。</w:t>
      </w:r>
    </w:p>
    <w:p w14:paraId="1458ACC0">
      <w:pPr>
        <w:keepNext/>
        <w:keepLines/>
        <w:widowControl w:val="0"/>
        <w:spacing w:line="580" w:lineRule="exact"/>
        <w:jc w:val="both"/>
        <w:outlineLvl w:val="1"/>
        <w:rPr>
          <w:rFonts w:ascii="Times New Roman" w:hAnsi="Times New Roman" w:eastAsia="宋体" w:cs="Times New Roman"/>
          <w:b/>
          <w:bCs/>
          <w:color w:val="auto"/>
          <w:kern w:val="0"/>
          <w:sz w:val="28"/>
          <w:szCs w:val="28"/>
          <w:lang w:val="en-US" w:eastAsia="zh-CN" w:bidi="ar-SA"/>
        </w:rPr>
      </w:pPr>
      <w:bookmarkStart w:id="31" w:name="_Toc31407"/>
      <w:bookmarkStart w:id="32" w:name="_Toc19009"/>
      <w:r>
        <w:rPr>
          <w:rFonts w:ascii="Times New Roman" w:hAnsi="Times New Roman" w:eastAsia="宋体" w:cs="Times New Roman"/>
          <w:b/>
          <w:bCs/>
          <w:color w:val="auto"/>
          <w:kern w:val="0"/>
          <w:sz w:val="28"/>
          <w:szCs w:val="28"/>
          <w:lang w:val="en-US" w:eastAsia="zh-CN" w:bidi="ar-SA"/>
        </w:rPr>
        <w:t>2.3</w:t>
      </w:r>
      <w:r>
        <w:rPr>
          <w:rFonts w:hint="eastAsia" w:ascii="Times New Roman" w:hAnsi="Times New Roman" w:eastAsia="宋体" w:cs="宋体"/>
          <w:b/>
          <w:bCs/>
          <w:color w:val="auto"/>
          <w:kern w:val="0"/>
          <w:sz w:val="28"/>
          <w:szCs w:val="28"/>
          <w:lang w:val="en-US" w:eastAsia="zh-CN" w:bidi="ar-SA"/>
        </w:rPr>
        <w:t>主要设备、建筑物及工艺：</w:t>
      </w:r>
      <w:bookmarkEnd w:id="31"/>
      <w:bookmarkEnd w:id="32"/>
    </w:p>
    <w:p w14:paraId="6AAF370C">
      <w:pPr>
        <w:keepNext/>
        <w:keepLines/>
        <w:widowControl w:val="0"/>
        <w:spacing w:line="580" w:lineRule="exact"/>
        <w:jc w:val="both"/>
        <w:outlineLvl w:val="2"/>
        <w:rPr>
          <w:rFonts w:ascii="Times New Roman" w:hAnsi="Times New Roman" w:eastAsia="宋体" w:cs="Times New Roman"/>
          <w:b/>
          <w:bCs/>
          <w:color w:val="auto"/>
          <w:kern w:val="0"/>
          <w:sz w:val="32"/>
          <w:szCs w:val="32"/>
          <w:lang w:val="en-US" w:eastAsia="zh-CN" w:bidi="ar-SA"/>
        </w:rPr>
      </w:pPr>
      <w:bookmarkStart w:id="33" w:name="_Toc6304"/>
      <w:r>
        <w:rPr>
          <w:rFonts w:ascii="Times New Roman" w:hAnsi="Times New Roman" w:eastAsia="宋体" w:cs="Calibri"/>
          <w:b/>
          <w:bCs/>
          <w:color w:val="auto"/>
          <w:kern w:val="0"/>
          <w:sz w:val="32"/>
          <w:szCs w:val="32"/>
          <w:lang w:val="en-US" w:eastAsia="zh-CN" w:bidi="ar-SA"/>
        </w:rPr>
        <w:t>2.3.1</w:t>
      </w:r>
      <w:r>
        <w:rPr>
          <w:rFonts w:hint="eastAsia" w:ascii="Times New Roman" w:hAnsi="Times New Roman" w:eastAsia="宋体" w:cs="宋体"/>
          <w:b/>
          <w:bCs/>
          <w:color w:val="auto"/>
          <w:kern w:val="0"/>
          <w:sz w:val="32"/>
          <w:szCs w:val="32"/>
          <w:lang w:val="en-US" w:eastAsia="zh-CN" w:bidi="ar-SA"/>
        </w:rPr>
        <w:t>主要设备、建筑物</w:t>
      </w:r>
      <w:bookmarkEnd w:id="33"/>
    </w:p>
    <w:p w14:paraId="4077A8E2">
      <w:pPr>
        <w:spacing w:line="360" w:lineRule="auto"/>
        <w:ind w:firstLine="560" w:firstLineChars="200"/>
        <w:jc w:val="left"/>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主要设备、建筑物</w:t>
      </w:r>
      <w:r>
        <w:rPr>
          <w:rFonts w:hint="eastAsia" w:ascii="Times New Roman" w:hAnsi="Times New Roman" w:eastAsia="宋体" w:cs="宋体"/>
          <w:bCs w:val="0"/>
          <w:color w:val="auto"/>
          <w:kern w:val="2"/>
          <w:sz w:val="28"/>
          <w:szCs w:val="28"/>
        </w:rPr>
        <w:t>具体见表</w:t>
      </w:r>
      <w:r>
        <w:rPr>
          <w:rFonts w:ascii="Times New Roman" w:hAnsi="Times New Roman" w:eastAsia="宋体" w:cs="Times New Roman"/>
          <w:bCs w:val="0"/>
          <w:color w:val="auto"/>
          <w:kern w:val="2"/>
          <w:sz w:val="28"/>
          <w:szCs w:val="28"/>
        </w:rPr>
        <w:t>2</w:t>
      </w:r>
      <w:r>
        <w:rPr>
          <w:rFonts w:hint="eastAsia" w:ascii="Times New Roman" w:hAnsi="Times New Roman" w:eastAsia="宋体" w:cs="Times New Roman"/>
          <w:bCs w:val="0"/>
          <w:color w:val="auto"/>
          <w:kern w:val="2"/>
          <w:sz w:val="28"/>
          <w:szCs w:val="28"/>
        </w:rPr>
        <w:t>.3</w:t>
      </w:r>
      <w:r>
        <w:rPr>
          <w:rFonts w:ascii="Times New Roman" w:hAnsi="Times New Roman" w:eastAsia="宋体" w:cs="Times New Roman"/>
          <w:bCs w:val="0"/>
          <w:color w:val="auto"/>
          <w:kern w:val="2"/>
          <w:sz w:val="28"/>
          <w:szCs w:val="28"/>
        </w:rPr>
        <w:t>-</w:t>
      </w:r>
      <w:r>
        <w:rPr>
          <w:rFonts w:hint="eastAsia"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和表</w:t>
      </w:r>
      <w:r>
        <w:rPr>
          <w:rFonts w:ascii="Times New Roman" w:hAnsi="Times New Roman" w:eastAsia="宋体" w:cs="Times New Roman"/>
          <w:bCs w:val="0"/>
          <w:color w:val="auto"/>
          <w:kern w:val="2"/>
          <w:sz w:val="28"/>
          <w:szCs w:val="28"/>
        </w:rPr>
        <w:t>2</w:t>
      </w:r>
      <w:r>
        <w:rPr>
          <w:rFonts w:hint="eastAsia" w:ascii="Times New Roman" w:hAnsi="Times New Roman" w:eastAsia="宋体" w:cs="Times New Roman"/>
          <w:bCs w:val="0"/>
          <w:color w:val="auto"/>
          <w:kern w:val="2"/>
          <w:sz w:val="28"/>
          <w:szCs w:val="28"/>
        </w:rPr>
        <w:t>.3</w:t>
      </w:r>
      <w:r>
        <w:rPr>
          <w:rFonts w:ascii="Times New Roman" w:hAnsi="Times New Roman" w:eastAsia="宋体" w:cs="Times New Roman"/>
          <w:bCs w:val="0"/>
          <w:color w:val="auto"/>
          <w:kern w:val="2"/>
          <w:sz w:val="28"/>
          <w:szCs w:val="28"/>
        </w:rPr>
        <w:t>-</w:t>
      </w:r>
      <w:r>
        <w:rPr>
          <w:rFonts w:hint="eastAsia" w:ascii="Times New Roman" w:hAnsi="Times New Roman" w:eastAsia="宋体" w:cs="Times New Roman"/>
          <w:bCs w:val="0"/>
          <w:color w:val="auto"/>
          <w:kern w:val="2"/>
          <w:sz w:val="28"/>
          <w:szCs w:val="28"/>
        </w:rPr>
        <w:t>2</w:t>
      </w:r>
    </w:p>
    <w:p w14:paraId="752B6A81">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w:t>
      </w:r>
      <w:r>
        <w:rPr>
          <w:rFonts w:hint="eastAsia" w:ascii="Times New Roman" w:hAnsi="Times New Roman" w:eastAsia="宋体" w:cs="宋体"/>
          <w:bCs w:val="0"/>
          <w:color w:val="auto"/>
          <w:kern w:val="2"/>
          <w:sz w:val="24"/>
          <w:szCs w:val="24"/>
        </w:rPr>
        <w:t>2.3-1</w:t>
      </w:r>
      <w:r>
        <w:rPr>
          <w:rFonts w:hint="eastAsia" w:ascii="Times New Roman" w:hAnsi="Times New Roman" w:eastAsia="宋体" w:cs="宋体"/>
          <w:bCs w:val="0"/>
          <w:color w:val="auto"/>
          <w:kern w:val="2"/>
          <w:sz w:val="24"/>
          <w:szCs w:val="24"/>
          <w:lang w:val="zh-CN"/>
        </w:rPr>
        <w:t xml:space="preserve"> 主要设备一览表</w:t>
      </w:r>
    </w:p>
    <w:tbl>
      <w:tblPr>
        <w:tblStyle w:val="7"/>
        <w:tblW w:w="501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627"/>
        <w:gridCol w:w="1923"/>
        <w:gridCol w:w="699"/>
        <w:gridCol w:w="699"/>
        <w:gridCol w:w="1627"/>
        <w:gridCol w:w="2048"/>
      </w:tblGrid>
      <w:tr w14:paraId="06660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70" w:type="pct"/>
            <w:vAlign w:val="center"/>
          </w:tcPr>
          <w:p w14:paraId="6C17C2EA">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序号</w:t>
            </w:r>
          </w:p>
        </w:tc>
        <w:tc>
          <w:tcPr>
            <w:tcW w:w="873" w:type="pct"/>
            <w:vAlign w:val="center"/>
          </w:tcPr>
          <w:p w14:paraId="7811277D">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设备名称</w:t>
            </w:r>
          </w:p>
        </w:tc>
        <w:tc>
          <w:tcPr>
            <w:tcW w:w="1032" w:type="pct"/>
            <w:vAlign w:val="center"/>
          </w:tcPr>
          <w:p w14:paraId="663FD794">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规格/型号</w:t>
            </w:r>
          </w:p>
        </w:tc>
        <w:tc>
          <w:tcPr>
            <w:tcW w:w="375" w:type="pct"/>
            <w:vAlign w:val="center"/>
          </w:tcPr>
          <w:p w14:paraId="20C08688">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单位</w:t>
            </w:r>
          </w:p>
        </w:tc>
        <w:tc>
          <w:tcPr>
            <w:tcW w:w="375" w:type="pct"/>
            <w:vAlign w:val="center"/>
          </w:tcPr>
          <w:p w14:paraId="4DEC7AAB">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数量</w:t>
            </w:r>
          </w:p>
        </w:tc>
        <w:tc>
          <w:tcPr>
            <w:tcW w:w="873" w:type="pct"/>
            <w:vAlign w:val="center"/>
          </w:tcPr>
          <w:p w14:paraId="2799146C">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材质</w:t>
            </w:r>
          </w:p>
        </w:tc>
        <w:tc>
          <w:tcPr>
            <w:tcW w:w="1099" w:type="pct"/>
            <w:vAlign w:val="center"/>
          </w:tcPr>
          <w:p w14:paraId="23CA1D42">
            <w:pPr>
              <w:spacing w:line="260" w:lineRule="exact"/>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备  注</w:t>
            </w:r>
          </w:p>
        </w:tc>
      </w:tr>
      <w:tr w14:paraId="2914B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370" w:type="pct"/>
            <w:shd w:val="clear" w:color="auto" w:fill="auto"/>
            <w:vAlign w:val="center"/>
          </w:tcPr>
          <w:p w14:paraId="657E7EE5">
            <w:pPr>
              <w:numPr>
                <w:ilvl w:val="0"/>
                <w:numId w:val="4"/>
              </w:numPr>
              <w:ind w:left="425" w:leftChars="0" w:hanging="425" w:firstLineChars="0"/>
              <w:jc w:val="center"/>
              <w:rPr>
                <w:rFonts w:hint="eastAsia" w:ascii="Times New Roman" w:hAnsi="Times New Roman" w:eastAsia="宋体" w:cs="Calibri"/>
                <w:bCs/>
                <w:color w:val="auto"/>
                <w:kern w:val="2"/>
              </w:rPr>
            </w:pPr>
          </w:p>
        </w:tc>
        <w:tc>
          <w:tcPr>
            <w:tcW w:w="873" w:type="pct"/>
            <w:shd w:val="clear" w:color="auto" w:fill="auto"/>
            <w:vAlign w:val="center"/>
          </w:tcPr>
          <w:p w14:paraId="6E95BAD8">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汽油储罐</w:t>
            </w:r>
          </w:p>
        </w:tc>
        <w:tc>
          <w:tcPr>
            <w:tcW w:w="1032" w:type="pct"/>
            <w:shd w:val="clear" w:color="auto" w:fill="auto"/>
            <w:vAlign w:val="center"/>
          </w:tcPr>
          <w:p w14:paraId="580982D5">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30m</w:t>
            </w:r>
            <w:r>
              <w:rPr>
                <w:rFonts w:hint="eastAsia" w:ascii="Times New Roman" w:hAnsi="Times New Roman" w:eastAsia="宋体" w:cs="Calibri"/>
                <w:bCs/>
                <w:color w:val="auto"/>
                <w:kern w:val="2"/>
                <w:vertAlign w:val="superscript"/>
              </w:rPr>
              <w:t>3</w:t>
            </w:r>
          </w:p>
        </w:tc>
        <w:tc>
          <w:tcPr>
            <w:tcW w:w="375" w:type="pct"/>
            <w:shd w:val="clear" w:color="auto" w:fill="auto"/>
            <w:vAlign w:val="center"/>
          </w:tcPr>
          <w:p w14:paraId="140C5233">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个</w:t>
            </w:r>
          </w:p>
        </w:tc>
        <w:tc>
          <w:tcPr>
            <w:tcW w:w="375" w:type="pct"/>
            <w:shd w:val="clear" w:color="auto" w:fill="auto"/>
            <w:vAlign w:val="center"/>
          </w:tcPr>
          <w:p w14:paraId="5F9A3C79">
            <w:pPr>
              <w:jc w:val="center"/>
              <w:rPr>
                <w:rFonts w:hint="default" w:ascii="Times New Roman" w:hAnsi="Times New Roman" w:eastAsia="宋体" w:cs="Calibri"/>
                <w:bCs/>
                <w:color w:val="auto"/>
                <w:kern w:val="2"/>
                <w:lang w:val="en-US" w:eastAsia="zh-CN"/>
              </w:rPr>
            </w:pPr>
            <w:r>
              <w:rPr>
                <w:rFonts w:hint="eastAsia" w:ascii="Times New Roman" w:hAnsi="Times New Roman" w:eastAsia="宋体" w:cs="Calibri"/>
                <w:bCs/>
                <w:color w:val="auto"/>
                <w:kern w:val="2"/>
                <w:lang w:val="en-US" w:eastAsia="zh-CN"/>
              </w:rPr>
              <w:t>1</w:t>
            </w:r>
          </w:p>
        </w:tc>
        <w:tc>
          <w:tcPr>
            <w:tcW w:w="873" w:type="pct"/>
            <w:shd w:val="clear" w:color="auto" w:fill="auto"/>
            <w:vAlign w:val="center"/>
          </w:tcPr>
          <w:p w14:paraId="2378C459">
            <w:pPr>
              <w:jc w:val="center"/>
              <w:rPr>
                <w:rFonts w:hint="eastAsia" w:ascii="Times New Roman" w:hAnsi="Times New Roman" w:eastAsia="宋体" w:cs="Calibri"/>
                <w:bCs/>
                <w:color w:val="auto"/>
                <w:kern w:val="2"/>
              </w:rPr>
            </w:pPr>
            <w:r>
              <w:rPr>
                <w:rFonts w:hint="default" w:ascii="Times New Roman" w:hAnsi="Times New Roman" w:eastAsia="宋体" w:cs="Calibri"/>
                <w:bCs/>
                <w:color w:val="auto"/>
                <w:kern w:val="2"/>
                <w:lang w:val="en-US" w:eastAsia="zh-CN"/>
              </w:rPr>
              <w:t>SF 双层储罐</w:t>
            </w:r>
          </w:p>
        </w:tc>
        <w:tc>
          <w:tcPr>
            <w:tcW w:w="1099" w:type="pct"/>
            <w:shd w:val="clear" w:color="auto" w:fill="auto"/>
            <w:vAlign w:val="center"/>
          </w:tcPr>
          <w:p w14:paraId="5C7D2A47">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9</w:t>
            </w:r>
            <w:r>
              <w:rPr>
                <w:rFonts w:hint="eastAsia" w:ascii="Times New Roman" w:hAnsi="Times New Roman" w:eastAsia="宋体" w:cs="Calibri"/>
                <w:bCs/>
                <w:color w:val="auto"/>
                <w:kern w:val="2"/>
                <w:lang w:val="en-US" w:eastAsia="zh-CN"/>
              </w:rPr>
              <w:t>2</w:t>
            </w:r>
            <w:r>
              <w:rPr>
                <w:rFonts w:hint="eastAsia" w:ascii="Times New Roman" w:hAnsi="Times New Roman" w:eastAsia="宋体" w:cs="Calibri"/>
                <w:bCs/>
                <w:color w:val="auto"/>
                <w:kern w:val="2"/>
              </w:rPr>
              <w:t>#汽油</w:t>
            </w:r>
          </w:p>
        </w:tc>
      </w:tr>
      <w:tr w14:paraId="16B8B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370" w:type="pct"/>
            <w:shd w:val="clear" w:color="auto" w:fill="auto"/>
            <w:vAlign w:val="center"/>
          </w:tcPr>
          <w:p w14:paraId="10855101">
            <w:pPr>
              <w:numPr>
                <w:ilvl w:val="0"/>
                <w:numId w:val="4"/>
              </w:numPr>
              <w:ind w:left="425" w:leftChars="0" w:hanging="425" w:firstLineChars="0"/>
              <w:jc w:val="center"/>
              <w:rPr>
                <w:rFonts w:hint="eastAsia" w:ascii="Times New Roman" w:hAnsi="Times New Roman" w:eastAsia="宋体" w:cs="Calibri"/>
                <w:bCs/>
                <w:color w:val="auto"/>
                <w:kern w:val="2"/>
                <w:lang w:val="en-US" w:eastAsia="zh-CN"/>
              </w:rPr>
            </w:pPr>
          </w:p>
        </w:tc>
        <w:tc>
          <w:tcPr>
            <w:tcW w:w="873" w:type="pct"/>
            <w:shd w:val="clear" w:color="auto" w:fill="auto"/>
            <w:vAlign w:val="center"/>
          </w:tcPr>
          <w:p w14:paraId="12F38595">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柴油储罐</w:t>
            </w:r>
          </w:p>
        </w:tc>
        <w:tc>
          <w:tcPr>
            <w:tcW w:w="1032" w:type="pct"/>
            <w:shd w:val="clear" w:color="auto" w:fill="auto"/>
            <w:vAlign w:val="center"/>
          </w:tcPr>
          <w:p w14:paraId="3589C42B">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lang w:val="en-US" w:eastAsia="zh-CN"/>
              </w:rPr>
              <w:t>3</w:t>
            </w:r>
            <w:r>
              <w:rPr>
                <w:rFonts w:hint="eastAsia" w:ascii="Times New Roman" w:hAnsi="Times New Roman" w:eastAsia="宋体" w:cs="Calibri"/>
                <w:bCs/>
                <w:color w:val="auto"/>
                <w:kern w:val="2"/>
              </w:rPr>
              <w:t>0m</w:t>
            </w:r>
            <w:r>
              <w:rPr>
                <w:rFonts w:hint="eastAsia" w:ascii="Times New Roman" w:hAnsi="Times New Roman" w:eastAsia="宋体" w:cs="Calibri"/>
                <w:bCs/>
                <w:color w:val="auto"/>
                <w:kern w:val="2"/>
                <w:vertAlign w:val="superscript"/>
              </w:rPr>
              <w:t>3</w:t>
            </w:r>
          </w:p>
        </w:tc>
        <w:tc>
          <w:tcPr>
            <w:tcW w:w="375" w:type="pct"/>
            <w:shd w:val="clear" w:color="auto" w:fill="auto"/>
            <w:vAlign w:val="center"/>
          </w:tcPr>
          <w:p w14:paraId="781EEEA3">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个</w:t>
            </w:r>
          </w:p>
        </w:tc>
        <w:tc>
          <w:tcPr>
            <w:tcW w:w="375" w:type="pct"/>
            <w:shd w:val="clear" w:color="auto" w:fill="auto"/>
            <w:vAlign w:val="center"/>
          </w:tcPr>
          <w:p w14:paraId="1642EF81">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1</w:t>
            </w:r>
          </w:p>
        </w:tc>
        <w:tc>
          <w:tcPr>
            <w:tcW w:w="873" w:type="pct"/>
            <w:shd w:val="clear" w:color="auto" w:fill="auto"/>
            <w:vAlign w:val="center"/>
          </w:tcPr>
          <w:p w14:paraId="0AB70744">
            <w:pPr>
              <w:jc w:val="center"/>
              <w:rPr>
                <w:rFonts w:hint="eastAsia" w:ascii="Times New Roman" w:hAnsi="Times New Roman" w:eastAsia="宋体" w:cs="Calibri"/>
                <w:bCs/>
                <w:color w:val="auto"/>
                <w:kern w:val="2"/>
              </w:rPr>
            </w:pPr>
            <w:r>
              <w:rPr>
                <w:rFonts w:hint="default" w:ascii="Times New Roman" w:hAnsi="Times New Roman" w:eastAsia="宋体" w:cs="Calibri"/>
                <w:bCs/>
                <w:color w:val="auto"/>
                <w:kern w:val="2"/>
                <w:lang w:val="en-US" w:eastAsia="zh-CN"/>
              </w:rPr>
              <w:t>SF 双层储罐</w:t>
            </w:r>
          </w:p>
        </w:tc>
        <w:tc>
          <w:tcPr>
            <w:tcW w:w="1099" w:type="pct"/>
            <w:shd w:val="clear" w:color="auto" w:fill="auto"/>
            <w:vAlign w:val="center"/>
          </w:tcPr>
          <w:p w14:paraId="0AF29216">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0#柴油</w:t>
            </w:r>
          </w:p>
        </w:tc>
      </w:tr>
      <w:tr w14:paraId="6FD1A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370" w:type="pct"/>
            <w:shd w:val="clear" w:color="auto" w:fill="auto"/>
            <w:vAlign w:val="center"/>
          </w:tcPr>
          <w:p w14:paraId="7E89D664">
            <w:pPr>
              <w:numPr>
                <w:ilvl w:val="0"/>
                <w:numId w:val="4"/>
              </w:numPr>
              <w:ind w:left="425" w:leftChars="0" w:hanging="425" w:firstLineChars="0"/>
              <w:jc w:val="center"/>
              <w:rPr>
                <w:rFonts w:hint="eastAsia" w:ascii="Times New Roman" w:hAnsi="Times New Roman" w:eastAsia="宋体" w:cs="Calibri"/>
                <w:bCs/>
                <w:color w:val="auto"/>
                <w:kern w:val="2"/>
                <w:lang w:val="en-US" w:eastAsia="zh-CN"/>
              </w:rPr>
            </w:pPr>
          </w:p>
        </w:tc>
        <w:tc>
          <w:tcPr>
            <w:tcW w:w="873" w:type="pct"/>
            <w:vAlign w:val="center"/>
          </w:tcPr>
          <w:p w14:paraId="38FF651D">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燃油加油机</w:t>
            </w:r>
          </w:p>
        </w:tc>
        <w:tc>
          <w:tcPr>
            <w:tcW w:w="1032" w:type="pct"/>
            <w:vAlign w:val="center"/>
          </w:tcPr>
          <w:p w14:paraId="64008698">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5-50L/min</w:t>
            </w:r>
            <w:r>
              <w:rPr>
                <w:rFonts w:hint="eastAsia" w:ascii="Times New Roman" w:hAnsi="Times New Roman" w:eastAsia="宋体" w:cs="Calibri"/>
                <w:bCs/>
                <w:color w:val="auto"/>
                <w:kern w:val="2"/>
                <w:lang w:eastAsia="zh-CN"/>
              </w:rPr>
              <w:t xml:space="preserve">; </w:t>
            </w:r>
            <w:r>
              <w:rPr>
                <w:rFonts w:hint="eastAsia" w:ascii="Times New Roman" w:hAnsi="Times New Roman" w:eastAsia="宋体" w:cs="Calibri"/>
                <w:bCs/>
                <w:color w:val="auto"/>
                <w:kern w:val="2"/>
              </w:rPr>
              <w:t>Exdibmb</w:t>
            </w:r>
            <w:r>
              <w:rPr>
                <w:rFonts w:hint="default" w:ascii="Times New Roman" w:hAnsi="Times New Roman" w:eastAsia="宋体" w:cs="Times New Roman"/>
                <w:bCs/>
                <w:color w:val="auto"/>
                <w:kern w:val="2"/>
              </w:rPr>
              <w:t>Ⅱ</w:t>
            </w:r>
            <w:r>
              <w:rPr>
                <w:rFonts w:hint="eastAsia" w:ascii="Times New Roman" w:hAnsi="Times New Roman" w:eastAsia="宋体" w:cs="Calibri"/>
                <w:bCs/>
                <w:color w:val="auto"/>
                <w:kern w:val="2"/>
              </w:rPr>
              <w:t>AT3Gb</w:t>
            </w:r>
          </w:p>
        </w:tc>
        <w:tc>
          <w:tcPr>
            <w:tcW w:w="375" w:type="pct"/>
            <w:vAlign w:val="center"/>
          </w:tcPr>
          <w:p w14:paraId="2CC071DE">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台</w:t>
            </w:r>
          </w:p>
        </w:tc>
        <w:tc>
          <w:tcPr>
            <w:tcW w:w="375" w:type="pct"/>
            <w:vAlign w:val="center"/>
          </w:tcPr>
          <w:p w14:paraId="19757907">
            <w:pPr>
              <w:jc w:val="center"/>
              <w:rPr>
                <w:rFonts w:hint="eastAsia" w:ascii="Times New Roman" w:hAnsi="Times New Roman" w:eastAsia="宋体" w:cs="Calibri"/>
                <w:bCs/>
                <w:color w:val="auto"/>
                <w:kern w:val="2"/>
                <w:lang w:eastAsia="zh-CN"/>
              </w:rPr>
            </w:pPr>
            <w:r>
              <w:rPr>
                <w:rFonts w:hint="eastAsia" w:ascii="Times New Roman" w:hAnsi="Times New Roman" w:eastAsia="宋体" w:cs="Calibri"/>
                <w:bCs/>
                <w:color w:val="auto"/>
                <w:kern w:val="2"/>
                <w:lang w:val="en-US" w:eastAsia="zh-CN"/>
              </w:rPr>
              <w:t>2</w:t>
            </w:r>
          </w:p>
        </w:tc>
        <w:tc>
          <w:tcPr>
            <w:tcW w:w="873" w:type="pct"/>
            <w:vAlign w:val="center"/>
          </w:tcPr>
          <w:p w14:paraId="2908A827">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099" w:type="pct"/>
            <w:vAlign w:val="center"/>
          </w:tcPr>
          <w:p w14:paraId="29C1063F">
            <w:pPr>
              <w:jc w:val="center"/>
              <w:rPr>
                <w:rFonts w:hint="eastAsia" w:ascii="Times New Roman" w:hAnsi="Times New Roman" w:eastAsia="宋体" w:cs="Calibri"/>
                <w:bCs/>
                <w:color w:val="auto"/>
                <w:kern w:val="2"/>
                <w:lang w:eastAsia="zh-CN"/>
              </w:rPr>
            </w:pPr>
            <w:r>
              <w:rPr>
                <w:rFonts w:hint="eastAsia" w:ascii="Times New Roman" w:hAnsi="Times New Roman" w:eastAsia="宋体" w:cs="Calibri"/>
                <w:bCs/>
                <w:color w:val="auto"/>
                <w:kern w:val="2"/>
                <w:lang w:val="en-US" w:eastAsia="zh-CN"/>
              </w:rPr>
              <w:t>2</w:t>
            </w:r>
            <w:r>
              <w:rPr>
                <w:rFonts w:hint="eastAsia" w:ascii="Times New Roman" w:hAnsi="Times New Roman" w:eastAsia="宋体" w:cs="Calibri"/>
                <w:bCs/>
                <w:color w:val="auto"/>
                <w:kern w:val="2"/>
              </w:rPr>
              <w:t>台</w:t>
            </w:r>
            <w:r>
              <w:rPr>
                <w:rFonts w:hint="eastAsia" w:ascii="Times New Roman" w:hAnsi="Times New Roman" w:eastAsia="宋体" w:cs="Calibri"/>
                <w:bCs/>
                <w:color w:val="auto"/>
                <w:kern w:val="2"/>
                <w:lang w:val="en-US" w:eastAsia="zh-CN"/>
              </w:rPr>
              <w:t>双</w:t>
            </w:r>
            <w:r>
              <w:rPr>
                <w:rFonts w:hint="eastAsia" w:ascii="Times New Roman" w:hAnsi="Times New Roman" w:eastAsia="宋体" w:cs="Calibri"/>
                <w:bCs/>
                <w:color w:val="auto"/>
                <w:kern w:val="2"/>
              </w:rPr>
              <w:t>枪加油机</w:t>
            </w:r>
          </w:p>
        </w:tc>
      </w:tr>
      <w:tr w14:paraId="565FB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370" w:type="pct"/>
            <w:shd w:val="clear" w:color="auto" w:fill="auto"/>
            <w:vAlign w:val="center"/>
          </w:tcPr>
          <w:p w14:paraId="50CAE71B">
            <w:pPr>
              <w:numPr>
                <w:ilvl w:val="0"/>
                <w:numId w:val="4"/>
              </w:numPr>
              <w:ind w:left="425" w:leftChars="0" w:hanging="425" w:firstLineChars="0"/>
              <w:jc w:val="center"/>
              <w:rPr>
                <w:rFonts w:hint="eastAsia" w:ascii="Times New Roman" w:hAnsi="Times New Roman" w:eastAsia="宋体" w:cs="Calibri"/>
                <w:bCs/>
                <w:color w:val="auto"/>
                <w:kern w:val="2"/>
                <w:lang w:val="en-US" w:eastAsia="zh-CN"/>
              </w:rPr>
            </w:pPr>
          </w:p>
        </w:tc>
        <w:tc>
          <w:tcPr>
            <w:tcW w:w="873" w:type="pct"/>
            <w:vAlign w:val="center"/>
          </w:tcPr>
          <w:p w14:paraId="3B5F1E0E">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防静电报警仪</w:t>
            </w:r>
          </w:p>
        </w:tc>
        <w:tc>
          <w:tcPr>
            <w:tcW w:w="1032" w:type="pct"/>
            <w:vAlign w:val="center"/>
          </w:tcPr>
          <w:p w14:paraId="685A10D4">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375" w:type="pct"/>
            <w:vAlign w:val="center"/>
          </w:tcPr>
          <w:p w14:paraId="13C81D46">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台</w:t>
            </w:r>
          </w:p>
        </w:tc>
        <w:tc>
          <w:tcPr>
            <w:tcW w:w="375" w:type="pct"/>
            <w:vAlign w:val="center"/>
          </w:tcPr>
          <w:p w14:paraId="7EC95CB2">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1</w:t>
            </w:r>
          </w:p>
        </w:tc>
        <w:tc>
          <w:tcPr>
            <w:tcW w:w="873" w:type="pct"/>
            <w:vAlign w:val="center"/>
          </w:tcPr>
          <w:p w14:paraId="409E3EA3">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099" w:type="pct"/>
            <w:vAlign w:val="center"/>
          </w:tcPr>
          <w:p w14:paraId="2C7CA1E4">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r>
      <w:tr w14:paraId="5967F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370" w:type="pct"/>
            <w:shd w:val="clear" w:color="auto" w:fill="auto"/>
            <w:vAlign w:val="center"/>
          </w:tcPr>
          <w:p w14:paraId="7DE83CC0">
            <w:pPr>
              <w:numPr>
                <w:ilvl w:val="0"/>
                <w:numId w:val="4"/>
              </w:numPr>
              <w:ind w:left="425" w:leftChars="0" w:hanging="425" w:firstLineChars="0"/>
              <w:jc w:val="center"/>
              <w:rPr>
                <w:rFonts w:hint="eastAsia" w:ascii="Times New Roman" w:hAnsi="Times New Roman" w:eastAsia="宋体" w:cs="Calibri"/>
                <w:bCs/>
                <w:color w:val="auto"/>
                <w:kern w:val="2"/>
                <w:lang w:val="en-US" w:eastAsia="zh-CN"/>
              </w:rPr>
            </w:pPr>
          </w:p>
        </w:tc>
        <w:tc>
          <w:tcPr>
            <w:tcW w:w="873" w:type="pct"/>
            <w:vAlign w:val="center"/>
          </w:tcPr>
          <w:p w14:paraId="56279505">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液位仪</w:t>
            </w:r>
          </w:p>
        </w:tc>
        <w:tc>
          <w:tcPr>
            <w:tcW w:w="1032" w:type="pct"/>
            <w:vAlign w:val="center"/>
          </w:tcPr>
          <w:p w14:paraId="17113ADF">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375" w:type="pct"/>
            <w:vAlign w:val="center"/>
          </w:tcPr>
          <w:p w14:paraId="0FEAEC55">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台</w:t>
            </w:r>
          </w:p>
        </w:tc>
        <w:tc>
          <w:tcPr>
            <w:tcW w:w="375" w:type="pct"/>
            <w:vAlign w:val="center"/>
          </w:tcPr>
          <w:p w14:paraId="0DBD6027">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1</w:t>
            </w:r>
          </w:p>
        </w:tc>
        <w:tc>
          <w:tcPr>
            <w:tcW w:w="873" w:type="pct"/>
            <w:vAlign w:val="center"/>
          </w:tcPr>
          <w:p w14:paraId="35B6FDB2">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099" w:type="pct"/>
            <w:vAlign w:val="center"/>
          </w:tcPr>
          <w:p w14:paraId="6030DE3A">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lang w:val="en-US" w:eastAsia="zh-CN"/>
              </w:rPr>
              <w:t>2</w:t>
            </w:r>
            <w:r>
              <w:rPr>
                <w:rFonts w:hint="eastAsia" w:ascii="Times New Roman" w:hAnsi="Times New Roman" w:eastAsia="宋体" w:cs="Calibri"/>
                <w:bCs/>
                <w:color w:val="auto"/>
                <w:kern w:val="2"/>
              </w:rPr>
              <w:t>个检测传感器。</w:t>
            </w:r>
          </w:p>
        </w:tc>
      </w:tr>
      <w:tr w14:paraId="79927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370" w:type="pct"/>
            <w:shd w:val="clear" w:color="auto" w:fill="auto"/>
            <w:vAlign w:val="center"/>
          </w:tcPr>
          <w:p w14:paraId="46B5504E">
            <w:pPr>
              <w:numPr>
                <w:ilvl w:val="0"/>
                <w:numId w:val="4"/>
              </w:numPr>
              <w:ind w:left="425" w:leftChars="0" w:hanging="425" w:firstLineChars="0"/>
              <w:jc w:val="center"/>
              <w:rPr>
                <w:rFonts w:hint="eastAsia" w:ascii="Times New Roman" w:hAnsi="Times New Roman" w:eastAsia="宋体" w:cs="Calibri"/>
                <w:bCs/>
                <w:color w:val="auto"/>
                <w:kern w:val="2"/>
                <w:lang w:val="en-US" w:eastAsia="zh-CN"/>
              </w:rPr>
            </w:pPr>
          </w:p>
        </w:tc>
        <w:tc>
          <w:tcPr>
            <w:tcW w:w="873" w:type="pct"/>
            <w:vAlign w:val="center"/>
          </w:tcPr>
          <w:p w14:paraId="686B8C77">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视频监控系统</w:t>
            </w:r>
          </w:p>
        </w:tc>
        <w:tc>
          <w:tcPr>
            <w:tcW w:w="1032" w:type="pct"/>
            <w:vAlign w:val="center"/>
          </w:tcPr>
          <w:p w14:paraId="27FDFD1D">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375" w:type="pct"/>
            <w:vAlign w:val="center"/>
          </w:tcPr>
          <w:p w14:paraId="73F64BB6">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套</w:t>
            </w:r>
          </w:p>
        </w:tc>
        <w:tc>
          <w:tcPr>
            <w:tcW w:w="375" w:type="pct"/>
            <w:vAlign w:val="center"/>
          </w:tcPr>
          <w:p w14:paraId="6BAD6ECD">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1</w:t>
            </w:r>
          </w:p>
        </w:tc>
        <w:tc>
          <w:tcPr>
            <w:tcW w:w="873" w:type="pct"/>
            <w:vAlign w:val="center"/>
          </w:tcPr>
          <w:p w14:paraId="199BBCD5">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099" w:type="pct"/>
            <w:vAlign w:val="center"/>
          </w:tcPr>
          <w:p w14:paraId="46442572">
            <w:pPr>
              <w:jc w:val="center"/>
              <w:rPr>
                <w:rFonts w:hint="eastAsia" w:ascii="Times New Roman" w:hAnsi="Times New Roman" w:eastAsia="宋体" w:cs="Calibri"/>
                <w:bCs/>
                <w:color w:val="auto"/>
                <w:kern w:val="2"/>
              </w:rPr>
            </w:pPr>
            <w:r>
              <w:rPr>
                <w:rFonts w:hint="eastAsia" w:ascii="Times New Roman" w:hAnsi="Times New Roman" w:eastAsia="宋体" w:cs="Calibri"/>
                <w:bCs/>
                <w:color w:val="auto"/>
                <w:kern w:val="2"/>
              </w:rPr>
              <w:t>-</w:t>
            </w:r>
          </w:p>
        </w:tc>
      </w:tr>
    </w:tbl>
    <w:p w14:paraId="49097DC5">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w:t>
      </w:r>
      <w:r>
        <w:rPr>
          <w:rFonts w:hint="eastAsia" w:ascii="Times New Roman" w:hAnsi="Times New Roman" w:eastAsia="宋体" w:cs="宋体"/>
          <w:bCs w:val="0"/>
          <w:color w:val="auto"/>
          <w:kern w:val="2"/>
          <w:sz w:val="24"/>
          <w:szCs w:val="24"/>
        </w:rPr>
        <w:t>2.3-2</w:t>
      </w:r>
      <w:r>
        <w:rPr>
          <w:rFonts w:hint="eastAsia" w:ascii="Times New Roman" w:hAnsi="Times New Roman" w:eastAsia="宋体" w:cs="宋体"/>
          <w:bCs w:val="0"/>
          <w:color w:val="auto"/>
          <w:kern w:val="2"/>
          <w:sz w:val="24"/>
          <w:szCs w:val="24"/>
          <w:lang w:val="zh-CN"/>
        </w:rPr>
        <w:t xml:space="preserve"> 主要建（构）筑物一览表</w:t>
      </w:r>
    </w:p>
    <w:tbl>
      <w:tblPr>
        <w:tblStyle w:val="7"/>
        <w:tblW w:w="93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366"/>
        <w:gridCol w:w="978"/>
        <w:gridCol w:w="1243"/>
        <w:gridCol w:w="1255"/>
        <w:gridCol w:w="1891"/>
        <w:gridCol w:w="1913"/>
      </w:tblGrid>
      <w:tr w14:paraId="7BDDB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1" w:hRule="exact"/>
          <w:jc w:val="center"/>
        </w:trPr>
        <w:tc>
          <w:tcPr>
            <w:tcW w:w="690" w:type="dxa"/>
            <w:vAlign w:val="center"/>
          </w:tcPr>
          <w:p w14:paraId="3B51431C">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序号</w:t>
            </w:r>
          </w:p>
        </w:tc>
        <w:tc>
          <w:tcPr>
            <w:tcW w:w="1366" w:type="dxa"/>
            <w:vAlign w:val="center"/>
          </w:tcPr>
          <w:p w14:paraId="6A0D1A1E">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名称</w:t>
            </w:r>
          </w:p>
        </w:tc>
        <w:tc>
          <w:tcPr>
            <w:tcW w:w="978" w:type="dxa"/>
            <w:vAlign w:val="center"/>
          </w:tcPr>
          <w:p w14:paraId="083D95C5">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数量</w:t>
            </w:r>
          </w:p>
        </w:tc>
        <w:tc>
          <w:tcPr>
            <w:tcW w:w="1243" w:type="dxa"/>
            <w:vAlign w:val="center"/>
          </w:tcPr>
          <w:p w14:paraId="175DD9A4">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占地面积</w:t>
            </w:r>
          </w:p>
        </w:tc>
        <w:tc>
          <w:tcPr>
            <w:tcW w:w="1255" w:type="dxa"/>
            <w:vAlign w:val="center"/>
          </w:tcPr>
          <w:p w14:paraId="428F297A">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耐火等级</w:t>
            </w:r>
          </w:p>
        </w:tc>
        <w:tc>
          <w:tcPr>
            <w:tcW w:w="1891" w:type="dxa"/>
            <w:vAlign w:val="center"/>
          </w:tcPr>
          <w:p w14:paraId="2EC47E2E">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结构类型</w:t>
            </w:r>
          </w:p>
        </w:tc>
        <w:tc>
          <w:tcPr>
            <w:tcW w:w="1913" w:type="dxa"/>
            <w:vAlign w:val="center"/>
          </w:tcPr>
          <w:p w14:paraId="170DECE4">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备注</w:t>
            </w:r>
          </w:p>
        </w:tc>
      </w:tr>
      <w:tr w14:paraId="26CAE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1" w:hRule="exact"/>
          <w:jc w:val="center"/>
        </w:trPr>
        <w:tc>
          <w:tcPr>
            <w:tcW w:w="690" w:type="dxa"/>
            <w:vAlign w:val="center"/>
          </w:tcPr>
          <w:p w14:paraId="6B6F14C9">
            <w:pPr>
              <w:jc w:val="center"/>
              <w:rPr>
                <w:rFonts w:ascii="Times New Roman" w:hAnsi="Times New Roman" w:eastAsia="宋体" w:cs="Calibri"/>
                <w:bCs/>
                <w:color w:val="auto"/>
                <w:kern w:val="2"/>
              </w:rPr>
            </w:pPr>
            <w:r>
              <w:rPr>
                <w:rFonts w:ascii="Times New Roman" w:hAnsi="Times New Roman" w:eastAsia="宋体" w:cs="Calibri"/>
                <w:bCs/>
                <w:color w:val="auto"/>
                <w:kern w:val="2"/>
              </w:rPr>
              <w:t>1</w:t>
            </w:r>
          </w:p>
        </w:tc>
        <w:tc>
          <w:tcPr>
            <w:tcW w:w="1366" w:type="dxa"/>
            <w:vAlign w:val="center"/>
          </w:tcPr>
          <w:p w14:paraId="2F344382">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罩棚</w:t>
            </w:r>
          </w:p>
        </w:tc>
        <w:tc>
          <w:tcPr>
            <w:tcW w:w="978" w:type="dxa"/>
            <w:vAlign w:val="center"/>
          </w:tcPr>
          <w:p w14:paraId="5CAE8C9E">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1座</w:t>
            </w:r>
          </w:p>
        </w:tc>
        <w:tc>
          <w:tcPr>
            <w:tcW w:w="1243" w:type="dxa"/>
            <w:vAlign w:val="center"/>
          </w:tcPr>
          <w:p w14:paraId="1C62B322">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lang w:val="en-US" w:eastAsia="zh-CN"/>
              </w:rPr>
              <w:t>126.0</w:t>
            </w:r>
            <w:r>
              <w:rPr>
                <w:rFonts w:ascii="Times New Roman" w:hAnsi="Times New Roman" w:eastAsia="宋体" w:cs="Calibri"/>
                <w:bCs/>
                <w:color w:val="auto"/>
                <w:kern w:val="2"/>
              </w:rPr>
              <w:t>m</w:t>
            </w:r>
            <w:r>
              <w:rPr>
                <w:rFonts w:ascii="Times New Roman" w:hAnsi="Times New Roman" w:eastAsia="宋体" w:cs="Calibri"/>
                <w:bCs/>
                <w:color w:val="auto"/>
                <w:kern w:val="2"/>
                <w:vertAlign w:val="superscript"/>
              </w:rPr>
              <w:t>2</w:t>
            </w:r>
          </w:p>
        </w:tc>
        <w:tc>
          <w:tcPr>
            <w:tcW w:w="1255" w:type="dxa"/>
            <w:vAlign w:val="center"/>
          </w:tcPr>
          <w:p w14:paraId="059C6B94">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891" w:type="dxa"/>
            <w:vAlign w:val="center"/>
          </w:tcPr>
          <w:p w14:paraId="2D4B0A76">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lang w:val="en-US" w:eastAsia="zh-CN"/>
              </w:rPr>
              <w:t>螺栓球网架</w:t>
            </w:r>
            <w:r>
              <w:rPr>
                <w:rFonts w:hint="eastAsia" w:ascii="Times New Roman" w:hAnsi="Times New Roman" w:eastAsia="宋体" w:cs="Calibri"/>
                <w:bCs/>
                <w:color w:val="auto"/>
                <w:kern w:val="2"/>
              </w:rPr>
              <w:t>结构</w:t>
            </w:r>
          </w:p>
        </w:tc>
        <w:tc>
          <w:tcPr>
            <w:tcW w:w="1913" w:type="dxa"/>
            <w:vAlign w:val="center"/>
          </w:tcPr>
          <w:p w14:paraId="380E1B33">
            <w:pPr>
              <w:jc w:val="center"/>
              <w:rPr>
                <w:rFonts w:ascii="Times New Roman" w:hAnsi="Times New Roman" w:eastAsia="宋体" w:cs="Calibri"/>
                <w:bCs/>
                <w:color w:val="auto"/>
                <w:kern w:val="2"/>
              </w:rPr>
            </w:pPr>
          </w:p>
        </w:tc>
      </w:tr>
      <w:tr w14:paraId="3E6D0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1" w:hRule="exact"/>
          <w:jc w:val="center"/>
        </w:trPr>
        <w:tc>
          <w:tcPr>
            <w:tcW w:w="690" w:type="dxa"/>
            <w:shd w:val="clear" w:color="auto" w:fill="auto"/>
            <w:vAlign w:val="center"/>
          </w:tcPr>
          <w:p w14:paraId="1F1F385C">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2</w:t>
            </w:r>
          </w:p>
        </w:tc>
        <w:tc>
          <w:tcPr>
            <w:tcW w:w="1366" w:type="dxa"/>
            <w:vAlign w:val="center"/>
          </w:tcPr>
          <w:p w14:paraId="506AC7DB">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站房</w:t>
            </w:r>
          </w:p>
        </w:tc>
        <w:tc>
          <w:tcPr>
            <w:tcW w:w="978" w:type="dxa"/>
            <w:vAlign w:val="center"/>
          </w:tcPr>
          <w:p w14:paraId="1FD7E647">
            <w:pPr>
              <w:jc w:val="center"/>
              <w:rPr>
                <w:rFonts w:ascii="Times New Roman" w:hAnsi="Times New Roman" w:eastAsia="宋体" w:cs="Calibri"/>
                <w:bCs/>
                <w:color w:val="auto"/>
                <w:kern w:val="2"/>
              </w:rPr>
            </w:pPr>
            <w:r>
              <w:rPr>
                <w:rFonts w:ascii="Times New Roman" w:hAnsi="Times New Roman" w:eastAsia="宋体" w:cs="Calibri"/>
                <w:bCs/>
                <w:color w:val="auto"/>
                <w:kern w:val="2"/>
              </w:rPr>
              <w:t>1</w:t>
            </w:r>
            <w:r>
              <w:rPr>
                <w:rFonts w:hint="eastAsia" w:ascii="Times New Roman" w:hAnsi="Times New Roman" w:eastAsia="宋体" w:cs="Calibri"/>
                <w:bCs/>
                <w:color w:val="auto"/>
                <w:kern w:val="2"/>
              </w:rPr>
              <w:t>座</w:t>
            </w:r>
          </w:p>
        </w:tc>
        <w:tc>
          <w:tcPr>
            <w:tcW w:w="1243" w:type="dxa"/>
            <w:vAlign w:val="center"/>
          </w:tcPr>
          <w:p w14:paraId="6D7524ED">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lang w:val="en-US" w:eastAsia="zh-CN"/>
              </w:rPr>
              <w:t>10834</w:t>
            </w:r>
            <w:r>
              <w:rPr>
                <w:rFonts w:ascii="Times New Roman" w:hAnsi="Times New Roman" w:eastAsia="宋体" w:cs="Calibri"/>
                <w:bCs/>
                <w:color w:val="auto"/>
                <w:kern w:val="2"/>
              </w:rPr>
              <w:t>m</w:t>
            </w:r>
            <w:r>
              <w:rPr>
                <w:rFonts w:ascii="Times New Roman" w:hAnsi="Times New Roman" w:eastAsia="宋体" w:cs="Calibri"/>
                <w:bCs/>
                <w:color w:val="auto"/>
                <w:kern w:val="2"/>
                <w:vertAlign w:val="superscript"/>
              </w:rPr>
              <w:t>2</w:t>
            </w:r>
          </w:p>
        </w:tc>
        <w:tc>
          <w:tcPr>
            <w:tcW w:w="1255" w:type="dxa"/>
            <w:vAlign w:val="center"/>
          </w:tcPr>
          <w:p w14:paraId="7F8CB4BD">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二级</w:t>
            </w:r>
          </w:p>
        </w:tc>
        <w:tc>
          <w:tcPr>
            <w:tcW w:w="1891" w:type="dxa"/>
            <w:vAlign w:val="center"/>
          </w:tcPr>
          <w:p w14:paraId="18777D8D">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砖混</w:t>
            </w:r>
          </w:p>
        </w:tc>
        <w:tc>
          <w:tcPr>
            <w:tcW w:w="1913" w:type="dxa"/>
            <w:vAlign w:val="center"/>
          </w:tcPr>
          <w:p w14:paraId="2DD227D4">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一层</w:t>
            </w:r>
          </w:p>
        </w:tc>
      </w:tr>
      <w:tr w14:paraId="25341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1" w:hRule="exact"/>
          <w:jc w:val="center"/>
        </w:trPr>
        <w:tc>
          <w:tcPr>
            <w:tcW w:w="690" w:type="dxa"/>
            <w:shd w:val="clear" w:color="auto" w:fill="auto"/>
            <w:vAlign w:val="center"/>
          </w:tcPr>
          <w:p w14:paraId="6BEA1FCE">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3</w:t>
            </w:r>
          </w:p>
        </w:tc>
        <w:tc>
          <w:tcPr>
            <w:tcW w:w="1366" w:type="dxa"/>
            <w:vAlign w:val="center"/>
          </w:tcPr>
          <w:p w14:paraId="009EA450">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油罐区</w:t>
            </w:r>
          </w:p>
        </w:tc>
        <w:tc>
          <w:tcPr>
            <w:tcW w:w="978" w:type="dxa"/>
            <w:vAlign w:val="center"/>
          </w:tcPr>
          <w:p w14:paraId="19C95E2B">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1座</w:t>
            </w:r>
          </w:p>
        </w:tc>
        <w:tc>
          <w:tcPr>
            <w:tcW w:w="1243" w:type="dxa"/>
            <w:vAlign w:val="center"/>
          </w:tcPr>
          <w:p w14:paraId="261D4DD4">
            <w:pPr>
              <w:jc w:val="center"/>
              <w:rPr>
                <w:rFonts w:hint="eastAsia" w:ascii="Times New Roman" w:hAnsi="Times New Roman" w:eastAsia="宋体" w:cs="Calibri"/>
                <w:bCs/>
                <w:color w:val="auto"/>
                <w:kern w:val="2"/>
                <w:lang w:eastAsia="zh-CN"/>
              </w:rPr>
            </w:pPr>
            <w:r>
              <w:rPr>
                <w:rFonts w:hint="eastAsia" w:ascii="Times New Roman" w:hAnsi="Times New Roman" w:eastAsia="宋体" w:cs="Calibri"/>
                <w:bCs/>
                <w:color w:val="auto"/>
                <w:kern w:val="2"/>
                <w:lang w:val="en-US" w:eastAsia="zh-CN"/>
              </w:rPr>
              <w:t>/</w:t>
            </w:r>
          </w:p>
        </w:tc>
        <w:tc>
          <w:tcPr>
            <w:tcW w:w="1255" w:type="dxa"/>
            <w:vAlign w:val="center"/>
          </w:tcPr>
          <w:p w14:paraId="634FB456">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891" w:type="dxa"/>
            <w:vAlign w:val="center"/>
          </w:tcPr>
          <w:p w14:paraId="4E89FCD2">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砼</w:t>
            </w:r>
          </w:p>
        </w:tc>
        <w:tc>
          <w:tcPr>
            <w:tcW w:w="1913" w:type="dxa"/>
            <w:vAlign w:val="center"/>
          </w:tcPr>
          <w:p w14:paraId="4ADF93F0">
            <w:pPr>
              <w:jc w:val="center"/>
              <w:rPr>
                <w:rFonts w:ascii="Times New Roman" w:hAnsi="Times New Roman" w:eastAsia="宋体" w:cs="Calibri"/>
                <w:bCs/>
                <w:color w:val="auto"/>
                <w:kern w:val="2"/>
              </w:rPr>
            </w:pPr>
          </w:p>
        </w:tc>
      </w:tr>
      <w:tr w14:paraId="730BD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1" w:hRule="exact"/>
          <w:jc w:val="center"/>
        </w:trPr>
        <w:tc>
          <w:tcPr>
            <w:tcW w:w="690" w:type="dxa"/>
            <w:shd w:val="clear" w:color="auto" w:fill="auto"/>
            <w:vAlign w:val="center"/>
          </w:tcPr>
          <w:p w14:paraId="7CDC71B3">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4</w:t>
            </w:r>
          </w:p>
        </w:tc>
        <w:tc>
          <w:tcPr>
            <w:tcW w:w="1366" w:type="dxa"/>
            <w:vAlign w:val="center"/>
          </w:tcPr>
          <w:p w14:paraId="33D54701">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隔油池</w:t>
            </w:r>
          </w:p>
        </w:tc>
        <w:tc>
          <w:tcPr>
            <w:tcW w:w="978" w:type="dxa"/>
            <w:vAlign w:val="center"/>
          </w:tcPr>
          <w:p w14:paraId="5EAD8CB8">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1座</w:t>
            </w:r>
          </w:p>
        </w:tc>
        <w:tc>
          <w:tcPr>
            <w:tcW w:w="1243" w:type="dxa"/>
            <w:vAlign w:val="center"/>
          </w:tcPr>
          <w:p w14:paraId="6519AF4B">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lang w:val="en-US" w:eastAsia="zh-CN"/>
              </w:rPr>
              <w:t>5.25</w:t>
            </w:r>
            <w:r>
              <w:rPr>
                <w:rFonts w:ascii="Times New Roman" w:hAnsi="Times New Roman" w:eastAsia="宋体" w:cs="Calibri"/>
                <w:bCs/>
                <w:color w:val="auto"/>
                <w:kern w:val="2"/>
              </w:rPr>
              <w:t>m</w:t>
            </w:r>
            <w:r>
              <w:rPr>
                <w:rFonts w:ascii="Times New Roman" w:hAnsi="Times New Roman" w:eastAsia="宋体" w:cs="Calibri"/>
                <w:bCs/>
                <w:color w:val="auto"/>
                <w:kern w:val="2"/>
                <w:vertAlign w:val="superscript"/>
              </w:rPr>
              <w:t>2</w:t>
            </w:r>
          </w:p>
        </w:tc>
        <w:tc>
          <w:tcPr>
            <w:tcW w:w="1255" w:type="dxa"/>
            <w:vAlign w:val="center"/>
          </w:tcPr>
          <w:p w14:paraId="6E7590C8">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w:t>
            </w:r>
          </w:p>
        </w:tc>
        <w:tc>
          <w:tcPr>
            <w:tcW w:w="1891" w:type="dxa"/>
            <w:vAlign w:val="center"/>
          </w:tcPr>
          <w:p w14:paraId="64A96C9F">
            <w:pPr>
              <w:jc w:val="center"/>
              <w:rPr>
                <w:rFonts w:ascii="Times New Roman" w:hAnsi="Times New Roman" w:eastAsia="宋体" w:cs="Calibri"/>
                <w:bCs/>
                <w:color w:val="auto"/>
                <w:kern w:val="2"/>
              </w:rPr>
            </w:pPr>
            <w:r>
              <w:rPr>
                <w:rFonts w:hint="eastAsia" w:ascii="Times New Roman" w:hAnsi="Times New Roman" w:eastAsia="宋体" w:cs="Calibri"/>
                <w:bCs/>
                <w:color w:val="auto"/>
                <w:kern w:val="2"/>
              </w:rPr>
              <w:t>砼</w:t>
            </w:r>
          </w:p>
        </w:tc>
        <w:tc>
          <w:tcPr>
            <w:tcW w:w="1913" w:type="dxa"/>
            <w:vAlign w:val="center"/>
          </w:tcPr>
          <w:p w14:paraId="5A0D8739">
            <w:pPr>
              <w:jc w:val="center"/>
              <w:rPr>
                <w:rFonts w:ascii="Times New Roman" w:hAnsi="Times New Roman" w:eastAsia="宋体" w:cs="Calibri"/>
                <w:bCs/>
                <w:color w:val="auto"/>
                <w:kern w:val="2"/>
              </w:rPr>
            </w:pPr>
          </w:p>
        </w:tc>
      </w:tr>
    </w:tbl>
    <w:p w14:paraId="7185E348">
      <w:pPr>
        <w:keepNext/>
        <w:keepLines/>
        <w:spacing w:line="580" w:lineRule="exact"/>
        <w:outlineLvl w:val="2"/>
        <w:rPr>
          <w:rFonts w:ascii="Times New Roman" w:hAnsi="Times New Roman" w:eastAsia="宋体" w:cs="Times New Roman"/>
          <w:b/>
          <w:bCs/>
          <w:color w:val="auto"/>
          <w:kern w:val="2"/>
          <w:sz w:val="28"/>
          <w:szCs w:val="28"/>
        </w:rPr>
      </w:pPr>
      <w:bookmarkStart w:id="34" w:name="_Toc24392"/>
      <w:r>
        <w:rPr>
          <w:rFonts w:ascii="Times New Roman" w:hAnsi="Times New Roman" w:eastAsia="宋体" w:cs="Times New Roman"/>
          <w:b/>
          <w:bCs/>
          <w:color w:val="auto"/>
          <w:kern w:val="2"/>
          <w:sz w:val="28"/>
          <w:szCs w:val="28"/>
        </w:rPr>
        <w:t>2.3.2</w:t>
      </w:r>
      <w:r>
        <w:rPr>
          <w:rFonts w:hint="eastAsia" w:ascii="Times New Roman" w:hAnsi="Times New Roman" w:eastAsia="宋体" w:cs="宋体"/>
          <w:b/>
          <w:bCs/>
          <w:color w:val="auto"/>
          <w:kern w:val="2"/>
          <w:sz w:val="28"/>
          <w:szCs w:val="28"/>
        </w:rPr>
        <w:t>工艺流程</w:t>
      </w:r>
      <w:bookmarkEnd w:id="34"/>
    </w:p>
    <w:p w14:paraId="13D0080D">
      <w:pPr>
        <w:keepNext/>
        <w:keepLines/>
        <w:spacing w:line="600" w:lineRule="exact"/>
        <w:ind w:firstLine="562" w:firstLineChars="200"/>
        <w:jc w:val="left"/>
        <w:rPr>
          <w:rFonts w:ascii="Times New Roman" w:hAnsi="Times New Roman" w:eastAsia="宋体" w:cs="Times New Roman"/>
          <w:b/>
          <w:bCs/>
          <w:color w:val="auto"/>
          <w:kern w:val="2"/>
          <w:sz w:val="28"/>
          <w:szCs w:val="28"/>
        </w:rPr>
      </w:pPr>
      <w:bookmarkStart w:id="35" w:name="_Toc22611"/>
      <w:bookmarkStart w:id="36" w:name="_Toc30405"/>
      <w:bookmarkStart w:id="37" w:name="_Toc1188"/>
      <w:r>
        <w:rPr>
          <w:rFonts w:hint="eastAsia" w:ascii="Times New Roman" w:hAnsi="Times New Roman" w:eastAsia="宋体" w:cs="Times New Roman"/>
          <w:b/>
          <w:bCs/>
          <w:color w:val="auto"/>
          <w:kern w:val="2"/>
          <w:sz w:val="28"/>
          <w:szCs w:val="28"/>
        </w:rPr>
        <w:t>1）卸油工艺流程</w:t>
      </w:r>
      <w:bookmarkEnd w:id="35"/>
      <w:r>
        <w:rPr>
          <w:rFonts w:ascii="Times New Roman" w:hAnsi="Times New Roman" w:eastAsia="宋体" w:cs="Times New Roman"/>
          <w:b/>
          <w:bCs/>
          <w:color w:val="auto"/>
          <w:kern w:val="2"/>
          <w:sz w:val="28"/>
          <w:szCs w:val="28"/>
        </w:rPr>
        <w:t xml:space="preserve"> </w:t>
      </w:r>
    </w:p>
    <w:p w14:paraId="30231D5F">
      <w:pPr>
        <w:widowControl/>
        <w:spacing w:line="600" w:lineRule="exact"/>
        <w:ind w:firstLine="561"/>
        <w:jc w:val="left"/>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油罐车从石油库运至加油站罐区后，在卸油口附近停稳熄火，先用加油站的静电接地导线与油罐车卸油设施连接在一起，静置5分钟清除静电。然后用快速接头将油罐车的卸油管与埋地</w:t>
      </w:r>
      <w:r>
        <w:rPr>
          <w:rFonts w:hint="eastAsia" w:ascii="Times New Roman" w:hAnsi="Times New Roman" w:eastAsia="宋体" w:cs="Times New Roman"/>
          <w:bCs w:val="0"/>
          <w:color w:val="auto"/>
          <w:kern w:val="0"/>
          <w:sz w:val="28"/>
          <w:szCs w:val="28"/>
          <w:lang w:val="en-US" w:eastAsia="zh-CN"/>
        </w:rPr>
        <w:t>双层</w:t>
      </w:r>
      <w:r>
        <w:rPr>
          <w:rFonts w:hint="eastAsia" w:ascii="Times New Roman" w:hAnsi="Times New Roman" w:eastAsia="宋体" w:cs="Times New Roman"/>
          <w:bCs w:val="0"/>
          <w:color w:val="auto"/>
          <w:kern w:val="0"/>
          <w:sz w:val="28"/>
          <w:szCs w:val="28"/>
        </w:rPr>
        <w:t>卧式储罐的快速密闭卸油口连接在一起，再开始卸油，通过量油孔计量需要卸油量。油品卸完后，检查没有溢油、漏油后，人工封闭好油罐进油口和罐车卸油口，拆除连通软管及静电接地装置。静置安全后启动车辆，在人员指挥下缓慢离开罐区。</w:t>
      </w:r>
    </w:p>
    <w:p w14:paraId="3F544BC7">
      <w:pPr>
        <w:keepNext w:val="0"/>
        <w:keepLines w:val="0"/>
        <w:pageBreakBefore w:val="0"/>
        <w:widowControl/>
        <w:kinsoku/>
        <w:wordWrap/>
        <w:overflowPunct/>
        <w:topLinePunct w:val="0"/>
        <w:autoSpaceDE/>
        <w:autoSpaceDN/>
        <w:bidi w:val="0"/>
        <w:adjustRightInd/>
        <w:snapToGrid/>
        <w:spacing w:line="360" w:lineRule="auto"/>
        <w:ind w:firstLine="561"/>
        <w:jc w:val="left"/>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宋体"/>
          <w:bCs w:val="0"/>
          <w:color w:val="auto"/>
          <w:kern w:val="0"/>
          <w:sz w:val="28"/>
          <w:szCs w:val="28"/>
        </w:rPr>
        <w:t>①</w:t>
      </w:r>
      <w:r>
        <w:rPr>
          <w:rFonts w:hint="eastAsia" w:ascii="Times New Roman" w:hAnsi="Times New Roman" w:eastAsia="宋体" w:cs="Times New Roman"/>
          <w:bCs w:val="0"/>
          <w:color w:val="auto"/>
          <w:kern w:val="0"/>
          <w:sz w:val="28"/>
          <w:szCs w:val="28"/>
        </w:rPr>
        <w:t>汽油卸油工艺：该加油站设置汽油油气回收的卸油工艺。</w:t>
      </w:r>
    </w:p>
    <w:p w14:paraId="75899E7A">
      <w:pPr>
        <w:keepNext w:val="0"/>
        <w:keepLines w:val="0"/>
        <w:pageBreakBefore w:val="0"/>
        <w:widowControl/>
        <w:kinsoku/>
        <w:wordWrap/>
        <w:overflowPunct/>
        <w:topLinePunct w:val="0"/>
        <w:autoSpaceDE/>
        <w:autoSpaceDN/>
        <w:bidi w:val="0"/>
        <w:adjustRightInd/>
        <w:snapToGrid/>
        <w:spacing w:line="360" w:lineRule="auto"/>
        <w:ind w:firstLine="561"/>
        <w:jc w:val="left"/>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在油罐车卸油过程中，将储油罐内逸散的油气，通过油气回收地下工艺管线及卸车软管重新收集至油罐车内，实现卸油与油气等体积置换。带油气回收的汽油卸油工艺，流程图如下：</w:t>
      </w:r>
    </w:p>
    <w:p w14:paraId="7C09A5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0"/>
          <w:sz w:val="24"/>
          <w:szCs w:val="24"/>
          <w:lang w:val="zh-CN"/>
        </w:rPr>
        <w:drawing>
          <wp:inline distT="0" distB="0" distL="114300" distR="114300">
            <wp:extent cx="4974590" cy="764540"/>
            <wp:effectExtent l="0" t="0" r="16510" b="16510"/>
            <wp:docPr id="1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
                    <pic:cNvPicPr>
                      <a:picLocks noChangeAspect="1"/>
                    </pic:cNvPicPr>
                  </pic:nvPicPr>
                  <pic:blipFill>
                    <a:blip r:embed="rId9"/>
                    <a:srcRect t="4752" b="4375"/>
                    <a:stretch>
                      <a:fillRect/>
                    </a:stretch>
                  </pic:blipFill>
                  <pic:spPr>
                    <a:xfrm>
                      <a:off x="0" y="0"/>
                      <a:ext cx="4974590" cy="764540"/>
                    </a:xfrm>
                    <a:prstGeom prst="rect">
                      <a:avLst/>
                    </a:prstGeom>
                    <a:noFill/>
                    <a:ln>
                      <a:noFill/>
                    </a:ln>
                  </pic:spPr>
                </pic:pic>
              </a:graphicData>
            </a:graphic>
          </wp:inline>
        </w:drawing>
      </w:r>
    </w:p>
    <w:p w14:paraId="785DFF37">
      <w:pPr>
        <w:keepNext w:val="0"/>
        <w:keepLines w:val="0"/>
        <w:pageBreakBefore w:val="0"/>
        <w:kinsoku/>
        <w:wordWrap/>
        <w:overflowPunct/>
        <w:topLinePunct w:val="0"/>
        <w:autoSpaceDE/>
        <w:autoSpaceDN/>
        <w:bidi w:val="0"/>
        <w:adjustRightInd/>
        <w:snapToGrid/>
        <w:spacing w:line="360" w:lineRule="auto"/>
        <w:ind w:firstLine="422" w:firstLineChars="200"/>
        <w:textAlignment w:val="auto"/>
        <w:rPr>
          <w:rFonts w:ascii="Times New Roman" w:hAnsi="Times New Roman" w:eastAsia="宋体" w:cs="Times New Roman"/>
          <w:bCs w:val="0"/>
          <w:color w:val="auto"/>
          <w:kern w:val="2"/>
          <w:sz w:val="24"/>
          <w:szCs w:val="24"/>
        </w:rPr>
      </w:pPr>
      <w:r>
        <w:rPr>
          <w:rFonts w:hint="eastAsia" w:ascii="Times New Roman" w:hAnsi="Times New Roman" w:eastAsia="宋体" w:cs="Times New Roman"/>
          <w:b/>
          <w:bCs/>
          <w:color w:val="auto"/>
          <w:kern w:val="2"/>
        </w:rPr>
        <w:t>注：虚线箭头表示油气回收工艺路线。</w:t>
      </w:r>
    </w:p>
    <w:p w14:paraId="0D349490">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cs="Times New Roman"/>
          <w:bCs w:val="0"/>
          <w:color w:val="auto"/>
          <w:kern w:val="2"/>
          <w:sz w:val="24"/>
          <w:szCs w:val="24"/>
        </w:rPr>
      </w:pPr>
      <w:r>
        <w:rPr>
          <w:rFonts w:hint="eastAsia" w:ascii="Times New Roman" w:hAnsi="Times New Roman" w:eastAsia="宋体" w:cs="宋体"/>
          <w:bCs w:val="0"/>
          <w:color w:val="auto"/>
          <w:kern w:val="2"/>
          <w:sz w:val="28"/>
          <w:szCs w:val="28"/>
        </w:rPr>
        <w:t>②</w:t>
      </w:r>
      <w:r>
        <w:rPr>
          <w:rFonts w:hint="eastAsia" w:ascii="Times New Roman" w:hAnsi="Times New Roman" w:eastAsia="宋体" w:cs="Times New Roman"/>
          <w:bCs w:val="0"/>
          <w:color w:val="auto"/>
          <w:kern w:val="2"/>
          <w:sz w:val="28"/>
          <w:szCs w:val="28"/>
        </w:rPr>
        <w:t>柴油卸油工艺，流程图如下</w:t>
      </w:r>
      <w:r>
        <w:rPr>
          <w:rFonts w:hint="eastAsia" w:ascii="Times New Roman" w:hAnsi="Times New Roman" w:eastAsia="宋体" w:cs="Times New Roman"/>
          <w:bCs w:val="0"/>
          <w:color w:val="auto"/>
          <w:kern w:val="2"/>
          <w:sz w:val="24"/>
          <w:szCs w:val="24"/>
        </w:rPr>
        <w:t>：</w:t>
      </w:r>
    </w:p>
    <w:p w14:paraId="5797F939">
      <w:pPr>
        <w:keepNext w:val="0"/>
        <w:keepLines w:val="0"/>
        <w:pageBreakBefore w:val="0"/>
        <w:kinsoku/>
        <w:wordWrap/>
        <w:overflowPunct/>
        <w:topLinePunct w:val="0"/>
        <w:autoSpaceDE/>
        <w:autoSpaceDN/>
        <w:bidi w:val="0"/>
        <w:adjustRightInd/>
        <w:snapToGrid/>
        <w:spacing w:line="360" w:lineRule="auto"/>
        <w:jc w:val="center"/>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drawing>
          <wp:inline distT="0" distB="0" distL="114300" distR="114300">
            <wp:extent cx="5039360" cy="328930"/>
            <wp:effectExtent l="0" t="0" r="8890" b="13970"/>
            <wp:docPr id="1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pic:cNvPicPr>
                      <a:picLocks noChangeAspect="1"/>
                    </pic:cNvPicPr>
                  </pic:nvPicPr>
                  <pic:blipFill>
                    <a:blip r:embed="rId10"/>
                    <a:srcRect t="7716" b="10709"/>
                    <a:stretch>
                      <a:fillRect/>
                    </a:stretch>
                  </pic:blipFill>
                  <pic:spPr>
                    <a:xfrm>
                      <a:off x="0" y="0"/>
                      <a:ext cx="5039360" cy="328930"/>
                    </a:xfrm>
                    <a:prstGeom prst="rect">
                      <a:avLst/>
                    </a:prstGeom>
                    <a:noFill/>
                    <a:ln>
                      <a:noFill/>
                    </a:ln>
                  </pic:spPr>
                </pic:pic>
              </a:graphicData>
            </a:graphic>
          </wp:inline>
        </w:drawing>
      </w:r>
    </w:p>
    <w:p w14:paraId="39A9C865">
      <w:pPr>
        <w:keepNext/>
        <w:keepLines/>
        <w:spacing w:line="600" w:lineRule="exact"/>
        <w:ind w:firstLine="562" w:firstLineChars="200"/>
        <w:jc w:val="left"/>
        <w:rPr>
          <w:rFonts w:ascii="Times New Roman" w:hAnsi="Times New Roman" w:eastAsia="宋体" w:cs="Times New Roman"/>
          <w:b/>
          <w:bCs/>
          <w:color w:val="auto"/>
          <w:kern w:val="2"/>
          <w:sz w:val="28"/>
          <w:szCs w:val="28"/>
        </w:rPr>
      </w:pPr>
      <w:bookmarkStart w:id="38" w:name="_Toc20461"/>
      <w:bookmarkStart w:id="39" w:name="_Toc27343"/>
      <w:r>
        <w:rPr>
          <w:rFonts w:hint="eastAsia" w:ascii="Times New Roman" w:hAnsi="Times New Roman" w:eastAsia="宋体" w:cs="Times New Roman"/>
          <w:b/>
          <w:bCs/>
          <w:color w:val="auto"/>
          <w:kern w:val="2"/>
          <w:sz w:val="28"/>
          <w:szCs w:val="28"/>
        </w:rPr>
        <w:t>2）加油工艺流程</w:t>
      </w:r>
      <w:bookmarkEnd w:id="38"/>
      <w:bookmarkEnd w:id="39"/>
    </w:p>
    <w:p w14:paraId="22BE5C29">
      <w:pPr>
        <w:spacing w:line="600" w:lineRule="exact"/>
        <w:ind w:firstLine="544" w:firstLineChars="200"/>
        <w:rPr>
          <w:rFonts w:ascii="Times New Roman" w:hAnsi="Times New Roman" w:eastAsia="宋体" w:cs="Times New Roman"/>
          <w:bCs w:val="0"/>
          <w:color w:val="auto"/>
          <w:spacing w:val="-4"/>
          <w:kern w:val="2"/>
          <w:sz w:val="28"/>
          <w:szCs w:val="28"/>
        </w:rPr>
      </w:pPr>
      <w:r>
        <w:rPr>
          <w:rFonts w:hint="eastAsia" w:ascii="Times New Roman" w:hAnsi="Times New Roman" w:eastAsia="宋体" w:cs="Times New Roman"/>
          <w:bCs w:val="0"/>
          <w:color w:val="auto"/>
          <w:spacing w:val="-4"/>
          <w:kern w:val="2"/>
          <w:sz w:val="28"/>
          <w:szCs w:val="28"/>
        </w:rPr>
        <w:t>加油：通过油罐内的油泵将油品从储油罐抽出，经过加油机的油气分离器、计量器（加入油品的量可以从加油机的计数器上观察到），然后用加油枪加到车油箱中。带油气回收的加油工艺流程图如下：</w:t>
      </w:r>
    </w:p>
    <w:p w14:paraId="458F5459">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①</w:t>
      </w:r>
      <w:r>
        <w:rPr>
          <w:rFonts w:hint="eastAsia" w:ascii="Times New Roman" w:hAnsi="Times New Roman" w:eastAsia="宋体" w:cs="Times New Roman"/>
          <w:bCs w:val="0"/>
          <w:color w:val="auto"/>
          <w:kern w:val="2"/>
          <w:sz w:val="28"/>
          <w:szCs w:val="28"/>
        </w:rPr>
        <w:t>汽油加油机加油工艺：本站设有带汽油油气回收的加油工艺。</w:t>
      </w:r>
    </w:p>
    <w:p w14:paraId="59E74232">
      <w:pPr>
        <w:spacing w:line="600" w:lineRule="exact"/>
        <w:ind w:firstLine="560" w:firstLineChars="200"/>
        <w:rPr>
          <w:rFonts w:ascii="Times New Roman" w:hAnsi="Times New Roman" w:eastAsia="宋体" w:cs="Times New Roman"/>
          <w:bCs/>
          <w:color w:val="auto"/>
          <w:kern w:val="2"/>
          <w:sz w:val="28"/>
          <w:szCs w:val="28"/>
        </w:rPr>
      </w:pPr>
      <w:r>
        <w:rPr>
          <w:rFonts w:hint="eastAsia" w:ascii="Times New Roman" w:hAnsi="Times New Roman" w:eastAsia="宋体" w:cs="Times New Roman"/>
          <w:bCs/>
          <w:color w:val="auto"/>
          <w:kern w:val="2"/>
          <w:sz w:val="28"/>
          <w:szCs w:val="28"/>
        </w:rPr>
        <w:t>由汽油加油机收集的油气回到汽油储油罐内。</w:t>
      </w:r>
    </w:p>
    <w:p w14:paraId="5B944C28">
      <w:pPr>
        <w:keepNext/>
        <w:keepLines/>
        <w:adjustRightInd w:val="0"/>
        <w:snapToGrid w:val="0"/>
        <w:spacing w:before="156" w:beforeLines="50" w:after="120"/>
        <w:jc w:val="center"/>
        <w:textAlignment w:val="baseline"/>
        <w:rPr>
          <w:rFonts w:ascii="Times New Roman" w:hAnsi="Times New Roman" w:eastAsia="宋体" w:cs="Times New Roman"/>
          <w:b/>
          <w:bCs/>
          <w:color w:val="auto"/>
          <w:kern w:val="2"/>
          <w:sz w:val="32"/>
          <w:szCs w:val="28"/>
        </w:rPr>
      </w:pPr>
      <w:r>
        <w:rPr>
          <w:rFonts w:hint="eastAsia" w:ascii="Times New Roman" w:hAnsi="Times New Roman" w:eastAsia="宋体" w:cs="Times New Roman"/>
          <w:b/>
          <w:bCs/>
          <w:color w:val="auto"/>
          <w:kern w:val="2"/>
          <w:sz w:val="32"/>
          <w:szCs w:val="28"/>
        </w:rPr>
        <w:drawing>
          <wp:inline distT="0" distB="0" distL="114300" distR="114300">
            <wp:extent cx="5242560" cy="1350010"/>
            <wp:effectExtent l="0" t="0" r="15240" b="2540"/>
            <wp:docPr id="1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
                    <pic:cNvPicPr>
                      <a:picLocks noChangeAspect="1"/>
                    </pic:cNvPicPr>
                  </pic:nvPicPr>
                  <pic:blipFill>
                    <a:blip r:embed="rId11"/>
                    <a:srcRect t="1866" b="1366"/>
                    <a:stretch>
                      <a:fillRect/>
                    </a:stretch>
                  </pic:blipFill>
                  <pic:spPr>
                    <a:xfrm>
                      <a:off x="0" y="0"/>
                      <a:ext cx="5242560" cy="1350010"/>
                    </a:xfrm>
                    <a:prstGeom prst="rect">
                      <a:avLst/>
                    </a:prstGeom>
                    <a:noFill/>
                    <a:ln>
                      <a:noFill/>
                    </a:ln>
                  </pic:spPr>
                </pic:pic>
              </a:graphicData>
            </a:graphic>
          </wp:inline>
        </w:drawing>
      </w:r>
    </w:p>
    <w:p w14:paraId="5371E1B7">
      <w:pPr>
        <w:spacing w:line="360" w:lineRule="auto"/>
        <w:ind w:firstLine="843" w:firstLineChars="400"/>
        <w:rPr>
          <w:rFonts w:ascii="Times New Roman" w:hAnsi="Times New Roman" w:eastAsia="宋体" w:cs="Times New Roman"/>
          <w:b/>
          <w:bCs/>
          <w:color w:val="auto"/>
          <w:kern w:val="2"/>
          <w:sz w:val="24"/>
          <w:szCs w:val="24"/>
        </w:rPr>
      </w:pPr>
      <w:r>
        <w:rPr>
          <w:rFonts w:hint="eastAsia" w:ascii="Times New Roman" w:hAnsi="Times New Roman" w:eastAsia="宋体" w:cs="Times New Roman"/>
          <w:b/>
          <w:bCs/>
          <w:color w:val="auto"/>
          <w:kern w:val="2"/>
        </w:rPr>
        <w:t>注：虚线箭头表示油气回收工艺路线。</w:t>
      </w:r>
    </w:p>
    <w:p w14:paraId="70E652B6">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②</w:t>
      </w:r>
      <w:r>
        <w:rPr>
          <w:rFonts w:hint="eastAsia" w:ascii="Times New Roman" w:hAnsi="Times New Roman" w:eastAsia="宋体" w:cs="Times New Roman"/>
          <w:bCs w:val="0"/>
          <w:color w:val="auto"/>
          <w:kern w:val="2"/>
          <w:sz w:val="28"/>
          <w:szCs w:val="28"/>
        </w:rPr>
        <w:t>柴油加油机加油工艺，流程图如下：</w:t>
      </w:r>
    </w:p>
    <w:p w14:paraId="48010384">
      <w:pPr>
        <w:spacing w:line="360" w:lineRule="auto"/>
        <w:ind w:firstLine="480" w:firstLineChars="200"/>
        <w:rPr>
          <w:rFonts w:ascii="Times New Roman" w:hAnsi="Times New Roman" w:eastAsia="宋体" w:cs="Times New Roman"/>
          <w:bCs w:val="0"/>
          <w:color w:val="auto"/>
          <w:kern w:val="2"/>
          <w:sz w:val="24"/>
          <w:szCs w:val="24"/>
        </w:rPr>
      </w:pPr>
      <w:r>
        <w:rPr>
          <w:rFonts w:hint="eastAsia" w:ascii="Times New Roman" w:hAnsi="Times New Roman" w:eastAsia="宋体" w:cs="Times New Roman"/>
          <w:bCs w:val="0"/>
          <w:color w:val="auto"/>
          <w:kern w:val="2"/>
          <w:sz w:val="24"/>
          <w:szCs w:val="24"/>
          <w:lang w:val="en-US" w:eastAsia="zh-CN"/>
        </w:rPr>
        <w:drawing>
          <wp:inline distT="0" distB="0" distL="114300" distR="114300">
            <wp:extent cx="5032375" cy="864235"/>
            <wp:effectExtent l="0" t="0" r="15875" b="12065"/>
            <wp:docPr id="1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
                    <pic:cNvPicPr>
                      <a:picLocks noChangeAspect="1"/>
                    </pic:cNvPicPr>
                  </pic:nvPicPr>
                  <pic:blipFill>
                    <a:blip r:embed="rId12"/>
                    <a:srcRect t="3146" b="3761"/>
                    <a:stretch>
                      <a:fillRect/>
                    </a:stretch>
                  </pic:blipFill>
                  <pic:spPr>
                    <a:xfrm>
                      <a:off x="0" y="0"/>
                      <a:ext cx="5032375" cy="864235"/>
                    </a:xfrm>
                    <a:prstGeom prst="rect">
                      <a:avLst/>
                    </a:prstGeom>
                    <a:noFill/>
                    <a:ln>
                      <a:noFill/>
                    </a:ln>
                  </pic:spPr>
                </pic:pic>
              </a:graphicData>
            </a:graphic>
          </wp:inline>
        </w:drawing>
      </w:r>
    </w:p>
    <w:bookmarkEnd w:id="36"/>
    <w:p w14:paraId="1F5B38E2">
      <w:pPr>
        <w:keepNext/>
        <w:keepLines/>
        <w:spacing w:line="580" w:lineRule="exact"/>
        <w:outlineLvl w:val="1"/>
        <w:rPr>
          <w:rFonts w:ascii="Times New Roman" w:hAnsi="Times New Roman" w:eastAsia="宋体" w:cs="Times New Roman"/>
          <w:b/>
          <w:bCs/>
          <w:color w:val="auto"/>
          <w:kern w:val="2"/>
          <w:sz w:val="28"/>
          <w:szCs w:val="28"/>
        </w:rPr>
      </w:pPr>
      <w:bookmarkStart w:id="40" w:name="_Toc11002"/>
      <w:r>
        <w:rPr>
          <w:rFonts w:ascii="Times New Roman" w:hAnsi="Times New Roman" w:eastAsia="宋体" w:cs="Times New Roman"/>
          <w:b/>
          <w:bCs/>
          <w:color w:val="auto"/>
          <w:kern w:val="2"/>
          <w:sz w:val="28"/>
          <w:szCs w:val="28"/>
        </w:rPr>
        <w:t xml:space="preserve">2.4 </w:t>
      </w:r>
      <w:r>
        <w:rPr>
          <w:rFonts w:hint="eastAsia" w:ascii="Times New Roman" w:hAnsi="Times New Roman" w:eastAsia="宋体" w:cs="宋体"/>
          <w:b/>
          <w:bCs/>
          <w:color w:val="auto"/>
          <w:kern w:val="2"/>
          <w:sz w:val="28"/>
          <w:szCs w:val="28"/>
        </w:rPr>
        <w:t>辅助设施</w:t>
      </w:r>
      <w:bookmarkEnd w:id="37"/>
      <w:bookmarkEnd w:id="40"/>
    </w:p>
    <w:p w14:paraId="48BF71C9">
      <w:pPr>
        <w:spacing w:line="58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、供配电</w:t>
      </w:r>
    </w:p>
    <w:p w14:paraId="5AD38C24">
      <w:pPr>
        <w:keepNext w:val="0"/>
        <w:keepLines w:val="0"/>
        <w:pageBreakBefore w:val="0"/>
        <w:widowControl/>
        <w:tabs>
          <w:tab w:val="left" w:pos="3465"/>
        </w:tabs>
        <w:kinsoku/>
        <w:wordWrap/>
        <w:overflowPunct/>
        <w:topLinePunct w:val="0"/>
        <w:autoSpaceDE/>
        <w:autoSpaceDN/>
        <w:bidi w:val="0"/>
        <w:adjustRightInd/>
        <w:snapToGrid/>
        <w:spacing w:line="600" w:lineRule="exact"/>
        <w:ind w:firstLine="560" w:firstLineChars="200"/>
        <w:jc w:val="both"/>
        <w:textAlignment w:val="auto"/>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8"/>
        </w:rPr>
        <w:t>电源从当地380V/220V外接电源引至位于站房配电间的配电箱，通过埋地填沙电缆沟敷设到加油机，照明使用220V交流电压</w:t>
      </w:r>
      <w:r>
        <w:rPr>
          <w:rFonts w:ascii="Times New Roman" w:hAnsi="Times New Roman" w:eastAsia="宋体" w:cs="Times New Roman"/>
          <w:bCs w:val="0"/>
          <w:color w:val="auto"/>
          <w:kern w:val="2"/>
          <w:sz w:val="28"/>
          <w:szCs w:val="28"/>
        </w:rPr>
        <w:t>，</w:t>
      </w:r>
      <w:r>
        <w:rPr>
          <w:rFonts w:hint="eastAsia" w:ascii="Times New Roman" w:hAnsi="Times New Roman" w:eastAsia="宋体" w:cs="Times New Roman"/>
          <w:bCs w:val="0"/>
          <w:color w:val="auto"/>
          <w:kern w:val="2"/>
          <w:sz w:val="28"/>
          <w:szCs w:val="24"/>
        </w:rPr>
        <w:t>通过直埋电缆敷设至站区内各电气设备。罩棚、营业室、配电间等处均设应急照明。</w:t>
      </w:r>
    </w:p>
    <w:p w14:paraId="1F7473D8">
      <w:pPr>
        <w:keepNext w:val="0"/>
        <w:keepLines w:val="0"/>
        <w:pageBreakBefore w:val="0"/>
        <w:widowControl/>
        <w:tabs>
          <w:tab w:val="left" w:pos="3465"/>
        </w:tabs>
        <w:kinsoku/>
        <w:wordWrap/>
        <w:overflowPunct/>
        <w:topLinePunct w:val="0"/>
        <w:autoSpaceDE/>
        <w:autoSpaceDN/>
        <w:bidi w:val="0"/>
        <w:adjustRightInd/>
        <w:snapToGrid/>
        <w:spacing w:line="600" w:lineRule="exact"/>
        <w:ind w:firstLine="560" w:firstLineChars="200"/>
        <w:jc w:val="both"/>
        <w:textAlignment w:val="auto"/>
        <w:rPr>
          <w:rFonts w:hint="eastAsia"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lang w:val="en-US" w:eastAsia="zh-CN"/>
        </w:rPr>
        <w:t>站房属于三类防雷建筑物，沿屋面四周采用φ12 的镀锌圆钢做接闪带，利用柱内钢筋（不小于Ф10）作引下线，屋面接闪带网格不大于 20×20（m）或 24×16（m）。通气管与接地网焊接成可靠的电气线路。</w:t>
      </w:r>
    </w:p>
    <w:p w14:paraId="395098D3">
      <w:pPr>
        <w:keepNext w:val="0"/>
        <w:keepLines w:val="0"/>
        <w:pageBreakBefore w:val="0"/>
        <w:widowControl/>
        <w:tabs>
          <w:tab w:val="left" w:pos="3465"/>
        </w:tabs>
        <w:kinsoku/>
        <w:wordWrap/>
        <w:overflowPunct/>
        <w:topLinePunct w:val="0"/>
        <w:autoSpaceDE/>
        <w:autoSpaceDN/>
        <w:bidi w:val="0"/>
        <w:adjustRightInd/>
        <w:snapToGrid/>
        <w:spacing w:line="600" w:lineRule="exact"/>
        <w:ind w:firstLine="560" w:firstLineChars="200"/>
        <w:jc w:val="both"/>
        <w:textAlignment w:val="auto"/>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加油区罩棚按二类防雷建筑物，利用其金属屋面作防雷接闪器，利用檩条、屋架及柱子可靠接地作为防雷装置，利用混凝土钢筋柱作为引下线，经过断接卡与加油站人工接地系统可靠连接。</w:t>
      </w:r>
    </w:p>
    <w:p w14:paraId="27BDC26D">
      <w:pPr>
        <w:keepNext w:val="0"/>
        <w:keepLines w:val="0"/>
        <w:pageBreakBefore w:val="0"/>
        <w:widowControl/>
        <w:tabs>
          <w:tab w:val="left" w:pos="3465"/>
        </w:tabs>
        <w:kinsoku/>
        <w:wordWrap/>
        <w:overflowPunct/>
        <w:topLinePunct w:val="0"/>
        <w:autoSpaceDE/>
        <w:autoSpaceDN/>
        <w:bidi w:val="0"/>
        <w:adjustRightInd/>
        <w:snapToGrid/>
        <w:spacing w:line="600" w:lineRule="exact"/>
        <w:ind w:firstLine="560" w:firstLineChars="200"/>
        <w:jc w:val="both"/>
        <w:textAlignment w:val="auto"/>
        <w:rPr>
          <w:rFonts w:ascii="Times New Roman" w:hAnsi="Times New Roman" w:eastAsia="宋体" w:cs="宋体"/>
          <w:bCs w:val="0"/>
          <w:color w:val="auto"/>
          <w:kern w:val="0"/>
          <w:sz w:val="28"/>
          <w:szCs w:val="28"/>
          <w:lang w:bidi="ar"/>
        </w:rPr>
      </w:pPr>
      <w:r>
        <w:rPr>
          <w:rFonts w:hint="eastAsia" w:ascii="Times New Roman" w:hAnsi="Times New Roman" w:eastAsia="宋体" w:cs="Calibri"/>
          <w:bCs w:val="0"/>
          <w:color w:val="auto"/>
          <w:kern w:val="2"/>
          <w:sz w:val="28"/>
          <w:szCs w:val="28"/>
        </w:rPr>
        <w:t>输油管的法兰之间用铜片跨接，密闭卸油口及地上或管沟敷设的油管末端和分支处设防静电和防感应的联合接地装置，加油机、罐、管道均设静电接地保护。油罐区卸油点旁设有静电接地报警仪及人体静电释放装置。</w:t>
      </w:r>
    </w:p>
    <w:p w14:paraId="547D4FAF">
      <w:pPr>
        <w:keepNext w:val="0"/>
        <w:keepLines w:val="0"/>
        <w:pageBreakBefore w:val="0"/>
        <w:widowControl/>
        <w:kinsoku/>
        <w:wordWrap/>
        <w:overflowPunct/>
        <w:topLinePunct w:val="0"/>
        <w:autoSpaceDE/>
        <w:autoSpaceDN/>
        <w:bidi w:val="0"/>
        <w:adjustRightInd/>
        <w:snapToGrid/>
        <w:ind w:firstLine="420"/>
        <w:jc w:val="both"/>
        <w:textAlignment w:val="auto"/>
        <w:rPr>
          <w:rFonts w:ascii="Times New Roman" w:hAnsi="Times New Roman" w:eastAsia="宋体" w:cs="Calibri"/>
          <w:bCs w:val="0"/>
          <w:color w:val="auto"/>
          <w:kern w:val="2"/>
        </w:rPr>
      </w:pPr>
      <w:r>
        <w:rPr>
          <w:rFonts w:hint="eastAsia" w:ascii="Times New Roman" w:hAnsi="Times New Roman" w:eastAsia="宋体" w:cs="Times New Roman"/>
          <w:bCs w:val="0"/>
          <w:color w:val="auto"/>
          <w:kern w:val="2"/>
          <w:sz w:val="28"/>
          <w:szCs w:val="28"/>
        </w:rPr>
        <w:t>该站防雷设施经</w:t>
      </w:r>
      <w:r>
        <w:rPr>
          <w:rFonts w:hint="eastAsia" w:ascii="Times New Roman" w:hAnsi="Times New Roman" w:eastAsia="宋体" w:cs="Times New Roman"/>
          <w:bCs w:val="0"/>
          <w:color w:val="auto"/>
          <w:kern w:val="2"/>
          <w:sz w:val="28"/>
          <w:szCs w:val="28"/>
          <w:lang w:val="en-US" w:eastAsia="zh-CN"/>
        </w:rPr>
        <w:t>江西赣象防雷检测中心有限公司赣州分公司</w:t>
      </w:r>
      <w:r>
        <w:rPr>
          <w:rFonts w:hint="eastAsia" w:ascii="Times New Roman" w:hAnsi="Times New Roman" w:eastAsia="宋体" w:cs="Times New Roman"/>
          <w:bCs w:val="0"/>
          <w:color w:val="auto"/>
          <w:kern w:val="2"/>
          <w:sz w:val="28"/>
          <w:szCs w:val="28"/>
        </w:rPr>
        <w:t>进行检测，检测结论为合格，有效期至2026年</w:t>
      </w:r>
      <w:r>
        <w:rPr>
          <w:rFonts w:hint="eastAsia" w:ascii="Times New Roman" w:hAnsi="Times New Roman" w:eastAsia="宋体" w:cs="Times New Roman"/>
          <w:bCs w:val="0"/>
          <w:color w:val="auto"/>
          <w:kern w:val="2"/>
          <w:sz w:val="28"/>
          <w:szCs w:val="28"/>
          <w:lang w:val="en-US" w:eastAsia="zh-CN"/>
        </w:rPr>
        <w:t>11</w:t>
      </w:r>
      <w:r>
        <w:rPr>
          <w:rFonts w:hint="eastAsia" w:ascii="Times New Roman" w:hAnsi="Times New Roman" w:eastAsia="宋体" w:cs="Times New Roman"/>
          <w:bCs w:val="0"/>
          <w:color w:val="auto"/>
          <w:kern w:val="2"/>
          <w:sz w:val="28"/>
          <w:szCs w:val="28"/>
        </w:rPr>
        <w:t>月</w:t>
      </w:r>
      <w:r>
        <w:rPr>
          <w:rFonts w:hint="eastAsia" w:ascii="Times New Roman" w:hAnsi="Times New Roman" w:eastAsia="宋体" w:cs="Times New Roman"/>
          <w:bCs w:val="0"/>
          <w:color w:val="auto"/>
          <w:kern w:val="2"/>
          <w:sz w:val="28"/>
          <w:szCs w:val="28"/>
          <w:lang w:val="en-US" w:eastAsia="zh-CN"/>
        </w:rPr>
        <w:t>22</w:t>
      </w:r>
      <w:r>
        <w:rPr>
          <w:rFonts w:hint="eastAsia" w:ascii="Times New Roman" w:hAnsi="Times New Roman" w:eastAsia="宋体" w:cs="Times New Roman"/>
          <w:bCs w:val="0"/>
          <w:color w:val="auto"/>
          <w:kern w:val="2"/>
          <w:sz w:val="28"/>
          <w:szCs w:val="28"/>
        </w:rPr>
        <w:t>日。该站雷电防护装置检测报告详见附件</w:t>
      </w:r>
      <w:r>
        <w:rPr>
          <w:rFonts w:hint="eastAsia" w:ascii="Times New Roman" w:hAnsi="Times New Roman" w:eastAsia="宋体" w:cs="宋体"/>
          <w:bCs w:val="0"/>
          <w:color w:val="auto"/>
          <w:kern w:val="2"/>
          <w:sz w:val="28"/>
          <w:szCs w:val="28"/>
        </w:rPr>
        <w:t>。</w:t>
      </w:r>
    </w:p>
    <w:p w14:paraId="728989EB">
      <w:pPr>
        <w:keepNext w:val="0"/>
        <w:keepLines w:val="0"/>
        <w:pageBreakBefore w:val="0"/>
        <w:widowControl/>
        <w:kinsoku/>
        <w:wordWrap/>
        <w:overflowPunct/>
        <w:topLinePunct w:val="0"/>
        <w:autoSpaceDE/>
        <w:autoSpaceDN/>
        <w:bidi w:val="0"/>
        <w:adjustRightInd/>
        <w:snapToGrid/>
        <w:ind w:firstLine="420"/>
        <w:jc w:val="both"/>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该站防静电接地经</w:t>
      </w:r>
      <w:r>
        <w:rPr>
          <w:rFonts w:hint="eastAsia" w:ascii="Times New Roman" w:hAnsi="Times New Roman" w:eastAsia="宋体" w:cs="Times New Roman"/>
          <w:bCs w:val="0"/>
          <w:color w:val="auto"/>
          <w:kern w:val="2"/>
          <w:sz w:val="28"/>
          <w:szCs w:val="28"/>
          <w:lang w:val="en-US" w:eastAsia="zh-CN"/>
        </w:rPr>
        <w:t>湖北雷特防雷检测</w:t>
      </w:r>
      <w:r>
        <w:rPr>
          <w:rFonts w:hint="eastAsia" w:ascii="Times New Roman" w:hAnsi="Times New Roman" w:eastAsia="宋体" w:cs="Times New Roman"/>
          <w:bCs w:val="0"/>
          <w:color w:val="auto"/>
          <w:kern w:val="2"/>
          <w:sz w:val="28"/>
          <w:szCs w:val="28"/>
        </w:rPr>
        <w:t>有限公司进行检测，检测结论为合格，有效期至2026年</w:t>
      </w:r>
      <w:r>
        <w:rPr>
          <w:rFonts w:hint="eastAsia" w:ascii="Times New Roman" w:hAnsi="Times New Roman" w:eastAsia="宋体" w:cs="Times New Roman"/>
          <w:bCs w:val="0"/>
          <w:color w:val="auto"/>
          <w:kern w:val="2"/>
          <w:sz w:val="28"/>
          <w:szCs w:val="28"/>
          <w:lang w:val="en-US" w:eastAsia="zh-CN"/>
        </w:rPr>
        <w:t>11</w:t>
      </w:r>
      <w:r>
        <w:rPr>
          <w:rFonts w:hint="eastAsia" w:ascii="Times New Roman" w:hAnsi="Times New Roman" w:eastAsia="宋体" w:cs="Times New Roman"/>
          <w:bCs w:val="0"/>
          <w:color w:val="auto"/>
          <w:kern w:val="2"/>
          <w:sz w:val="28"/>
          <w:szCs w:val="28"/>
        </w:rPr>
        <w:t>月</w:t>
      </w:r>
      <w:r>
        <w:rPr>
          <w:rFonts w:hint="eastAsia" w:ascii="Times New Roman" w:hAnsi="Times New Roman" w:eastAsia="宋体" w:cs="Times New Roman"/>
          <w:bCs w:val="0"/>
          <w:color w:val="auto"/>
          <w:kern w:val="2"/>
          <w:sz w:val="28"/>
          <w:szCs w:val="28"/>
          <w:lang w:val="en-US" w:eastAsia="zh-CN"/>
        </w:rPr>
        <w:t>22</w:t>
      </w:r>
      <w:r>
        <w:rPr>
          <w:rFonts w:hint="eastAsia" w:ascii="Times New Roman" w:hAnsi="Times New Roman" w:eastAsia="宋体" w:cs="Times New Roman"/>
          <w:bCs w:val="0"/>
          <w:color w:val="auto"/>
          <w:kern w:val="2"/>
          <w:sz w:val="28"/>
          <w:szCs w:val="28"/>
        </w:rPr>
        <w:t>日。该站防静电接地检测检验报告详见附件</w:t>
      </w:r>
      <w:r>
        <w:rPr>
          <w:rFonts w:hint="eastAsia" w:ascii="Times New Roman" w:hAnsi="Times New Roman" w:eastAsia="宋体" w:cs="宋体"/>
          <w:bCs w:val="0"/>
          <w:color w:val="auto"/>
          <w:kern w:val="2"/>
          <w:sz w:val="28"/>
          <w:szCs w:val="28"/>
        </w:rPr>
        <w:t>。</w:t>
      </w:r>
    </w:p>
    <w:p w14:paraId="5079419D">
      <w:pPr>
        <w:tabs>
          <w:tab w:val="left" w:pos="3465"/>
        </w:tabs>
        <w:spacing w:line="58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2</w:t>
      </w:r>
      <w:r>
        <w:rPr>
          <w:rFonts w:hint="eastAsia" w:ascii="Times New Roman" w:hAnsi="Times New Roman" w:eastAsia="宋体" w:cs="宋体"/>
          <w:bCs w:val="0"/>
          <w:color w:val="auto"/>
          <w:kern w:val="2"/>
          <w:sz w:val="28"/>
          <w:szCs w:val="28"/>
        </w:rPr>
        <w:t>、给排水</w:t>
      </w:r>
    </w:p>
    <w:p w14:paraId="635EDBD5">
      <w:pPr>
        <w:tabs>
          <w:tab w:val="left" w:pos="3465"/>
        </w:tabs>
        <w:spacing w:line="580" w:lineRule="exact"/>
        <w:ind w:firstLine="560" w:firstLineChars="200"/>
        <w:jc w:val="both"/>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sz w:val="28"/>
          <w:szCs w:val="28"/>
          <w:lang w:val="en-US" w:eastAsia="zh-CN"/>
        </w:rPr>
        <w:t>该站生活用水来源为市政供水，生活污水排入室外化粪池内，经化粪池处理后，通过污水管网经过水封井排放到站区外市政污水管网，加油区环保沟废水经隔油池处理后，通过污水管网经过水封井排放到站区外市政污水管网。</w:t>
      </w:r>
      <w:r>
        <w:rPr>
          <w:rFonts w:hint="eastAsia" w:ascii="Times New Roman" w:hAnsi="Times New Roman" w:eastAsia="宋体" w:cs="宋体"/>
          <w:bCs w:val="0"/>
          <w:color w:val="auto"/>
          <w:kern w:val="2"/>
          <w:sz w:val="28"/>
          <w:szCs w:val="28"/>
        </w:rPr>
        <w:t>油罐清洗由专业队伍进行，清洗油罐的污水，集中收集送至有关处理机构进行处理。</w:t>
      </w:r>
    </w:p>
    <w:p w14:paraId="1ECCD2ED">
      <w:pPr>
        <w:spacing w:line="580" w:lineRule="exact"/>
        <w:ind w:firstLine="560" w:firstLineChars="200"/>
        <w:jc w:val="both"/>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3</w:t>
      </w:r>
      <w:r>
        <w:rPr>
          <w:rFonts w:hint="eastAsia" w:ascii="Times New Roman" w:hAnsi="Times New Roman" w:eastAsia="宋体" w:cs="宋体"/>
          <w:bCs w:val="0"/>
          <w:color w:val="auto"/>
          <w:kern w:val="2"/>
          <w:sz w:val="28"/>
          <w:szCs w:val="28"/>
        </w:rPr>
        <w:t>、通讯</w:t>
      </w:r>
    </w:p>
    <w:p w14:paraId="1A135933">
      <w:pPr>
        <w:spacing w:line="580" w:lineRule="exact"/>
        <w:ind w:firstLine="560" w:firstLineChars="200"/>
        <w:jc w:val="both"/>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加油站站房通讯设施有固定电话，配线采用直接配线方式。</w:t>
      </w:r>
    </w:p>
    <w:p w14:paraId="33514C31">
      <w:pPr>
        <w:spacing w:line="580" w:lineRule="exact"/>
        <w:ind w:firstLine="560" w:firstLineChars="200"/>
        <w:jc w:val="both"/>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4</w:t>
      </w:r>
      <w:r>
        <w:rPr>
          <w:rFonts w:hint="eastAsia" w:ascii="Times New Roman" w:hAnsi="Times New Roman" w:eastAsia="宋体" w:cs="宋体"/>
          <w:bCs w:val="0"/>
          <w:color w:val="auto"/>
          <w:kern w:val="2"/>
          <w:sz w:val="28"/>
          <w:szCs w:val="28"/>
        </w:rPr>
        <w:t>、视频监控系统</w:t>
      </w:r>
    </w:p>
    <w:p w14:paraId="3EB3435E">
      <w:pPr>
        <w:spacing w:line="580" w:lineRule="exact"/>
        <w:ind w:firstLine="560" w:firstLineChars="200"/>
        <w:jc w:val="both"/>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本加油站设置了视频监控系统，可监控油站各区域。</w:t>
      </w:r>
      <w:r>
        <w:rPr>
          <w:rFonts w:hint="eastAsia" w:ascii="Times New Roman" w:hAnsi="Times New Roman" w:eastAsia="宋体" w:cs="宋体"/>
          <w:bCs w:val="0"/>
          <w:color w:val="auto"/>
          <w:kern w:val="2"/>
          <w:sz w:val="28"/>
          <w:szCs w:val="28"/>
          <w:lang w:val="en-US" w:eastAsia="zh-CN"/>
        </w:rPr>
        <w:t xml:space="preserve">视频监控系统配 </w:t>
      </w:r>
      <w:r>
        <w:rPr>
          <w:rFonts w:hint="default" w:ascii="Times New Roman" w:hAnsi="Times New Roman" w:eastAsia="宋体" w:cs="宋体"/>
          <w:bCs w:val="0"/>
          <w:color w:val="auto"/>
          <w:kern w:val="2"/>
          <w:sz w:val="28"/>
          <w:szCs w:val="28"/>
          <w:lang w:val="en-US" w:eastAsia="zh-CN"/>
        </w:rPr>
        <w:t>UPS</w:t>
      </w:r>
      <w:r>
        <w:rPr>
          <w:rFonts w:hint="eastAsia" w:ascii="Times New Roman" w:hAnsi="Times New Roman" w:eastAsia="宋体" w:cs="宋体"/>
          <w:bCs w:val="0"/>
          <w:color w:val="auto"/>
          <w:kern w:val="2"/>
          <w:sz w:val="28"/>
          <w:szCs w:val="28"/>
          <w:lang w:val="en-US" w:eastAsia="zh-CN"/>
        </w:rPr>
        <w:t>电源，容量为3</w:t>
      </w:r>
      <w:r>
        <w:rPr>
          <w:rFonts w:hint="default" w:ascii="Times New Roman" w:hAnsi="Times New Roman" w:eastAsia="宋体" w:cs="宋体"/>
          <w:bCs w:val="0"/>
          <w:color w:val="auto"/>
          <w:kern w:val="2"/>
          <w:sz w:val="28"/>
          <w:szCs w:val="28"/>
          <w:lang w:val="en-US" w:eastAsia="zh-CN"/>
        </w:rPr>
        <w:t>kVA</w:t>
      </w:r>
      <w:r>
        <w:rPr>
          <w:rFonts w:hint="eastAsia" w:ascii="Times New Roman" w:hAnsi="Times New Roman" w:eastAsia="宋体" w:cs="宋体"/>
          <w:bCs w:val="0"/>
          <w:color w:val="auto"/>
          <w:kern w:val="2"/>
          <w:sz w:val="28"/>
          <w:szCs w:val="28"/>
          <w:lang w:val="en-US" w:eastAsia="zh-CN"/>
        </w:rPr>
        <w:t>。系统中硬盘录像机储存时间大于</w:t>
      </w:r>
      <w:r>
        <w:rPr>
          <w:rFonts w:hint="default" w:ascii="Times New Roman" w:hAnsi="Times New Roman" w:eastAsia="宋体" w:cs="宋体"/>
          <w:bCs w:val="0"/>
          <w:color w:val="auto"/>
          <w:kern w:val="2"/>
          <w:sz w:val="28"/>
          <w:szCs w:val="28"/>
          <w:lang w:val="en-US" w:eastAsia="zh-CN"/>
        </w:rPr>
        <w:t>30</w:t>
      </w:r>
      <w:r>
        <w:rPr>
          <w:rFonts w:hint="eastAsia" w:ascii="Times New Roman" w:hAnsi="Times New Roman" w:eastAsia="宋体" w:cs="宋体"/>
          <w:bCs w:val="0"/>
          <w:color w:val="auto"/>
          <w:kern w:val="2"/>
          <w:sz w:val="28"/>
          <w:szCs w:val="28"/>
          <w:lang w:val="en-US" w:eastAsia="zh-CN"/>
        </w:rPr>
        <w:t>天。油罐液位仪、渗漏检测控制器等信息系统均设置在站房内，配</w:t>
      </w:r>
      <w:r>
        <w:rPr>
          <w:rFonts w:hint="default" w:ascii="Times New Roman" w:hAnsi="Times New Roman" w:eastAsia="宋体" w:cs="宋体"/>
          <w:bCs w:val="0"/>
          <w:color w:val="auto"/>
          <w:kern w:val="2"/>
          <w:sz w:val="28"/>
          <w:szCs w:val="28"/>
          <w:lang w:val="en-US" w:eastAsia="zh-CN"/>
        </w:rPr>
        <w:t>UPS</w:t>
      </w:r>
      <w:r>
        <w:rPr>
          <w:rFonts w:hint="eastAsia" w:ascii="Times New Roman" w:hAnsi="Times New Roman" w:eastAsia="宋体" w:cs="宋体"/>
          <w:bCs w:val="0"/>
          <w:color w:val="auto"/>
          <w:kern w:val="2"/>
          <w:sz w:val="28"/>
          <w:szCs w:val="28"/>
          <w:lang w:val="en-US" w:eastAsia="zh-CN"/>
        </w:rPr>
        <w:t>电源，</w:t>
      </w:r>
      <w:r>
        <w:rPr>
          <w:rFonts w:hint="default" w:ascii="Times New Roman" w:hAnsi="Times New Roman" w:eastAsia="宋体" w:cs="宋体"/>
          <w:bCs w:val="0"/>
          <w:color w:val="auto"/>
          <w:kern w:val="2"/>
          <w:sz w:val="28"/>
          <w:szCs w:val="28"/>
          <w:lang w:val="en-US" w:eastAsia="zh-CN"/>
        </w:rPr>
        <w:t>UPS</w:t>
      </w:r>
      <w:r>
        <w:rPr>
          <w:rFonts w:hint="eastAsia" w:ascii="Times New Roman" w:hAnsi="Times New Roman" w:eastAsia="宋体" w:cs="宋体"/>
          <w:bCs w:val="0"/>
          <w:color w:val="auto"/>
          <w:kern w:val="2"/>
          <w:sz w:val="28"/>
          <w:szCs w:val="28"/>
          <w:lang w:val="en-US" w:eastAsia="zh-CN"/>
        </w:rPr>
        <w:t xml:space="preserve">电源可供系统正常工作不小于 </w:t>
      </w:r>
      <w:r>
        <w:rPr>
          <w:rFonts w:hint="default" w:ascii="Times New Roman" w:hAnsi="Times New Roman" w:eastAsia="宋体" w:cs="宋体"/>
          <w:bCs w:val="0"/>
          <w:color w:val="auto"/>
          <w:kern w:val="2"/>
          <w:sz w:val="28"/>
          <w:szCs w:val="28"/>
          <w:lang w:val="en-US" w:eastAsia="zh-CN"/>
        </w:rPr>
        <w:t>60min</w:t>
      </w:r>
      <w:r>
        <w:rPr>
          <w:rFonts w:hint="eastAsia" w:ascii="Times New Roman" w:hAnsi="Times New Roman" w:eastAsia="宋体" w:cs="宋体"/>
          <w:bCs w:val="0"/>
          <w:color w:val="auto"/>
          <w:kern w:val="2"/>
          <w:sz w:val="28"/>
          <w:szCs w:val="28"/>
          <w:lang w:val="en-US" w:eastAsia="zh-CN"/>
        </w:rPr>
        <w:t>，</w:t>
      </w:r>
      <w:r>
        <w:rPr>
          <w:rFonts w:hint="default" w:ascii="Times New Roman" w:hAnsi="Times New Roman" w:eastAsia="宋体" w:cs="宋体"/>
          <w:bCs w:val="0"/>
          <w:color w:val="auto"/>
          <w:kern w:val="2"/>
          <w:sz w:val="28"/>
          <w:szCs w:val="28"/>
          <w:lang w:val="en-US" w:eastAsia="zh-CN"/>
        </w:rPr>
        <w:t>UPS</w:t>
      </w:r>
      <w:r>
        <w:rPr>
          <w:rFonts w:hint="eastAsia" w:ascii="Times New Roman" w:hAnsi="Times New Roman" w:eastAsia="宋体" w:cs="宋体"/>
          <w:bCs w:val="0"/>
          <w:color w:val="auto"/>
          <w:kern w:val="2"/>
          <w:sz w:val="28"/>
          <w:szCs w:val="28"/>
          <w:lang w:val="en-US" w:eastAsia="zh-CN"/>
        </w:rPr>
        <w:t>容量为2</w:t>
      </w:r>
      <w:r>
        <w:rPr>
          <w:rFonts w:hint="default" w:ascii="Times New Roman" w:hAnsi="Times New Roman" w:eastAsia="宋体" w:cs="宋体"/>
          <w:bCs w:val="0"/>
          <w:color w:val="auto"/>
          <w:kern w:val="2"/>
          <w:sz w:val="28"/>
          <w:szCs w:val="28"/>
          <w:lang w:val="en-US" w:eastAsia="zh-CN"/>
        </w:rPr>
        <w:t>kVA</w:t>
      </w:r>
      <w:r>
        <w:rPr>
          <w:rFonts w:hint="eastAsia" w:ascii="Times New Roman" w:hAnsi="Times New Roman" w:eastAsia="宋体" w:cs="宋体"/>
          <w:bCs w:val="0"/>
          <w:color w:val="auto"/>
          <w:kern w:val="2"/>
          <w:sz w:val="28"/>
          <w:szCs w:val="28"/>
          <w:lang w:val="en-US" w:eastAsia="zh-CN"/>
        </w:rPr>
        <w:t>。</w:t>
      </w:r>
    </w:p>
    <w:p w14:paraId="5D634C39">
      <w:pPr>
        <w:spacing w:line="58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摄像机处于爆炸危险区域之外。</w:t>
      </w:r>
    </w:p>
    <w:p w14:paraId="4BBFBA86">
      <w:pPr>
        <w:spacing w:line="58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站房</w:t>
      </w:r>
      <w:r>
        <w:rPr>
          <w:rFonts w:hint="eastAsia" w:ascii="Times New Roman" w:hAnsi="Times New Roman" w:eastAsia="宋体" w:cs="宋体"/>
          <w:bCs w:val="0"/>
          <w:color w:val="auto"/>
          <w:kern w:val="2"/>
          <w:sz w:val="28"/>
          <w:szCs w:val="28"/>
          <w:lang w:val="en-US" w:eastAsia="zh-CN"/>
        </w:rPr>
        <w:t>设置2台摄像机和1台监视用摄像机，设于营业厅、值班室。</w:t>
      </w:r>
      <w:r>
        <w:rPr>
          <w:rFonts w:hint="eastAsia" w:ascii="Times New Roman" w:hAnsi="Times New Roman" w:eastAsia="宋体" w:cs="宋体"/>
          <w:bCs w:val="0"/>
          <w:color w:val="auto"/>
          <w:kern w:val="2"/>
          <w:sz w:val="28"/>
          <w:szCs w:val="28"/>
        </w:rPr>
        <w:t>工作人员在值班室监视，监控器画面就可以实现对罐区、加油区、站房的全天候全方位的动态监视。</w:t>
      </w:r>
    </w:p>
    <w:p w14:paraId="1D58927F">
      <w:pPr>
        <w:widowControl w:val="0"/>
        <w:autoSpaceDE w:val="0"/>
        <w:autoSpaceDN w:val="0"/>
        <w:adjustRightInd w:val="0"/>
        <w:spacing w:line="580" w:lineRule="exact"/>
        <w:ind w:firstLine="560" w:firstLineChars="200"/>
        <w:jc w:val="both"/>
        <w:rPr>
          <w:rFonts w:ascii="Times New Roman" w:hAnsi="Times New Roman" w:eastAsia="宋体" w:cs="宋体"/>
          <w:color w:val="auto"/>
          <w:kern w:val="2"/>
          <w:sz w:val="28"/>
          <w:szCs w:val="28"/>
          <w:lang w:val="en-US" w:eastAsia="zh-CN" w:bidi="ar-SA"/>
        </w:rPr>
      </w:pPr>
      <w:r>
        <w:rPr>
          <w:rFonts w:ascii="Times New Roman" w:hAnsi="Times New Roman" w:eastAsia="宋体" w:cs="Times New Roman"/>
          <w:color w:val="auto"/>
          <w:kern w:val="2"/>
          <w:sz w:val="28"/>
          <w:szCs w:val="28"/>
          <w:lang w:val="en-US" w:eastAsia="zh-CN" w:bidi="ar-SA"/>
        </w:rPr>
        <w:t>5</w:t>
      </w:r>
      <w:r>
        <w:rPr>
          <w:rFonts w:hint="eastAsia" w:ascii="Times New Roman" w:hAnsi="Times New Roman" w:eastAsia="宋体" w:cs="宋体"/>
          <w:color w:val="auto"/>
          <w:kern w:val="2"/>
          <w:sz w:val="28"/>
          <w:szCs w:val="28"/>
          <w:lang w:val="en-US" w:eastAsia="zh-CN" w:bidi="ar-SA"/>
        </w:rPr>
        <w:t>、</w:t>
      </w:r>
      <w:r>
        <w:rPr>
          <w:rFonts w:hint="eastAsia" w:ascii="Times New Roman" w:hAnsi="Times New Roman" w:eastAsia="宋体" w:cs="宋体"/>
          <w:color w:val="auto"/>
          <w:kern w:val="0"/>
          <w:sz w:val="28"/>
          <w:szCs w:val="28"/>
          <w:lang w:val="en-US" w:eastAsia="zh-CN" w:bidi="ar-SA"/>
        </w:rPr>
        <w:t>应急照明</w:t>
      </w:r>
    </w:p>
    <w:p w14:paraId="044BC8BE">
      <w:pPr>
        <w:autoSpaceDE w:val="0"/>
        <w:autoSpaceDN w:val="0"/>
        <w:adjustRightInd w:val="0"/>
        <w:spacing w:line="58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该项目在加油区、站房值班室及配电间均设置应急疏散照明灯具；在站房出入口设置了应急疏散指示灯具。</w:t>
      </w:r>
    </w:p>
    <w:p w14:paraId="1DEE8D00">
      <w:pPr>
        <w:widowControl w:val="0"/>
        <w:autoSpaceDE w:val="0"/>
        <w:autoSpaceDN w:val="0"/>
        <w:adjustRightInd w:val="0"/>
        <w:spacing w:line="580" w:lineRule="exact"/>
        <w:ind w:firstLine="560" w:firstLineChars="200"/>
        <w:jc w:val="both"/>
        <w:rPr>
          <w:rFonts w:ascii="Times New Roman" w:hAnsi="Times New Roman" w:eastAsia="宋体" w:cs="Times New Roman"/>
          <w:color w:val="auto"/>
          <w:kern w:val="2"/>
          <w:sz w:val="28"/>
          <w:szCs w:val="28"/>
          <w:lang w:val="en-US" w:eastAsia="zh-CN" w:bidi="ar-SA"/>
        </w:rPr>
      </w:pPr>
      <w:r>
        <w:rPr>
          <w:rFonts w:ascii="Times New Roman" w:hAnsi="Times New Roman" w:eastAsia="宋体" w:cs="Times New Roman"/>
          <w:color w:val="auto"/>
          <w:kern w:val="2"/>
          <w:sz w:val="28"/>
          <w:szCs w:val="28"/>
          <w:lang w:val="en-US" w:eastAsia="zh-CN" w:bidi="ar-SA"/>
        </w:rPr>
        <w:t>6</w:t>
      </w:r>
      <w:r>
        <w:rPr>
          <w:rFonts w:hint="eastAsia" w:ascii="Times New Roman" w:hAnsi="Times New Roman" w:eastAsia="宋体" w:cs="宋体"/>
          <w:color w:val="auto"/>
          <w:kern w:val="2"/>
          <w:sz w:val="28"/>
          <w:szCs w:val="28"/>
          <w:lang w:val="en-US" w:eastAsia="zh-CN" w:bidi="ar-SA"/>
        </w:rPr>
        <w:t>、仪表自动控制</w:t>
      </w:r>
    </w:p>
    <w:p w14:paraId="1F54B1EC">
      <w:pPr>
        <w:widowControl w:val="0"/>
        <w:autoSpaceDE w:val="0"/>
        <w:autoSpaceDN w:val="0"/>
        <w:adjustRightInd w:val="0"/>
        <w:spacing w:line="580" w:lineRule="exact"/>
        <w:ind w:firstLine="560" w:firstLineChars="200"/>
        <w:jc w:val="both"/>
        <w:rPr>
          <w:rFonts w:ascii="Times New Roman" w:hAnsi="Times New Roman" w:eastAsia="宋体" w:cs="宋体"/>
          <w:color w:val="auto"/>
          <w:kern w:val="2"/>
          <w:sz w:val="28"/>
          <w:szCs w:val="28"/>
          <w:lang w:val="en-US" w:eastAsia="zh-CN" w:bidi="ar-SA"/>
        </w:rPr>
      </w:pPr>
      <w:r>
        <w:rPr>
          <w:rFonts w:hint="eastAsia" w:ascii="Times New Roman" w:hAnsi="Times New Roman" w:eastAsia="宋体" w:cs="宋体"/>
          <w:color w:val="auto"/>
          <w:kern w:val="2"/>
          <w:sz w:val="28"/>
          <w:szCs w:val="28"/>
          <w:lang w:val="en-US" w:eastAsia="zh-CN" w:bidi="ar-SA"/>
        </w:rPr>
        <w:t>本项目工艺系统均为常温常压，在油罐上设置了带高位报警的自动液位仪、防爆阻火通气罩、压力真空阻火呼吸阀等安全监控防护措施。</w:t>
      </w:r>
    </w:p>
    <w:p w14:paraId="4A15E3D1">
      <w:pPr>
        <w:widowControl w:val="0"/>
        <w:autoSpaceDE w:val="0"/>
        <w:autoSpaceDN w:val="0"/>
        <w:adjustRightInd w:val="0"/>
        <w:spacing w:line="580" w:lineRule="exact"/>
        <w:ind w:firstLine="560" w:firstLineChars="200"/>
        <w:jc w:val="both"/>
        <w:rPr>
          <w:rFonts w:ascii="Times New Roman" w:hAnsi="Times New Roman" w:eastAsia="宋体" w:cs="宋体"/>
          <w:color w:val="auto"/>
          <w:kern w:val="2"/>
          <w:sz w:val="28"/>
          <w:szCs w:val="28"/>
          <w:lang w:val="en-US" w:eastAsia="zh-CN" w:bidi="ar-SA"/>
        </w:rPr>
      </w:pPr>
      <w:r>
        <w:rPr>
          <w:rFonts w:hint="eastAsia" w:ascii="Times New Roman" w:hAnsi="Times New Roman" w:eastAsia="宋体" w:cs="宋体"/>
          <w:color w:val="auto"/>
          <w:kern w:val="2"/>
          <w:sz w:val="28"/>
          <w:szCs w:val="28"/>
          <w:lang w:val="en-US" w:eastAsia="zh-CN" w:bidi="ar-SA"/>
        </w:rPr>
        <w:t>油罐采取卸油时的防满溢措施。当油料达到油罐容量90%时，能触动高液位报警装置；油料达到油罐容量95%时，油罐内的卸油防溢阀能自动切断油料进罐。液位监测仪设置在站长室内。</w:t>
      </w:r>
    </w:p>
    <w:p w14:paraId="6A9F78A6">
      <w:pPr>
        <w:widowControl w:val="0"/>
        <w:autoSpaceDE w:val="0"/>
        <w:autoSpaceDN w:val="0"/>
        <w:adjustRightInd w:val="0"/>
        <w:spacing w:line="580" w:lineRule="exact"/>
        <w:ind w:firstLine="560" w:firstLineChars="200"/>
        <w:jc w:val="both"/>
        <w:rPr>
          <w:rFonts w:ascii="Times New Roman" w:hAnsi="Times New Roman" w:eastAsia="宋体" w:cs="宋体"/>
          <w:color w:val="auto"/>
          <w:kern w:val="2"/>
          <w:sz w:val="28"/>
          <w:szCs w:val="28"/>
          <w:lang w:val="en-US" w:eastAsia="zh-CN" w:bidi="ar-SA"/>
        </w:rPr>
      </w:pPr>
      <w:r>
        <w:rPr>
          <w:rFonts w:hint="eastAsia" w:ascii="Times New Roman" w:hAnsi="Times New Roman" w:eastAsia="宋体" w:cs="宋体"/>
          <w:color w:val="auto"/>
          <w:kern w:val="2"/>
          <w:sz w:val="28"/>
          <w:szCs w:val="28"/>
          <w:lang w:val="en-US" w:eastAsia="zh-CN" w:bidi="ar-SA"/>
        </w:rPr>
        <w:t>加油站设置了2个紧急停车按钮（加油区1个，收银台1个），事故状态下能手动切断加油机控制箱电源，停加油机及潜油泵。事故紧急切断系统带失效保护功能，只能手动复位。</w:t>
      </w:r>
    </w:p>
    <w:p w14:paraId="0A4F2C32">
      <w:pPr>
        <w:widowControl w:val="0"/>
        <w:autoSpaceDE w:val="0"/>
        <w:autoSpaceDN w:val="0"/>
        <w:adjustRightInd w:val="0"/>
        <w:spacing w:line="580" w:lineRule="exact"/>
        <w:ind w:firstLine="536" w:firstLineChars="200"/>
        <w:jc w:val="both"/>
        <w:rPr>
          <w:rFonts w:ascii="Times New Roman" w:hAnsi="Times New Roman" w:eastAsia="宋体" w:cs="宋体"/>
          <w:bCs/>
          <w:color w:val="auto"/>
          <w:spacing w:val="-6"/>
          <w:kern w:val="2"/>
          <w:sz w:val="28"/>
          <w:szCs w:val="28"/>
          <w:lang w:val="en-US" w:eastAsia="zh-CN" w:bidi="ar-SA"/>
        </w:rPr>
      </w:pPr>
      <w:r>
        <w:rPr>
          <w:rFonts w:ascii="Times New Roman" w:hAnsi="Times New Roman" w:eastAsia="宋体" w:cs="宋体"/>
          <w:bCs/>
          <w:color w:val="auto"/>
          <w:spacing w:val="-6"/>
          <w:kern w:val="2"/>
          <w:sz w:val="28"/>
          <w:szCs w:val="28"/>
          <w:lang w:val="en-US" w:eastAsia="zh-CN" w:bidi="ar-SA"/>
        </w:rPr>
        <w:t>加油机采用自封式加油枪，枪身设计的自封装置能够确保在容器加满时自动关闭油枪，防止</w:t>
      </w:r>
      <w:r>
        <w:rPr>
          <w:rFonts w:hint="eastAsia" w:ascii="Times New Roman" w:hAnsi="Times New Roman" w:eastAsia="宋体" w:cs="宋体"/>
          <w:bCs/>
          <w:color w:val="auto"/>
          <w:spacing w:val="-6"/>
          <w:kern w:val="2"/>
          <w:sz w:val="28"/>
          <w:szCs w:val="28"/>
          <w:lang w:val="en-US" w:eastAsia="zh-CN" w:bidi="ar-SA"/>
        </w:rPr>
        <w:t>油品</w:t>
      </w:r>
      <w:r>
        <w:rPr>
          <w:rFonts w:ascii="Times New Roman" w:hAnsi="Times New Roman" w:eastAsia="宋体" w:cs="宋体"/>
          <w:bCs/>
          <w:color w:val="auto"/>
          <w:spacing w:val="-6"/>
          <w:kern w:val="2"/>
          <w:sz w:val="28"/>
          <w:szCs w:val="28"/>
          <w:lang w:val="en-US" w:eastAsia="zh-CN" w:bidi="ar-SA"/>
        </w:rPr>
        <w:t>外溢。铝合金枪身具有良好的导电性可及时安全地消除静电。</w:t>
      </w:r>
      <w:r>
        <w:rPr>
          <w:rFonts w:hint="eastAsia" w:ascii="Times New Roman" w:hAnsi="Times New Roman" w:eastAsia="宋体" w:cs="宋体"/>
          <w:bCs/>
          <w:color w:val="auto"/>
          <w:spacing w:val="-6"/>
          <w:kern w:val="2"/>
          <w:sz w:val="28"/>
          <w:szCs w:val="28"/>
          <w:lang w:val="en-US" w:eastAsia="zh-CN" w:bidi="ar-SA"/>
        </w:rPr>
        <w:t>加油机底部管道上设置安全剪切阀，加油软管上设安全拉断阀。</w:t>
      </w:r>
    </w:p>
    <w:p w14:paraId="48787849">
      <w:pPr>
        <w:keepNext/>
        <w:keepLines/>
        <w:spacing w:line="580" w:lineRule="exact"/>
        <w:outlineLvl w:val="1"/>
        <w:rPr>
          <w:rFonts w:ascii="Times New Roman" w:hAnsi="Times New Roman" w:eastAsia="宋体" w:cs="Times New Roman"/>
          <w:b/>
          <w:bCs/>
          <w:color w:val="auto"/>
          <w:kern w:val="2"/>
          <w:sz w:val="28"/>
          <w:szCs w:val="28"/>
          <w:highlight w:val="none"/>
        </w:rPr>
      </w:pPr>
      <w:bookmarkStart w:id="41" w:name="_Toc30410"/>
      <w:bookmarkStart w:id="42" w:name="_Toc23781"/>
      <w:bookmarkStart w:id="43" w:name="_Toc343692248"/>
      <w:r>
        <w:rPr>
          <w:rFonts w:ascii="Times New Roman" w:hAnsi="Times New Roman" w:eastAsia="宋体" w:cs="Times New Roman"/>
          <w:b/>
          <w:bCs/>
          <w:color w:val="auto"/>
          <w:kern w:val="2"/>
          <w:sz w:val="28"/>
          <w:szCs w:val="28"/>
          <w:highlight w:val="none"/>
        </w:rPr>
        <w:t xml:space="preserve">2.5 </w:t>
      </w:r>
      <w:r>
        <w:rPr>
          <w:rFonts w:hint="eastAsia" w:ascii="Times New Roman" w:hAnsi="Times New Roman" w:eastAsia="宋体" w:cs="宋体"/>
          <w:b/>
          <w:bCs/>
          <w:color w:val="auto"/>
          <w:kern w:val="2"/>
          <w:sz w:val="28"/>
          <w:szCs w:val="28"/>
          <w:highlight w:val="none"/>
        </w:rPr>
        <w:t>消防、安全设施</w:t>
      </w:r>
      <w:bookmarkEnd w:id="41"/>
      <w:bookmarkEnd w:id="42"/>
      <w:bookmarkEnd w:id="43"/>
    </w:p>
    <w:p w14:paraId="47F5C482">
      <w:pPr>
        <w:spacing w:line="580" w:lineRule="exact"/>
        <w:ind w:firstLine="560" w:firstLineChars="200"/>
        <w:rPr>
          <w:rFonts w:ascii="Times New Roman" w:hAnsi="Times New Roman" w:eastAsia="宋体" w:cs="Times New Roman"/>
          <w:bCs w:val="0"/>
          <w:color w:val="auto"/>
          <w:kern w:val="2"/>
          <w:sz w:val="28"/>
          <w:szCs w:val="28"/>
          <w:highlight w:val="none"/>
        </w:rPr>
      </w:pPr>
      <w:r>
        <w:rPr>
          <w:rFonts w:ascii="Times New Roman" w:hAnsi="Times New Roman" w:eastAsia="宋体" w:cs="Times New Roman"/>
          <w:bCs w:val="0"/>
          <w:color w:val="auto"/>
          <w:kern w:val="2"/>
          <w:sz w:val="28"/>
          <w:szCs w:val="28"/>
          <w:highlight w:val="none"/>
        </w:rPr>
        <w:t>1</w:t>
      </w:r>
      <w:r>
        <w:rPr>
          <w:rFonts w:hint="eastAsia" w:ascii="Times New Roman" w:hAnsi="Times New Roman" w:eastAsia="宋体" w:cs="宋体"/>
          <w:b/>
          <w:bCs/>
          <w:color w:val="auto"/>
          <w:kern w:val="2"/>
          <w:sz w:val="28"/>
          <w:szCs w:val="28"/>
          <w:highlight w:val="none"/>
        </w:rPr>
        <w:t>、</w:t>
      </w:r>
      <w:r>
        <w:rPr>
          <w:rFonts w:hint="eastAsia" w:ascii="Times New Roman" w:hAnsi="Times New Roman" w:eastAsia="宋体" w:cs="宋体"/>
          <w:bCs w:val="0"/>
          <w:color w:val="auto"/>
          <w:kern w:val="2"/>
          <w:sz w:val="28"/>
          <w:szCs w:val="28"/>
          <w:highlight w:val="none"/>
        </w:rPr>
        <w:t>消防设施：</w:t>
      </w:r>
    </w:p>
    <w:p w14:paraId="51506AF5">
      <w:pPr>
        <w:spacing w:line="580" w:lineRule="exact"/>
        <w:ind w:firstLine="560" w:firstLineChars="200"/>
        <w:rPr>
          <w:rFonts w:hint="default" w:ascii="Times New Roman" w:hAnsi="Times New Roman" w:eastAsia="宋体" w:cs="Times New Roman"/>
          <w:bCs w:val="0"/>
          <w:color w:val="auto"/>
          <w:kern w:val="2"/>
          <w:sz w:val="28"/>
          <w:szCs w:val="28"/>
          <w:highlight w:val="none"/>
          <w:lang w:val="en-US" w:eastAsia="zh-CN"/>
        </w:rPr>
      </w:pPr>
      <w:r>
        <w:rPr>
          <w:rFonts w:hint="eastAsia" w:ascii="Times New Roman" w:hAnsi="Times New Roman" w:eastAsia="宋体" w:cs="Times New Roman"/>
          <w:bCs w:val="0"/>
          <w:color w:val="auto"/>
          <w:kern w:val="2"/>
          <w:sz w:val="28"/>
          <w:szCs w:val="28"/>
          <w:highlight w:val="none"/>
        </w:rPr>
        <w:t>该</w:t>
      </w:r>
      <w:r>
        <w:rPr>
          <w:rFonts w:hint="eastAsia" w:ascii="Times New Roman" w:hAnsi="Times New Roman" w:eastAsia="宋体" w:cs="Times New Roman"/>
          <w:bCs w:val="0"/>
          <w:color w:val="auto"/>
          <w:kern w:val="2"/>
          <w:sz w:val="28"/>
          <w:szCs w:val="28"/>
          <w:highlight w:val="none"/>
          <w:lang w:val="en-US" w:eastAsia="zh-CN"/>
        </w:rPr>
        <w:t>加油</w:t>
      </w:r>
      <w:r>
        <w:rPr>
          <w:rFonts w:hint="eastAsia" w:ascii="Times New Roman" w:hAnsi="Times New Roman" w:eastAsia="宋体" w:cs="Times New Roman"/>
          <w:bCs w:val="0"/>
          <w:color w:val="auto"/>
          <w:kern w:val="2"/>
          <w:sz w:val="28"/>
          <w:szCs w:val="28"/>
          <w:highlight w:val="none"/>
        </w:rPr>
        <w:t>站于200</w:t>
      </w:r>
      <w:r>
        <w:rPr>
          <w:rFonts w:hint="eastAsia" w:ascii="Times New Roman" w:hAnsi="Times New Roman" w:eastAsia="宋体" w:cs="Times New Roman"/>
          <w:bCs w:val="0"/>
          <w:color w:val="auto"/>
          <w:kern w:val="2"/>
          <w:sz w:val="28"/>
          <w:szCs w:val="28"/>
          <w:highlight w:val="none"/>
          <w:lang w:val="en-US" w:eastAsia="zh-CN"/>
        </w:rPr>
        <w:t>3</w:t>
      </w:r>
      <w:r>
        <w:rPr>
          <w:rFonts w:hint="eastAsia" w:ascii="Times New Roman" w:hAnsi="Times New Roman" w:eastAsia="宋体" w:cs="Times New Roman"/>
          <w:bCs w:val="0"/>
          <w:color w:val="auto"/>
          <w:kern w:val="2"/>
          <w:sz w:val="28"/>
          <w:szCs w:val="28"/>
          <w:highlight w:val="none"/>
        </w:rPr>
        <w:t>年</w:t>
      </w:r>
      <w:r>
        <w:rPr>
          <w:rFonts w:hint="eastAsia" w:ascii="Times New Roman" w:hAnsi="Times New Roman" w:eastAsia="宋体" w:cs="Times New Roman"/>
          <w:bCs w:val="0"/>
          <w:color w:val="auto"/>
          <w:kern w:val="2"/>
          <w:sz w:val="28"/>
          <w:szCs w:val="28"/>
          <w:highlight w:val="none"/>
          <w:lang w:val="en-US" w:eastAsia="zh-CN"/>
        </w:rPr>
        <w:t>10</w:t>
      </w:r>
      <w:r>
        <w:rPr>
          <w:rFonts w:hint="eastAsia" w:ascii="Times New Roman" w:hAnsi="Times New Roman" w:eastAsia="宋体" w:cs="Times New Roman"/>
          <w:bCs w:val="0"/>
          <w:color w:val="auto"/>
          <w:kern w:val="2"/>
          <w:sz w:val="28"/>
          <w:szCs w:val="28"/>
          <w:highlight w:val="none"/>
        </w:rPr>
        <w:t>月</w:t>
      </w:r>
      <w:r>
        <w:rPr>
          <w:rFonts w:hint="eastAsia" w:ascii="Times New Roman" w:hAnsi="Times New Roman" w:eastAsia="宋体" w:cs="Times New Roman"/>
          <w:bCs w:val="0"/>
          <w:color w:val="auto"/>
          <w:kern w:val="2"/>
          <w:sz w:val="28"/>
          <w:szCs w:val="28"/>
          <w:highlight w:val="none"/>
          <w:lang w:val="en-US" w:eastAsia="zh-CN"/>
        </w:rPr>
        <w:t>25</w:t>
      </w:r>
      <w:r>
        <w:rPr>
          <w:rFonts w:hint="eastAsia" w:ascii="Times New Roman" w:hAnsi="Times New Roman" w:eastAsia="宋体" w:cs="Times New Roman"/>
          <w:bCs w:val="0"/>
          <w:color w:val="auto"/>
          <w:kern w:val="2"/>
          <w:sz w:val="28"/>
          <w:szCs w:val="28"/>
          <w:highlight w:val="none"/>
        </w:rPr>
        <w:t>日取得</w:t>
      </w:r>
      <w:r>
        <w:rPr>
          <w:rFonts w:hint="eastAsia" w:ascii="Times New Roman" w:hAnsi="Times New Roman" w:eastAsia="宋体" w:cs="Times New Roman"/>
          <w:bCs w:val="0"/>
          <w:color w:val="auto"/>
          <w:kern w:val="2"/>
          <w:sz w:val="28"/>
          <w:szCs w:val="28"/>
          <w:highlight w:val="none"/>
          <w:lang w:val="en-US" w:eastAsia="zh-CN"/>
        </w:rPr>
        <w:t>兴国县</w:t>
      </w:r>
      <w:r>
        <w:rPr>
          <w:rFonts w:hint="eastAsia" w:ascii="Times New Roman" w:hAnsi="Times New Roman" w:eastAsia="宋体" w:cs="Times New Roman"/>
          <w:bCs w:val="0"/>
          <w:color w:val="auto"/>
          <w:kern w:val="2"/>
          <w:sz w:val="28"/>
          <w:szCs w:val="28"/>
          <w:highlight w:val="none"/>
        </w:rPr>
        <w:t>公安消防</w:t>
      </w:r>
      <w:r>
        <w:rPr>
          <w:rFonts w:hint="eastAsia" w:ascii="Times New Roman" w:hAnsi="Times New Roman" w:eastAsia="宋体" w:cs="Times New Roman"/>
          <w:bCs w:val="0"/>
          <w:color w:val="auto"/>
          <w:kern w:val="2"/>
          <w:sz w:val="28"/>
          <w:szCs w:val="28"/>
          <w:highlight w:val="none"/>
          <w:lang w:val="en-US" w:eastAsia="zh-CN"/>
        </w:rPr>
        <w:t>大</w:t>
      </w:r>
      <w:r>
        <w:rPr>
          <w:rFonts w:hint="eastAsia" w:ascii="Times New Roman" w:hAnsi="Times New Roman" w:eastAsia="宋体" w:cs="Times New Roman"/>
          <w:bCs w:val="0"/>
          <w:color w:val="auto"/>
          <w:kern w:val="2"/>
          <w:sz w:val="28"/>
          <w:szCs w:val="28"/>
          <w:highlight w:val="none"/>
        </w:rPr>
        <w:t>队出具的</w:t>
      </w:r>
      <w:r>
        <w:rPr>
          <w:rFonts w:hint="eastAsia" w:ascii="Times New Roman" w:hAnsi="Times New Roman" w:eastAsia="宋体" w:cs="Times New Roman"/>
          <w:bCs w:val="0"/>
          <w:color w:val="auto"/>
          <w:kern w:val="2"/>
          <w:sz w:val="28"/>
          <w:szCs w:val="28"/>
          <w:highlight w:val="none"/>
          <w:lang w:val="en-US" w:eastAsia="zh-CN"/>
        </w:rPr>
        <w:t>建筑</w:t>
      </w:r>
      <w:r>
        <w:rPr>
          <w:rFonts w:hint="eastAsia" w:ascii="Times New Roman" w:hAnsi="Times New Roman" w:eastAsia="宋体" w:cs="Times New Roman"/>
          <w:bCs w:val="0"/>
          <w:color w:val="auto"/>
          <w:kern w:val="2"/>
          <w:sz w:val="28"/>
          <w:szCs w:val="28"/>
          <w:highlight w:val="none"/>
        </w:rPr>
        <w:t>工程消防验收意见书</w:t>
      </w:r>
      <w:r>
        <w:rPr>
          <w:rFonts w:hint="eastAsia" w:ascii="Times New Roman" w:hAnsi="Times New Roman" w:eastAsia="宋体" w:cs="Times New Roman"/>
          <w:bCs w:val="0"/>
          <w:color w:val="auto"/>
          <w:kern w:val="2"/>
          <w:sz w:val="28"/>
          <w:szCs w:val="28"/>
          <w:highlight w:val="none"/>
          <w:lang w:eastAsia="zh-CN"/>
        </w:rPr>
        <w:t>，兴公消（验）【2003】第13号</w:t>
      </w:r>
      <w:r>
        <w:rPr>
          <w:rFonts w:hint="eastAsia" w:ascii="Times New Roman" w:hAnsi="Times New Roman" w:eastAsia="宋体" w:cs="Times New Roman"/>
          <w:bCs w:val="0"/>
          <w:color w:val="auto"/>
          <w:kern w:val="2"/>
          <w:sz w:val="28"/>
          <w:szCs w:val="28"/>
          <w:highlight w:val="none"/>
        </w:rPr>
        <w:t>。</w:t>
      </w:r>
    </w:p>
    <w:p w14:paraId="4B955C25">
      <w:pPr>
        <w:spacing w:line="580" w:lineRule="exact"/>
        <w:ind w:firstLine="560" w:firstLineChars="200"/>
        <w:rPr>
          <w:rFonts w:hint="default" w:ascii="Times New Roman" w:hAnsi="Times New Roman" w:eastAsia="宋体" w:cs="Times New Roman"/>
          <w:bCs w:val="0"/>
          <w:color w:val="auto"/>
          <w:kern w:val="2"/>
          <w:sz w:val="28"/>
          <w:szCs w:val="28"/>
          <w:lang w:val="en-US" w:eastAsia="zh-CN"/>
        </w:rPr>
      </w:pPr>
      <w:r>
        <w:rPr>
          <w:rFonts w:hint="eastAsia" w:ascii="Times New Roman" w:hAnsi="Times New Roman" w:eastAsia="宋体" w:cs="Times New Roman"/>
          <w:bCs w:val="0"/>
          <w:color w:val="auto"/>
          <w:kern w:val="2"/>
          <w:sz w:val="28"/>
          <w:szCs w:val="28"/>
        </w:rPr>
        <w:t>该站主要消防设施配置及分布见下表</w:t>
      </w:r>
      <w:r>
        <w:rPr>
          <w:rFonts w:hint="eastAsia" w:ascii="Times New Roman" w:hAnsi="Times New Roman" w:eastAsia="宋体" w:cs="宋体"/>
          <w:bCs w:val="0"/>
          <w:color w:val="auto"/>
          <w:kern w:val="2"/>
          <w:sz w:val="28"/>
          <w:szCs w:val="28"/>
        </w:rPr>
        <w:t>。</w:t>
      </w:r>
    </w:p>
    <w:p w14:paraId="365054B5">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表2</w:t>
      </w:r>
      <w:r>
        <w:rPr>
          <w:rFonts w:hint="eastAsia" w:ascii="Times New Roman" w:hAnsi="Times New Roman" w:eastAsia="宋体" w:cs="宋体"/>
          <w:bCs w:val="0"/>
          <w:color w:val="auto"/>
          <w:kern w:val="2"/>
          <w:sz w:val="24"/>
          <w:szCs w:val="24"/>
        </w:rPr>
        <w:t>.5-1</w:t>
      </w:r>
      <w:r>
        <w:rPr>
          <w:rFonts w:hint="eastAsia" w:ascii="Times New Roman" w:hAnsi="Times New Roman" w:eastAsia="宋体" w:cs="宋体"/>
          <w:bCs w:val="0"/>
          <w:color w:val="auto"/>
          <w:kern w:val="2"/>
          <w:sz w:val="24"/>
          <w:szCs w:val="24"/>
          <w:lang w:val="zh-CN"/>
        </w:rPr>
        <w:t xml:space="preserve"> 消防设施一览表</w:t>
      </w:r>
    </w:p>
    <w:tbl>
      <w:tblPr>
        <w:tblStyle w:val="7"/>
        <w:tblW w:w="947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46"/>
        <w:gridCol w:w="2076"/>
        <w:gridCol w:w="808"/>
        <w:gridCol w:w="954"/>
        <w:gridCol w:w="3794"/>
      </w:tblGrid>
      <w:tr w14:paraId="63132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846" w:type="dxa"/>
            <w:vAlign w:val="center"/>
          </w:tcPr>
          <w:p w14:paraId="646029B0">
            <w:pPr>
              <w:spacing w:line="28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名称</w:t>
            </w:r>
          </w:p>
        </w:tc>
        <w:tc>
          <w:tcPr>
            <w:tcW w:w="2076" w:type="dxa"/>
            <w:vAlign w:val="center"/>
          </w:tcPr>
          <w:p w14:paraId="30118538">
            <w:pPr>
              <w:spacing w:line="28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型号、规格</w:t>
            </w:r>
          </w:p>
        </w:tc>
        <w:tc>
          <w:tcPr>
            <w:tcW w:w="808" w:type="dxa"/>
            <w:vAlign w:val="center"/>
          </w:tcPr>
          <w:p w14:paraId="06D42B0A">
            <w:pPr>
              <w:spacing w:line="28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数量</w:t>
            </w:r>
          </w:p>
        </w:tc>
        <w:tc>
          <w:tcPr>
            <w:tcW w:w="954" w:type="dxa"/>
            <w:vAlign w:val="center"/>
          </w:tcPr>
          <w:p w14:paraId="504C2F3C">
            <w:pPr>
              <w:spacing w:line="28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状况</w:t>
            </w:r>
          </w:p>
        </w:tc>
        <w:tc>
          <w:tcPr>
            <w:tcW w:w="3794" w:type="dxa"/>
            <w:vAlign w:val="center"/>
          </w:tcPr>
          <w:p w14:paraId="5566B887">
            <w:pPr>
              <w:spacing w:line="28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备注</w:t>
            </w:r>
          </w:p>
        </w:tc>
      </w:tr>
      <w:tr w14:paraId="44D07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6" w:type="dxa"/>
            <w:vAlign w:val="center"/>
          </w:tcPr>
          <w:p w14:paraId="76AC794E">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干粉推车</w:t>
            </w:r>
          </w:p>
        </w:tc>
        <w:tc>
          <w:tcPr>
            <w:tcW w:w="2076" w:type="dxa"/>
            <w:vAlign w:val="center"/>
          </w:tcPr>
          <w:p w14:paraId="169BF006">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MFTZ35</w:t>
            </w:r>
          </w:p>
        </w:tc>
        <w:tc>
          <w:tcPr>
            <w:tcW w:w="808" w:type="dxa"/>
            <w:vAlign w:val="center"/>
          </w:tcPr>
          <w:p w14:paraId="46933D41">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1</w:t>
            </w:r>
            <w:r>
              <w:rPr>
                <w:rFonts w:hint="eastAsia" w:ascii="Times New Roman" w:hAnsi="Times New Roman" w:eastAsia="宋体" w:cs="宋体"/>
                <w:bCs w:val="0"/>
                <w:color w:val="auto"/>
                <w:kern w:val="2"/>
              </w:rPr>
              <w:t>具</w:t>
            </w:r>
          </w:p>
        </w:tc>
        <w:tc>
          <w:tcPr>
            <w:tcW w:w="954" w:type="dxa"/>
            <w:vAlign w:val="center"/>
          </w:tcPr>
          <w:p w14:paraId="564DF1EA">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正常</w:t>
            </w:r>
          </w:p>
        </w:tc>
        <w:tc>
          <w:tcPr>
            <w:tcW w:w="3794" w:type="dxa"/>
            <w:vAlign w:val="center"/>
          </w:tcPr>
          <w:p w14:paraId="43E35088">
            <w:pPr>
              <w:spacing w:line="280" w:lineRule="exact"/>
              <w:jc w:val="center"/>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布置于卸车区</w:t>
            </w:r>
          </w:p>
        </w:tc>
      </w:tr>
      <w:tr w14:paraId="1B2B0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6" w:type="dxa"/>
            <w:vAlign w:val="center"/>
          </w:tcPr>
          <w:p w14:paraId="5AB72B2F">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干粉灭火器</w:t>
            </w:r>
          </w:p>
        </w:tc>
        <w:tc>
          <w:tcPr>
            <w:tcW w:w="2076" w:type="dxa"/>
            <w:vAlign w:val="center"/>
          </w:tcPr>
          <w:p w14:paraId="7F7B884D">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MFZ5型</w:t>
            </w:r>
          </w:p>
        </w:tc>
        <w:tc>
          <w:tcPr>
            <w:tcW w:w="808" w:type="dxa"/>
            <w:vAlign w:val="center"/>
          </w:tcPr>
          <w:p w14:paraId="5CC3B2FF">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2</w:t>
            </w:r>
            <w:r>
              <w:rPr>
                <w:rFonts w:hint="eastAsia" w:ascii="Times New Roman" w:hAnsi="Times New Roman" w:eastAsia="宋体" w:cs="宋体"/>
                <w:bCs w:val="0"/>
                <w:color w:val="auto"/>
                <w:kern w:val="2"/>
              </w:rPr>
              <w:t>具</w:t>
            </w:r>
          </w:p>
        </w:tc>
        <w:tc>
          <w:tcPr>
            <w:tcW w:w="954" w:type="dxa"/>
            <w:vAlign w:val="center"/>
          </w:tcPr>
          <w:p w14:paraId="198B7DBB">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正常</w:t>
            </w:r>
          </w:p>
        </w:tc>
        <w:tc>
          <w:tcPr>
            <w:tcW w:w="3794" w:type="dxa"/>
            <w:vAlign w:val="center"/>
          </w:tcPr>
          <w:p w14:paraId="5C397C28">
            <w:pPr>
              <w:spacing w:line="28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rPr>
              <w:t>布置于加油</w:t>
            </w:r>
            <w:r>
              <w:rPr>
                <w:rFonts w:ascii="Times New Roman" w:hAnsi="Times New Roman" w:eastAsia="宋体" w:cs="宋体"/>
                <w:bCs w:val="0"/>
                <w:color w:val="auto"/>
                <w:kern w:val="2"/>
              </w:rPr>
              <w:t>区</w:t>
            </w:r>
          </w:p>
        </w:tc>
      </w:tr>
      <w:tr w14:paraId="42D65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6" w:type="dxa"/>
            <w:shd w:val="clear" w:color="auto" w:fill="auto"/>
            <w:vAlign w:val="center"/>
          </w:tcPr>
          <w:p w14:paraId="61562679">
            <w:pPr>
              <w:spacing w:line="280" w:lineRule="exact"/>
              <w:jc w:val="center"/>
              <w:rPr>
                <w:rFonts w:hint="eastAsia" w:ascii="Times New Roman" w:hAnsi="Times New Roman" w:eastAsia="宋体" w:cs="宋体"/>
                <w:bCs w:val="0"/>
                <w:color w:val="auto"/>
                <w:kern w:val="2"/>
                <w:sz w:val="21"/>
                <w:szCs w:val="21"/>
                <w:lang w:val="en-US" w:eastAsia="zh-CN" w:bidi="ar-SA"/>
              </w:rPr>
            </w:pPr>
            <w:r>
              <w:rPr>
                <w:rFonts w:hint="eastAsia" w:ascii="Times New Roman" w:hAnsi="Times New Roman" w:eastAsia="宋体" w:cs="宋体"/>
                <w:bCs w:val="0"/>
                <w:color w:val="auto"/>
                <w:kern w:val="2"/>
              </w:rPr>
              <w:t>干粉灭火器</w:t>
            </w:r>
          </w:p>
        </w:tc>
        <w:tc>
          <w:tcPr>
            <w:tcW w:w="2076" w:type="dxa"/>
            <w:shd w:val="clear" w:color="auto" w:fill="auto"/>
            <w:vAlign w:val="center"/>
          </w:tcPr>
          <w:p w14:paraId="08FB24E7">
            <w:pPr>
              <w:spacing w:line="280" w:lineRule="exact"/>
              <w:jc w:val="center"/>
              <w:rPr>
                <w:rFonts w:hint="eastAsia" w:ascii="Times New Roman" w:hAnsi="Times New Roman" w:eastAsia="宋体" w:cs="宋体"/>
                <w:bCs w:val="0"/>
                <w:color w:val="auto"/>
                <w:kern w:val="2"/>
                <w:sz w:val="21"/>
                <w:szCs w:val="21"/>
                <w:lang w:val="en-US" w:eastAsia="zh-CN" w:bidi="ar-SA"/>
              </w:rPr>
            </w:pPr>
            <w:r>
              <w:rPr>
                <w:rFonts w:hint="eastAsia" w:ascii="Times New Roman" w:hAnsi="Times New Roman" w:eastAsia="宋体" w:cs="宋体"/>
                <w:bCs w:val="0"/>
                <w:color w:val="auto"/>
                <w:kern w:val="2"/>
              </w:rPr>
              <w:t>MFZ5型</w:t>
            </w:r>
          </w:p>
        </w:tc>
        <w:tc>
          <w:tcPr>
            <w:tcW w:w="808" w:type="dxa"/>
            <w:shd w:val="clear" w:color="auto" w:fill="auto"/>
            <w:vAlign w:val="center"/>
          </w:tcPr>
          <w:p w14:paraId="7E008819">
            <w:pPr>
              <w:spacing w:line="280" w:lineRule="exact"/>
              <w:jc w:val="center"/>
              <w:rPr>
                <w:rFonts w:hint="eastAsia" w:ascii="Times New Roman" w:hAnsi="Times New Roman" w:eastAsia="宋体" w:cs="宋体"/>
                <w:bCs w:val="0"/>
                <w:color w:val="auto"/>
                <w:kern w:val="2"/>
                <w:sz w:val="21"/>
                <w:szCs w:val="21"/>
                <w:lang w:val="en-US" w:eastAsia="zh-CN" w:bidi="ar-SA"/>
              </w:rPr>
            </w:pPr>
            <w:r>
              <w:rPr>
                <w:rFonts w:hint="eastAsia" w:ascii="Times New Roman" w:hAnsi="Times New Roman" w:eastAsia="宋体" w:cs="宋体"/>
                <w:bCs w:val="0"/>
                <w:color w:val="auto"/>
                <w:kern w:val="2"/>
                <w:lang w:val="en-US" w:eastAsia="zh-CN"/>
              </w:rPr>
              <w:t>8</w:t>
            </w:r>
            <w:r>
              <w:rPr>
                <w:rFonts w:hint="eastAsia" w:ascii="Times New Roman" w:hAnsi="Times New Roman" w:eastAsia="宋体" w:cs="宋体"/>
                <w:bCs w:val="0"/>
                <w:color w:val="auto"/>
                <w:kern w:val="2"/>
              </w:rPr>
              <w:t>具</w:t>
            </w:r>
          </w:p>
        </w:tc>
        <w:tc>
          <w:tcPr>
            <w:tcW w:w="954" w:type="dxa"/>
            <w:shd w:val="clear" w:color="auto" w:fill="auto"/>
            <w:vAlign w:val="center"/>
          </w:tcPr>
          <w:p w14:paraId="452DFB54">
            <w:pPr>
              <w:spacing w:line="280" w:lineRule="exact"/>
              <w:jc w:val="center"/>
              <w:rPr>
                <w:rFonts w:hint="eastAsia" w:ascii="Times New Roman" w:hAnsi="Times New Roman" w:eastAsia="宋体" w:cs="宋体"/>
                <w:bCs w:val="0"/>
                <w:color w:val="auto"/>
                <w:kern w:val="2"/>
                <w:sz w:val="21"/>
                <w:szCs w:val="21"/>
                <w:lang w:val="en-US" w:eastAsia="zh-CN" w:bidi="ar-SA"/>
              </w:rPr>
            </w:pPr>
            <w:r>
              <w:rPr>
                <w:rFonts w:hint="eastAsia" w:ascii="Times New Roman" w:hAnsi="Times New Roman" w:eastAsia="宋体" w:cs="宋体"/>
                <w:bCs w:val="0"/>
                <w:color w:val="auto"/>
                <w:kern w:val="2"/>
              </w:rPr>
              <w:t>正常</w:t>
            </w:r>
          </w:p>
        </w:tc>
        <w:tc>
          <w:tcPr>
            <w:tcW w:w="3794" w:type="dxa"/>
            <w:vAlign w:val="center"/>
          </w:tcPr>
          <w:p w14:paraId="1EEA77ED">
            <w:pPr>
              <w:spacing w:line="280" w:lineRule="exact"/>
              <w:jc w:val="center"/>
              <w:rPr>
                <w:rFonts w:hint="default" w:ascii="Times New Roman" w:hAnsi="Times New Roman" w:eastAsia="宋体" w:cs="宋体"/>
                <w:bCs w:val="0"/>
                <w:color w:val="auto"/>
                <w:kern w:val="2"/>
                <w:lang w:val="en-US"/>
              </w:rPr>
            </w:pPr>
            <w:r>
              <w:rPr>
                <w:rFonts w:hint="eastAsia" w:ascii="Times New Roman" w:hAnsi="Times New Roman" w:eastAsia="宋体" w:cs="宋体"/>
                <w:bCs w:val="0"/>
                <w:color w:val="auto"/>
                <w:kern w:val="2"/>
              </w:rPr>
              <w:t>布置于加油区</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lang w:val="en-US" w:eastAsia="zh-CN"/>
              </w:rPr>
              <w:t>站房、卸车区、配电间</w:t>
            </w:r>
          </w:p>
        </w:tc>
      </w:tr>
      <w:tr w14:paraId="337D6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6" w:type="dxa"/>
            <w:vAlign w:val="center"/>
          </w:tcPr>
          <w:p w14:paraId="23A458BC">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二氧化碳灭火器</w:t>
            </w:r>
          </w:p>
        </w:tc>
        <w:tc>
          <w:tcPr>
            <w:tcW w:w="2076" w:type="dxa"/>
            <w:vAlign w:val="center"/>
          </w:tcPr>
          <w:p w14:paraId="138CBA09">
            <w:pPr>
              <w:spacing w:line="280" w:lineRule="exact"/>
              <w:jc w:val="center"/>
              <w:rPr>
                <w:rFonts w:hint="eastAsia" w:ascii="Times New Roman" w:hAnsi="Times New Roman" w:eastAsia="宋体" w:cs="宋体"/>
                <w:bCs w:val="0"/>
                <w:color w:val="auto"/>
                <w:kern w:val="2"/>
                <w:lang w:eastAsia="zh-CN"/>
              </w:rPr>
            </w:pPr>
            <w:r>
              <w:rPr>
                <w:rFonts w:hint="eastAsia" w:ascii="Times New Roman" w:hAnsi="Times New Roman" w:eastAsia="宋体" w:cs="宋体"/>
                <w:bCs w:val="0"/>
                <w:color w:val="auto"/>
                <w:kern w:val="2"/>
              </w:rPr>
              <w:t>MTZ/</w:t>
            </w:r>
            <w:r>
              <w:rPr>
                <w:rFonts w:hint="eastAsia" w:ascii="Times New Roman" w:hAnsi="Times New Roman" w:eastAsia="宋体" w:cs="宋体"/>
                <w:bCs w:val="0"/>
                <w:color w:val="auto"/>
                <w:kern w:val="2"/>
                <w:lang w:val="en-US" w:eastAsia="zh-CN"/>
              </w:rPr>
              <w:t>2</w:t>
            </w:r>
          </w:p>
        </w:tc>
        <w:tc>
          <w:tcPr>
            <w:tcW w:w="808" w:type="dxa"/>
            <w:vAlign w:val="center"/>
          </w:tcPr>
          <w:p w14:paraId="4C11FCBA">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2</w:t>
            </w:r>
            <w:r>
              <w:rPr>
                <w:rFonts w:hint="eastAsia" w:ascii="Times New Roman" w:hAnsi="Times New Roman" w:eastAsia="宋体" w:cs="宋体"/>
                <w:bCs w:val="0"/>
                <w:color w:val="auto"/>
                <w:kern w:val="2"/>
              </w:rPr>
              <w:t>具</w:t>
            </w:r>
          </w:p>
        </w:tc>
        <w:tc>
          <w:tcPr>
            <w:tcW w:w="954" w:type="dxa"/>
            <w:vAlign w:val="center"/>
          </w:tcPr>
          <w:p w14:paraId="679629DF">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正常</w:t>
            </w:r>
          </w:p>
        </w:tc>
        <w:tc>
          <w:tcPr>
            <w:tcW w:w="3794" w:type="dxa"/>
            <w:vAlign w:val="center"/>
          </w:tcPr>
          <w:p w14:paraId="40D3E5DE">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布置于配电间、站房</w:t>
            </w:r>
          </w:p>
        </w:tc>
      </w:tr>
      <w:tr w14:paraId="3DC19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6" w:type="dxa"/>
            <w:vAlign w:val="center"/>
          </w:tcPr>
          <w:p w14:paraId="13893E53">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灭火毯</w:t>
            </w:r>
          </w:p>
        </w:tc>
        <w:tc>
          <w:tcPr>
            <w:tcW w:w="2076" w:type="dxa"/>
            <w:vAlign w:val="center"/>
          </w:tcPr>
          <w:p w14:paraId="20320680">
            <w:pPr>
              <w:spacing w:line="280" w:lineRule="exact"/>
              <w:jc w:val="center"/>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w:t>
            </w:r>
          </w:p>
        </w:tc>
        <w:tc>
          <w:tcPr>
            <w:tcW w:w="808" w:type="dxa"/>
            <w:vAlign w:val="center"/>
          </w:tcPr>
          <w:p w14:paraId="4A21801F">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5</w:t>
            </w:r>
            <w:r>
              <w:rPr>
                <w:rFonts w:hint="eastAsia" w:ascii="Times New Roman" w:hAnsi="Times New Roman" w:eastAsia="宋体" w:cs="宋体"/>
                <w:bCs w:val="0"/>
                <w:color w:val="auto"/>
                <w:kern w:val="2"/>
              </w:rPr>
              <w:t>块</w:t>
            </w:r>
          </w:p>
        </w:tc>
        <w:tc>
          <w:tcPr>
            <w:tcW w:w="954" w:type="dxa"/>
            <w:vAlign w:val="center"/>
          </w:tcPr>
          <w:p w14:paraId="543D47A8">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正常</w:t>
            </w:r>
          </w:p>
        </w:tc>
        <w:tc>
          <w:tcPr>
            <w:tcW w:w="3794" w:type="dxa"/>
            <w:vAlign w:val="center"/>
          </w:tcPr>
          <w:p w14:paraId="5E8B77E6">
            <w:pPr>
              <w:spacing w:line="280" w:lineRule="exact"/>
              <w:jc w:val="center"/>
              <w:rPr>
                <w:rFonts w:hint="default"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rPr>
              <w:t>布置于</w:t>
            </w:r>
            <w:r>
              <w:rPr>
                <w:rFonts w:hint="eastAsia" w:ascii="Times New Roman" w:hAnsi="Times New Roman" w:eastAsia="宋体" w:cs="宋体"/>
                <w:bCs w:val="0"/>
                <w:color w:val="auto"/>
                <w:kern w:val="2"/>
                <w:lang w:val="en-US" w:eastAsia="zh-CN"/>
              </w:rPr>
              <w:t>卸车区</w:t>
            </w:r>
            <w:r>
              <w:rPr>
                <w:rFonts w:hint="eastAsia" w:ascii="Times New Roman" w:hAnsi="Times New Roman" w:eastAsia="宋体" w:cs="宋体"/>
                <w:bCs w:val="0"/>
                <w:color w:val="auto"/>
                <w:kern w:val="2"/>
              </w:rPr>
              <w:t>、加油区</w:t>
            </w:r>
          </w:p>
        </w:tc>
      </w:tr>
      <w:tr w14:paraId="76010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6" w:type="dxa"/>
            <w:vAlign w:val="center"/>
          </w:tcPr>
          <w:p w14:paraId="56108D86">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消防沙池</w:t>
            </w:r>
          </w:p>
        </w:tc>
        <w:tc>
          <w:tcPr>
            <w:tcW w:w="2076" w:type="dxa"/>
            <w:vAlign w:val="center"/>
          </w:tcPr>
          <w:p w14:paraId="5979DD80">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2m</w:t>
            </w:r>
            <w:r>
              <w:rPr>
                <w:rFonts w:hint="eastAsia" w:ascii="Times New Roman" w:hAnsi="Times New Roman" w:eastAsia="宋体" w:cs="宋体"/>
                <w:bCs w:val="0"/>
                <w:color w:val="auto"/>
                <w:kern w:val="2"/>
                <w:vertAlign w:val="superscript"/>
              </w:rPr>
              <w:t>3</w:t>
            </w:r>
          </w:p>
        </w:tc>
        <w:tc>
          <w:tcPr>
            <w:tcW w:w="808" w:type="dxa"/>
            <w:vAlign w:val="center"/>
          </w:tcPr>
          <w:p w14:paraId="2AA9C34F">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1个</w:t>
            </w:r>
          </w:p>
        </w:tc>
        <w:tc>
          <w:tcPr>
            <w:tcW w:w="954" w:type="dxa"/>
            <w:vAlign w:val="center"/>
          </w:tcPr>
          <w:p w14:paraId="77C0C346">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正常</w:t>
            </w:r>
          </w:p>
        </w:tc>
        <w:tc>
          <w:tcPr>
            <w:tcW w:w="3794" w:type="dxa"/>
            <w:vAlign w:val="center"/>
          </w:tcPr>
          <w:p w14:paraId="5D481D18">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布置于</w:t>
            </w:r>
            <w:r>
              <w:rPr>
                <w:rFonts w:hint="eastAsia" w:ascii="Times New Roman" w:hAnsi="Times New Roman" w:eastAsia="宋体" w:cs="宋体"/>
                <w:bCs w:val="0"/>
                <w:color w:val="auto"/>
                <w:kern w:val="2"/>
                <w:lang w:val="en-US" w:eastAsia="zh-CN"/>
              </w:rPr>
              <w:t>卸车区</w:t>
            </w:r>
          </w:p>
        </w:tc>
      </w:tr>
      <w:tr w14:paraId="3BA0F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846" w:type="dxa"/>
            <w:vAlign w:val="center"/>
          </w:tcPr>
          <w:p w14:paraId="41DF72C1">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消防铲、桶</w:t>
            </w:r>
          </w:p>
        </w:tc>
        <w:tc>
          <w:tcPr>
            <w:tcW w:w="2076" w:type="dxa"/>
            <w:vAlign w:val="center"/>
          </w:tcPr>
          <w:p w14:paraId="4AAA628A">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手提式</w:t>
            </w:r>
          </w:p>
        </w:tc>
        <w:tc>
          <w:tcPr>
            <w:tcW w:w="808" w:type="dxa"/>
            <w:vAlign w:val="center"/>
          </w:tcPr>
          <w:p w14:paraId="5BBB5F3B">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3</w:t>
            </w:r>
            <w:r>
              <w:rPr>
                <w:rFonts w:hint="eastAsia" w:ascii="Times New Roman" w:hAnsi="Times New Roman" w:eastAsia="宋体" w:cs="宋体"/>
                <w:bCs w:val="0"/>
                <w:color w:val="auto"/>
                <w:kern w:val="2"/>
              </w:rPr>
              <w:t>套</w:t>
            </w:r>
          </w:p>
        </w:tc>
        <w:tc>
          <w:tcPr>
            <w:tcW w:w="954" w:type="dxa"/>
            <w:vAlign w:val="center"/>
          </w:tcPr>
          <w:p w14:paraId="04092DB4">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正常</w:t>
            </w:r>
          </w:p>
        </w:tc>
        <w:tc>
          <w:tcPr>
            <w:tcW w:w="3794" w:type="dxa"/>
            <w:vAlign w:val="center"/>
          </w:tcPr>
          <w:p w14:paraId="1A89A860">
            <w:pPr>
              <w:spacing w:line="28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布置于</w:t>
            </w:r>
            <w:r>
              <w:rPr>
                <w:rFonts w:hint="eastAsia" w:ascii="Times New Roman" w:hAnsi="Times New Roman" w:eastAsia="宋体" w:cs="宋体"/>
                <w:bCs w:val="0"/>
                <w:color w:val="auto"/>
                <w:kern w:val="2"/>
                <w:lang w:val="en-US" w:eastAsia="zh-CN"/>
              </w:rPr>
              <w:t>卸车区</w:t>
            </w:r>
          </w:p>
        </w:tc>
      </w:tr>
    </w:tbl>
    <w:p w14:paraId="357E137E">
      <w:pPr>
        <w:spacing w:line="360" w:lineRule="auto"/>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2、安全设施：</w:t>
      </w:r>
    </w:p>
    <w:p w14:paraId="1F064887">
      <w:pPr>
        <w:spacing w:line="360" w:lineRule="auto"/>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该加油站</w:t>
      </w:r>
      <w:r>
        <w:rPr>
          <w:rFonts w:hint="eastAsia" w:ascii="Times New Roman" w:hAnsi="Times New Roman" w:eastAsia="宋体" w:cs="宋体"/>
          <w:bCs w:val="0"/>
          <w:color w:val="auto"/>
          <w:kern w:val="2"/>
          <w:sz w:val="28"/>
          <w:szCs w:val="28"/>
          <w:lang w:val="zh-CN"/>
        </w:rPr>
        <w:t>柴油通气管、汽油通气管</w:t>
      </w:r>
      <w:r>
        <w:rPr>
          <w:rFonts w:hint="eastAsia" w:ascii="Times New Roman" w:hAnsi="Times New Roman" w:eastAsia="宋体" w:cs="宋体"/>
          <w:bCs w:val="0"/>
          <w:color w:val="auto"/>
          <w:kern w:val="2"/>
          <w:sz w:val="28"/>
          <w:szCs w:val="28"/>
          <w:lang w:val="zh-CN" w:eastAsia="zh-CN"/>
        </w:rPr>
        <w:t>位于罐区内，为50mm无缝钢管，通气管高出地面4m。</w:t>
      </w:r>
      <w:r>
        <w:rPr>
          <w:rFonts w:hint="eastAsia" w:ascii="Times New Roman" w:hAnsi="Times New Roman" w:eastAsia="宋体" w:cs="宋体"/>
          <w:bCs w:val="0"/>
          <w:color w:val="auto"/>
          <w:kern w:val="2"/>
          <w:sz w:val="28"/>
          <w:szCs w:val="28"/>
        </w:rPr>
        <w:t>通气管管口设有阻火器。汽油罐通气管及油气回收管另加装呼吸阀。</w:t>
      </w:r>
    </w:p>
    <w:p w14:paraId="154E02EA">
      <w:pPr>
        <w:spacing w:line="360" w:lineRule="auto"/>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油储罐进油口、出油管、量油孔、通气管直接单独通往油罐，人孔盖上设有量油孔，量油孔设带锁的量油帽。</w:t>
      </w:r>
    </w:p>
    <w:p w14:paraId="3A4251EB">
      <w:pPr>
        <w:spacing w:line="360" w:lineRule="auto"/>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密闭卸油口设置有用于连接车辆的防静电接地报警仪和人体静电导除器，防静电接地报警仪距卸油口间距大于1.5m。储罐及管道进行了静电接地，法兰连接处用铜片进行了跨接。卸油管采用内设金属丝的软管，可以和车辆的油罐和储油罐进行可靠的静电连接。</w:t>
      </w:r>
    </w:p>
    <w:p w14:paraId="40662CE9">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油罐设有液位监测仪，卸油时油料达到油罐容量90％时，能触动高液位报警装置，油料达到油罐容量95％时，能自动停止油料继续进罐。</w:t>
      </w:r>
    </w:p>
    <w:p w14:paraId="4D8132AA">
      <w:pPr>
        <w:spacing w:line="360" w:lineRule="auto"/>
        <w:ind w:firstLine="516"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spacing w:val="-11"/>
          <w:kern w:val="2"/>
          <w:sz w:val="28"/>
          <w:szCs w:val="28"/>
        </w:rPr>
        <w:t>罩棚下处于非爆炸危险区域的灯具选用防护等级不低于IP44级的照明灯具。</w:t>
      </w:r>
    </w:p>
    <w:p w14:paraId="09E20B28">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输油管线采用直埋式。</w:t>
      </w:r>
    </w:p>
    <w:p w14:paraId="1E489ADB">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加油机采用防爆型自动计量加油机。</w:t>
      </w:r>
    </w:p>
    <w:p w14:paraId="74951DC5">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加油站罩棚、站房设有接闪装置和引下线，所有设施均在防雷有效保护范围内。防雷装置经有资质的检测单位检测，取得雷电防护装置检测报告，检测结论为合格，详见附件。</w:t>
      </w:r>
    </w:p>
    <w:p w14:paraId="4F0AF947">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站内电缆采用直埋敷设到用电设备。</w:t>
      </w:r>
    </w:p>
    <w:p w14:paraId="549BC22D">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站内设置紧急切断系统，该系统能在事故状态下实现紧急停车和关闭紧急切断阀的保护功能，并在加油区和站房收银台有人员值守的位置设置紧急切断按钮。</w:t>
      </w:r>
    </w:p>
    <w:p w14:paraId="3862236A">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加油站在加油区等位置设置了“严禁烟火</w:t>
      </w:r>
      <w:r>
        <w:rPr>
          <w:rFonts w:hint="eastAsia" w:ascii="Times New Roman" w:hAnsi="Times New Roman" w:eastAsia="宋体" w:cs="宋体"/>
          <w:bCs w:val="0"/>
          <w:color w:val="auto"/>
          <w:kern w:val="2"/>
          <w:sz w:val="28"/>
          <w:szCs w:val="28"/>
          <w:lang w:eastAsia="zh-CN"/>
        </w:rPr>
        <w:t>”“</w:t>
      </w:r>
      <w:r>
        <w:rPr>
          <w:rFonts w:hint="eastAsia" w:ascii="Times New Roman" w:hAnsi="Times New Roman" w:eastAsia="宋体" w:cs="宋体"/>
          <w:bCs w:val="0"/>
          <w:color w:val="auto"/>
          <w:kern w:val="2"/>
          <w:sz w:val="28"/>
          <w:szCs w:val="28"/>
        </w:rPr>
        <w:t>禁打手机”等安全警示标志，在油罐和卸油区设置了“严禁烟火”等安全警示标识。</w:t>
      </w:r>
    </w:p>
    <w:p w14:paraId="499AA7FD">
      <w:pPr>
        <w:spacing w:line="360" w:lineRule="auto"/>
        <w:ind w:firstLine="560" w:firstLineChars="200"/>
        <w:jc w:val="left"/>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站内采用地沟式电缆敷设到用电设备。</w:t>
      </w:r>
    </w:p>
    <w:p w14:paraId="6180553A">
      <w:pPr>
        <w:spacing w:line="360" w:lineRule="auto"/>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3、安全管理</w:t>
      </w:r>
    </w:p>
    <w:p w14:paraId="49CBB602">
      <w:pPr>
        <w:spacing w:line="360" w:lineRule="auto"/>
        <w:ind w:firstLine="560" w:firstLineChars="200"/>
        <w:rPr>
          <w:rFonts w:ascii="Times New Roman" w:hAnsi="Times New Roman" w:eastAsia="宋体" w:cs="宋体"/>
          <w:b/>
          <w:bCs/>
          <w:color w:val="auto"/>
          <w:kern w:val="2"/>
          <w:sz w:val="24"/>
          <w:szCs w:val="24"/>
        </w:rPr>
      </w:pPr>
      <w:r>
        <w:rPr>
          <w:rFonts w:hint="eastAsia" w:ascii="Times New Roman" w:hAnsi="Times New Roman" w:eastAsia="宋体" w:cs="宋体"/>
          <w:bCs w:val="0"/>
          <w:color w:val="auto"/>
          <w:kern w:val="2"/>
          <w:sz w:val="28"/>
          <w:szCs w:val="28"/>
        </w:rPr>
        <w:t>中国石化销售股份有限公司</w:t>
      </w:r>
      <w:r>
        <w:rPr>
          <w:rFonts w:hint="eastAsia" w:ascii="Times New Roman" w:hAnsi="Times New Roman" w:eastAsia="宋体" w:cs="宋体"/>
          <w:bCs w:val="0"/>
          <w:color w:val="auto"/>
          <w:kern w:val="2"/>
          <w:sz w:val="28"/>
          <w:szCs w:val="28"/>
          <w:lang w:eastAsia="zh-CN"/>
        </w:rPr>
        <w:t>江西赣州兴国石油分公司南坑加油站</w:t>
      </w:r>
      <w:r>
        <w:rPr>
          <w:rFonts w:hint="eastAsia" w:ascii="Times New Roman" w:hAnsi="Times New Roman" w:eastAsia="宋体" w:cs="宋体"/>
          <w:bCs w:val="0"/>
          <w:color w:val="auto"/>
          <w:kern w:val="2"/>
          <w:sz w:val="28"/>
          <w:szCs w:val="28"/>
        </w:rPr>
        <w:t>已成立了安全生产领导小组。该加油站</w:t>
      </w:r>
      <w:r>
        <w:rPr>
          <w:rFonts w:hint="eastAsia" w:ascii="Times New Roman" w:hAnsi="Times New Roman" w:eastAsia="宋体" w:cs="宋体"/>
          <w:bCs w:val="0"/>
          <w:color w:val="auto"/>
          <w:kern w:val="2"/>
          <w:sz w:val="28"/>
          <w:szCs w:val="28"/>
          <w:lang w:eastAsia="zh-CN"/>
        </w:rPr>
        <w:t>主要负责人、安全生产管理人员</w:t>
      </w:r>
      <w:r>
        <w:rPr>
          <w:rFonts w:hint="eastAsia" w:ascii="Times New Roman" w:hAnsi="Times New Roman" w:eastAsia="宋体" w:cs="宋体"/>
          <w:bCs w:val="0"/>
          <w:color w:val="auto"/>
          <w:kern w:val="2"/>
          <w:sz w:val="28"/>
          <w:szCs w:val="28"/>
        </w:rPr>
        <w:t>分别取得</w:t>
      </w:r>
      <w:r>
        <w:rPr>
          <w:rFonts w:hint="eastAsia" w:ascii="Times New Roman" w:hAnsi="Times New Roman" w:eastAsia="宋体" w:cs="宋体"/>
          <w:bCs w:val="0"/>
          <w:color w:val="auto"/>
          <w:kern w:val="2"/>
          <w:sz w:val="28"/>
          <w:szCs w:val="28"/>
          <w:lang w:val="en-US" w:eastAsia="zh-CN"/>
        </w:rPr>
        <w:t>了</w:t>
      </w:r>
      <w:r>
        <w:rPr>
          <w:rFonts w:hint="eastAsia" w:ascii="Times New Roman" w:hAnsi="Times New Roman" w:eastAsia="宋体" w:cs="宋体"/>
          <w:bCs w:val="0"/>
          <w:color w:val="auto"/>
          <w:kern w:val="2"/>
          <w:sz w:val="28"/>
          <w:szCs w:val="28"/>
        </w:rPr>
        <w:t>考核合格证，详见附件。</w:t>
      </w:r>
    </w:p>
    <w:p w14:paraId="3EA6B969">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表2</w:t>
      </w:r>
      <w:r>
        <w:rPr>
          <w:rFonts w:hint="eastAsia" w:ascii="Times New Roman" w:hAnsi="Times New Roman" w:eastAsia="宋体" w:cs="宋体"/>
          <w:bCs w:val="0"/>
          <w:color w:val="auto"/>
          <w:kern w:val="2"/>
          <w:sz w:val="24"/>
          <w:szCs w:val="24"/>
        </w:rPr>
        <w:t>.5-2</w:t>
      </w:r>
      <w:r>
        <w:rPr>
          <w:rFonts w:hint="eastAsia" w:ascii="Times New Roman" w:hAnsi="Times New Roman" w:eastAsia="宋体" w:cs="宋体"/>
          <w:bCs w:val="0"/>
          <w:color w:val="auto"/>
          <w:kern w:val="2"/>
          <w:sz w:val="24"/>
          <w:szCs w:val="24"/>
          <w:lang w:val="zh-CN"/>
        </w:rPr>
        <w:t xml:space="preserve">  主要负责人、安全管理人员名录</w:t>
      </w:r>
    </w:p>
    <w:tbl>
      <w:tblPr>
        <w:tblStyle w:val="7"/>
        <w:tblW w:w="90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3"/>
        <w:gridCol w:w="1030"/>
        <w:gridCol w:w="1347"/>
        <w:gridCol w:w="1702"/>
        <w:gridCol w:w="1368"/>
        <w:gridCol w:w="1711"/>
        <w:gridCol w:w="1216"/>
      </w:tblGrid>
      <w:tr w14:paraId="0ED4B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703" w:type="dxa"/>
            <w:vAlign w:val="center"/>
          </w:tcPr>
          <w:p w14:paraId="4D3E1133">
            <w:pPr>
              <w:spacing w:line="24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序号</w:t>
            </w:r>
          </w:p>
        </w:tc>
        <w:tc>
          <w:tcPr>
            <w:tcW w:w="1030" w:type="dxa"/>
            <w:vAlign w:val="center"/>
          </w:tcPr>
          <w:p w14:paraId="6A1BDC9B">
            <w:pPr>
              <w:spacing w:line="24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姓名</w:t>
            </w:r>
          </w:p>
        </w:tc>
        <w:tc>
          <w:tcPr>
            <w:tcW w:w="1347" w:type="dxa"/>
            <w:vAlign w:val="center"/>
          </w:tcPr>
          <w:p w14:paraId="4219D88C">
            <w:pPr>
              <w:spacing w:line="240" w:lineRule="exact"/>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人员</w:t>
            </w:r>
            <w:r>
              <w:rPr>
                <w:rFonts w:ascii="Times New Roman" w:hAnsi="Times New Roman" w:eastAsia="宋体" w:cs="Times New Roman"/>
                <w:b/>
                <w:bCs/>
                <w:color w:val="auto"/>
                <w:kern w:val="2"/>
              </w:rPr>
              <w:t>类</w:t>
            </w:r>
            <w:r>
              <w:rPr>
                <w:rFonts w:hint="eastAsia" w:ascii="Times New Roman" w:hAnsi="Times New Roman" w:eastAsia="宋体" w:cs="Times New Roman"/>
                <w:b/>
                <w:bCs/>
                <w:color w:val="auto"/>
                <w:kern w:val="2"/>
              </w:rPr>
              <w:t>型</w:t>
            </w:r>
          </w:p>
        </w:tc>
        <w:tc>
          <w:tcPr>
            <w:tcW w:w="1702" w:type="dxa"/>
            <w:vAlign w:val="center"/>
          </w:tcPr>
          <w:p w14:paraId="53904A9A">
            <w:pPr>
              <w:spacing w:line="240" w:lineRule="exact"/>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行业类别</w:t>
            </w:r>
          </w:p>
        </w:tc>
        <w:tc>
          <w:tcPr>
            <w:tcW w:w="1368" w:type="dxa"/>
            <w:vAlign w:val="center"/>
          </w:tcPr>
          <w:p w14:paraId="1ABDCF0E">
            <w:pPr>
              <w:spacing w:line="240" w:lineRule="exact"/>
              <w:jc w:val="center"/>
              <w:rPr>
                <w:rFonts w:hint="eastAsia" w:ascii="Times New Roman" w:hAnsi="Times New Roman" w:eastAsia="宋体" w:cs="Times New Roman"/>
                <w:b/>
                <w:bCs/>
                <w:color w:val="auto"/>
                <w:kern w:val="2"/>
                <w:lang w:eastAsia="zh-CN"/>
              </w:rPr>
            </w:pPr>
            <w:r>
              <w:rPr>
                <w:rFonts w:hint="eastAsia" w:ascii="Times New Roman" w:hAnsi="Times New Roman" w:eastAsia="宋体" w:cs="Times New Roman"/>
                <w:b/>
                <w:bCs/>
                <w:color w:val="auto"/>
                <w:kern w:val="2"/>
                <w:lang w:val="en-US" w:eastAsia="zh-CN"/>
              </w:rPr>
              <w:t>证号</w:t>
            </w:r>
          </w:p>
        </w:tc>
        <w:tc>
          <w:tcPr>
            <w:tcW w:w="1711" w:type="dxa"/>
            <w:vAlign w:val="center"/>
          </w:tcPr>
          <w:p w14:paraId="59645299">
            <w:pPr>
              <w:spacing w:line="24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有效期</w:t>
            </w:r>
          </w:p>
        </w:tc>
        <w:tc>
          <w:tcPr>
            <w:tcW w:w="1216" w:type="dxa"/>
            <w:vAlign w:val="center"/>
          </w:tcPr>
          <w:p w14:paraId="51288C1E">
            <w:pPr>
              <w:spacing w:line="240" w:lineRule="exact"/>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发证单位</w:t>
            </w:r>
          </w:p>
        </w:tc>
      </w:tr>
      <w:tr w14:paraId="614CE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703" w:type="dxa"/>
            <w:vAlign w:val="center"/>
          </w:tcPr>
          <w:p w14:paraId="246D2FEF">
            <w:pPr>
              <w:spacing w:line="24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1</w:t>
            </w:r>
          </w:p>
        </w:tc>
        <w:tc>
          <w:tcPr>
            <w:tcW w:w="1030" w:type="dxa"/>
            <w:vAlign w:val="center"/>
          </w:tcPr>
          <w:p w14:paraId="613E2222">
            <w:pPr>
              <w:spacing w:line="240" w:lineRule="exact"/>
              <w:jc w:val="center"/>
              <w:rPr>
                <w:rFonts w:hint="eastAsia" w:ascii="Times New Roman" w:hAnsi="Times New Roman" w:eastAsia="宋体" w:cs="Times New Roman"/>
                <w:bCs w:val="0"/>
                <w:color w:val="auto"/>
                <w:kern w:val="2"/>
                <w:lang w:eastAsia="zh-CN"/>
              </w:rPr>
            </w:pPr>
            <w:r>
              <w:rPr>
                <w:rFonts w:hint="eastAsia" w:ascii="Times New Roman" w:hAnsi="Times New Roman" w:eastAsia="宋体" w:cs="Times New Roman"/>
                <w:bCs w:val="0"/>
                <w:color w:val="auto"/>
                <w:kern w:val="2"/>
                <w:lang w:eastAsia="zh-CN"/>
              </w:rPr>
              <w:t>吴兵兵</w:t>
            </w:r>
          </w:p>
        </w:tc>
        <w:tc>
          <w:tcPr>
            <w:tcW w:w="1347" w:type="dxa"/>
            <w:vAlign w:val="center"/>
          </w:tcPr>
          <w:p w14:paraId="16BE0585">
            <w:pPr>
              <w:spacing w:line="24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主要负责人</w:t>
            </w:r>
          </w:p>
        </w:tc>
        <w:tc>
          <w:tcPr>
            <w:tcW w:w="1702" w:type="dxa"/>
            <w:vAlign w:val="center"/>
          </w:tcPr>
          <w:p w14:paraId="55C2EA68">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危险化学品经营单位</w:t>
            </w:r>
          </w:p>
        </w:tc>
        <w:tc>
          <w:tcPr>
            <w:tcW w:w="1368" w:type="dxa"/>
            <w:vAlign w:val="center"/>
          </w:tcPr>
          <w:p w14:paraId="43017160">
            <w:pPr>
              <w:spacing w:line="240" w:lineRule="exact"/>
              <w:jc w:val="center"/>
              <w:rPr>
                <w:rFonts w:hint="eastAsia"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360732199409060618</w:t>
            </w:r>
          </w:p>
        </w:tc>
        <w:tc>
          <w:tcPr>
            <w:tcW w:w="1711" w:type="dxa"/>
            <w:vAlign w:val="center"/>
          </w:tcPr>
          <w:p w14:paraId="650F6E01">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rPr>
              <w:t>2025-03-13至2028-03-12</w:t>
            </w:r>
          </w:p>
        </w:tc>
        <w:tc>
          <w:tcPr>
            <w:tcW w:w="1216" w:type="dxa"/>
            <w:vAlign w:val="center"/>
          </w:tcPr>
          <w:p w14:paraId="35D60086">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赣州市行政审批局</w:t>
            </w:r>
          </w:p>
        </w:tc>
      </w:tr>
      <w:tr w14:paraId="7B77F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3" w:type="dxa"/>
            <w:vAlign w:val="center"/>
          </w:tcPr>
          <w:p w14:paraId="13C427A9">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2</w:t>
            </w:r>
          </w:p>
        </w:tc>
        <w:tc>
          <w:tcPr>
            <w:tcW w:w="1030" w:type="dxa"/>
            <w:vAlign w:val="center"/>
          </w:tcPr>
          <w:p w14:paraId="0DF335F9">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周金花</w:t>
            </w:r>
          </w:p>
        </w:tc>
        <w:tc>
          <w:tcPr>
            <w:tcW w:w="1347" w:type="dxa"/>
            <w:vAlign w:val="center"/>
          </w:tcPr>
          <w:p w14:paraId="74F4141E">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安全生产管理人员</w:t>
            </w:r>
          </w:p>
        </w:tc>
        <w:tc>
          <w:tcPr>
            <w:tcW w:w="1702" w:type="dxa"/>
            <w:vAlign w:val="center"/>
          </w:tcPr>
          <w:p w14:paraId="6EE6D12A">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危险化学品经营单位</w:t>
            </w:r>
          </w:p>
        </w:tc>
        <w:tc>
          <w:tcPr>
            <w:tcW w:w="1368" w:type="dxa"/>
            <w:vAlign w:val="center"/>
          </w:tcPr>
          <w:p w14:paraId="6F6AB8AC">
            <w:pPr>
              <w:spacing w:line="240" w:lineRule="exact"/>
              <w:jc w:val="center"/>
              <w:rPr>
                <w:rFonts w:hint="default" w:ascii="Times New Roman" w:hAnsi="Times New Roman" w:eastAsia="宋体" w:cs="Times New Roman"/>
                <w:bCs w:val="0"/>
                <w:color w:val="auto"/>
                <w:kern w:val="2"/>
                <w:lang w:val="en-US"/>
              </w:rPr>
            </w:pPr>
            <w:r>
              <w:rPr>
                <w:rFonts w:hint="default" w:ascii="Times New Roman" w:hAnsi="Times New Roman" w:eastAsia="宋体" w:cs="Times New Roman"/>
                <w:bCs w:val="0"/>
                <w:color w:val="auto"/>
                <w:kern w:val="2"/>
                <w:lang w:val="en-US"/>
              </w:rPr>
              <w:t>362121197611096842</w:t>
            </w:r>
          </w:p>
        </w:tc>
        <w:tc>
          <w:tcPr>
            <w:tcW w:w="1711" w:type="dxa"/>
            <w:vAlign w:val="center"/>
          </w:tcPr>
          <w:p w14:paraId="7BA1306C">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w:t>
            </w:r>
            <w:r>
              <w:rPr>
                <w:rFonts w:hint="eastAsia" w:ascii="Times New Roman" w:hAnsi="Times New Roman" w:eastAsia="宋体" w:cs="Times New Roman"/>
                <w:bCs w:val="0"/>
                <w:color w:val="auto"/>
                <w:kern w:val="2"/>
              </w:rPr>
              <w:t>025-04-1</w:t>
            </w:r>
            <w:r>
              <w:rPr>
                <w:rFonts w:hint="eastAsia" w:ascii="Times New Roman" w:hAnsi="Times New Roman" w:eastAsia="宋体" w:cs="Times New Roman"/>
                <w:bCs w:val="0"/>
                <w:color w:val="auto"/>
                <w:kern w:val="2"/>
                <w:lang w:val="en-US" w:eastAsia="zh-CN"/>
              </w:rPr>
              <w:t>7至2028</w:t>
            </w:r>
            <w:r>
              <w:rPr>
                <w:rFonts w:hint="eastAsia" w:ascii="Times New Roman" w:hAnsi="Times New Roman" w:eastAsia="宋体" w:cs="Times New Roman"/>
                <w:bCs w:val="0"/>
                <w:color w:val="auto"/>
                <w:kern w:val="2"/>
              </w:rPr>
              <w:t>-04-1</w:t>
            </w:r>
            <w:r>
              <w:rPr>
                <w:rFonts w:hint="eastAsia" w:ascii="Times New Roman" w:hAnsi="Times New Roman" w:eastAsia="宋体" w:cs="Times New Roman"/>
                <w:bCs w:val="0"/>
                <w:color w:val="auto"/>
                <w:kern w:val="2"/>
                <w:lang w:val="en-US" w:eastAsia="zh-CN"/>
              </w:rPr>
              <w:t>6</w:t>
            </w:r>
          </w:p>
        </w:tc>
        <w:tc>
          <w:tcPr>
            <w:tcW w:w="1216" w:type="dxa"/>
            <w:vAlign w:val="center"/>
          </w:tcPr>
          <w:p w14:paraId="2D86F018">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赣州市行政审批局</w:t>
            </w:r>
          </w:p>
        </w:tc>
      </w:tr>
    </w:tbl>
    <w:p w14:paraId="599C1EA3">
      <w:pPr>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该站制定了各岗位安全生产职责，明确规定了各岗位人员的安全生产职责和要求。</w:t>
      </w:r>
    </w:p>
    <w:p w14:paraId="0E8E3F5B">
      <w:pPr>
        <w:spacing w:line="360" w:lineRule="auto"/>
        <w:ind w:firstLine="516" w:firstLineChars="200"/>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11"/>
          <w:kern w:val="2"/>
          <w:sz w:val="28"/>
          <w:szCs w:val="28"/>
        </w:rPr>
        <w:t>该站制定了各种安全管理制度，包括：全员安全生产责任制度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安全生产教育培训教育制度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加油站值班制度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安全检查和隐患整改管理制度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安全检维修管理制度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安全作业管理制度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危险化学品安全管理制度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危险化学品购销管理制度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生产设施安全管理制度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安全生产费用投入保障制度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安全生产奖惩制度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劳动防护用品(具)发放管理制度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事故管理制度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职业卫生管理制度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加油站加油区及储油罐区安全监控制度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安全生产会议制度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防火、防爆、防中毒、防泄漏管理制度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消防管理制度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安全风险管理制度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法律、法规、标准及其他要求管理制度、“三同时”管理制度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监视和测量设备管理制度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设施安全拆除和报废制度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承包商管理制度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供应商管理制度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变更管理制度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应急管理制度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隐患排查治理管理制度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外来人员安全管理制度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站内道路交通管理制度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文件档案管理制度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禁火、禁烟管理制度</w:t>
      </w:r>
      <w:r>
        <w:rPr>
          <w:rFonts w:hint="eastAsia" w:ascii="Times New Roman" w:hAnsi="Times New Roman" w:eastAsia="宋体" w:cs="Times New Roman"/>
          <w:bCs w:val="0"/>
          <w:color w:val="auto"/>
          <w:spacing w:val="-11"/>
          <w:kern w:val="2"/>
          <w:sz w:val="28"/>
          <w:szCs w:val="28"/>
          <w:lang w:eastAsia="zh-CN"/>
        </w:rPr>
        <w:t>、</w:t>
      </w:r>
      <w:r>
        <w:rPr>
          <w:rFonts w:hint="eastAsia" w:ascii="Times New Roman" w:hAnsi="Times New Roman" w:eastAsia="宋体" w:cs="Times New Roman"/>
          <w:bCs w:val="0"/>
          <w:color w:val="auto"/>
          <w:spacing w:val="-11"/>
          <w:kern w:val="2"/>
          <w:sz w:val="28"/>
          <w:szCs w:val="28"/>
        </w:rPr>
        <w:t>安全风险研判与承诺公告制度等。</w:t>
      </w:r>
    </w:p>
    <w:p w14:paraId="40B71734">
      <w:pPr>
        <w:spacing w:line="360" w:lineRule="auto"/>
        <w:ind w:firstLine="536" w:firstLineChars="200"/>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6"/>
          <w:kern w:val="2"/>
          <w:sz w:val="28"/>
          <w:szCs w:val="28"/>
        </w:rPr>
        <w:t>该站按要求对从业人员进行安全生产教育和培训，保证从业人员具备必要的安全生产知识，熟悉有关的安全生产规章制度和安全操作规程，掌握本岗位的安全操作技能，了解事故应急处理措施。</w:t>
      </w:r>
    </w:p>
    <w:p w14:paraId="0D94E830">
      <w:pPr>
        <w:spacing w:line="360" w:lineRule="auto"/>
        <w:ind w:firstLine="536" w:firstLineChars="200"/>
        <w:rPr>
          <w:rFonts w:ascii="Times New Roman" w:hAnsi="Times New Roman" w:eastAsia="宋体" w:cs="Times New Roman"/>
          <w:bCs w:val="0"/>
          <w:color w:val="0000FF"/>
          <w:kern w:val="2"/>
          <w:sz w:val="28"/>
          <w:szCs w:val="28"/>
        </w:rPr>
      </w:pPr>
      <w:r>
        <w:rPr>
          <w:rFonts w:hint="eastAsia" w:ascii="Times New Roman" w:hAnsi="Times New Roman" w:eastAsia="宋体" w:cs="Times New Roman"/>
          <w:bCs w:val="0"/>
          <w:color w:val="auto"/>
          <w:spacing w:val="-6"/>
          <w:kern w:val="2"/>
          <w:sz w:val="28"/>
          <w:szCs w:val="28"/>
        </w:rPr>
        <w:t>中国石化销售股份有限公司</w:t>
      </w:r>
      <w:r>
        <w:rPr>
          <w:rFonts w:hint="eastAsia" w:ascii="Times New Roman" w:hAnsi="Times New Roman" w:eastAsia="宋体" w:cs="Times New Roman"/>
          <w:bCs w:val="0"/>
          <w:color w:val="auto"/>
          <w:spacing w:val="-6"/>
          <w:kern w:val="2"/>
          <w:sz w:val="28"/>
          <w:szCs w:val="28"/>
          <w:lang w:eastAsia="zh-CN"/>
        </w:rPr>
        <w:t>江西赣州兴国石油分公司南坑加油站</w:t>
      </w:r>
      <w:r>
        <w:rPr>
          <w:rFonts w:hint="eastAsia" w:ascii="Times New Roman" w:hAnsi="Times New Roman" w:eastAsia="宋体" w:cs="Times New Roman"/>
          <w:bCs w:val="0"/>
          <w:color w:val="auto"/>
          <w:spacing w:val="-6"/>
          <w:kern w:val="2"/>
          <w:sz w:val="28"/>
          <w:szCs w:val="28"/>
        </w:rPr>
        <w:t>按要求编制了生产安全事故应急预案，于202</w:t>
      </w:r>
      <w:r>
        <w:rPr>
          <w:rFonts w:hint="eastAsia" w:ascii="Times New Roman" w:hAnsi="Times New Roman" w:eastAsia="宋体" w:cs="Times New Roman"/>
          <w:bCs w:val="0"/>
          <w:color w:val="auto"/>
          <w:spacing w:val="-6"/>
          <w:kern w:val="2"/>
          <w:sz w:val="28"/>
          <w:szCs w:val="28"/>
          <w:lang w:val="en-US" w:eastAsia="zh-CN"/>
        </w:rPr>
        <w:t>3</w:t>
      </w:r>
      <w:r>
        <w:rPr>
          <w:rFonts w:hint="eastAsia" w:ascii="Times New Roman" w:hAnsi="Times New Roman" w:eastAsia="宋体" w:cs="Times New Roman"/>
          <w:bCs w:val="0"/>
          <w:color w:val="auto"/>
          <w:spacing w:val="-6"/>
          <w:kern w:val="2"/>
          <w:sz w:val="28"/>
          <w:szCs w:val="28"/>
        </w:rPr>
        <w:t>年</w:t>
      </w:r>
      <w:r>
        <w:rPr>
          <w:rFonts w:hint="eastAsia" w:ascii="Times New Roman" w:hAnsi="Times New Roman" w:eastAsia="宋体" w:cs="Times New Roman"/>
          <w:bCs w:val="0"/>
          <w:color w:val="auto"/>
          <w:spacing w:val="-6"/>
          <w:kern w:val="2"/>
          <w:sz w:val="28"/>
          <w:szCs w:val="28"/>
          <w:lang w:val="en-US" w:eastAsia="zh-CN"/>
        </w:rPr>
        <w:t>11</w:t>
      </w:r>
      <w:r>
        <w:rPr>
          <w:rFonts w:hint="eastAsia" w:ascii="Times New Roman" w:hAnsi="Times New Roman" w:eastAsia="宋体" w:cs="Times New Roman"/>
          <w:bCs w:val="0"/>
          <w:color w:val="auto"/>
          <w:spacing w:val="-6"/>
          <w:kern w:val="2"/>
          <w:sz w:val="28"/>
          <w:szCs w:val="28"/>
        </w:rPr>
        <w:t>月</w:t>
      </w:r>
      <w:r>
        <w:rPr>
          <w:rFonts w:hint="eastAsia" w:ascii="Times New Roman" w:hAnsi="Times New Roman" w:eastAsia="宋体" w:cs="Times New Roman"/>
          <w:bCs w:val="0"/>
          <w:color w:val="auto"/>
          <w:spacing w:val="-6"/>
          <w:kern w:val="2"/>
          <w:sz w:val="28"/>
          <w:szCs w:val="28"/>
          <w:lang w:val="en-US" w:eastAsia="zh-CN"/>
        </w:rPr>
        <w:t>30</w:t>
      </w:r>
      <w:r>
        <w:rPr>
          <w:rFonts w:hint="eastAsia" w:ascii="Times New Roman" w:hAnsi="Times New Roman" w:eastAsia="宋体" w:cs="Times New Roman"/>
          <w:bCs w:val="0"/>
          <w:color w:val="auto"/>
          <w:spacing w:val="-6"/>
          <w:kern w:val="2"/>
          <w:sz w:val="28"/>
          <w:szCs w:val="28"/>
        </w:rPr>
        <w:t>日在</w:t>
      </w:r>
      <w:r>
        <w:rPr>
          <w:rFonts w:hint="eastAsia" w:ascii="Times New Roman" w:hAnsi="Times New Roman" w:eastAsia="宋体" w:cs="Times New Roman"/>
          <w:bCs w:val="0"/>
          <w:color w:val="auto"/>
          <w:spacing w:val="-6"/>
          <w:kern w:val="2"/>
          <w:sz w:val="28"/>
          <w:szCs w:val="28"/>
          <w:lang w:val="en-US" w:eastAsia="zh-CN"/>
        </w:rPr>
        <w:t>兴国县</w:t>
      </w:r>
      <w:r>
        <w:rPr>
          <w:rFonts w:hint="eastAsia" w:ascii="Times New Roman" w:hAnsi="Times New Roman" w:eastAsia="宋体" w:cs="Times New Roman"/>
          <w:bCs w:val="0"/>
          <w:color w:val="auto"/>
          <w:spacing w:val="-6"/>
          <w:kern w:val="2"/>
          <w:sz w:val="28"/>
          <w:szCs w:val="28"/>
        </w:rPr>
        <w:t>应急管理局备案。加油站定期进行应急演练，演练记录详见附件。</w:t>
      </w:r>
    </w:p>
    <w:p w14:paraId="5A179EE8">
      <w:pPr>
        <w:spacing w:line="360" w:lineRule="auto"/>
        <w:ind w:firstLine="536" w:firstLineChars="200"/>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6"/>
          <w:kern w:val="2"/>
          <w:sz w:val="28"/>
          <w:szCs w:val="28"/>
        </w:rPr>
        <w:t>该站按照《</w:t>
      </w:r>
      <w:r>
        <w:rPr>
          <w:rFonts w:hint="eastAsia" w:ascii="Times New Roman" w:hAnsi="Times New Roman" w:eastAsia="宋体" w:cs="Times New Roman"/>
          <w:bCs w:val="0"/>
          <w:color w:val="auto"/>
          <w:spacing w:val="-6"/>
          <w:kern w:val="2"/>
          <w:sz w:val="28"/>
          <w:szCs w:val="28"/>
          <w:lang w:val="en-US" w:eastAsia="zh-CN"/>
        </w:rPr>
        <w:t>中华人民共和国</w:t>
      </w:r>
      <w:r>
        <w:rPr>
          <w:rFonts w:hint="eastAsia" w:ascii="Times New Roman" w:hAnsi="Times New Roman" w:eastAsia="宋体" w:cs="Times New Roman"/>
          <w:bCs w:val="0"/>
          <w:color w:val="auto"/>
          <w:spacing w:val="-6"/>
          <w:kern w:val="2"/>
          <w:sz w:val="28"/>
          <w:szCs w:val="28"/>
        </w:rPr>
        <w:t>安全生产法》要求，建立了安全风险分级管控和隐患排查治理双重预防工作机制，制定了站区四色安全风险空间分布图、风险识别管控及应急措施，定期进行隐患排查并将排查隐患定期上传至安全生产监管信息系统。</w:t>
      </w:r>
    </w:p>
    <w:p w14:paraId="5F0AEED9">
      <w:pPr>
        <w:spacing w:line="360" w:lineRule="auto"/>
        <w:ind w:firstLine="536" w:firstLineChars="200"/>
        <w:rPr>
          <w:rFonts w:ascii="Times New Roman" w:hAnsi="Times New Roman" w:eastAsia="宋体" w:cs="Times New Roman"/>
          <w:bCs w:val="0"/>
          <w:color w:val="auto"/>
          <w:spacing w:val="-6"/>
          <w:kern w:val="2"/>
          <w:sz w:val="28"/>
          <w:szCs w:val="28"/>
        </w:rPr>
      </w:pPr>
      <w:r>
        <w:rPr>
          <w:rFonts w:hint="eastAsia" w:ascii="Times New Roman" w:hAnsi="Times New Roman" w:eastAsia="宋体" w:cs="Times New Roman"/>
          <w:bCs w:val="0"/>
          <w:color w:val="auto"/>
          <w:spacing w:val="-6"/>
          <w:kern w:val="2"/>
          <w:sz w:val="28"/>
          <w:szCs w:val="28"/>
        </w:rPr>
        <w:t>该公司定期组织对站内进行安全隐患排查，对查出的问题和隐患认真及时地进行整治，及时消除生产安全事故隐患。</w:t>
      </w:r>
    </w:p>
    <w:p w14:paraId="3F55B720">
      <w:pPr>
        <w:spacing w:line="360" w:lineRule="auto"/>
        <w:ind w:firstLine="536"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spacing w:val="-6"/>
          <w:kern w:val="2"/>
          <w:sz w:val="28"/>
          <w:szCs w:val="28"/>
        </w:rPr>
        <w:t>该公司已为从业人员定期缴纳社保</w:t>
      </w:r>
      <w:r>
        <w:rPr>
          <w:rFonts w:hint="eastAsia" w:ascii="Times New Roman" w:hAnsi="Times New Roman" w:eastAsia="宋体" w:cs="Times New Roman"/>
          <w:bCs w:val="0"/>
          <w:color w:val="auto"/>
          <w:spacing w:val="-6"/>
          <w:kern w:val="2"/>
          <w:sz w:val="28"/>
          <w:szCs w:val="28"/>
          <w:lang w:eastAsia="zh-CN"/>
        </w:rPr>
        <w:t>，对</w:t>
      </w:r>
      <w:r>
        <w:rPr>
          <w:rFonts w:hint="eastAsia" w:ascii="Times New Roman" w:hAnsi="Times New Roman" w:eastAsia="宋体" w:cs="Times New Roman"/>
          <w:bCs w:val="0"/>
          <w:color w:val="auto"/>
          <w:kern w:val="2"/>
          <w:sz w:val="28"/>
          <w:szCs w:val="24"/>
        </w:rPr>
        <w:t>岗位操作人员进行了专门的安全知识和技术培训，培训经考核合格后上岗</w:t>
      </w:r>
      <w:r>
        <w:rPr>
          <w:rFonts w:hint="eastAsia" w:ascii="Times New Roman" w:hAnsi="Times New Roman" w:eastAsia="宋体" w:cs="宋体"/>
          <w:bCs w:val="0"/>
          <w:color w:val="auto"/>
          <w:kern w:val="2"/>
          <w:sz w:val="28"/>
          <w:szCs w:val="28"/>
        </w:rPr>
        <w:t>。</w:t>
      </w:r>
    </w:p>
    <w:p w14:paraId="331F22B1">
      <w:pPr>
        <w:spacing w:line="600" w:lineRule="exact"/>
        <w:outlineLvl w:val="0"/>
        <w:rPr>
          <w:rFonts w:ascii="Times New Roman" w:hAnsi="Times New Roman" w:eastAsia="宋体" w:cs="Times New Roman"/>
          <w:b/>
          <w:bCs/>
          <w:color w:val="auto"/>
          <w:kern w:val="36"/>
          <w:sz w:val="32"/>
          <w:szCs w:val="32"/>
        </w:rPr>
      </w:pPr>
      <w:bookmarkStart w:id="44" w:name="_Toc17098"/>
      <w:r>
        <w:rPr>
          <w:rFonts w:ascii="Times New Roman" w:hAnsi="Times New Roman" w:eastAsia="宋体" w:cs="Times New Roman"/>
          <w:b/>
          <w:bCs/>
          <w:color w:val="0000FF"/>
          <w:kern w:val="36"/>
          <w:sz w:val="28"/>
          <w:szCs w:val="28"/>
        </w:rPr>
        <w:br w:type="page"/>
      </w:r>
      <w:bookmarkStart w:id="45" w:name="_Toc10610"/>
      <w:r>
        <w:rPr>
          <w:rFonts w:ascii="Times New Roman" w:hAnsi="Times New Roman" w:eastAsia="宋体" w:cs="Times New Roman"/>
          <w:b/>
          <w:bCs/>
          <w:color w:val="auto"/>
          <w:kern w:val="36"/>
          <w:sz w:val="32"/>
          <w:szCs w:val="32"/>
        </w:rPr>
        <w:t xml:space="preserve">3 </w:t>
      </w:r>
      <w:r>
        <w:rPr>
          <w:rFonts w:hint="eastAsia" w:ascii="Times New Roman" w:hAnsi="Times New Roman" w:eastAsia="宋体" w:cs="宋体"/>
          <w:b/>
          <w:bCs/>
          <w:color w:val="auto"/>
          <w:kern w:val="36"/>
          <w:sz w:val="32"/>
          <w:szCs w:val="32"/>
        </w:rPr>
        <w:t>主要危险、有害因素分析</w:t>
      </w:r>
      <w:bookmarkEnd w:id="44"/>
      <w:bookmarkEnd w:id="45"/>
    </w:p>
    <w:p w14:paraId="5EEAECF9">
      <w:pPr>
        <w:keepNext/>
        <w:keepLines/>
        <w:spacing w:line="600" w:lineRule="exact"/>
        <w:outlineLvl w:val="1"/>
        <w:rPr>
          <w:rFonts w:ascii="Times New Roman" w:hAnsi="Times New Roman" w:eastAsia="宋体" w:cs="Times New Roman"/>
          <w:b/>
          <w:bCs/>
          <w:color w:val="auto"/>
          <w:kern w:val="2"/>
          <w:sz w:val="28"/>
          <w:szCs w:val="28"/>
        </w:rPr>
      </w:pPr>
      <w:bookmarkStart w:id="46" w:name="_Toc23758"/>
      <w:bookmarkStart w:id="47" w:name="_Toc2209"/>
      <w:bookmarkStart w:id="48" w:name="_Toc343692251"/>
      <w:r>
        <w:rPr>
          <w:rFonts w:ascii="Times New Roman" w:hAnsi="Times New Roman" w:eastAsia="宋体" w:cs="Times New Roman"/>
          <w:b/>
          <w:bCs/>
          <w:color w:val="auto"/>
          <w:kern w:val="2"/>
          <w:sz w:val="28"/>
          <w:szCs w:val="28"/>
        </w:rPr>
        <w:t xml:space="preserve">3.1 </w:t>
      </w:r>
      <w:r>
        <w:rPr>
          <w:rFonts w:hint="eastAsia" w:ascii="Times New Roman" w:hAnsi="Times New Roman" w:eastAsia="宋体" w:cs="宋体"/>
          <w:b/>
          <w:bCs/>
          <w:color w:val="auto"/>
          <w:kern w:val="2"/>
          <w:sz w:val="28"/>
          <w:szCs w:val="28"/>
        </w:rPr>
        <w:t>物料的危险、有害因素分析</w:t>
      </w:r>
      <w:bookmarkEnd w:id="46"/>
      <w:bookmarkEnd w:id="47"/>
      <w:bookmarkEnd w:id="48"/>
    </w:p>
    <w:p w14:paraId="2DD334CB">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根据《危险化学品目录》（</w:t>
      </w:r>
      <w:r>
        <w:rPr>
          <w:rFonts w:ascii="Times New Roman" w:hAnsi="Times New Roman" w:eastAsia="宋体" w:cs="Times New Roman"/>
          <w:bCs w:val="0"/>
          <w:color w:val="auto"/>
          <w:kern w:val="2"/>
          <w:sz w:val="28"/>
          <w:szCs w:val="28"/>
        </w:rPr>
        <w:t>20</w:t>
      </w:r>
      <w:r>
        <w:rPr>
          <w:rFonts w:hint="eastAsia" w:ascii="Times New Roman" w:hAnsi="Times New Roman" w:eastAsia="宋体" w:cs="Times New Roman"/>
          <w:bCs w:val="0"/>
          <w:color w:val="auto"/>
          <w:kern w:val="2"/>
          <w:sz w:val="28"/>
          <w:szCs w:val="28"/>
        </w:rPr>
        <w:t>15</w:t>
      </w:r>
      <w:r>
        <w:rPr>
          <w:rFonts w:hint="eastAsia" w:ascii="Times New Roman" w:hAnsi="Times New Roman" w:eastAsia="宋体" w:cs="宋体"/>
          <w:bCs w:val="0"/>
          <w:color w:val="auto"/>
          <w:kern w:val="2"/>
          <w:sz w:val="28"/>
          <w:szCs w:val="28"/>
        </w:rPr>
        <w:t>年版，202</w:t>
      </w:r>
      <w:r>
        <w:rPr>
          <w:rFonts w:hint="eastAsia" w:ascii="Times New Roman" w:hAnsi="Times New Roman" w:eastAsia="宋体" w:cs="宋体"/>
          <w:bCs w:val="0"/>
          <w:color w:val="auto"/>
          <w:kern w:val="2"/>
          <w:sz w:val="28"/>
          <w:szCs w:val="28"/>
          <w:lang w:val="en-US" w:eastAsia="zh-CN"/>
        </w:rPr>
        <w:t>6</w:t>
      </w:r>
      <w:r>
        <w:rPr>
          <w:rFonts w:hint="eastAsia" w:ascii="Times New Roman" w:hAnsi="Times New Roman" w:eastAsia="宋体" w:cs="宋体"/>
          <w:bCs w:val="0"/>
          <w:color w:val="auto"/>
          <w:kern w:val="2"/>
          <w:sz w:val="28"/>
          <w:szCs w:val="28"/>
        </w:rPr>
        <w:t>年调整），该站涉及的危险化学品物质是汽油和柴油，汽油和柴油危险特性见下表所示。</w:t>
      </w:r>
    </w:p>
    <w:p w14:paraId="3205ABE1">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表3</w:t>
      </w:r>
      <w:r>
        <w:rPr>
          <w:rFonts w:hint="eastAsia" w:ascii="Times New Roman" w:hAnsi="Times New Roman" w:eastAsia="宋体" w:cs="宋体"/>
          <w:bCs w:val="0"/>
          <w:color w:val="auto"/>
          <w:kern w:val="2"/>
          <w:sz w:val="24"/>
          <w:szCs w:val="24"/>
        </w:rPr>
        <w:t>.1</w:t>
      </w:r>
      <w:r>
        <w:rPr>
          <w:rFonts w:hint="eastAsia" w:ascii="Times New Roman" w:hAnsi="Times New Roman" w:eastAsia="宋体" w:cs="宋体"/>
          <w:bCs w:val="0"/>
          <w:color w:val="auto"/>
          <w:kern w:val="2"/>
          <w:sz w:val="24"/>
          <w:szCs w:val="24"/>
          <w:lang w:val="zh-CN"/>
        </w:rPr>
        <w:t>-1  危险化学品物料危险特性表</w:t>
      </w:r>
    </w:p>
    <w:tbl>
      <w:tblPr>
        <w:tblStyle w:val="7"/>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760"/>
        <w:gridCol w:w="670"/>
        <w:gridCol w:w="774"/>
        <w:gridCol w:w="936"/>
        <w:gridCol w:w="990"/>
        <w:gridCol w:w="1165"/>
        <w:gridCol w:w="3034"/>
      </w:tblGrid>
      <w:tr w14:paraId="46B4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blHeader/>
          <w:jc w:val="center"/>
        </w:trPr>
        <w:tc>
          <w:tcPr>
            <w:tcW w:w="908" w:type="dxa"/>
            <w:vAlign w:val="center"/>
          </w:tcPr>
          <w:p w14:paraId="60C07AB7">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危险化学品目录序号</w:t>
            </w:r>
          </w:p>
        </w:tc>
        <w:tc>
          <w:tcPr>
            <w:tcW w:w="760" w:type="dxa"/>
            <w:vAlign w:val="center"/>
          </w:tcPr>
          <w:p w14:paraId="27465175">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品名</w:t>
            </w:r>
          </w:p>
        </w:tc>
        <w:tc>
          <w:tcPr>
            <w:tcW w:w="670" w:type="dxa"/>
            <w:vAlign w:val="center"/>
          </w:tcPr>
          <w:p w14:paraId="15936BBD">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火灾</w:t>
            </w:r>
          </w:p>
          <w:p w14:paraId="66819466">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类别</w:t>
            </w:r>
          </w:p>
        </w:tc>
        <w:tc>
          <w:tcPr>
            <w:tcW w:w="774" w:type="dxa"/>
            <w:vAlign w:val="center"/>
          </w:tcPr>
          <w:p w14:paraId="343011C0">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闪点</w:t>
            </w:r>
          </w:p>
        </w:tc>
        <w:tc>
          <w:tcPr>
            <w:tcW w:w="936" w:type="dxa"/>
            <w:vAlign w:val="center"/>
          </w:tcPr>
          <w:p w14:paraId="09D0B15D">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沸点</w:t>
            </w:r>
          </w:p>
        </w:tc>
        <w:tc>
          <w:tcPr>
            <w:tcW w:w="990" w:type="dxa"/>
            <w:vAlign w:val="center"/>
          </w:tcPr>
          <w:p w14:paraId="7DB84C8D">
            <w:pPr>
              <w:widowControl/>
              <w:spacing w:line="240" w:lineRule="atLeast"/>
              <w:jc w:val="center"/>
              <w:rPr>
                <w:rFonts w:ascii="Times New Roman" w:hAnsi="Times New Roman" w:eastAsia="宋体" w:cs="Times New Roman"/>
                <w:b/>
                <w:bCs/>
                <w:color w:val="auto"/>
                <w:kern w:val="0"/>
                <w:sz w:val="18"/>
                <w:szCs w:val="18"/>
              </w:rPr>
            </w:pPr>
            <w:r>
              <w:rPr>
                <w:rFonts w:hint="eastAsia" w:ascii="Times New Roman" w:hAnsi="Times New Roman" w:eastAsia="宋体" w:cs="宋体"/>
                <w:b/>
                <w:bCs/>
                <w:color w:val="auto"/>
                <w:kern w:val="0"/>
                <w:sz w:val="18"/>
                <w:szCs w:val="18"/>
              </w:rPr>
              <w:t>爆炸极限（</w:t>
            </w:r>
            <w:r>
              <w:rPr>
                <w:rFonts w:ascii="Times New Roman" w:hAnsi="Times New Roman" w:eastAsia="宋体" w:cs="Times New Roman"/>
                <w:b/>
                <w:bCs/>
                <w:color w:val="auto"/>
                <w:kern w:val="0"/>
                <w:sz w:val="18"/>
                <w:szCs w:val="18"/>
              </w:rPr>
              <w:t>%</w:t>
            </w:r>
            <w:r>
              <w:rPr>
                <w:rFonts w:hint="eastAsia" w:ascii="Times New Roman" w:hAnsi="Times New Roman" w:eastAsia="宋体" w:cs="宋体"/>
                <w:b/>
                <w:bCs/>
                <w:color w:val="auto"/>
                <w:kern w:val="0"/>
                <w:sz w:val="18"/>
                <w:szCs w:val="18"/>
              </w:rPr>
              <w:t>）</w:t>
            </w:r>
          </w:p>
        </w:tc>
        <w:tc>
          <w:tcPr>
            <w:tcW w:w="1165" w:type="dxa"/>
            <w:vAlign w:val="center"/>
          </w:tcPr>
          <w:p w14:paraId="12AEB5EE">
            <w:pPr>
              <w:widowControl/>
              <w:spacing w:line="240" w:lineRule="atLeast"/>
              <w:jc w:val="center"/>
              <w:rPr>
                <w:rFonts w:ascii="Times New Roman" w:hAnsi="Times New Roman" w:eastAsia="宋体" w:cs="Times New Roman"/>
                <w:b/>
                <w:bCs/>
                <w:color w:val="auto"/>
                <w:kern w:val="0"/>
                <w:sz w:val="18"/>
                <w:szCs w:val="18"/>
              </w:rPr>
            </w:pPr>
            <w:r>
              <w:rPr>
                <w:rFonts w:ascii="Times New Roman" w:hAnsi="Times New Roman" w:eastAsia="宋体" w:cs="Times New Roman"/>
                <w:b/>
                <w:bCs/>
                <w:color w:val="auto"/>
                <w:kern w:val="0"/>
                <w:sz w:val="18"/>
                <w:szCs w:val="18"/>
              </w:rPr>
              <w:t>CAS</w:t>
            </w:r>
            <w:r>
              <w:rPr>
                <w:rFonts w:hint="eastAsia" w:ascii="Times New Roman" w:hAnsi="Times New Roman" w:eastAsia="宋体" w:cs="宋体"/>
                <w:b/>
                <w:bCs/>
                <w:color w:val="auto"/>
                <w:kern w:val="0"/>
                <w:sz w:val="18"/>
                <w:szCs w:val="18"/>
              </w:rPr>
              <w:t>号</w:t>
            </w:r>
          </w:p>
        </w:tc>
        <w:tc>
          <w:tcPr>
            <w:tcW w:w="3034" w:type="dxa"/>
            <w:vAlign w:val="center"/>
          </w:tcPr>
          <w:p w14:paraId="4D9888C1">
            <w:pPr>
              <w:widowControl/>
              <w:spacing w:line="240" w:lineRule="atLeast"/>
              <w:jc w:val="center"/>
              <w:rPr>
                <w:rFonts w:ascii="Times New Roman" w:hAnsi="Times New Roman" w:eastAsia="宋体" w:cs="Times New Roman"/>
                <w:b/>
                <w:bCs/>
                <w:color w:val="auto"/>
                <w:kern w:val="2"/>
                <w:sz w:val="18"/>
                <w:szCs w:val="18"/>
              </w:rPr>
            </w:pPr>
            <w:r>
              <w:rPr>
                <w:rFonts w:hint="eastAsia" w:ascii="Times New Roman" w:hAnsi="Times New Roman" w:eastAsia="宋体" w:cs="宋体"/>
                <w:b/>
                <w:bCs/>
                <w:color w:val="auto"/>
                <w:kern w:val="2"/>
                <w:sz w:val="18"/>
                <w:szCs w:val="18"/>
              </w:rPr>
              <w:t>危险性类别</w:t>
            </w:r>
          </w:p>
          <w:p w14:paraId="4ADECE55">
            <w:pPr>
              <w:widowControl w:val="0"/>
              <w:spacing w:line="240" w:lineRule="atLeast"/>
              <w:jc w:val="center"/>
              <w:rPr>
                <w:rFonts w:ascii="Times New Roman" w:hAnsi="Times New Roman" w:eastAsia="宋体" w:cs="Times New Roman"/>
                <w:color w:val="auto"/>
                <w:kern w:val="2"/>
                <w:sz w:val="18"/>
                <w:szCs w:val="18"/>
                <w:lang w:val="en-US" w:eastAsia="zh-CN" w:bidi="ar-SA"/>
              </w:rPr>
            </w:pPr>
            <w:r>
              <w:rPr>
                <w:rFonts w:hint="eastAsia" w:ascii="Times New Roman" w:hAnsi="Times New Roman" w:eastAsia="宋体" w:cs="宋体"/>
                <w:b/>
                <w:bCs/>
                <w:color w:val="auto"/>
                <w:kern w:val="2"/>
                <w:sz w:val="18"/>
                <w:szCs w:val="18"/>
                <w:lang w:val="en-US" w:eastAsia="zh-CN" w:bidi="ar-SA"/>
              </w:rPr>
              <w:t>《危险化学品分类信息表》</w:t>
            </w:r>
          </w:p>
        </w:tc>
      </w:tr>
      <w:tr w14:paraId="28B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blHeader/>
          <w:jc w:val="center"/>
        </w:trPr>
        <w:tc>
          <w:tcPr>
            <w:tcW w:w="908" w:type="dxa"/>
            <w:vAlign w:val="center"/>
          </w:tcPr>
          <w:p w14:paraId="5556FE83">
            <w:pPr>
              <w:spacing w:line="240" w:lineRule="atLeast"/>
              <w:jc w:val="center"/>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1630</w:t>
            </w:r>
          </w:p>
        </w:tc>
        <w:tc>
          <w:tcPr>
            <w:tcW w:w="760" w:type="dxa"/>
            <w:vAlign w:val="center"/>
          </w:tcPr>
          <w:p w14:paraId="12657818">
            <w:pPr>
              <w:spacing w:line="240" w:lineRule="atLeast"/>
              <w:jc w:val="center"/>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汽油</w:t>
            </w:r>
          </w:p>
        </w:tc>
        <w:tc>
          <w:tcPr>
            <w:tcW w:w="670" w:type="dxa"/>
            <w:vAlign w:val="center"/>
          </w:tcPr>
          <w:p w14:paraId="18D5B87F">
            <w:pPr>
              <w:spacing w:line="240" w:lineRule="atLeast"/>
              <w:jc w:val="center"/>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甲</w:t>
            </w:r>
            <w:r>
              <w:rPr>
                <w:rFonts w:ascii="Times New Roman" w:hAnsi="Times New Roman" w:eastAsia="宋体" w:cs="Times New Roman"/>
                <w:bCs w:val="0"/>
                <w:color w:val="auto"/>
                <w:kern w:val="2"/>
                <w:sz w:val="18"/>
                <w:szCs w:val="18"/>
                <w:vertAlign w:val="subscript"/>
              </w:rPr>
              <w:t>B</w:t>
            </w:r>
          </w:p>
        </w:tc>
        <w:tc>
          <w:tcPr>
            <w:tcW w:w="774" w:type="dxa"/>
            <w:vAlign w:val="center"/>
          </w:tcPr>
          <w:p w14:paraId="06B5A141">
            <w:pPr>
              <w:spacing w:line="240" w:lineRule="atLeast"/>
              <w:jc w:val="center"/>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-50</w:t>
            </w:r>
            <w:r>
              <w:rPr>
                <w:rFonts w:hint="eastAsia" w:ascii="Times New Roman" w:hAnsi="Times New Roman" w:eastAsia="宋体" w:cs="Times New Roman"/>
                <w:bCs w:val="0"/>
                <w:color w:val="auto"/>
                <w:kern w:val="2"/>
                <w:sz w:val="18"/>
                <w:szCs w:val="18"/>
                <w:lang w:eastAsia="zh-CN"/>
              </w:rPr>
              <w:t>~</w:t>
            </w:r>
            <w:r>
              <w:rPr>
                <w:rFonts w:ascii="Times New Roman" w:hAnsi="Times New Roman" w:eastAsia="宋体" w:cs="Times New Roman"/>
                <w:bCs w:val="0"/>
                <w:color w:val="auto"/>
                <w:kern w:val="2"/>
                <w:sz w:val="18"/>
                <w:szCs w:val="18"/>
              </w:rPr>
              <w:t>10</w:t>
            </w:r>
          </w:p>
        </w:tc>
        <w:tc>
          <w:tcPr>
            <w:tcW w:w="936" w:type="dxa"/>
            <w:vAlign w:val="center"/>
          </w:tcPr>
          <w:p w14:paraId="136C1CDB">
            <w:pPr>
              <w:spacing w:line="240" w:lineRule="atLeast"/>
              <w:jc w:val="center"/>
              <w:rPr>
                <w:rFonts w:ascii="Times New Roman" w:hAnsi="Times New Roman" w:eastAsia="宋体" w:cs="Calibri"/>
                <w:bCs w:val="0"/>
                <w:color w:val="auto"/>
                <w:kern w:val="2"/>
                <w:sz w:val="18"/>
                <w:szCs w:val="18"/>
              </w:rPr>
            </w:pPr>
            <w:r>
              <w:rPr>
                <w:rFonts w:ascii="Times New Roman" w:hAnsi="Times New Roman" w:eastAsia="宋体" w:cs="Times New Roman"/>
                <w:bCs w:val="0"/>
                <w:color w:val="auto"/>
                <w:kern w:val="2"/>
                <w:sz w:val="18"/>
                <w:szCs w:val="18"/>
              </w:rPr>
              <w:t>40</w:t>
            </w:r>
            <w:r>
              <w:rPr>
                <w:rFonts w:hint="eastAsia" w:ascii="Times New Roman" w:hAnsi="Times New Roman" w:eastAsia="宋体" w:cs="Times New Roman"/>
                <w:bCs w:val="0"/>
                <w:color w:val="auto"/>
                <w:kern w:val="2"/>
                <w:sz w:val="18"/>
                <w:szCs w:val="18"/>
                <w:lang w:eastAsia="zh-CN"/>
              </w:rPr>
              <w:t>~</w:t>
            </w:r>
            <w:r>
              <w:rPr>
                <w:rFonts w:ascii="Times New Roman" w:hAnsi="Times New Roman" w:eastAsia="宋体" w:cs="Times New Roman"/>
                <w:bCs w:val="0"/>
                <w:color w:val="auto"/>
                <w:kern w:val="2"/>
                <w:sz w:val="18"/>
                <w:szCs w:val="18"/>
              </w:rPr>
              <w:t>200</w:t>
            </w:r>
          </w:p>
        </w:tc>
        <w:tc>
          <w:tcPr>
            <w:tcW w:w="990" w:type="dxa"/>
            <w:vAlign w:val="center"/>
          </w:tcPr>
          <w:p w14:paraId="35F535A1">
            <w:pPr>
              <w:spacing w:line="240" w:lineRule="atLeast"/>
              <w:jc w:val="center"/>
              <w:rPr>
                <w:rFonts w:ascii="Times New Roman" w:hAnsi="Times New Roman" w:eastAsia="宋体" w:cs="Times New Roman"/>
                <w:bCs w:val="0"/>
                <w:color w:val="auto"/>
                <w:kern w:val="0"/>
                <w:sz w:val="18"/>
                <w:szCs w:val="18"/>
              </w:rPr>
            </w:pPr>
            <w:r>
              <w:rPr>
                <w:rFonts w:ascii="Times New Roman" w:hAnsi="Times New Roman" w:eastAsia="宋体" w:cs="Times New Roman"/>
                <w:bCs w:val="0"/>
                <w:color w:val="auto"/>
                <w:kern w:val="0"/>
                <w:sz w:val="18"/>
                <w:szCs w:val="18"/>
              </w:rPr>
              <w:t>1.3</w:t>
            </w:r>
            <w:r>
              <w:rPr>
                <w:rFonts w:hint="eastAsia" w:ascii="Times New Roman" w:hAnsi="Times New Roman" w:eastAsia="宋体" w:cs="Times New Roman"/>
                <w:bCs w:val="0"/>
                <w:color w:val="auto"/>
                <w:kern w:val="0"/>
                <w:sz w:val="18"/>
                <w:szCs w:val="18"/>
                <w:lang w:eastAsia="zh-CN"/>
              </w:rPr>
              <w:t>~</w:t>
            </w:r>
            <w:r>
              <w:rPr>
                <w:rFonts w:ascii="Times New Roman" w:hAnsi="Times New Roman" w:eastAsia="宋体" w:cs="Times New Roman"/>
                <w:bCs w:val="0"/>
                <w:color w:val="auto"/>
                <w:kern w:val="2"/>
                <w:sz w:val="18"/>
                <w:szCs w:val="18"/>
              </w:rPr>
              <w:t>6.0</w:t>
            </w:r>
          </w:p>
        </w:tc>
        <w:tc>
          <w:tcPr>
            <w:tcW w:w="1165" w:type="dxa"/>
            <w:vAlign w:val="center"/>
          </w:tcPr>
          <w:p w14:paraId="52CED28B">
            <w:pPr>
              <w:spacing w:line="240" w:lineRule="atLeast"/>
              <w:jc w:val="center"/>
              <w:rPr>
                <w:rFonts w:ascii="Times New Roman" w:hAnsi="Times New Roman" w:eastAsia="宋体" w:cs="Times New Roman"/>
                <w:b/>
                <w:bCs/>
                <w:color w:val="auto"/>
                <w:kern w:val="2"/>
                <w:sz w:val="18"/>
                <w:szCs w:val="18"/>
              </w:rPr>
            </w:pPr>
            <w:r>
              <w:rPr>
                <w:rFonts w:ascii="Times New Roman" w:hAnsi="Times New Roman" w:eastAsia="宋体" w:cs="Times New Roman"/>
                <w:bCs w:val="0"/>
                <w:color w:val="auto"/>
                <w:kern w:val="2"/>
                <w:sz w:val="18"/>
                <w:szCs w:val="18"/>
              </w:rPr>
              <w:t>86290-81-5</w:t>
            </w:r>
          </w:p>
        </w:tc>
        <w:tc>
          <w:tcPr>
            <w:tcW w:w="3034" w:type="dxa"/>
            <w:vAlign w:val="center"/>
          </w:tcPr>
          <w:p w14:paraId="16C547D2">
            <w:pPr>
              <w:widowControl/>
              <w:spacing w:line="240" w:lineRule="atLeast"/>
              <w:rPr>
                <w:rFonts w:ascii="Times New Roman" w:hAnsi="Times New Roman" w:eastAsia="宋体" w:cs="Times New Roman"/>
                <w:bCs w:val="0"/>
                <w:color w:val="auto"/>
                <w:kern w:val="0"/>
                <w:sz w:val="18"/>
                <w:szCs w:val="18"/>
              </w:rPr>
            </w:pPr>
            <w:r>
              <w:rPr>
                <w:rFonts w:hint="eastAsia" w:ascii="Times New Roman" w:hAnsi="Times New Roman" w:eastAsia="宋体" w:cs="宋体"/>
                <w:bCs w:val="0"/>
                <w:color w:val="auto"/>
                <w:kern w:val="0"/>
                <w:sz w:val="18"/>
                <w:szCs w:val="18"/>
              </w:rPr>
              <w:t>易燃液体</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2*</w:t>
            </w:r>
          </w:p>
          <w:p w14:paraId="07ACF244">
            <w:pPr>
              <w:widowControl/>
              <w:spacing w:line="240" w:lineRule="atLeast"/>
              <w:rPr>
                <w:rFonts w:ascii="Times New Roman" w:hAnsi="Times New Roman" w:eastAsia="宋体" w:cs="Times New Roman"/>
                <w:bCs w:val="0"/>
                <w:color w:val="auto"/>
                <w:kern w:val="0"/>
                <w:sz w:val="18"/>
                <w:szCs w:val="18"/>
              </w:rPr>
            </w:pPr>
            <w:r>
              <w:rPr>
                <w:rFonts w:hint="eastAsia" w:ascii="Times New Roman" w:hAnsi="Times New Roman" w:eastAsia="宋体" w:cs="宋体"/>
                <w:bCs w:val="0"/>
                <w:color w:val="auto"/>
                <w:kern w:val="0"/>
                <w:sz w:val="18"/>
                <w:szCs w:val="18"/>
              </w:rPr>
              <w:t>生殖细胞致突变性</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1B</w:t>
            </w:r>
          </w:p>
          <w:p w14:paraId="72DDF436">
            <w:pPr>
              <w:widowControl/>
              <w:spacing w:line="240" w:lineRule="atLeast"/>
              <w:rPr>
                <w:rFonts w:ascii="Times New Roman" w:hAnsi="Times New Roman" w:eastAsia="宋体" w:cs="Times New Roman"/>
                <w:bCs w:val="0"/>
                <w:color w:val="auto"/>
                <w:kern w:val="0"/>
                <w:sz w:val="18"/>
                <w:szCs w:val="18"/>
              </w:rPr>
            </w:pPr>
            <w:r>
              <w:rPr>
                <w:rFonts w:hint="eastAsia" w:ascii="Times New Roman" w:hAnsi="Times New Roman" w:eastAsia="宋体" w:cs="宋体"/>
                <w:bCs w:val="0"/>
                <w:color w:val="auto"/>
                <w:kern w:val="0"/>
                <w:sz w:val="18"/>
                <w:szCs w:val="18"/>
              </w:rPr>
              <w:t>致癌性</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2</w:t>
            </w:r>
          </w:p>
          <w:p w14:paraId="023EE4C0">
            <w:pPr>
              <w:widowControl/>
              <w:spacing w:line="240" w:lineRule="atLeast"/>
              <w:rPr>
                <w:rFonts w:ascii="Times New Roman" w:hAnsi="Times New Roman" w:eastAsia="宋体" w:cs="Times New Roman"/>
                <w:bCs w:val="0"/>
                <w:color w:val="auto"/>
                <w:kern w:val="0"/>
                <w:sz w:val="18"/>
                <w:szCs w:val="18"/>
              </w:rPr>
            </w:pPr>
            <w:r>
              <w:rPr>
                <w:rFonts w:hint="eastAsia" w:ascii="Times New Roman" w:hAnsi="Times New Roman" w:eastAsia="宋体" w:cs="宋体"/>
                <w:bCs w:val="0"/>
                <w:color w:val="auto"/>
                <w:kern w:val="0"/>
                <w:sz w:val="18"/>
                <w:szCs w:val="18"/>
              </w:rPr>
              <w:t>吸入危害</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1</w:t>
            </w:r>
          </w:p>
          <w:p w14:paraId="564BCE68">
            <w:pPr>
              <w:widowControl/>
              <w:spacing w:line="240" w:lineRule="atLeast"/>
              <w:rPr>
                <w:rFonts w:ascii="Times New Roman" w:hAnsi="Times New Roman" w:eastAsia="宋体" w:cs="Times New Roman"/>
                <w:bCs w:val="0"/>
                <w:color w:val="auto"/>
                <w:kern w:val="0"/>
                <w:sz w:val="18"/>
                <w:szCs w:val="18"/>
              </w:rPr>
            </w:pPr>
            <w:r>
              <w:rPr>
                <w:rFonts w:hint="eastAsia" w:ascii="Times New Roman" w:hAnsi="Times New Roman" w:eastAsia="宋体" w:cs="宋体"/>
                <w:bCs w:val="0"/>
                <w:color w:val="auto"/>
                <w:kern w:val="0"/>
                <w:sz w:val="18"/>
                <w:szCs w:val="18"/>
              </w:rPr>
              <w:t>危害水生环境</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急性危害</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2</w:t>
            </w:r>
          </w:p>
          <w:p w14:paraId="1E138444">
            <w:pPr>
              <w:widowControl/>
              <w:spacing w:line="240" w:lineRule="atLeast"/>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0"/>
                <w:sz w:val="18"/>
                <w:szCs w:val="18"/>
              </w:rPr>
              <w:t>危害水生环境</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长期危害</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2</w:t>
            </w:r>
          </w:p>
        </w:tc>
      </w:tr>
      <w:tr w14:paraId="403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908" w:type="dxa"/>
            <w:vAlign w:val="center"/>
          </w:tcPr>
          <w:p w14:paraId="5A68CFB3">
            <w:pPr>
              <w:spacing w:line="240" w:lineRule="atLeast"/>
              <w:jc w:val="center"/>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1674</w:t>
            </w:r>
          </w:p>
        </w:tc>
        <w:tc>
          <w:tcPr>
            <w:tcW w:w="760" w:type="dxa"/>
            <w:vAlign w:val="center"/>
          </w:tcPr>
          <w:p w14:paraId="12ACA6DD">
            <w:pPr>
              <w:spacing w:line="240" w:lineRule="atLeast"/>
              <w:jc w:val="center"/>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柴油</w:t>
            </w:r>
          </w:p>
        </w:tc>
        <w:tc>
          <w:tcPr>
            <w:tcW w:w="670" w:type="dxa"/>
            <w:vAlign w:val="center"/>
          </w:tcPr>
          <w:p w14:paraId="233F9116">
            <w:pPr>
              <w:spacing w:line="240" w:lineRule="atLeast"/>
              <w:jc w:val="center"/>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丙</w:t>
            </w:r>
            <w:r>
              <w:rPr>
                <w:rFonts w:ascii="Times New Roman" w:hAnsi="Times New Roman" w:eastAsia="宋体" w:cs="Times New Roman"/>
                <w:bCs w:val="0"/>
                <w:color w:val="auto"/>
                <w:kern w:val="2"/>
                <w:sz w:val="18"/>
                <w:szCs w:val="18"/>
                <w:vertAlign w:val="subscript"/>
              </w:rPr>
              <w:t>A</w:t>
            </w:r>
          </w:p>
        </w:tc>
        <w:tc>
          <w:tcPr>
            <w:tcW w:w="774" w:type="dxa"/>
            <w:vAlign w:val="center"/>
          </w:tcPr>
          <w:p w14:paraId="3A2A312F">
            <w:pPr>
              <w:spacing w:line="240" w:lineRule="atLeast"/>
              <w:jc w:val="center"/>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≥60℃</w:t>
            </w:r>
          </w:p>
        </w:tc>
        <w:tc>
          <w:tcPr>
            <w:tcW w:w="936" w:type="dxa"/>
            <w:vAlign w:val="center"/>
          </w:tcPr>
          <w:p w14:paraId="5EB75CCD">
            <w:pPr>
              <w:spacing w:line="240" w:lineRule="atLeast"/>
              <w:jc w:val="left"/>
              <w:rPr>
                <w:rFonts w:ascii="Times New Roman" w:hAnsi="Times New Roman" w:eastAsia="宋体" w:cs="Times New Roman"/>
                <w:bCs w:val="0"/>
                <w:color w:val="auto"/>
                <w:kern w:val="0"/>
                <w:sz w:val="18"/>
                <w:szCs w:val="18"/>
              </w:rPr>
            </w:pPr>
            <w:r>
              <w:rPr>
                <w:rFonts w:ascii="Times New Roman" w:hAnsi="Times New Roman" w:eastAsia="宋体" w:cs="Times New Roman"/>
                <w:bCs w:val="0"/>
                <w:color w:val="auto"/>
                <w:kern w:val="2"/>
                <w:sz w:val="18"/>
                <w:szCs w:val="18"/>
              </w:rPr>
              <w:t>282</w:t>
            </w:r>
            <w:r>
              <w:rPr>
                <w:rFonts w:hint="eastAsia" w:ascii="Times New Roman" w:hAnsi="Times New Roman" w:eastAsia="宋体" w:cs="Times New Roman"/>
                <w:bCs w:val="0"/>
                <w:color w:val="auto"/>
                <w:kern w:val="2"/>
                <w:sz w:val="18"/>
                <w:szCs w:val="18"/>
                <w:lang w:eastAsia="zh-CN"/>
              </w:rPr>
              <w:t>~</w:t>
            </w:r>
            <w:r>
              <w:rPr>
                <w:rFonts w:ascii="Times New Roman" w:hAnsi="Times New Roman" w:eastAsia="宋体" w:cs="Times New Roman"/>
                <w:bCs w:val="0"/>
                <w:color w:val="auto"/>
                <w:kern w:val="2"/>
                <w:sz w:val="18"/>
                <w:szCs w:val="18"/>
              </w:rPr>
              <w:t>338</w:t>
            </w:r>
          </w:p>
        </w:tc>
        <w:tc>
          <w:tcPr>
            <w:tcW w:w="990" w:type="dxa"/>
            <w:vAlign w:val="center"/>
          </w:tcPr>
          <w:p w14:paraId="121FE2F9">
            <w:pPr>
              <w:spacing w:line="240" w:lineRule="atLeast"/>
              <w:jc w:val="center"/>
              <w:rPr>
                <w:rFonts w:ascii="Times New Roman" w:hAnsi="Times New Roman" w:eastAsia="宋体" w:cs="Times New Roman"/>
                <w:bCs w:val="0"/>
                <w:color w:val="auto"/>
                <w:kern w:val="0"/>
                <w:sz w:val="18"/>
                <w:szCs w:val="18"/>
              </w:rPr>
            </w:pPr>
            <w:r>
              <w:rPr>
                <w:rFonts w:ascii="Times New Roman" w:hAnsi="Times New Roman" w:eastAsia="宋体" w:cs="Times New Roman"/>
                <w:bCs w:val="0"/>
                <w:color w:val="auto"/>
                <w:kern w:val="0"/>
                <w:sz w:val="18"/>
                <w:szCs w:val="18"/>
              </w:rPr>
              <w:t>-</w:t>
            </w:r>
          </w:p>
        </w:tc>
        <w:tc>
          <w:tcPr>
            <w:tcW w:w="1165" w:type="dxa"/>
            <w:vAlign w:val="center"/>
          </w:tcPr>
          <w:p w14:paraId="7AB1237F">
            <w:pPr>
              <w:spacing w:line="240" w:lineRule="atLeast"/>
              <w:jc w:val="center"/>
              <w:rPr>
                <w:rFonts w:ascii="Times New Roman" w:hAnsi="Times New Roman" w:eastAsia="宋体" w:cs="Times New Roman"/>
                <w:b/>
                <w:bCs/>
                <w:color w:val="auto"/>
                <w:kern w:val="2"/>
                <w:sz w:val="18"/>
                <w:szCs w:val="18"/>
              </w:rPr>
            </w:pPr>
            <w:r>
              <w:rPr>
                <w:rFonts w:ascii="Times New Roman" w:hAnsi="Times New Roman" w:eastAsia="宋体" w:cs="Times New Roman"/>
                <w:b/>
                <w:bCs/>
                <w:color w:val="auto"/>
                <w:kern w:val="2"/>
                <w:sz w:val="18"/>
                <w:szCs w:val="18"/>
              </w:rPr>
              <w:t>-</w:t>
            </w:r>
          </w:p>
        </w:tc>
        <w:tc>
          <w:tcPr>
            <w:tcW w:w="3034" w:type="dxa"/>
            <w:vAlign w:val="center"/>
          </w:tcPr>
          <w:p w14:paraId="64B08516">
            <w:pPr>
              <w:widowControl/>
              <w:spacing w:line="240" w:lineRule="atLeast"/>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0"/>
                <w:sz w:val="18"/>
                <w:szCs w:val="18"/>
              </w:rPr>
              <w:t>易燃液体</w:t>
            </w:r>
            <w:r>
              <w:rPr>
                <w:rFonts w:hint="eastAsia" w:ascii="Times New Roman" w:hAnsi="Times New Roman" w:eastAsia="宋体" w:cs="宋体"/>
                <w:bCs w:val="0"/>
                <w:color w:val="auto"/>
                <w:kern w:val="0"/>
                <w:sz w:val="18"/>
                <w:szCs w:val="18"/>
                <w:lang w:eastAsia="zh-CN"/>
              </w:rPr>
              <w:t>，</w:t>
            </w:r>
            <w:r>
              <w:rPr>
                <w:rFonts w:hint="eastAsia" w:ascii="Times New Roman" w:hAnsi="Times New Roman" w:eastAsia="宋体" w:cs="宋体"/>
                <w:bCs w:val="0"/>
                <w:color w:val="auto"/>
                <w:kern w:val="0"/>
                <w:sz w:val="18"/>
                <w:szCs w:val="18"/>
              </w:rPr>
              <w:t>类别</w:t>
            </w:r>
            <w:r>
              <w:rPr>
                <w:rFonts w:ascii="Times New Roman" w:hAnsi="Times New Roman" w:eastAsia="宋体" w:cs="Times New Roman"/>
                <w:bCs w:val="0"/>
                <w:color w:val="auto"/>
                <w:kern w:val="0"/>
                <w:sz w:val="18"/>
                <w:szCs w:val="18"/>
              </w:rPr>
              <w:t>3</w:t>
            </w:r>
          </w:p>
        </w:tc>
      </w:tr>
    </w:tbl>
    <w:p w14:paraId="54CDFFA5">
      <w:pPr>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汽油和柴油物料理化性质详见下表所示。</w:t>
      </w:r>
    </w:p>
    <w:p w14:paraId="14F36ACC">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表3</w:t>
      </w:r>
      <w:r>
        <w:rPr>
          <w:rFonts w:hint="eastAsia" w:ascii="Times New Roman" w:hAnsi="Times New Roman" w:eastAsia="宋体" w:cs="宋体"/>
          <w:bCs w:val="0"/>
          <w:color w:val="auto"/>
          <w:kern w:val="2"/>
          <w:sz w:val="24"/>
          <w:szCs w:val="24"/>
        </w:rPr>
        <w:t>.1-2</w:t>
      </w:r>
      <w:r>
        <w:rPr>
          <w:rFonts w:hint="eastAsia" w:ascii="Times New Roman" w:hAnsi="Times New Roman" w:eastAsia="宋体" w:cs="宋体"/>
          <w:bCs w:val="0"/>
          <w:color w:val="auto"/>
          <w:kern w:val="2"/>
          <w:sz w:val="24"/>
          <w:szCs w:val="24"/>
          <w:lang w:val="zh-CN"/>
        </w:rPr>
        <w:t xml:space="preserve">  汽油理化性质一览表</w:t>
      </w:r>
    </w:p>
    <w:tbl>
      <w:tblPr>
        <w:tblStyle w:val="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948"/>
        <w:gridCol w:w="1428"/>
        <w:gridCol w:w="1428"/>
        <w:gridCol w:w="1573"/>
        <w:gridCol w:w="1608"/>
      </w:tblGrid>
      <w:tr w14:paraId="6B7F2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67" w:type="dxa"/>
            <w:vAlign w:val="center"/>
          </w:tcPr>
          <w:p w14:paraId="6358C88D">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品    名</w:t>
            </w:r>
          </w:p>
        </w:tc>
        <w:tc>
          <w:tcPr>
            <w:tcW w:w="1948" w:type="dxa"/>
            <w:vAlign w:val="center"/>
          </w:tcPr>
          <w:p w14:paraId="1EF913E6">
            <w:pPr>
              <w:spacing w:line="3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汽油</w:t>
            </w:r>
          </w:p>
        </w:tc>
        <w:tc>
          <w:tcPr>
            <w:tcW w:w="1428" w:type="dxa"/>
            <w:vAlign w:val="center"/>
          </w:tcPr>
          <w:p w14:paraId="4127D387">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别      名</w:t>
            </w:r>
          </w:p>
        </w:tc>
        <w:tc>
          <w:tcPr>
            <w:tcW w:w="1428" w:type="dxa"/>
            <w:vAlign w:val="center"/>
          </w:tcPr>
          <w:p w14:paraId="0AC1E75E">
            <w:pPr>
              <w:spacing w:line="360" w:lineRule="exact"/>
              <w:jc w:val="center"/>
              <w:rPr>
                <w:rFonts w:ascii="Times New Roman" w:hAnsi="Times New Roman" w:eastAsia="宋体" w:cs="宋体"/>
                <w:bCs w:val="0"/>
                <w:color w:val="auto"/>
                <w:kern w:val="2"/>
              </w:rPr>
            </w:pPr>
          </w:p>
        </w:tc>
        <w:tc>
          <w:tcPr>
            <w:tcW w:w="1573" w:type="dxa"/>
            <w:vAlign w:val="center"/>
          </w:tcPr>
          <w:p w14:paraId="3617A358">
            <w:pPr>
              <w:spacing w:line="360" w:lineRule="exact"/>
              <w:ind w:right="-288"/>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目录序号</w:t>
            </w:r>
          </w:p>
        </w:tc>
        <w:tc>
          <w:tcPr>
            <w:tcW w:w="1608" w:type="dxa"/>
            <w:vAlign w:val="center"/>
          </w:tcPr>
          <w:p w14:paraId="4030F257">
            <w:pPr>
              <w:spacing w:line="360" w:lineRule="exact"/>
              <w:ind w:firstLine="210" w:firstLineChars="100"/>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1630</w:t>
            </w:r>
          </w:p>
        </w:tc>
      </w:tr>
      <w:tr w14:paraId="3ED2A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253D61D3">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英文名称</w:t>
            </w:r>
          </w:p>
        </w:tc>
        <w:tc>
          <w:tcPr>
            <w:tcW w:w="1948" w:type="dxa"/>
            <w:vAlign w:val="center"/>
          </w:tcPr>
          <w:p w14:paraId="709FFD8A">
            <w:pPr>
              <w:spacing w:line="3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Gasoline</w:t>
            </w:r>
            <w:r>
              <w:rPr>
                <w:rFonts w:hint="eastAsia" w:ascii="Times New Roman" w:hAnsi="Times New Roman" w:eastAsia="宋体" w:cs="宋体"/>
                <w:bCs w:val="0"/>
                <w:color w:val="auto"/>
                <w:kern w:val="2"/>
                <w:lang w:eastAsia="zh-CN"/>
              </w:rPr>
              <w:t xml:space="preserve">; </w:t>
            </w:r>
            <w:r>
              <w:rPr>
                <w:rFonts w:hint="eastAsia" w:ascii="Times New Roman" w:hAnsi="Times New Roman" w:eastAsia="宋体" w:cs="宋体"/>
                <w:bCs w:val="0"/>
                <w:color w:val="auto"/>
                <w:kern w:val="2"/>
              </w:rPr>
              <w:t>Petrol</w:t>
            </w:r>
          </w:p>
        </w:tc>
        <w:tc>
          <w:tcPr>
            <w:tcW w:w="1428" w:type="dxa"/>
            <w:vAlign w:val="center"/>
          </w:tcPr>
          <w:p w14:paraId="0DBE795A">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分  子  式</w:t>
            </w:r>
          </w:p>
        </w:tc>
        <w:tc>
          <w:tcPr>
            <w:tcW w:w="1428" w:type="dxa"/>
            <w:vAlign w:val="center"/>
          </w:tcPr>
          <w:p w14:paraId="1518DC73">
            <w:pPr>
              <w:spacing w:line="360" w:lineRule="exac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C4-C12（烃）</w:t>
            </w:r>
          </w:p>
        </w:tc>
        <w:tc>
          <w:tcPr>
            <w:tcW w:w="1573" w:type="dxa"/>
            <w:vAlign w:val="center"/>
          </w:tcPr>
          <w:p w14:paraId="107E53AF">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分  子  量</w:t>
            </w:r>
          </w:p>
        </w:tc>
        <w:tc>
          <w:tcPr>
            <w:tcW w:w="1608" w:type="dxa"/>
            <w:vAlign w:val="center"/>
          </w:tcPr>
          <w:p w14:paraId="744F4B80">
            <w:pPr>
              <w:spacing w:line="360" w:lineRule="exact"/>
              <w:ind w:left="-195" w:hanging="2"/>
              <w:jc w:val="center"/>
              <w:rPr>
                <w:rFonts w:ascii="Times New Roman" w:hAnsi="Times New Roman" w:eastAsia="宋体" w:cs="宋体"/>
                <w:bCs w:val="0"/>
                <w:color w:val="auto"/>
                <w:kern w:val="2"/>
              </w:rPr>
            </w:pPr>
          </w:p>
        </w:tc>
      </w:tr>
      <w:tr w14:paraId="0C553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1ADC94E1">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理</w:t>
            </w:r>
          </w:p>
          <w:p w14:paraId="2DDAE897">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化</w:t>
            </w:r>
          </w:p>
          <w:p w14:paraId="04DCFC7B">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性</w:t>
            </w:r>
          </w:p>
          <w:p w14:paraId="65803E44">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质</w:t>
            </w:r>
          </w:p>
        </w:tc>
        <w:tc>
          <w:tcPr>
            <w:tcW w:w="7985" w:type="dxa"/>
            <w:gridSpan w:val="5"/>
            <w:vAlign w:val="center"/>
          </w:tcPr>
          <w:p w14:paraId="4D2D1A39">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外观与性状：无色或淡黄色易挥发液体，具有特殊臭味。</w:t>
            </w:r>
          </w:p>
          <w:p w14:paraId="4139235F">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熔点（℃）：　&lt;-60　        </w:t>
            </w:r>
          </w:p>
          <w:p w14:paraId="26817DA5">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沸点（℃）：　40～200</w:t>
            </w:r>
          </w:p>
          <w:p w14:paraId="0697C4AE">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相对密度（水＝1）：　0.70-0.79   </w:t>
            </w:r>
          </w:p>
          <w:p w14:paraId="79943F74">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相对密度（空气＝1）：　3.5</w:t>
            </w:r>
          </w:p>
          <w:p w14:paraId="0CA20B72">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lang w:eastAsia="zh-CN"/>
              </w:rPr>
              <w:t>饱和蒸汽</w:t>
            </w:r>
            <w:r>
              <w:rPr>
                <w:rFonts w:hint="eastAsia" w:ascii="Times New Roman" w:hAnsi="Times New Roman" w:eastAsia="宋体" w:cs="宋体"/>
                <w:bCs w:val="0"/>
                <w:color w:val="auto"/>
                <w:kern w:val="2"/>
              </w:rPr>
              <w:t xml:space="preserve">压（kPa）：无资料      </w:t>
            </w:r>
          </w:p>
          <w:p w14:paraId="2B84388B">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燃烧热（Kj/mol） ：无资料 </w:t>
            </w:r>
          </w:p>
          <w:p w14:paraId="2B8A150D">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溶解性：　不溶于水，易溶于苯、二硫化碳、醇、脂肪。</w:t>
            </w:r>
          </w:p>
        </w:tc>
      </w:tr>
      <w:tr w14:paraId="48A94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563A382">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燃</w:t>
            </w:r>
          </w:p>
          <w:p w14:paraId="19BAF6B7">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烧</w:t>
            </w:r>
          </w:p>
          <w:p w14:paraId="320B0FB7">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爆</w:t>
            </w:r>
          </w:p>
          <w:p w14:paraId="59F0C0CE">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炸</w:t>
            </w:r>
          </w:p>
          <w:p w14:paraId="25B8AF2C">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危</w:t>
            </w:r>
          </w:p>
          <w:p w14:paraId="4B96FC45">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险</w:t>
            </w:r>
          </w:p>
          <w:p w14:paraId="43C3D1B8">
            <w:pPr>
              <w:spacing w:line="30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性</w:t>
            </w:r>
          </w:p>
        </w:tc>
        <w:tc>
          <w:tcPr>
            <w:tcW w:w="7985" w:type="dxa"/>
            <w:gridSpan w:val="5"/>
          </w:tcPr>
          <w:p w14:paraId="501C741D">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燃烧性：易燃     </w:t>
            </w:r>
          </w:p>
          <w:p w14:paraId="5AF1123A">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建规火险等级：甲类</w:t>
            </w:r>
          </w:p>
          <w:p w14:paraId="30AA6EDD">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闪点：-50℃-10℃   </w:t>
            </w:r>
          </w:p>
          <w:p w14:paraId="04A0B651">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爆炸极限（V%）：1.3-6.0   </w:t>
            </w:r>
          </w:p>
          <w:p w14:paraId="3CE3D8A8">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自燃温度：210℃</w:t>
            </w:r>
          </w:p>
          <w:p w14:paraId="12D86C0A">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危险特性：其蒸汽与空气形成爆炸性气体，遇明火、高热易燃烧爆炸。与氧化剂能发生强烈反应。其蒸气比空气重，能在较低处扩散到相当远的地方，遇明火会引着回燃。</w:t>
            </w:r>
          </w:p>
          <w:p w14:paraId="2371188D">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燃烧分解产物：一氧化碳、二氧化碳。</w:t>
            </w:r>
          </w:p>
          <w:p w14:paraId="348CF0DF">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稳定性：稳定           </w:t>
            </w:r>
          </w:p>
          <w:p w14:paraId="6B9572B6">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聚合危害：无</w:t>
            </w:r>
          </w:p>
          <w:p w14:paraId="4BE93EC2">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禁忌物：强氧化剂。</w:t>
            </w:r>
          </w:p>
          <w:p w14:paraId="6A78481B">
            <w:pPr>
              <w:spacing w:line="30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灭火方法：泡沫、二氧化碳、干粉。用水灭火无效。</w:t>
            </w:r>
          </w:p>
        </w:tc>
      </w:tr>
      <w:tr w14:paraId="21888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08638DC">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包</w:t>
            </w:r>
          </w:p>
          <w:p w14:paraId="0524F4A0">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装</w:t>
            </w:r>
          </w:p>
          <w:p w14:paraId="484AA977">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与</w:t>
            </w:r>
          </w:p>
          <w:p w14:paraId="73321249">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储</w:t>
            </w:r>
          </w:p>
          <w:p w14:paraId="7181C05A">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运</w:t>
            </w:r>
          </w:p>
        </w:tc>
        <w:tc>
          <w:tcPr>
            <w:tcW w:w="7985" w:type="dxa"/>
            <w:gridSpan w:val="5"/>
            <w:vAlign w:val="center"/>
          </w:tcPr>
          <w:p w14:paraId="1F6B468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危险货物包装标志：7   </w:t>
            </w:r>
          </w:p>
          <w:p w14:paraId="3591ED6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 包装类别：Ⅰ</w:t>
            </w:r>
          </w:p>
          <w:p w14:paraId="7D808FE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储存于阴凉、通风仓间内。远离火种、热源。仓内温度不宜超过30℃。防止阳光直射。保持容器密封。应与氧化剂分开存放。储存间内的照明、通风等设施应采用防爆型，开关设在仓外。桶装堆垛不可过大，应留墙距，顶距、柱距及必要的防火检查</w:t>
            </w:r>
            <w:r>
              <w:rPr>
                <w:rFonts w:hint="eastAsia" w:ascii="Times New Roman" w:hAnsi="Times New Roman" w:eastAsia="宋体" w:cs="宋体"/>
                <w:bCs w:val="0"/>
                <w:color w:val="auto"/>
                <w:kern w:val="2"/>
                <w:lang w:eastAsia="zh-CN"/>
              </w:rPr>
              <w:t>通道</w:t>
            </w:r>
            <w:r>
              <w:rPr>
                <w:rFonts w:hint="eastAsia" w:ascii="Times New Roman" w:hAnsi="Times New Roman" w:eastAsia="宋体" w:cs="宋体"/>
                <w:bCs w:val="0"/>
                <w:color w:val="auto"/>
                <w:kern w:val="2"/>
              </w:rPr>
              <w:t>。罐储时要有防火防爆技术措施。禁止使用易产生火花的机械设备和工具。灌装时应注意流速（不超过3m/s），且有接地装置。防止静电积聚。搬运时要轻装轻卸，防止包装及容器损坏。</w:t>
            </w:r>
          </w:p>
        </w:tc>
      </w:tr>
      <w:tr w14:paraId="71CE8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4DC0784D">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毒性</w:t>
            </w:r>
          </w:p>
          <w:p w14:paraId="0ACDAD20">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及</w:t>
            </w:r>
          </w:p>
          <w:p w14:paraId="62F508F4">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健康</w:t>
            </w:r>
          </w:p>
          <w:p w14:paraId="2D8E19BC">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危害</w:t>
            </w:r>
          </w:p>
          <w:p w14:paraId="1B30B558">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性</w:t>
            </w:r>
          </w:p>
        </w:tc>
        <w:tc>
          <w:tcPr>
            <w:tcW w:w="7985" w:type="dxa"/>
            <w:gridSpan w:val="5"/>
            <w:vAlign w:val="center"/>
          </w:tcPr>
          <w:p w14:paraId="2F00FCA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接触限值：中国MAC：300mg/m</w:t>
            </w:r>
            <w:r>
              <w:rPr>
                <w:rFonts w:hint="eastAsia" w:ascii="Times New Roman" w:hAnsi="Times New Roman" w:eastAsia="宋体" w:cs="宋体"/>
                <w:bCs w:val="0"/>
                <w:color w:val="auto"/>
                <w:kern w:val="2"/>
                <w:vertAlign w:val="superscript"/>
              </w:rPr>
              <w:t>3</w:t>
            </w:r>
            <w:r>
              <w:rPr>
                <w:rFonts w:hint="eastAsia" w:ascii="Times New Roman" w:hAnsi="Times New Roman" w:eastAsia="宋体" w:cs="宋体"/>
                <w:bCs w:val="0"/>
                <w:color w:val="auto"/>
                <w:kern w:val="2"/>
              </w:rPr>
              <w:t xml:space="preserve">（溶剂汽油）。    </w:t>
            </w:r>
          </w:p>
          <w:p w14:paraId="7D2655C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侵入途径：吸入，食入，经皮吸收。</w:t>
            </w:r>
          </w:p>
          <w:p w14:paraId="43880FF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健康危害：主要作用于中枢神经系统。急性中毒症状有头晕、头痛、恶心、呕吐、步态不稳、共济失调。高浓度吸入出现中毒性脑病。极高浓度吸入引起意识突然丧失、反射性呼吸停止及化学性肺炎。可伴有中毒性周围神经病。液体吸入呼吸道致吸入性肺炎。溅入眼内，可致角膜溃疡、穿孔，甚至失明。皮肤接触致急性接触性皮炎或过敏性皮炎。急性经口中毒引起急性胃肠炎；重者出现类似急性吸入中毒症状。慢性中毒：神经衰弱综合征，周围神经病，皮肤损害。</w:t>
            </w:r>
          </w:p>
        </w:tc>
      </w:tr>
      <w:tr w14:paraId="4CC18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51B87753">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急救</w:t>
            </w:r>
          </w:p>
        </w:tc>
        <w:tc>
          <w:tcPr>
            <w:tcW w:w="7985" w:type="dxa"/>
            <w:gridSpan w:val="5"/>
            <w:vAlign w:val="center"/>
          </w:tcPr>
          <w:p w14:paraId="0E23809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吸入：迅速脱离污染区，注意保暖，保持呼吸道通畅，呼吸困难时给氧，必要时进行人工呼吸，就医。</w:t>
            </w:r>
          </w:p>
          <w:p w14:paraId="2D1D595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食入：给牛奶、蛋清、植物油等口服，洗胃，就医。</w:t>
            </w:r>
            <w:r>
              <w:rPr>
                <w:rFonts w:hint="eastAsia" w:ascii="Times New Roman" w:hAnsi="Times New Roman" w:eastAsia="宋体" w:cs="宋体"/>
                <w:bCs w:val="0"/>
                <w:color w:val="auto"/>
                <w:kern w:val="2"/>
              </w:rPr>
              <w:tab/>
            </w:r>
            <w:r>
              <w:rPr>
                <w:rFonts w:hint="eastAsia" w:ascii="Times New Roman" w:hAnsi="Times New Roman" w:eastAsia="宋体" w:cs="宋体"/>
                <w:bCs w:val="0"/>
                <w:color w:val="auto"/>
                <w:kern w:val="2"/>
              </w:rPr>
              <w:tab/>
            </w:r>
          </w:p>
          <w:p w14:paraId="60FCA75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眼睛接触：立即提起眼睑，用流动清水或生理盐水冲洗至少15分钟，就医。</w:t>
            </w:r>
            <w:r>
              <w:rPr>
                <w:rFonts w:hint="eastAsia" w:ascii="Times New Roman" w:hAnsi="Times New Roman" w:eastAsia="宋体" w:cs="宋体"/>
                <w:bCs w:val="0"/>
                <w:color w:val="auto"/>
                <w:kern w:val="2"/>
              </w:rPr>
              <w:tab/>
            </w:r>
            <w:r>
              <w:rPr>
                <w:rFonts w:hint="eastAsia" w:ascii="Times New Roman" w:hAnsi="Times New Roman" w:eastAsia="宋体" w:cs="宋体"/>
                <w:bCs w:val="0"/>
                <w:color w:val="auto"/>
                <w:kern w:val="2"/>
              </w:rPr>
              <w:t>皮肤接触：脱去污染的衣着，立即用流动清水彻底冲洗。</w:t>
            </w:r>
            <w:r>
              <w:rPr>
                <w:rFonts w:hint="eastAsia" w:ascii="Times New Roman" w:hAnsi="Times New Roman" w:eastAsia="宋体" w:cs="宋体"/>
                <w:bCs w:val="0"/>
                <w:color w:val="auto"/>
                <w:kern w:val="2"/>
              </w:rPr>
              <w:tab/>
            </w:r>
          </w:p>
          <w:p w14:paraId="3F25305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浓度超标时，戴防毒面具</w:t>
            </w:r>
            <w:r>
              <w:rPr>
                <w:rFonts w:hint="eastAsia" w:ascii="Times New Roman" w:hAnsi="Times New Roman" w:eastAsia="宋体" w:cs="宋体"/>
                <w:bCs w:val="0"/>
                <w:color w:val="auto"/>
                <w:kern w:val="2"/>
              </w:rPr>
              <w:tab/>
            </w:r>
            <w:r>
              <w:rPr>
                <w:rFonts w:hint="eastAsia" w:ascii="Times New Roman" w:hAnsi="Times New Roman" w:eastAsia="宋体" w:cs="宋体"/>
                <w:bCs w:val="0"/>
                <w:color w:val="auto"/>
                <w:kern w:val="2"/>
              </w:rPr>
              <w:t>生产过程密闭，全面通风，工作场所禁止吸烟，高浓度时戴化学防护眼镜</w:t>
            </w:r>
            <w:r>
              <w:rPr>
                <w:rFonts w:hint="eastAsia" w:ascii="Times New Roman" w:hAnsi="Times New Roman" w:eastAsia="宋体" w:cs="宋体"/>
                <w:bCs w:val="0"/>
                <w:color w:val="auto"/>
                <w:kern w:val="2"/>
              </w:rPr>
              <w:tab/>
            </w:r>
            <w:r>
              <w:rPr>
                <w:rFonts w:hint="eastAsia" w:ascii="Times New Roman" w:hAnsi="Times New Roman" w:eastAsia="宋体" w:cs="宋体"/>
                <w:bCs w:val="0"/>
                <w:color w:val="auto"/>
                <w:kern w:val="2"/>
              </w:rPr>
              <w:t>，穿防静电工作服，戴防护手套。</w:t>
            </w:r>
            <w:r>
              <w:rPr>
                <w:rFonts w:hint="eastAsia" w:ascii="Times New Roman" w:hAnsi="Times New Roman" w:eastAsia="宋体" w:cs="宋体"/>
                <w:bCs w:val="0"/>
                <w:color w:val="auto"/>
                <w:kern w:val="2"/>
              </w:rPr>
              <w:tab/>
            </w:r>
          </w:p>
        </w:tc>
      </w:tr>
      <w:tr w14:paraId="67098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ECD808D">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泄漏</w:t>
            </w:r>
          </w:p>
          <w:p w14:paraId="271453B1">
            <w:pPr>
              <w:spacing w:line="36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处置</w:t>
            </w:r>
          </w:p>
        </w:tc>
        <w:tc>
          <w:tcPr>
            <w:tcW w:w="7985" w:type="dxa"/>
            <w:gridSpan w:val="5"/>
            <w:vAlign w:val="center"/>
          </w:tcPr>
          <w:p w14:paraId="40609A2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切断一切火源，迅速撤离污染区人员至上风处。使用防毒面具，穿防静电工作服。在确保安全的前提下堵漏。喷水雾减少蒸气，但不能降低泄漏物在受限空间内的易燃性。禁止泄漏物进入受限制的空间（如下水道等），以避免发生爆炸。用砂土或</w:t>
            </w:r>
            <w:r>
              <w:rPr>
                <w:rFonts w:hint="eastAsia" w:ascii="Times New Roman" w:hAnsi="Times New Roman" w:eastAsia="宋体" w:cs="宋体"/>
                <w:bCs w:val="0"/>
                <w:color w:val="auto"/>
                <w:kern w:val="2"/>
                <w:lang w:eastAsia="zh-CN"/>
              </w:rPr>
              <w:t>其他不</w:t>
            </w:r>
            <w:r>
              <w:rPr>
                <w:rFonts w:hint="eastAsia" w:ascii="Times New Roman" w:hAnsi="Times New Roman" w:eastAsia="宋体" w:cs="宋体"/>
                <w:bCs w:val="0"/>
                <w:color w:val="auto"/>
                <w:kern w:val="2"/>
              </w:rPr>
              <w:t>燃性吸附剂吸收，然后收集至废物处理场所处置。</w:t>
            </w:r>
          </w:p>
        </w:tc>
      </w:tr>
    </w:tbl>
    <w:p w14:paraId="38A80D42">
      <w:pPr>
        <w:jc w:val="center"/>
        <w:rPr>
          <w:rFonts w:ascii="Times New Roman" w:hAnsi="Times New Roman" w:eastAsia="宋体" w:cs="宋体"/>
          <w:bCs w:val="0"/>
          <w:color w:val="auto"/>
          <w:kern w:val="2"/>
          <w:sz w:val="24"/>
          <w:szCs w:val="24"/>
          <w:lang w:val="zh-CN"/>
        </w:rPr>
      </w:pPr>
    </w:p>
    <w:p w14:paraId="74B3661D">
      <w:pPr>
        <w:rPr>
          <w:rFonts w:hint="eastAsia"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br w:type="page"/>
      </w:r>
    </w:p>
    <w:p w14:paraId="748937EB">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表3</w:t>
      </w:r>
      <w:r>
        <w:rPr>
          <w:rFonts w:hint="eastAsia" w:ascii="Times New Roman" w:hAnsi="Times New Roman" w:eastAsia="宋体" w:cs="宋体"/>
          <w:bCs w:val="0"/>
          <w:color w:val="auto"/>
          <w:kern w:val="2"/>
          <w:sz w:val="24"/>
          <w:szCs w:val="24"/>
        </w:rPr>
        <w:t>.1</w:t>
      </w:r>
      <w:r>
        <w:rPr>
          <w:rFonts w:hint="eastAsia" w:ascii="Times New Roman" w:hAnsi="Times New Roman" w:eastAsia="宋体" w:cs="宋体"/>
          <w:bCs w:val="0"/>
          <w:color w:val="auto"/>
          <w:kern w:val="2"/>
          <w:sz w:val="24"/>
          <w:szCs w:val="24"/>
          <w:lang w:val="zh-CN"/>
        </w:rPr>
        <w:t>-</w:t>
      </w:r>
      <w:r>
        <w:rPr>
          <w:rFonts w:hint="eastAsia" w:ascii="Times New Roman" w:hAnsi="Times New Roman" w:eastAsia="宋体" w:cs="宋体"/>
          <w:bCs w:val="0"/>
          <w:color w:val="auto"/>
          <w:kern w:val="2"/>
          <w:sz w:val="24"/>
          <w:szCs w:val="24"/>
        </w:rPr>
        <w:t>3</w:t>
      </w:r>
      <w:r>
        <w:rPr>
          <w:rFonts w:hint="eastAsia" w:ascii="Times New Roman" w:hAnsi="Times New Roman" w:eastAsia="宋体" w:cs="宋体"/>
          <w:bCs w:val="0"/>
          <w:color w:val="auto"/>
          <w:kern w:val="2"/>
          <w:sz w:val="24"/>
          <w:szCs w:val="24"/>
          <w:lang w:val="zh-CN"/>
        </w:rPr>
        <w:t xml:space="preserve">  柴油理化性质一览表</w:t>
      </w:r>
    </w:p>
    <w:tbl>
      <w:tblPr>
        <w:tblStyle w:val="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
        <w:gridCol w:w="1069"/>
        <w:gridCol w:w="1953"/>
        <w:gridCol w:w="1431"/>
        <w:gridCol w:w="1431"/>
        <w:gridCol w:w="1576"/>
        <w:gridCol w:w="1611"/>
      </w:tblGrid>
      <w:tr w14:paraId="774E7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75" w:type="dxa"/>
            <w:gridSpan w:val="2"/>
            <w:vAlign w:val="center"/>
          </w:tcPr>
          <w:p w14:paraId="760EFDFF">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品    名</w:t>
            </w:r>
          </w:p>
        </w:tc>
        <w:tc>
          <w:tcPr>
            <w:tcW w:w="1953" w:type="dxa"/>
            <w:vAlign w:val="center"/>
          </w:tcPr>
          <w:p w14:paraId="55841660">
            <w:pPr>
              <w:spacing w:line="240" w:lineRule="atLeast"/>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柴油</w:t>
            </w:r>
          </w:p>
        </w:tc>
        <w:tc>
          <w:tcPr>
            <w:tcW w:w="1431" w:type="dxa"/>
            <w:vAlign w:val="center"/>
          </w:tcPr>
          <w:p w14:paraId="22AB6A4C">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别      名</w:t>
            </w:r>
          </w:p>
        </w:tc>
        <w:tc>
          <w:tcPr>
            <w:tcW w:w="1431" w:type="dxa"/>
            <w:vAlign w:val="center"/>
          </w:tcPr>
          <w:p w14:paraId="0ACA79DD">
            <w:pPr>
              <w:spacing w:line="240" w:lineRule="atLeast"/>
              <w:jc w:val="center"/>
              <w:rPr>
                <w:rFonts w:ascii="Times New Roman" w:hAnsi="Times New Roman" w:eastAsia="宋体" w:cs="宋体"/>
                <w:bCs w:val="0"/>
                <w:color w:val="auto"/>
                <w:kern w:val="2"/>
              </w:rPr>
            </w:pPr>
          </w:p>
        </w:tc>
        <w:tc>
          <w:tcPr>
            <w:tcW w:w="1576" w:type="dxa"/>
            <w:vAlign w:val="center"/>
          </w:tcPr>
          <w:p w14:paraId="0EE7CC70">
            <w:pPr>
              <w:spacing w:line="240" w:lineRule="atLeast"/>
              <w:ind w:right="-288" w:rightChars="-137"/>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目录序号</w:t>
            </w:r>
          </w:p>
        </w:tc>
        <w:tc>
          <w:tcPr>
            <w:tcW w:w="1611" w:type="dxa"/>
            <w:vAlign w:val="center"/>
          </w:tcPr>
          <w:p w14:paraId="77952CE3">
            <w:pPr>
              <w:spacing w:line="240" w:lineRule="atLeast"/>
              <w:ind w:firstLine="210" w:firstLineChars="100"/>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1674</w:t>
            </w:r>
          </w:p>
        </w:tc>
      </w:tr>
      <w:tr w14:paraId="330E1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075" w:type="dxa"/>
            <w:gridSpan w:val="2"/>
            <w:vAlign w:val="center"/>
          </w:tcPr>
          <w:p w14:paraId="3CABDAB0">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英文名称</w:t>
            </w:r>
          </w:p>
        </w:tc>
        <w:tc>
          <w:tcPr>
            <w:tcW w:w="1953" w:type="dxa"/>
            <w:vAlign w:val="center"/>
          </w:tcPr>
          <w:p w14:paraId="4DAFD1F0">
            <w:pPr>
              <w:spacing w:line="240" w:lineRule="atLeast"/>
              <w:ind w:firstLine="315" w:firstLineChars="150"/>
              <w:jc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Diesel  oil</w:t>
            </w:r>
          </w:p>
        </w:tc>
        <w:tc>
          <w:tcPr>
            <w:tcW w:w="1431" w:type="dxa"/>
            <w:vAlign w:val="center"/>
          </w:tcPr>
          <w:p w14:paraId="5F53892E">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分  子  式</w:t>
            </w:r>
          </w:p>
        </w:tc>
        <w:tc>
          <w:tcPr>
            <w:tcW w:w="1431" w:type="dxa"/>
            <w:vAlign w:val="center"/>
          </w:tcPr>
          <w:p w14:paraId="0A8CE622">
            <w:pPr>
              <w:spacing w:line="240" w:lineRule="atLeast"/>
              <w:jc w:val="center"/>
              <w:rPr>
                <w:rFonts w:ascii="Times New Roman" w:hAnsi="Times New Roman" w:eastAsia="宋体" w:cs="宋体"/>
                <w:bCs w:val="0"/>
                <w:color w:val="auto"/>
                <w:kern w:val="2"/>
              </w:rPr>
            </w:pPr>
          </w:p>
        </w:tc>
        <w:tc>
          <w:tcPr>
            <w:tcW w:w="1576" w:type="dxa"/>
            <w:vAlign w:val="center"/>
          </w:tcPr>
          <w:p w14:paraId="2E4FF6CE">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分  子  量</w:t>
            </w:r>
          </w:p>
        </w:tc>
        <w:tc>
          <w:tcPr>
            <w:tcW w:w="1611" w:type="dxa"/>
            <w:vAlign w:val="center"/>
          </w:tcPr>
          <w:p w14:paraId="4498C333">
            <w:pPr>
              <w:spacing w:line="240" w:lineRule="atLeast"/>
              <w:ind w:left="-195" w:leftChars="-94" w:hanging="2"/>
              <w:jc w:val="center"/>
              <w:rPr>
                <w:rFonts w:ascii="Times New Roman" w:hAnsi="Times New Roman" w:eastAsia="宋体" w:cs="宋体"/>
                <w:bCs w:val="0"/>
                <w:color w:val="auto"/>
                <w:kern w:val="2"/>
              </w:rPr>
            </w:pPr>
          </w:p>
        </w:tc>
      </w:tr>
      <w:tr w14:paraId="1FFC0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239" w:hRule="atLeast"/>
        </w:trPr>
        <w:tc>
          <w:tcPr>
            <w:tcW w:w="1069" w:type="dxa"/>
            <w:vAlign w:val="center"/>
          </w:tcPr>
          <w:p w14:paraId="0C483442">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理化</w:t>
            </w:r>
          </w:p>
          <w:p w14:paraId="511D765E">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性质</w:t>
            </w:r>
          </w:p>
        </w:tc>
        <w:tc>
          <w:tcPr>
            <w:tcW w:w="8002" w:type="dxa"/>
            <w:gridSpan w:val="5"/>
            <w:vAlign w:val="center"/>
          </w:tcPr>
          <w:p w14:paraId="012450A0">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外观与性状：稍有粘性的棕色液体。     </w:t>
            </w:r>
          </w:p>
          <w:p w14:paraId="129B05D5">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熔点（℃）：　&lt;-18　              </w:t>
            </w:r>
          </w:p>
          <w:p w14:paraId="04CB61C0">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沸点（℃）：　282-338               </w:t>
            </w:r>
          </w:p>
          <w:p w14:paraId="01612E7E">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相对密度（水＝1）：　0.8-0.9     </w:t>
            </w:r>
          </w:p>
          <w:p w14:paraId="114396CB">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相对密度（空气＝1）：　            </w:t>
            </w:r>
          </w:p>
          <w:p w14:paraId="3478BC79">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lang w:eastAsia="zh-CN"/>
              </w:rPr>
              <w:t>饱和蒸汽</w:t>
            </w:r>
            <w:r>
              <w:rPr>
                <w:rFonts w:hint="eastAsia" w:ascii="Times New Roman" w:hAnsi="Times New Roman" w:eastAsia="宋体" w:cs="宋体"/>
                <w:bCs w:val="0"/>
                <w:color w:val="auto"/>
                <w:kern w:val="2"/>
              </w:rPr>
              <w:t xml:space="preserve">压（kPa）：无资料         </w:t>
            </w:r>
          </w:p>
          <w:p w14:paraId="65E6CD68">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燃烧热（Kj/mol） ：无资料 </w:t>
            </w:r>
          </w:p>
        </w:tc>
      </w:tr>
      <w:tr w14:paraId="72086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266" w:hRule="atLeast"/>
        </w:trPr>
        <w:tc>
          <w:tcPr>
            <w:tcW w:w="1069" w:type="dxa"/>
            <w:vAlign w:val="center"/>
          </w:tcPr>
          <w:p w14:paraId="49D20F09">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燃烧</w:t>
            </w:r>
          </w:p>
          <w:p w14:paraId="7C146F10">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爆炸</w:t>
            </w:r>
          </w:p>
          <w:p w14:paraId="128F5798">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危险</w:t>
            </w:r>
          </w:p>
          <w:p w14:paraId="777DFAA4">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性</w:t>
            </w:r>
          </w:p>
        </w:tc>
        <w:tc>
          <w:tcPr>
            <w:tcW w:w="8002" w:type="dxa"/>
            <w:gridSpan w:val="5"/>
          </w:tcPr>
          <w:p w14:paraId="02EC9D9C">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燃烧性：易燃          </w:t>
            </w:r>
          </w:p>
          <w:p w14:paraId="30AD737A">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lang w:eastAsia="zh-CN"/>
              </w:rPr>
              <w:t>建筑</w:t>
            </w:r>
            <w:r>
              <w:rPr>
                <w:rFonts w:hint="eastAsia" w:ascii="Times New Roman" w:hAnsi="Times New Roman" w:eastAsia="宋体" w:cs="宋体"/>
                <w:bCs w:val="0"/>
                <w:color w:val="auto"/>
                <w:kern w:val="2"/>
              </w:rPr>
              <w:t>火险等级：丙</w:t>
            </w:r>
            <w:r>
              <w:rPr>
                <w:rFonts w:hint="eastAsia" w:ascii="Times New Roman" w:hAnsi="Times New Roman" w:eastAsia="宋体" w:cs="宋体"/>
                <w:bCs w:val="0"/>
                <w:color w:val="auto"/>
                <w:kern w:val="2"/>
                <w:vertAlign w:val="subscript"/>
              </w:rPr>
              <w:t>A</w:t>
            </w:r>
            <w:r>
              <w:rPr>
                <w:rFonts w:hint="eastAsia" w:ascii="Times New Roman" w:hAnsi="Times New Roman" w:eastAsia="宋体" w:cs="宋体"/>
                <w:bCs w:val="0"/>
                <w:color w:val="auto"/>
                <w:kern w:val="2"/>
              </w:rPr>
              <w:t>类</w:t>
            </w:r>
          </w:p>
          <w:p w14:paraId="22C17047">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闪点：≥6</w:t>
            </w:r>
            <w:r>
              <w:rPr>
                <w:rFonts w:ascii="Times New Roman" w:hAnsi="Times New Roman" w:eastAsia="宋体" w:cs="宋体"/>
                <w:bCs w:val="0"/>
                <w:color w:val="auto"/>
                <w:kern w:val="2"/>
              </w:rPr>
              <w:t>0</w:t>
            </w:r>
            <w:r>
              <w:rPr>
                <w:rFonts w:hint="eastAsia" w:ascii="Times New Roman" w:hAnsi="Times New Roman" w:eastAsia="宋体" w:cs="宋体"/>
                <w:bCs w:val="0"/>
                <w:color w:val="auto"/>
                <w:kern w:val="2"/>
              </w:rPr>
              <w:t>℃</w:t>
            </w:r>
          </w:p>
          <w:p w14:paraId="448AEB49">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引燃温度：</w:t>
            </w:r>
            <w:r>
              <w:rPr>
                <w:rFonts w:ascii="Times New Roman" w:hAnsi="Times New Roman" w:eastAsia="宋体" w:cs="宋体"/>
                <w:bCs w:val="0"/>
                <w:color w:val="auto"/>
                <w:kern w:val="2"/>
              </w:rPr>
              <w:t>120</w:t>
            </w:r>
            <w:r>
              <w:rPr>
                <w:rFonts w:hint="eastAsia" w:ascii="Times New Roman" w:hAnsi="Times New Roman" w:eastAsia="宋体" w:cs="宋体"/>
                <w:bCs w:val="0"/>
                <w:color w:val="auto"/>
                <w:kern w:val="2"/>
              </w:rPr>
              <w:t>℃</w:t>
            </w:r>
          </w:p>
          <w:p w14:paraId="390DA1D6">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爆炸极限（V%）：0.6%-7.5%      </w:t>
            </w:r>
          </w:p>
          <w:p w14:paraId="13F8828B">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最小点火能（mj）：无资料</w:t>
            </w:r>
          </w:p>
          <w:p w14:paraId="08D11DA6">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最大爆炸压力（MPa）：无资料</w:t>
            </w:r>
          </w:p>
          <w:p w14:paraId="66A75A8E">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危险特性：</w:t>
            </w:r>
            <w:r>
              <w:rPr>
                <w:rFonts w:ascii="Times New Roman" w:hAnsi="Times New Roman" w:eastAsia="宋体" w:cs="宋体"/>
                <w:bCs w:val="0"/>
                <w:color w:val="auto"/>
                <w:kern w:val="2"/>
              </w:rPr>
              <w:t>其蒸气与空气可形成爆炸性混合物，遇明火、高热能引起燃烧爆炸。其蒸气比空气重，能在较低处扩散到相当远的地方，遇火源会着火回燃。若遇高热，容器内压增大，有开裂和爆炸的危险。</w:t>
            </w:r>
          </w:p>
          <w:p w14:paraId="1DF09F8A">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稳定性：稳定       </w:t>
            </w:r>
          </w:p>
          <w:p w14:paraId="35B39D1D">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聚合危害：无        </w:t>
            </w:r>
          </w:p>
          <w:p w14:paraId="76697979">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禁忌物：强氧化剂、卤素。</w:t>
            </w:r>
          </w:p>
          <w:p w14:paraId="07BC4AAD">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灭火方法：泡沫、二氧化碳、干粉、沙土。</w:t>
            </w:r>
          </w:p>
        </w:tc>
      </w:tr>
      <w:tr w14:paraId="70018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875" w:hRule="atLeast"/>
        </w:trPr>
        <w:tc>
          <w:tcPr>
            <w:tcW w:w="1069" w:type="dxa"/>
            <w:vAlign w:val="center"/>
          </w:tcPr>
          <w:p w14:paraId="412D462E">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毒性</w:t>
            </w:r>
          </w:p>
          <w:p w14:paraId="7B927139">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及</w:t>
            </w:r>
          </w:p>
          <w:p w14:paraId="0865AA12">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健康</w:t>
            </w:r>
          </w:p>
          <w:p w14:paraId="1082EA23">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危害</w:t>
            </w:r>
          </w:p>
          <w:p w14:paraId="6F413338">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性</w:t>
            </w:r>
          </w:p>
        </w:tc>
        <w:tc>
          <w:tcPr>
            <w:tcW w:w="8002" w:type="dxa"/>
            <w:gridSpan w:val="5"/>
            <w:vAlign w:val="center"/>
          </w:tcPr>
          <w:p w14:paraId="3272EE64">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 xml:space="preserve">接触限值：中国MAC：未制定标准。    </w:t>
            </w:r>
          </w:p>
          <w:p w14:paraId="1B0A3BEC">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侵入途径：吸入，食入，经皮吸收。</w:t>
            </w:r>
          </w:p>
          <w:p w14:paraId="6D2830FB">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健康危害：具有刺激作用。皮肤接触柴油可引起接触性皮炎，油性痤疮，吸入可引起性肺炎。能经胎盘进入胎儿血中。柴油废气可引起眼、鼻刺激症状，头晕及头痛。</w:t>
            </w:r>
          </w:p>
          <w:p w14:paraId="4BA00C26">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急性中毒：吸入高浓度蒸气，常先有兴奋，后转入抑制，表现为乏力、头痛、酩酊感、神志恍惚、肌肉震颤、共济运动失调；严重者出现定向力障碍、谵妄、意识模糊等；蒸气可引起眼及呼吸道刺激症状，重者出现化学性肺炎。吸入液态柴油可引起吸入性肺炎，严重时可发生肺水肿。摄入引起口腔、咽喉和胃肠道刺激症状，可出现与吸入中毒相同的中枢神经系统症状。</w:t>
            </w:r>
          </w:p>
          <w:p w14:paraId="0DF73405">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慢性影响：神经衰弱综合征为主要表现，还有眼及呼吸道刺激症状，接触性皮炎，皮肤干燥等。</w:t>
            </w:r>
          </w:p>
          <w:p w14:paraId="5DDB81ED">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环境危害：对环境有危害。对大气可造成污染。</w:t>
            </w:r>
          </w:p>
        </w:tc>
      </w:tr>
      <w:tr w14:paraId="2777D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553" w:hRule="atLeast"/>
        </w:trPr>
        <w:tc>
          <w:tcPr>
            <w:tcW w:w="1069" w:type="dxa"/>
            <w:vAlign w:val="center"/>
          </w:tcPr>
          <w:p w14:paraId="43E6F19E">
            <w:pPr>
              <w:spacing w:line="240" w:lineRule="exac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急救</w:t>
            </w:r>
          </w:p>
        </w:tc>
        <w:tc>
          <w:tcPr>
            <w:tcW w:w="8002" w:type="dxa"/>
            <w:gridSpan w:val="5"/>
            <w:vAlign w:val="center"/>
          </w:tcPr>
          <w:p w14:paraId="1CF6B57C">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皮肤接触：立即脱去所有被污染的衣物，包括鞋类。用流动清水冲洗皮肤和头发（可用肥皂）。如果出现刺激症状，就医。</w:t>
            </w:r>
          </w:p>
          <w:p w14:paraId="5C9AC74E">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眼睛接触：立即用流动、清洁水冲洗至少15分钟。如果疼痛持续或复发，就医，眼睛受伤后，应由专业人员取出隐形眼镜吸入：如果吸入本品气体或其燃烧产物，脱离污染区。把病人放卧位，保暖并使其安静。开始急救前，首先取出假牙等，防止阻塞气道。如果呼吸停止，立即进行人工呼吸，用活瓣气囊面罩通气或有效的袖珍面具可能效果更佳。呼吸心跳停止，立即进行心肺复苏术。送医院或寻求医生帮助。</w:t>
            </w:r>
          </w:p>
          <w:p w14:paraId="3EF6CBC7">
            <w:pPr>
              <w:spacing w:line="240" w:lineRule="exac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食入：禁止催吐。如果发生呕吐，让病人前倾或左侧位躺下（头部保持低位），保持呼吸道通畅，防止吸入呕吐物。仔细观察病情。禁止给有嗜睡症状或知觉降低，即正在失去知觉的病人服用液体。意识清醒者可用水漱口，然后尽量多饮水。寻求医生或医疗机构的帮助。</w:t>
            </w:r>
          </w:p>
        </w:tc>
      </w:tr>
      <w:tr w14:paraId="29161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756" w:hRule="atLeast"/>
        </w:trPr>
        <w:tc>
          <w:tcPr>
            <w:tcW w:w="1069" w:type="dxa"/>
            <w:vAlign w:val="center"/>
          </w:tcPr>
          <w:p w14:paraId="59F5FD05">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泄漏</w:t>
            </w:r>
          </w:p>
          <w:p w14:paraId="134A0F6D">
            <w:pPr>
              <w:spacing w:line="240" w:lineRule="atLeast"/>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处置</w:t>
            </w:r>
          </w:p>
        </w:tc>
        <w:tc>
          <w:tcPr>
            <w:tcW w:w="8002" w:type="dxa"/>
            <w:gridSpan w:val="5"/>
            <w:vAlign w:val="center"/>
          </w:tcPr>
          <w:p w14:paraId="2B45C8FD">
            <w:pPr>
              <w:spacing w:line="240" w:lineRule="atLeast"/>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切断一切火源，迅速撤离污染区人员至上风处。使用防毒面具，穿防静电工作服。在确保安全的前提下堵漏。用沙土或</w:t>
            </w:r>
            <w:r>
              <w:rPr>
                <w:rFonts w:hint="eastAsia" w:ascii="Times New Roman" w:hAnsi="Times New Roman" w:eastAsia="宋体" w:cs="宋体"/>
                <w:bCs w:val="0"/>
                <w:color w:val="auto"/>
                <w:kern w:val="2"/>
                <w:lang w:eastAsia="zh-CN"/>
              </w:rPr>
              <w:t>其他不</w:t>
            </w:r>
            <w:r>
              <w:rPr>
                <w:rFonts w:hint="eastAsia" w:ascii="Times New Roman" w:hAnsi="Times New Roman" w:eastAsia="宋体" w:cs="宋体"/>
                <w:bCs w:val="0"/>
                <w:color w:val="auto"/>
                <w:kern w:val="2"/>
              </w:rPr>
              <w:t>燃性吸附剂混合吸收，然后收集至废物处理。</w:t>
            </w:r>
          </w:p>
        </w:tc>
      </w:tr>
    </w:tbl>
    <w:p w14:paraId="1CCF05B0">
      <w:pPr>
        <w:keepNext/>
        <w:keepLines/>
        <w:pageBreakBefore w:val="0"/>
        <w:widowControl w:val="0"/>
        <w:kinsoku/>
        <w:wordWrap/>
        <w:overflowPunct/>
        <w:topLinePunct w:val="0"/>
        <w:autoSpaceDE/>
        <w:autoSpaceDN/>
        <w:bidi w:val="0"/>
        <w:adjustRightInd/>
        <w:snapToGrid/>
        <w:spacing w:line="600" w:lineRule="exact"/>
        <w:jc w:val="both"/>
        <w:textAlignment w:val="auto"/>
        <w:outlineLvl w:val="1"/>
        <w:rPr>
          <w:rFonts w:ascii="Times New Roman" w:hAnsi="Times New Roman" w:eastAsia="宋体" w:cs="Times New Roman"/>
          <w:b/>
          <w:bCs/>
          <w:color w:val="auto"/>
          <w:kern w:val="0"/>
          <w:sz w:val="28"/>
          <w:szCs w:val="28"/>
          <w:lang w:val="en-US" w:eastAsia="zh-CN" w:bidi="ar-SA"/>
        </w:rPr>
      </w:pPr>
      <w:bookmarkStart w:id="49" w:name="_Toc30692"/>
      <w:bookmarkStart w:id="50" w:name="_Toc10889"/>
      <w:bookmarkStart w:id="51" w:name="_Toc15326"/>
      <w:bookmarkStart w:id="52" w:name="_Toc17924"/>
      <w:bookmarkStart w:id="53" w:name="_Toc343692252"/>
      <w:r>
        <w:rPr>
          <w:rFonts w:ascii="Times New Roman" w:hAnsi="Times New Roman" w:eastAsia="宋体" w:cs="Times New Roman"/>
          <w:b/>
          <w:bCs/>
          <w:color w:val="auto"/>
          <w:kern w:val="0"/>
          <w:sz w:val="28"/>
          <w:szCs w:val="28"/>
          <w:lang w:val="en-US" w:eastAsia="zh-CN" w:bidi="ar-SA"/>
        </w:rPr>
        <w:t>3.2</w:t>
      </w:r>
      <w:r>
        <w:rPr>
          <w:rFonts w:hint="eastAsia" w:ascii="Times New Roman" w:hAnsi="Times New Roman" w:eastAsia="宋体" w:cs="宋体"/>
          <w:b/>
          <w:bCs/>
          <w:color w:val="auto"/>
          <w:kern w:val="0"/>
          <w:sz w:val="28"/>
          <w:szCs w:val="28"/>
          <w:lang w:val="en-US" w:eastAsia="zh-CN" w:bidi="ar-SA"/>
        </w:rPr>
        <w:t>危险化学品及危险工艺辨识</w:t>
      </w:r>
      <w:bookmarkEnd w:id="49"/>
      <w:bookmarkEnd w:id="50"/>
      <w:bookmarkEnd w:id="51"/>
    </w:p>
    <w:p w14:paraId="376DE7A8">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1、剧毒化学品辨识</w:t>
      </w:r>
    </w:p>
    <w:p w14:paraId="1E836943">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根据《危险化学品目录》（202</w:t>
      </w:r>
      <w:r>
        <w:rPr>
          <w:rFonts w:hint="eastAsia" w:ascii="Times New Roman" w:hAnsi="Times New Roman" w:eastAsia="宋体" w:cs="Times New Roman"/>
          <w:bCs w:val="0"/>
          <w:color w:val="auto"/>
          <w:kern w:val="0"/>
          <w:sz w:val="28"/>
          <w:szCs w:val="28"/>
          <w:lang w:val="en-US" w:eastAsia="zh-CN"/>
        </w:rPr>
        <w:t>6</w:t>
      </w:r>
      <w:r>
        <w:rPr>
          <w:rFonts w:hint="eastAsia" w:ascii="Times New Roman" w:hAnsi="Times New Roman" w:eastAsia="宋体" w:cs="Times New Roman"/>
          <w:bCs w:val="0"/>
          <w:color w:val="auto"/>
          <w:kern w:val="0"/>
          <w:sz w:val="28"/>
          <w:szCs w:val="28"/>
        </w:rPr>
        <w:t>年调整）的规定，该站不涉及剧毒化学品。</w:t>
      </w:r>
    </w:p>
    <w:p w14:paraId="434120BB">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2、易制毒化学品辩识</w:t>
      </w:r>
    </w:p>
    <w:p w14:paraId="4FC7BC9A">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根据《易制毒化学品管理条例》的规定，该站不涉及易制毒化学品。</w:t>
      </w:r>
    </w:p>
    <w:p w14:paraId="641EEE9D">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3、易制爆危险化学品辩识</w:t>
      </w:r>
    </w:p>
    <w:p w14:paraId="6C5F976E">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根据《易制爆危险化学品名录》（2017年版）的规定，该站不涉及易制爆危险化学品。</w:t>
      </w:r>
    </w:p>
    <w:p w14:paraId="7763A1BA">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4、监控化学品辩识</w:t>
      </w:r>
    </w:p>
    <w:p w14:paraId="54D0FADC">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根据《监控化学品管理条例》的规定，该站不涉及监控化学品。</w:t>
      </w:r>
    </w:p>
    <w:p w14:paraId="5CA90272">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5、高毒物品辨识</w:t>
      </w:r>
    </w:p>
    <w:p w14:paraId="6CC23601">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依据《高毒物品目录》进行辨识，该站不涉及高毒物品。</w:t>
      </w:r>
    </w:p>
    <w:p w14:paraId="27F2F4A3">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6、重点监管的危险化学品辨识</w:t>
      </w:r>
    </w:p>
    <w:p w14:paraId="7127870F">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根据《国家安全监管总局关于公布首批重点监管的危险化学品目录的通知》（安监总管三〔2011〕95号）、《国家安全监管总局关于公布第二批重点监管的危险化学品目录的通知》（安监总管三〔2013〕12号），该站储存、经营的汽油属于重点监管的危险化学品。</w:t>
      </w:r>
    </w:p>
    <w:p w14:paraId="21A8D824">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7、特别管控危险化学品</w:t>
      </w:r>
    </w:p>
    <w:p w14:paraId="7D6737E5">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根据《特别管控危险化学品目录（第一版）》的规定，该站储存、经营的汽油属于特别管控危险化学品。</w:t>
      </w:r>
    </w:p>
    <w:p w14:paraId="22214E8F">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0"/>
          <w:sz w:val="28"/>
          <w:szCs w:val="28"/>
        </w:rPr>
      </w:pPr>
      <w:r>
        <w:rPr>
          <w:rFonts w:hint="eastAsia" w:ascii="Times New Roman" w:hAnsi="Times New Roman" w:eastAsia="宋体" w:cs="Times New Roman"/>
          <w:bCs w:val="0"/>
          <w:color w:val="auto"/>
          <w:kern w:val="0"/>
          <w:sz w:val="28"/>
          <w:szCs w:val="28"/>
        </w:rPr>
        <w:t>8、重点监管的危险化工工艺的辨识</w:t>
      </w:r>
    </w:p>
    <w:p w14:paraId="76471055">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宋体"/>
          <w:bCs w:val="0"/>
          <w:color w:val="auto"/>
          <w:kern w:val="0"/>
          <w:sz w:val="28"/>
          <w:szCs w:val="28"/>
        </w:rPr>
      </w:pPr>
      <w:r>
        <w:rPr>
          <w:rFonts w:hint="eastAsia" w:ascii="Times New Roman" w:hAnsi="Times New Roman" w:eastAsia="宋体" w:cs="Times New Roman"/>
          <w:bCs w:val="0"/>
          <w:color w:val="auto"/>
          <w:kern w:val="0"/>
          <w:sz w:val="28"/>
          <w:szCs w:val="28"/>
        </w:rPr>
        <w:t>根据《国家安全监管总局关于公布首批重点监管的危险化工工艺目录的通知》（安监总管三〔2009〕116号）、《国家安全监管总局关于公布第二批重点监管危险化工工艺目录和调整首重点监管危险化工工艺中部分典型工艺的通知》（安监总管三〔2013〕3号），该站为危险化学品储存经营单位，不涉及重点监管的危险化工工艺。</w:t>
      </w:r>
    </w:p>
    <w:p w14:paraId="184B866B">
      <w:pPr>
        <w:keepNext/>
        <w:keepLines/>
        <w:pageBreakBefore w:val="0"/>
        <w:widowControl w:val="0"/>
        <w:kinsoku/>
        <w:wordWrap/>
        <w:overflowPunct/>
        <w:topLinePunct w:val="0"/>
        <w:autoSpaceDE/>
        <w:autoSpaceDN/>
        <w:bidi w:val="0"/>
        <w:adjustRightInd/>
        <w:snapToGrid/>
        <w:spacing w:line="600" w:lineRule="exact"/>
        <w:textAlignment w:val="auto"/>
        <w:outlineLvl w:val="1"/>
        <w:rPr>
          <w:rFonts w:ascii="Times New Roman" w:hAnsi="Times New Roman" w:eastAsia="宋体" w:cs="Times New Roman"/>
          <w:b/>
          <w:bCs/>
          <w:color w:val="auto"/>
          <w:kern w:val="2"/>
          <w:sz w:val="28"/>
          <w:szCs w:val="28"/>
        </w:rPr>
      </w:pPr>
      <w:bookmarkStart w:id="54" w:name="_Toc18070"/>
      <w:r>
        <w:rPr>
          <w:rFonts w:ascii="Times New Roman" w:hAnsi="Times New Roman" w:eastAsia="宋体" w:cs="Times New Roman"/>
          <w:b/>
          <w:bCs/>
          <w:color w:val="auto"/>
          <w:kern w:val="2"/>
          <w:sz w:val="28"/>
          <w:szCs w:val="28"/>
        </w:rPr>
        <w:t xml:space="preserve">3.3 </w:t>
      </w:r>
      <w:r>
        <w:rPr>
          <w:rFonts w:hint="eastAsia" w:ascii="Times New Roman" w:hAnsi="Times New Roman" w:eastAsia="宋体" w:cs="宋体"/>
          <w:b/>
          <w:bCs/>
          <w:color w:val="auto"/>
          <w:kern w:val="2"/>
          <w:sz w:val="28"/>
          <w:szCs w:val="28"/>
        </w:rPr>
        <w:t>重大危险源辨识</w:t>
      </w:r>
      <w:bookmarkEnd w:id="52"/>
      <w:bookmarkEnd w:id="53"/>
      <w:bookmarkEnd w:id="54"/>
      <w:bookmarkStart w:id="55" w:name="_Toc9706"/>
      <w:bookmarkStart w:id="56" w:name="_Toc32342"/>
      <w:bookmarkStart w:id="57" w:name="_Toc28936"/>
      <w:bookmarkStart w:id="58" w:name="_Toc343692253"/>
    </w:p>
    <w:p w14:paraId="0ECA344F">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宋体"/>
          <w:bCs w:val="0"/>
          <w:color w:val="auto"/>
          <w:kern w:val="2"/>
          <w:sz w:val="28"/>
          <w:szCs w:val="28"/>
          <w:lang w:val="zh-CN"/>
        </w:rPr>
      </w:pPr>
      <w:r>
        <w:rPr>
          <w:rFonts w:hint="eastAsia" w:ascii="Times New Roman" w:hAnsi="Times New Roman" w:eastAsia="宋体" w:cs="宋体"/>
          <w:bCs w:val="0"/>
          <w:color w:val="auto"/>
          <w:kern w:val="2"/>
          <w:sz w:val="28"/>
          <w:szCs w:val="28"/>
          <w:lang w:val="zh-CN"/>
        </w:rPr>
        <w:t>《危险化学品重大危险源辨识》（</w:t>
      </w:r>
      <w:r>
        <w:rPr>
          <w:rFonts w:ascii="Times New Roman" w:hAnsi="Times New Roman" w:eastAsia="宋体" w:cs="宋体"/>
          <w:bCs w:val="0"/>
          <w:color w:val="auto"/>
          <w:kern w:val="2"/>
          <w:sz w:val="28"/>
          <w:szCs w:val="28"/>
          <w:lang w:val="zh-CN"/>
        </w:rPr>
        <w:t>GB18218-2018</w:t>
      </w:r>
      <w:r>
        <w:rPr>
          <w:rFonts w:hint="eastAsia" w:ascii="Times New Roman" w:hAnsi="Times New Roman" w:eastAsia="宋体" w:cs="宋体"/>
          <w:bCs w:val="0"/>
          <w:color w:val="auto"/>
          <w:kern w:val="2"/>
          <w:sz w:val="28"/>
          <w:szCs w:val="28"/>
          <w:lang w:val="zh-CN"/>
        </w:rPr>
        <w:t>）规定：危险化学品重大危险源可分为生产单元危险化学品重大危险源和储存单元危险化学品重大危险源。生产单元：是指危险化学品生产、加工及使用的装置及设施之间有切断阀时，以切断阀作为分隔界限划分为独立的单元。储存单元：是指用于储存危险化学品的储罐或仓库组成的相对独立的区域，储存区以罐区防火堤为界限划分为独立的单元，仓库以独立的库房（独立建筑物）为界限划分为独立的单元。</w:t>
      </w:r>
    </w:p>
    <w:p w14:paraId="753CC03F">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宋体"/>
          <w:bCs w:val="0"/>
          <w:color w:val="auto"/>
          <w:kern w:val="2"/>
          <w:sz w:val="28"/>
          <w:szCs w:val="28"/>
          <w:lang w:val="zh-CN"/>
        </w:rPr>
      </w:pPr>
      <w:r>
        <w:rPr>
          <w:rFonts w:hint="eastAsia" w:ascii="Times New Roman" w:hAnsi="Times New Roman" w:eastAsia="宋体" w:cs="宋体"/>
          <w:bCs w:val="0"/>
          <w:color w:val="auto"/>
          <w:kern w:val="2"/>
          <w:sz w:val="28"/>
          <w:szCs w:val="28"/>
          <w:lang w:val="zh-CN"/>
        </w:rPr>
        <w:t>《危险化学品重大危险源辨识》（</w:t>
      </w:r>
      <w:r>
        <w:rPr>
          <w:rFonts w:ascii="Times New Roman" w:hAnsi="Times New Roman" w:eastAsia="宋体" w:cs="宋体"/>
          <w:bCs w:val="0"/>
          <w:color w:val="auto"/>
          <w:kern w:val="2"/>
          <w:sz w:val="28"/>
          <w:szCs w:val="28"/>
          <w:lang w:val="zh-CN"/>
        </w:rPr>
        <w:t>GB18218-2018</w:t>
      </w:r>
      <w:r>
        <w:rPr>
          <w:rFonts w:hint="eastAsia" w:ascii="Times New Roman" w:hAnsi="Times New Roman" w:eastAsia="宋体" w:cs="宋体"/>
          <w:bCs w:val="0"/>
          <w:color w:val="auto"/>
          <w:kern w:val="2"/>
          <w:sz w:val="28"/>
          <w:szCs w:val="28"/>
          <w:lang w:val="zh-CN"/>
        </w:rPr>
        <w:t>）规定：若单元内存在的危险物质为多品种时，则按下式计算，若满足下面公式，则定为重大危险源。生产单元、储存单元内存在的危险化学品为多品种时，则按下式计算，若满足下面公式，则为重大危险源：</w:t>
      </w:r>
    </w:p>
    <w:p w14:paraId="2341684B">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宋体"/>
          <w:bCs w:val="0"/>
          <w:color w:val="auto"/>
          <w:kern w:val="2"/>
          <w:sz w:val="28"/>
          <w:szCs w:val="28"/>
          <w:lang w:val="zh-CN"/>
        </w:rPr>
      </w:pPr>
      <w:r>
        <w:rPr>
          <w:rFonts w:hint="eastAsia" w:ascii="Times New Roman" w:hAnsi="Times New Roman" w:eastAsia="宋体" w:cs="宋体"/>
          <w:bCs w:val="0"/>
          <w:color w:val="auto"/>
          <w:kern w:val="2"/>
          <w:sz w:val="28"/>
          <w:szCs w:val="28"/>
          <w:lang w:val="zh-CN"/>
        </w:rPr>
        <w:t>公式：</w:t>
      </w:r>
      <w:r>
        <w:rPr>
          <w:rFonts w:ascii="Times New Roman" w:hAnsi="Times New Roman" w:eastAsia="宋体" w:cs="宋体"/>
          <w:bCs w:val="0"/>
          <w:color w:val="auto"/>
          <w:kern w:val="2"/>
          <w:sz w:val="28"/>
          <w:szCs w:val="28"/>
          <w:lang w:val="zh-CN"/>
        </w:rPr>
        <w:t>S</w:t>
      </w:r>
      <w:r>
        <w:rPr>
          <w:rFonts w:hint="eastAsia" w:ascii="Times New Roman" w:hAnsi="Times New Roman" w:eastAsia="宋体" w:cs="宋体"/>
          <w:bCs w:val="0"/>
          <w:color w:val="auto"/>
          <w:kern w:val="2"/>
          <w:sz w:val="28"/>
          <w:szCs w:val="28"/>
          <w:lang w:val="zh-CN"/>
        </w:rPr>
        <w:t>＝</w:t>
      </w:r>
      <w:r>
        <w:rPr>
          <w:rFonts w:ascii="Times New Roman" w:hAnsi="Times New Roman" w:eastAsia="宋体" w:cs="宋体"/>
          <w:bCs w:val="0"/>
          <w:color w:val="auto"/>
          <w:kern w:val="2"/>
          <w:sz w:val="28"/>
          <w:szCs w:val="28"/>
          <w:lang w:val="zh-CN"/>
        </w:rPr>
        <w:t>q1/Q1</w:t>
      </w:r>
      <w:r>
        <w:rPr>
          <w:rFonts w:hint="eastAsia" w:ascii="Times New Roman" w:hAnsi="Times New Roman" w:eastAsia="宋体" w:cs="宋体"/>
          <w:bCs w:val="0"/>
          <w:color w:val="auto"/>
          <w:kern w:val="2"/>
          <w:sz w:val="28"/>
          <w:szCs w:val="28"/>
          <w:lang w:val="zh-CN"/>
        </w:rPr>
        <w:t>＋</w:t>
      </w:r>
      <w:r>
        <w:rPr>
          <w:rFonts w:ascii="Times New Roman" w:hAnsi="Times New Roman" w:eastAsia="宋体" w:cs="宋体"/>
          <w:bCs w:val="0"/>
          <w:color w:val="auto"/>
          <w:kern w:val="2"/>
          <w:sz w:val="28"/>
          <w:szCs w:val="28"/>
          <w:lang w:val="zh-CN"/>
        </w:rPr>
        <w:t>q2/Q2</w:t>
      </w:r>
      <w:r>
        <w:rPr>
          <w:rFonts w:hint="eastAsia" w:ascii="Times New Roman" w:hAnsi="Times New Roman" w:eastAsia="宋体" w:cs="宋体"/>
          <w:bCs w:val="0"/>
          <w:color w:val="auto"/>
          <w:kern w:val="2"/>
          <w:sz w:val="28"/>
          <w:szCs w:val="28"/>
          <w:lang w:val="zh-CN"/>
        </w:rPr>
        <w:t>＋…＋</w:t>
      </w:r>
      <w:r>
        <w:rPr>
          <w:rFonts w:ascii="Times New Roman" w:hAnsi="Times New Roman" w:eastAsia="宋体" w:cs="宋体"/>
          <w:bCs w:val="0"/>
          <w:color w:val="auto"/>
          <w:kern w:val="2"/>
          <w:sz w:val="28"/>
          <w:szCs w:val="28"/>
          <w:lang w:val="zh-CN"/>
        </w:rPr>
        <w:t>qn/Qn</w:t>
      </w:r>
      <w:r>
        <w:rPr>
          <w:rFonts w:hint="eastAsia" w:ascii="Times New Roman" w:hAnsi="Times New Roman" w:eastAsia="宋体" w:cs="宋体"/>
          <w:bCs w:val="0"/>
          <w:color w:val="auto"/>
          <w:kern w:val="2"/>
          <w:sz w:val="28"/>
          <w:szCs w:val="28"/>
          <w:lang w:val="zh-CN"/>
        </w:rPr>
        <w:t>≥</w:t>
      </w:r>
      <w:r>
        <w:rPr>
          <w:rFonts w:ascii="Times New Roman" w:hAnsi="Times New Roman" w:eastAsia="宋体" w:cs="宋体"/>
          <w:bCs w:val="0"/>
          <w:color w:val="auto"/>
          <w:kern w:val="2"/>
          <w:sz w:val="28"/>
          <w:szCs w:val="28"/>
          <w:lang w:val="zh-CN"/>
        </w:rPr>
        <w:t>1</w:t>
      </w:r>
    </w:p>
    <w:p w14:paraId="47ED0F78">
      <w:pPr>
        <w:pageBreakBefore w:val="0"/>
        <w:widowControl w:val="0"/>
        <w:kinsoku/>
        <w:wordWrap/>
        <w:overflowPunct/>
        <w:topLinePunct w:val="0"/>
        <w:autoSpaceDE/>
        <w:autoSpaceDN/>
        <w:bidi w:val="0"/>
        <w:adjustRightInd/>
        <w:snapToGrid/>
        <w:spacing w:line="600" w:lineRule="exact"/>
        <w:ind w:left="1679" w:leftChars="266" w:hanging="1120" w:hangingChars="400"/>
        <w:textAlignment w:val="auto"/>
        <w:rPr>
          <w:rFonts w:ascii="Times New Roman" w:hAnsi="Times New Roman" w:eastAsia="宋体" w:cs="宋体"/>
          <w:bCs w:val="0"/>
          <w:color w:val="auto"/>
          <w:kern w:val="2"/>
          <w:sz w:val="28"/>
          <w:szCs w:val="28"/>
          <w:lang w:val="zh-CN"/>
        </w:rPr>
      </w:pPr>
      <w:r>
        <w:rPr>
          <w:rFonts w:hint="eastAsia" w:ascii="Times New Roman" w:hAnsi="Times New Roman" w:eastAsia="宋体" w:cs="宋体"/>
          <w:bCs w:val="0"/>
          <w:color w:val="auto"/>
          <w:kern w:val="2"/>
          <w:sz w:val="28"/>
          <w:szCs w:val="28"/>
          <w:lang w:val="zh-CN"/>
        </w:rPr>
        <w:t>式中：</w:t>
      </w:r>
      <w:r>
        <w:rPr>
          <w:rFonts w:ascii="Times New Roman" w:hAnsi="Times New Roman" w:eastAsia="宋体" w:cs="宋体"/>
          <w:bCs w:val="0"/>
          <w:color w:val="auto"/>
          <w:kern w:val="2"/>
          <w:sz w:val="28"/>
          <w:szCs w:val="28"/>
          <w:lang w:val="zh-CN"/>
        </w:rPr>
        <w:t>q</w:t>
      </w:r>
      <w:r>
        <w:rPr>
          <w:rFonts w:ascii="Times New Roman" w:hAnsi="Times New Roman" w:eastAsia="宋体" w:cs="宋体"/>
          <w:bCs w:val="0"/>
          <w:color w:val="auto"/>
          <w:kern w:val="2"/>
          <w:sz w:val="28"/>
          <w:szCs w:val="28"/>
          <w:vertAlign w:val="subscript"/>
          <w:lang w:val="zh-CN"/>
        </w:rPr>
        <w:t>1</w:t>
      </w:r>
      <w:r>
        <w:rPr>
          <w:rFonts w:ascii="Times New Roman" w:hAnsi="Times New Roman" w:eastAsia="宋体" w:cs="宋体"/>
          <w:bCs w:val="0"/>
          <w:color w:val="auto"/>
          <w:kern w:val="2"/>
          <w:sz w:val="28"/>
          <w:szCs w:val="28"/>
          <w:lang w:val="zh-CN"/>
        </w:rPr>
        <w:t>,q</w:t>
      </w:r>
      <w:r>
        <w:rPr>
          <w:rFonts w:ascii="Times New Roman" w:hAnsi="Times New Roman" w:eastAsia="宋体" w:cs="宋体"/>
          <w:bCs w:val="0"/>
          <w:color w:val="auto"/>
          <w:kern w:val="2"/>
          <w:sz w:val="28"/>
          <w:szCs w:val="28"/>
          <w:vertAlign w:val="subscript"/>
          <w:lang w:val="zh-CN"/>
        </w:rPr>
        <w:t>2</w:t>
      </w:r>
      <w:r>
        <w:rPr>
          <w:rFonts w:ascii="Times New Roman" w:hAnsi="Times New Roman" w:eastAsia="宋体" w:cs="宋体"/>
          <w:bCs w:val="0"/>
          <w:color w:val="auto"/>
          <w:kern w:val="2"/>
          <w:sz w:val="28"/>
          <w:szCs w:val="28"/>
          <w:lang w:val="zh-CN"/>
        </w:rPr>
        <w:t>...q</w:t>
      </w:r>
      <w:r>
        <w:rPr>
          <w:rFonts w:ascii="Times New Roman" w:hAnsi="Times New Roman" w:eastAsia="宋体" w:cs="宋体"/>
          <w:bCs w:val="0"/>
          <w:color w:val="auto"/>
          <w:kern w:val="2"/>
          <w:sz w:val="28"/>
          <w:szCs w:val="28"/>
          <w:vertAlign w:val="subscript"/>
          <w:lang w:val="zh-CN"/>
        </w:rPr>
        <w:t>n</w:t>
      </w:r>
      <w:r>
        <w:rPr>
          <w:rFonts w:ascii="Times New Roman" w:hAnsi="Times New Roman" w:eastAsia="宋体" w:cs="宋体"/>
          <w:bCs w:val="0"/>
          <w:color w:val="auto"/>
          <w:kern w:val="2"/>
          <w:sz w:val="28"/>
          <w:szCs w:val="28"/>
          <w:lang w:val="zh-CN"/>
        </w:rPr>
        <w:t>——</w:t>
      </w:r>
      <w:r>
        <w:rPr>
          <w:rFonts w:hint="eastAsia" w:ascii="Times New Roman" w:hAnsi="Times New Roman" w:eastAsia="宋体" w:cs="宋体"/>
          <w:bCs w:val="0"/>
          <w:color w:val="auto"/>
          <w:kern w:val="2"/>
          <w:sz w:val="28"/>
          <w:szCs w:val="28"/>
          <w:lang w:val="zh-CN"/>
        </w:rPr>
        <w:t>每种危险物质实际存在量，</w:t>
      </w:r>
      <w:r>
        <w:rPr>
          <w:rFonts w:ascii="Times New Roman" w:hAnsi="Times New Roman" w:eastAsia="宋体" w:cs="宋体"/>
          <w:bCs w:val="0"/>
          <w:color w:val="auto"/>
          <w:kern w:val="2"/>
          <w:sz w:val="28"/>
          <w:szCs w:val="28"/>
          <w:lang w:val="zh-CN"/>
        </w:rPr>
        <w:t>t</w:t>
      </w:r>
      <w:r>
        <w:rPr>
          <w:rFonts w:hint="eastAsia" w:ascii="Times New Roman" w:hAnsi="Times New Roman" w:eastAsia="宋体" w:cs="宋体"/>
          <w:bCs w:val="0"/>
          <w:color w:val="auto"/>
          <w:kern w:val="2"/>
          <w:sz w:val="28"/>
          <w:szCs w:val="28"/>
          <w:lang w:val="zh-CN"/>
        </w:rPr>
        <w:t>。</w:t>
      </w:r>
    </w:p>
    <w:p w14:paraId="3FD6137C">
      <w:pPr>
        <w:pageBreakBefore w:val="0"/>
        <w:widowControl w:val="0"/>
        <w:kinsoku/>
        <w:wordWrap/>
        <w:overflowPunct/>
        <w:topLinePunct w:val="0"/>
        <w:autoSpaceDE/>
        <w:autoSpaceDN/>
        <w:bidi w:val="0"/>
        <w:adjustRightInd/>
        <w:snapToGrid/>
        <w:spacing w:line="600" w:lineRule="exact"/>
        <w:ind w:left="1676" w:leftChars="665" w:hanging="280" w:hangingChars="100"/>
        <w:textAlignment w:val="auto"/>
        <w:rPr>
          <w:rFonts w:ascii="Times New Roman" w:hAnsi="Times New Roman" w:eastAsia="宋体" w:cs="宋体"/>
          <w:bCs w:val="0"/>
          <w:color w:val="auto"/>
          <w:kern w:val="2"/>
          <w:sz w:val="28"/>
          <w:szCs w:val="28"/>
          <w:lang w:val="zh-CN"/>
        </w:rPr>
      </w:pPr>
      <w:r>
        <w:rPr>
          <w:rFonts w:ascii="Times New Roman" w:hAnsi="Times New Roman" w:eastAsia="宋体" w:cs="宋体"/>
          <w:bCs w:val="0"/>
          <w:color w:val="auto"/>
          <w:kern w:val="2"/>
          <w:sz w:val="28"/>
          <w:szCs w:val="28"/>
          <w:lang w:val="zh-CN"/>
        </w:rPr>
        <w:t>Q</w:t>
      </w:r>
      <w:r>
        <w:rPr>
          <w:rFonts w:ascii="Times New Roman" w:hAnsi="Times New Roman" w:eastAsia="宋体" w:cs="宋体"/>
          <w:bCs w:val="0"/>
          <w:color w:val="auto"/>
          <w:kern w:val="2"/>
          <w:sz w:val="28"/>
          <w:szCs w:val="28"/>
          <w:vertAlign w:val="subscript"/>
          <w:lang w:val="zh-CN"/>
        </w:rPr>
        <w:t>1</w:t>
      </w:r>
      <w:r>
        <w:rPr>
          <w:rFonts w:ascii="Times New Roman" w:hAnsi="Times New Roman" w:eastAsia="宋体" w:cs="宋体"/>
          <w:bCs w:val="0"/>
          <w:color w:val="auto"/>
          <w:kern w:val="2"/>
          <w:sz w:val="28"/>
          <w:szCs w:val="28"/>
          <w:lang w:val="zh-CN"/>
        </w:rPr>
        <w:t>,Q</w:t>
      </w:r>
      <w:r>
        <w:rPr>
          <w:rFonts w:ascii="Times New Roman" w:hAnsi="Times New Roman" w:eastAsia="宋体" w:cs="宋体"/>
          <w:bCs w:val="0"/>
          <w:color w:val="auto"/>
          <w:kern w:val="2"/>
          <w:sz w:val="28"/>
          <w:szCs w:val="28"/>
          <w:vertAlign w:val="subscript"/>
          <w:lang w:val="zh-CN"/>
        </w:rPr>
        <w:t>2</w:t>
      </w:r>
      <w:r>
        <w:rPr>
          <w:rFonts w:ascii="Times New Roman" w:hAnsi="Times New Roman" w:eastAsia="宋体" w:cs="宋体"/>
          <w:bCs w:val="0"/>
          <w:color w:val="auto"/>
          <w:kern w:val="2"/>
          <w:sz w:val="28"/>
          <w:szCs w:val="28"/>
          <w:lang w:val="zh-CN"/>
        </w:rPr>
        <w:t>...Qn——</w:t>
      </w:r>
      <w:r>
        <w:rPr>
          <w:rFonts w:hint="eastAsia" w:ascii="Times New Roman" w:hAnsi="Times New Roman" w:eastAsia="宋体" w:cs="宋体"/>
          <w:bCs w:val="0"/>
          <w:color w:val="auto"/>
          <w:kern w:val="2"/>
          <w:sz w:val="28"/>
          <w:szCs w:val="28"/>
          <w:lang w:val="zh-CN"/>
        </w:rPr>
        <w:t>与各危险物质相对应的生产场所或储存区的临界量，</w:t>
      </w:r>
      <w:r>
        <w:rPr>
          <w:rFonts w:ascii="Times New Roman" w:hAnsi="Times New Roman" w:eastAsia="宋体" w:cs="宋体"/>
          <w:bCs w:val="0"/>
          <w:color w:val="auto"/>
          <w:kern w:val="2"/>
          <w:sz w:val="28"/>
          <w:szCs w:val="28"/>
          <w:lang w:val="zh-CN"/>
        </w:rPr>
        <w:t>t</w:t>
      </w:r>
      <w:r>
        <w:rPr>
          <w:rFonts w:hint="eastAsia" w:ascii="Times New Roman" w:hAnsi="Times New Roman" w:eastAsia="宋体" w:cs="宋体"/>
          <w:bCs w:val="0"/>
          <w:color w:val="auto"/>
          <w:kern w:val="2"/>
          <w:sz w:val="28"/>
          <w:szCs w:val="28"/>
          <w:lang w:val="zh-CN"/>
        </w:rPr>
        <w:t>。</w:t>
      </w:r>
    </w:p>
    <w:p w14:paraId="2F42BD6D">
      <w:pPr>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1、重大危险源辨识物质范畴</w:t>
      </w:r>
    </w:p>
    <w:p w14:paraId="7F46DDA1">
      <w:pPr>
        <w:rPr>
          <w:rFonts w:hint="eastAsia"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br w:type="page"/>
      </w:r>
    </w:p>
    <w:p w14:paraId="112114C0">
      <w:pPr>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lang w:val="zh-CN"/>
        </w:rPr>
        <w:t>表3</w:t>
      </w:r>
      <w:r>
        <w:rPr>
          <w:rFonts w:hint="eastAsia" w:ascii="Times New Roman" w:hAnsi="Times New Roman" w:eastAsia="宋体" w:cs="宋体"/>
          <w:bCs w:val="0"/>
          <w:color w:val="auto"/>
          <w:kern w:val="2"/>
          <w:sz w:val="24"/>
          <w:szCs w:val="24"/>
        </w:rPr>
        <w:t>.3-1</w:t>
      </w:r>
      <w:r>
        <w:rPr>
          <w:rFonts w:hint="eastAsia" w:ascii="Times New Roman" w:hAnsi="Times New Roman" w:eastAsia="宋体" w:cs="宋体"/>
          <w:bCs w:val="0"/>
          <w:color w:val="auto"/>
          <w:kern w:val="2"/>
          <w:sz w:val="24"/>
          <w:szCs w:val="24"/>
          <w:lang w:val="zh-CN"/>
        </w:rPr>
        <w:t xml:space="preserve">  涉及的危险化学品重大危险源辨识范畴内的物质表</w:t>
      </w:r>
    </w:p>
    <w:tbl>
      <w:tblPr>
        <w:tblStyle w:val="7"/>
        <w:tblW w:w="912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291"/>
        <w:gridCol w:w="1116"/>
        <w:gridCol w:w="1208"/>
        <w:gridCol w:w="3250"/>
        <w:gridCol w:w="1512"/>
      </w:tblGrid>
      <w:tr w14:paraId="6EA8B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44" w:type="dxa"/>
            <w:vAlign w:val="center"/>
          </w:tcPr>
          <w:p w14:paraId="74DD46B2">
            <w:pPr>
              <w:spacing w:line="36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序号</w:t>
            </w:r>
          </w:p>
        </w:tc>
        <w:tc>
          <w:tcPr>
            <w:tcW w:w="1291" w:type="dxa"/>
            <w:vAlign w:val="center"/>
          </w:tcPr>
          <w:p w14:paraId="79D0CF62">
            <w:pPr>
              <w:spacing w:line="36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介质名称</w:t>
            </w:r>
          </w:p>
        </w:tc>
        <w:tc>
          <w:tcPr>
            <w:tcW w:w="1116" w:type="dxa"/>
            <w:vAlign w:val="center"/>
          </w:tcPr>
          <w:p w14:paraId="471AB290">
            <w:pPr>
              <w:spacing w:line="36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目录序号</w:t>
            </w:r>
          </w:p>
        </w:tc>
        <w:tc>
          <w:tcPr>
            <w:tcW w:w="1208" w:type="dxa"/>
            <w:vAlign w:val="center"/>
          </w:tcPr>
          <w:p w14:paraId="0846358F">
            <w:pPr>
              <w:spacing w:line="36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CAS号</w:t>
            </w:r>
          </w:p>
        </w:tc>
        <w:tc>
          <w:tcPr>
            <w:tcW w:w="3250" w:type="dxa"/>
            <w:vAlign w:val="center"/>
          </w:tcPr>
          <w:p w14:paraId="4F88BF5E">
            <w:pPr>
              <w:spacing w:line="36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危险危害</w:t>
            </w:r>
          </w:p>
        </w:tc>
        <w:tc>
          <w:tcPr>
            <w:tcW w:w="1512" w:type="dxa"/>
            <w:vAlign w:val="center"/>
          </w:tcPr>
          <w:p w14:paraId="05588F4E">
            <w:pPr>
              <w:spacing w:line="360" w:lineRule="exact"/>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是否属辨识物</w:t>
            </w:r>
          </w:p>
        </w:tc>
      </w:tr>
      <w:tr w14:paraId="08E08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744" w:type="dxa"/>
            <w:vAlign w:val="center"/>
          </w:tcPr>
          <w:p w14:paraId="1F761359">
            <w:pPr>
              <w:widowControl w:val="0"/>
              <w:spacing w:line="240" w:lineRule="exact"/>
              <w:ind w:firstLine="0" w:firstLineChars="0"/>
              <w:jc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1</w:t>
            </w:r>
          </w:p>
        </w:tc>
        <w:tc>
          <w:tcPr>
            <w:tcW w:w="1291" w:type="dxa"/>
            <w:vAlign w:val="center"/>
          </w:tcPr>
          <w:p w14:paraId="16F870A4">
            <w:pPr>
              <w:spacing w:line="24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汽油</w:t>
            </w:r>
          </w:p>
        </w:tc>
        <w:tc>
          <w:tcPr>
            <w:tcW w:w="1116" w:type="dxa"/>
            <w:vAlign w:val="center"/>
          </w:tcPr>
          <w:p w14:paraId="380D852B">
            <w:pPr>
              <w:spacing w:line="24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1630</w:t>
            </w:r>
          </w:p>
        </w:tc>
        <w:tc>
          <w:tcPr>
            <w:tcW w:w="1208" w:type="dxa"/>
            <w:vAlign w:val="center"/>
          </w:tcPr>
          <w:p w14:paraId="4E494E39">
            <w:pPr>
              <w:spacing w:line="24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86290-81-5</w:t>
            </w:r>
          </w:p>
        </w:tc>
        <w:tc>
          <w:tcPr>
            <w:tcW w:w="3250" w:type="dxa"/>
            <w:vAlign w:val="center"/>
          </w:tcPr>
          <w:p w14:paraId="2F1D06E7">
            <w:pPr>
              <w:widowControl/>
              <w:spacing w:line="24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易燃液体</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类别2*</w:t>
            </w:r>
          </w:p>
          <w:p w14:paraId="14D569C7">
            <w:pPr>
              <w:widowControl/>
              <w:spacing w:line="24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生殖细胞致突变性</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类别1B</w:t>
            </w:r>
          </w:p>
          <w:p w14:paraId="67C96DB7">
            <w:pPr>
              <w:widowControl/>
              <w:spacing w:line="24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致癌性</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类别2</w:t>
            </w:r>
          </w:p>
          <w:p w14:paraId="5FFC3A42">
            <w:pPr>
              <w:widowControl/>
              <w:spacing w:line="24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吸入危害</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类别1</w:t>
            </w:r>
          </w:p>
          <w:p w14:paraId="6D1E4754">
            <w:pPr>
              <w:widowControl/>
              <w:spacing w:line="24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危害水生环境</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急性危害</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类别2</w:t>
            </w:r>
          </w:p>
          <w:p w14:paraId="577D4B99">
            <w:pPr>
              <w:spacing w:line="24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危害水生环境</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长期危害</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类别2</w:t>
            </w:r>
          </w:p>
        </w:tc>
        <w:tc>
          <w:tcPr>
            <w:tcW w:w="1512" w:type="dxa"/>
            <w:vAlign w:val="center"/>
          </w:tcPr>
          <w:p w14:paraId="44DF1F63">
            <w:pPr>
              <w:spacing w:line="24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是</w:t>
            </w:r>
          </w:p>
        </w:tc>
      </w:tr>
      <w:tr w14:paraId="2F66A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44" w:type="dxa"/>
            <w:vAlign w:val="center"/>
          </w:tcPr>
          <w:p w14:paraId="4AF52966">
            <w:pPr>
              <w:widowControl w:val="0"/>
              <w:spacing w:line="360" w:lineRule="exact"/>
              <w:ind w:firstLine="0" w:firstLineChars="0"/>
              <w:jc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2</w:t>
            </w:r>
          </w:p>
        </w:tc>
        <w:tc>
          <w:tcPr>
            <w:tcW w:w="1291" w:type="dxa"/>
            <w:vAlign w:val="center"/>
          </w:tcPr>
          <w:p w14:paraId="0F6D7ECD">
            <w:pPr>
              <w:spacing w:line="36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柴油</w:t>
            </w:r>
          </w:p>
        </w:tc>
        <w:tc>
          <w:tcPr>
            <w:tcW w:w="1116" w:type="dxa"/>
            <w:vAlign w:val="center"/>
          </w:tcPr>
          <w:p w14:paraId="4E5910D2">
            <w:pPr>
              <w:spacing w:line="36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1674</w:t>
            </w:r>
          </w:p>
        </w:tc>
        <w:tc>
          <w:tcPr>
            <w:tcW w:w="1208" w:type="dxa"/>
            <w:vAlign w:val="center"/>
          </w:tcPr>
          <w:p w14:paraId="0160E322">
            <w:pPr>
              <w:spacing w:line="36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w:t>
            </w:r>
          </w:p>
        </w:tc>
        <w:tc>
          <w:tcPr>
            <w:tcW w:w="3250" w:type="dxa"/>
            <w:vAlign w:val="center"/>
          </w:tcPr>
          <w:p w14:paraId="450C999D">
            <w:pPr>
              <w:spacing w:line="36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易燃液体</w:t>
            </w:r>
            <w:r>
              <w:rPr>
                <w:rFonts w:hint="eastAsia" w:ascii="Times New Roman" w:hAnsi="Times New Roman" w:eastAsia="宋体" w:cs="Times New Roman"/>
                <w:bCs w:val="0"/>
                <w:color w:val="auto"/>
                <w:kern w:val="0"/>
                <w:lang w:eastAsia="zh-CN"/>
              </w:rPr>
              <w:t>，</w:t>
            </w:r>
            <w:r>
              <w:rPr>
                <w:rFonts w:ascii="Times New Roman" w:hAnsi="Times New Roman" w:eastAsia="宋体" w:cs="Times New Roman"/>
                <w:bCs w:val="0"/>
                <w:color w:val="auto"/>
                <w:kern w:val="0"/>
              </w:rPr>
              <w:t>类别3</w:t>
            </w:r>
          </w:p>
        </w:tc>
        <w:tc>
          <w:tcPr>
            <w:tcW w:w="1512" w:type="dxa"/>
            <w:vAlign w:val="center"/>
          </w:tcPr>
          <w:p w14:paraId="49B45512">
            <w:pPr>
              <w:widowControl/>
              <w:spacing w:line="36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是</w:t>
            </w:r>
          </w:p>
        </w:tc>
      </w:tr>
    </w:tbl>
    <w:p w14:paraId="44C09F3D">
      <w:pPr>
        <w:spacing w:line="560" w:lineRule="exact"/>
        <w:ind w:firstLine="560" w:firstLineChars="200"/>
        <w:rPr>
          <w:rFonts w:ascii="Times New Roman" w:hAnsi="Times New Roman" w:eastAsia="宋体" w:cs="Times New Roman"/>
          <w:bCs w:val="0"/>
          <w:color w:val="auto"/>
          <w:kern w:val="2"/>
          <w:sz w:val="28"/>
          <w:szCs w:val="36"/>
          <w:lang w:val="zh-CN"/>
        </w:rPr>
      </w:pPr>
      <w:bookmarkStart w:id="59" w:name="_Toc23823"/>
      <w:bookmarkStart w:id="60" w:name="_Toc1761"/>
      <w:bookmarkStart w:id="61" w:name="_Toc15806"/>
      <w:bookmarkStart w:id="62" w:name="_Toc19249"/>
      <w:r>
        <w:rPr>
          <w:rFonts w:hint="eastAsia" w:ascii="Times New Roman" w:hAnsi="Times New Roman" w:eastAsia="宋体" w:cs="Times New Roman"/>
          <w:bCs w:val="0"/>
          <w:color w:val="auto"/>
          <w:kern w:val="2"/>
          <w:sz w:val="28"/>
          <w:szCs w:val="36"/>
        </w:rPr>
        <w:t>根据危险化学品《重大危险源辨识》（GB18218-2018）进行重大危险源辨识，该加油站列入重大危险源的物质有汽油、柴油。</w:t>
      </w:r>
      <w:bookmarkEnd w:id="59"/>
      <w:bookmarkEnd w:id="60"/>
      <w:bookmarkEnd w:id="61"/>
      <w:bookmarkEnd w:id="62"/>
    </w:p>
    <w:p w14:paraId="01D93C38">
      <w:pPr>
        <w:spacing w:line="560" w:lineRule="exact"/>
        <w:ind w:firstLine="560" w:firstLineChars="200"/>
        <w:rPr>
          <w:rFonts w:ascii="Times New Roman" w:hAnsi="Times New Roman" w:eastAsia="宋体" w:cs="宋体"/>
          <w:bCs w:val="0"/>
          <w:color w:val="auto"/>
          <w:kern w:val="0"/>
          <w:sz w:val="28"/>
          <w:szCs w:val="28"/>
        </w:rPr>
      </w:pPr>
      <w:r>
        <w:rPr>
          <w:rFonts w:hint="eastAsia" w:ascii="Times New Roman" w:hAnsi="Times New Roman" w:eastAsia="宋体" w:cs="宋体"/>
          <w:bCs w:val="0"/>
          <w:color w:val="auto"/>
          <w:kern w:val="0"/>
          <w:sz w:val="28"/>
          <w:szCs w:val="28"/>
        </w:rPr>
        <w:t>2、临界量</w:t>
      </w:r>
    </w:p>
    <w:p w14:paraId="6FA0721F">
      <w:pPr>
        <w:spacing w:line="560" w:lineRule="exact"/>
        <w:ind w:firstLine="560" w:firstLineChars="200"/>
        <w:rPr>
          <w:rFonts w:ascii="Times New Roman" w:hAnsi="Times New Roman" w:eastAsia="宋体" w:cs="宋体"/>
          <w:bCs w:val="0"/>
          <w:color w:val="auto"/>
          <w:kern w:val="2"/>
          <w:sz w:val="28"/>
          <w:szCs w:val="28"/>
          <w:lang w:val="zh-CN"/>
        </w:rPr>
      </w:pPr>
      <w:r>
        <w:rPr>
          <w:rFonts w:hint="eastAsia" w:ascii="Times New Roman" w:hAnsi="Times New Roman" w:eastAsia="宋体" w:cs="宋体"/>
          <w:bCs w:val="0"/>
          <w:color w:val="auto"/>
          <w:kern w:val="2"/>
          <w:sz w:val="28"/>
          <w:szCs w:val="28"/>
          <w:lang w:val="zh-CN"/>
        </w:rPr>
        <w:t>依据加油站提供的工艺及设备情况，该加油站涉及重大危险源辨识的物质临界量如下表。</w:t>
      </w:r>
    </w:p>
    <w:p w14:paraId="7A427DB9">
      <w:pPr>
        <w:jc w:val="center"/>
        <w:rPr>
          <w:rFonts w:ascii="Times New Roman" w:hAnsi="Times New Roman" w:eastAsia="宋体" w:cs="黑体"/>
          <w:bCs/>
          <w:color w:val="auto"/>
          <w:kern w:val="2"/>
          <w:sz w:val="24"/>
          <w:szCs w:val="24"/>
        </w:rPr>
      </w:pPr>
      <w:r>
        <w:rPr>
          <w:rFonts w:hint="eastAsia" w:ascii="Times New Roman" w:hAnsi="Times New Roman" w:eastAsia="宋体" w:cs="宋体"/>
          <w:bCs w:val="0"/>
          <w:color w:val="auto"/>
          <w:kern w:val="2"/>
          <w:sz w:val="24"/>
          <w:szCs w:val="24"/>
        </w:rPr>
        <w:t>表3.3-2 按GB18218-2018表1列出的物质表</w:t>
      </w:r>
    </w:p>
    <w:tbl>
      <w:tblPr>
        <w:tblStyle w:val="7"/>
        <w:tblW w:w="91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43"/>
        <w:gridCol w:w="2935"/>
        <w:gridCol w:w="3082"/>
        <w:gridCol w:w="1331"/>
      </w:tblGrid>
      <w:tr w14:paraId="722AE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93" w:type="dxa"/>
            <w:vAlign w:val="center"/>
          </w:tcPr>
          <w:p w14:paraId="64B6D903">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序号</w:t>
            </w:r>
          </w:p>
        </w:tc>
        <w:tc>
          <w:tcPr>
            <w:tcW w:w="1143" w:type="dxa"/>
            <w:vAlign w:val="center"/>
          </w:tcPr>
          <w:p w14:paraId="185E0F86">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顺序号</w:t>
            </w:r>
          </w:p>
        </w:tc>
        <w:tc>
          <w:tcPr>
            <w:tcW w:w="2935" w:type="dxa"/>
            <w:vAlign w:val="center"/>
          </w:tcPr>
          <w:p w14:paraId="4B7A080D">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介质名称</w:t>
            </w:r>
          </w:p>
        </w:tc>
        <w:tc>
          <w:tcPr>
            <w:tcW w:w="3082" w:type="dxa"/>
            <w:vAlign w:val="center"/>
          </w:tcPr>
          <w:p w14:paraId="0CFDA056">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CAS号</w:t>
            </w:r>
          </w:p>
        </w:tc>
        <w:tc>
          <w:tcPr>
            <w:tcW w:w="1331" w:type="dxa"/>
            <w:vAlign w:val="center"/>
          </w:tcPr>
          <w:p w14:paraId="7DB2571B">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临界量</w:t>
            </w:r>
          </w:p>
        </w:tc>
      </w:tr>
      <w:tr w14:paraId="17F61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93" w:type="dxa"/>
            <w:vAlign w:val="center"/>
          </w:tcPr>
          <w:p w14:paraId="143E424D">
            <w:pPr>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1</w:t>
            </w:r>
          </w:p>
        </w:tc>
        <w:tc>
          <w:tcPr>
            <w:tcW w:w="1143" w:type="dxa"/>
            <w:vAlign w:val="center"/>
          </w:tcPr>
          <w:p w14:paraId="1752D92A">
            <w:pPr>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66</w:t>
            </w:r>
          </w:p>
        </w:tc>
        <w:tc>
          <w:tcPr>
            <w:tcW w:w="2935" w:type="dxa"/>
            <w:vAlign w:val="center"/>
          </w:tcPr>
          <w:p w14:paraId="3E84A4CE">
            <w:pPr>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汽油</w:t>
            </w:r>
          </w:p>
        </w:tc>
        <w:tc>
          <w:tcPr>
            <w:tcW w:w="3082" w:type="dxa"/>
            <w:vAlign w:val="center"/>
          </w:tcPr>
          <w:p w14:paraId="6EC10859">
            <w:pPr>
              <w:jc w:val="center"/>
              <w:rPr>
                <w:rFonts w:ascii="Times New Roman" w:hAnsi="Times New Roman" w:eastAsia="宋体" w:cs="Times New Roman"/>
                <w:bCs w:val="0"/>
                <w:color w:val="auto"/>
                <w:kern w:val="2"/>
              </w:rPr>
            </w:pPr>
            <w:r>
              <w:rPr>
                <w:rFonts w:ascii="Times New Roman" w:hAnsi="Times New Roman" w:eastAsia="宋体" w:cs="宋体"/>
                <w:bCs w:val="0"/>
                <w:color w:val="auto"/>
                <w:kern w:val="0"/>
              </w:rPr>
              <w:t>86290-81-5</w:t>
            </w:r>
          </w:p>
        </w:tc>
        <w:tc>
          <w:tcPr>
            <w:tcW w:w="1331" w:type="dxa"/>
            <w:vAlign w:val="center"/>
          </w:tcPr>
          <w:p w14:paraId="49541D70">
            <w:pPr>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200</w:t>
            </w:r>
          </w:p>
        </w:tc>
      </w:tr>
    </w:tbl>
    <w:p w14:paraId="6A5EF85A">
      <w:pPr>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表3.3-3 按GB18218-2018表2列出的物质表</w:t>
      </w:r>
    </w:p>
    <w:tbl>
      <w:tblPr>
        <w:tblStyle w:val="7"/>
        <w:tblW w:w="91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58"/>
        <w:gridCol w:w="1248"/>
        <w:gridCol w:w="2209"/>
        <w:gridCol w:w="1232"/>
        <w:gridCol w:w="1442"/>
        <w:gridCol w:w="1314"/>
      </w:tblGrid>
      <w:tr w14:paraId="7A713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77" w:type="dxa"/>
            <w:vAlign w:val="center"/>
          </w:tcPr>
          <w:p w14:paraId="46E878CD">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序号</w:t>
            </w:r>
          </w:p>
        </w:tc>
        <w:tc>
          <w:tcPr>
            <w:tcW w:w="1058" w:type="dxa"/>
            <w:vAlign w:val="center"/>
          </w:tcPr>
          <w:p w14:paraId="52A5D496">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名称</w:t>
            </w:r>
          </w:p>
        </w:tc>
        <w:tc>
          <w:tcPr>
            <w:tcW w:w="1248" w:type="dxa"/>
            <w:vAlign w:val="center"/>
          </w:tcPr>
          <w:p w14:paraId="4663537F">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CAS</w:t>
            </w:r>
          </w:p>
        </w:tc>
        <w:tc>
          <w:tcPr>
            <w:tcW w:w="2209" w:type="dxa"/>
            <w:vAlign w:val="center"/>
          </w:tcPr>
          <w:p w14:paraId="0F7D0746">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危险性分类及说明</w:t>
            </w:r>
          </w:p>
        </w:tc>
        <w:tc>
          <w:tcPr>
            <w:tcW w:w="1232" w:type="dxa"/>
            <w:vAlign w:val="center"/>
          </w:tcPr>
          <w:p w14:paraId="16EF1BCB">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类别符号</w:t>
            </w:r>
          </w:p>
        </w:tc>
        <w:tc>
          <w:tcPr>
            <w:tcW w:w="1442" w:type="dxa"/>
            <w:vAlign w:val="center"/>
          </w:tcPr>
          <w:p w14:paraId="3E54C7D5">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临界量（t）</w:t>
            </w:r>
          </w:p>
        </w:tc>
        <w:tc>
          <w:tcPr>
            <w:tcW w:w="1314" w:type="dxa"/>
            <w:vAlign w:val="center"/>
          </w:tcPr>
          <w:p w14:paraId="2CAB05D1">
            <w:pPr>
              <w:autoSpaceDE w:val="0"/>
              <w:autoSpaceDN w:val="0"/>
              <w:adjustRightInd w:val="0"/>
              <w:jc w:val="center"/>
              <w:rPr>
                <w:rFonts w:ascii="Times New Roman" w:hAnsi="Times New Roman" w:eastAsia="宋体" w:cs="Times New Roman"/>
                <w:b/>
                <w:bCs/>
                <w:color w:val="auto"/>
                <w:kern w:val="2"/>
                <w:lang w:val="zh-CN"/>
              </w:rPr>
            </w:pPr>
            <w:r>
              <w:rPr>
                <w:rFonts w:hint="eastAsia" w:ascii="Times New Roman" w:hAnsi="Times New Roman" w:eastAsia="宋体" w:cs="Times New Roman"/>
                <w:b/>
                <w:bCs/>
                <w:color w:val="auto"/>
                <w:kern w:val="2"/>
                <w:lang w:val="zh-CN"/>
              </w:rPr>
              <w:t>备注</w:t>
            </w:r>
          </w:p>
        </w:tc>
      </w:tr>
      <w:tr w14:paraId="0D9D9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77" w:type="dxa"/>
            <w:vAlign w:val="center"/>
          </w:tcPr>
          <w:p w14:paraId="63F3EC98">
            <w:pPr>
              <w:autoSpaceDE w:val="0"/>
              <w:autoSpaceDN w:val="0"/>
              <w:adjustRightInd w:val="0"/>
              <w:jc w:val="center"/>
              <w:rPr>
                <w:rFonts w:ascii="Times New Roman" w:hAnsi="Times New Roman" w:eastAsia="宋体" w:cs="Times New Roman"/>
                <w:bCs w:val="0"/>
                <w:color w:val="auto"/>
                <w:kern w:val="2"/>
                <w:lang w:val="zh-CN"/>
              </w:rPr>
            </w:pPr>
            <w:r>
              <w:rPr>
                <w:rFonts w:hint="eastAsia" w:ascii="Times New Roman" w:hAnsi="Times New Roman" w:eastAsia="宋体" w:cs="Times New Roman"/>
                <w:bCs w:val="0"/>
                <w:color w:val="auto"/>
                <w:kern w:val="2"/>
                <w:lang w:val="zh-CN"/>
              </w:rPr>
              <w:t>1</w:t>
            </w:r>
          </w:p>
        </w:tc>
        <w:tc>
          <w:tcPr>
            <w:tcW w:w="1058" w:type="dxa"/>
            <w:vAlign w:val="center"/>
          </w:tcPr>
          <w:p w14:paraId="7711205C">
            <w:pPr>
              <w:autoSpaceDE w:val="0"/>
              <w:autoSpaceDN w:val="0"/>
              <w:adjustRightInd w:val="0"/>
              <w:jc w:val="center"/>
              <w:rPr>
                <w:rFonts w:ascii="Times New Roman" w:hAnsi="Times New Roman" w:eastAsia="宋体" w:cs="Times New Roman"/>
                <w:bCs w:val="0"/>
                <w:color w:val="auto"/>
                <w:kern w:val="2"/>
                <w:lang w:val="zh-CN"/>
              </w:rPr>
            </w:pPr>
            <w:r>
              <w:rPr>
                <w:rFonts w:hint="eastAsia" w:ascii="Times New Roman" w:hAnsi="Times New Roman" w:eastAsia="宋体" w:cs="Times New Roman"/>
                <w:bCs w:val="0"/>
                <w:color w:val="auto"/>
                <w:kern w:val="2"/>
              </w:rPr>
              <w:t>柴油</w:t>
            </w:r>
          </w:p>
        </w:tc>
        <w:tc>
          <w:tcPr>
            <w:tcW w:w="1248" w:type="dxa"/>
            <w:vAlign w:val="center"/>
          </w:tcPr>
          <w:p w14:paraId="14B2DD3C">
            <w:pPr>
              <w:autoSpaceDE w:val="0"/>
              <w:autoSpaceDN w:val="0"/>
              <w:adjustRightInd w:val="0"/>
              <w:jc w:val="center"/>
              <w:rPr>
                <w:rFonts w:ascii="Times New Roman" w:hAnsi="Times New Roman" w:eastAsia="宋体" w:cs="Times New Roman"/>
                <w:bCs w:val="0"/>
                <w:color w:val="auto"/>
                <w:kern w:val="2"/>
                <w:lang w:val="zh-CN"/>
              </w:rPr>
            </w:pPr>
            <w:r>
              <w:rPr>
                <w:rFonts w:hint="eastAsia" w:ascii="Times New Roman" w:hAnsi="Times New Roman" w:eastAsia="宋体" w:cs="宋体"/>
                <w:bCs w:val="0"/>
                <w:color w:val="auto"/>
                <w:kern w:val="0"/>
              </w:rPr>
              <w:t>68334-30-5</w:t>
            </w:r>
          </w:p>
        </w:tc>
        <w:tc>
          <w:tcPr>
            <w:tcW w:w="2209" w:type="dxa"/>
            <w:vAlign w:val="center"/>
          </w:tcPr>
          <w:p w14:paraId="2CCF9F21">
            <w:pPr>
              <w:widowControl/>
              <w:spacing w:line="340" w:lineRule="exact"/>
              <w:jc w:val="center"/>
              <w:rPr>
                <w:rFonts w:ascii="Times New Roman" w:hAnsi="Times New Roman" w:eastAsia="宋体" w:cs="宋体"/>
                <w:bCs w:val="0"/>
                <w:color w:val="auto"/>
                <w:kern w:val="0"/>
              </w:rPr>
            </w:pPr>
            <w:r>
              <w:rPr>
                <w:rFonts w:ascii="Times New Roman" w:hAnsi="Times New Roman" w:eastAsia="宋体" w:cs="宋体"/>
                <w:bCs w:val="0"/>
                <w:color w:val="auto"/>
                <w:kern w:val="0"/>
              </w:rPr>
              <w:t>易燃液体</w:t>
            </w:r>
            <w:r>
              <w:rPr>
                <w:rFonts w:hint="eastAsia" w:ascii="Times New Roman" w:hAnsi="Times New Roman" w:eastAsia="宋体" w:cs="宋体"/>
                <w:bCs w:val="0"/>
                <w:color w:val="auto"/>
                <w:kern w:val="0"/>
                <w:lang w:eastAsia="zh-CN"/>
              </w:rPr>
              <w:t>，</w:t>
            </w:r>
            <w:r>
              <w:rPr>
                <w:rFonts w:ascii="Times New Roman" w:hAnsi="Times New Roman" w:eastAsia="宋体" w:cs="宋体"/>
                <w:bCs w:val="0"/>
                <w:color w:val="auto"/>
                <w:kern w:val="0"/>
              </w:rPr>
              <w:t>类别</w:t>
            </w:r>
            <w:r>
              <w:rPr>
                <w:rFonts w:hint="eastAsia" w:ascii="Times New Roman" w:hAnsi="Times New Roman" w:eastAsia="宋体" w:cs="宋体"/>
                <w:bCs w:val="0"/>
                <w:color w:val="auto"/>
                <w:kern w:val="0"/>
              </w:rPr>
              <w:t>3</w:t>
            </w:r>
          </w:p>
        </w:tc>
        <w:tc>
          <w:tcPr>
            <w:tcW w:w="1232" w:type="dxa"/>
            <w:vAlign w:val="center"/>
          </w:tcPr>
          <w:p w14:paraId="4B440FB1">
            <w:pPr>
              <w:autoSpaceDE w:val="0"/>
              <w:autoSpaceDN w:val="0"/>
              <w:adjustRightInd w:val="0"/>
              <w:jc w:val="center"/>
              <w:rPr>
                <w:rFonts w:ascii="Times New Roman" w:hAnsi="Times New Roman" w:eastAsia="宋体" w:cs="Times New Roman"/>
                <w:bCs w:val="0"/>
                <w:color w:val="auto"/>
                <w:kern w:val="2"/>
                <w:lang w:val="zh-CN"/>
              </w:rPr>
            </w:pPr>
            <w:r>
              <w:rPr>
                <w:rFonts w:hint="eastAsia" w:ascii="Times New Roman" w:hAnsi="Times New Roman" w:eastAsia="宋体" w:cs="Times New Roman"/>
                <w:bCs w:val="0"/>
                <w:color w:val="auto"/>
                <w:kern w:val="2"/>
                <w:lang w:val="zh-CN"/>
              </w:rPr>
              <w:t>W5.4</w:t>
            </w:r>
          </w:p>
        </w:tc>
        <w:tc>
          <w:tcPr>
            <w:tcW w:w="1442" w:type="dxa"/>
            <w:vAlign w:val="center"/>
          </w:tcPr>
          <w:p w14:paraId="6225AFDC">
            <w:pPr>
              <w:autoSpaceDE w:val="0"/>
              <w:autoSpaceDN w:val="0"/>
              <w:adjustRightInd w:val="0"/>
              <w:jc w:val="center"/>
              <w:rPr>
                <w:rFonts w:ascii="Times New Roman" w:hAnsi="Times New Roman" w:eastAsia="宋体" w:cs="Times New Roman"/>
                <w:bCs w:val="0"/>
                <w:color w:val="auto"/>
                <w:kern w:val="2"/>
                <w:lang w:val="zh-CN"/>
              </w:rPr>
            </w:pPr>
            <w:r>
              <w:rPr>
                <w:rFonts w:hint="eastAsia" w:ascii="Times New Roman" w:hAnsi="Times New Roman" w:eastAsia="宋体" w:cs="Times New Roman"/>
                <w:bCs w:val="0"/>
                <w:color w:val="auto"/>
                <w:kern w:val="2"/>
                <w:lang w:val="zh-CN"/>
              </w:rPr>
              <w:t>5000</w:t>
            </w:r>
          </w:p>
        </w:tc>
        <w:tc>
          <w:tcPr>
            <w:tcW w:w="1314" w:type="dxa"/>
            <w:vAlign w:val="center"/>
          </w:tcPr>
          <w:p w14:paraId="07830384">
            <w:pPr>
              <w:autoSpaceDE w:val="0"/>
              <w:autoSpaceDN w:val="0"/>
              <w:adjustRightInd w:val="0"/>
              <w:jc w:val="center"/>
              <w:rPr>
                <w:rFonts w:ascii="Times New Roman" w:hAnsi="Times New Roman" w:eastAsia="宋体" w:cs="Times New Roman"/>
                <w:bCs w:val="0"/>
                <w:color w:val="auto"/>
                <w:kern w:val="2"/>
                <w:lang w:val="zh-CN"/>
              </w:rPr>
            </w:pPr>
          </w:p>
        </w:tc>
      </w:tr>
    </w:tbl>
    <w:p w14:paraId="7C333A02">
      <w:pPr>
        <w:spacing w:line="560" w:lineRule="exact"/>
        <w:ind w:firstLine="560" w:firstLineChars="200"/>
        <w:rPr>
          <w:rFonts w:ascii="Times New Roman" w:hAnsi="Times New Roman" w:eastAsia="宋体" w:cs="宋体"/>
          <w:bCs w:val="0"/>
          <w:color w:val="auto"/>
          <w:kern w:val="0"/>
          <w:sz w:val="28"/>
          <w:szCs w:val="28"/>
        </w:rPr>
      </w:pPr>
      <w:r>
        <w:rPr>
          <w:rFonts w:hint="eastAsia" w:ascii="Times New Roman" w:hAnsi="Times New Roman" w:eastAsia="宋体" w:cs="宋体"/>
          <w:bCs w:val="0"/>
          <w:color w:val="auto"/>
          <w:kern w:val="0"/>
          <w:sz w:val="28"/>
          <w:szCs w:val="28"/>
        </w:rPr>
        <w:t>3、单元划分</w:t>
      </w:r>
    </w:p>
    <w:p w14:paraId="536E0944">
      <w:pPr>
        <w:spacing w:line="56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该站单元划</w:t>
      </w:r>
      <w:r>
        <w:rPr>
          <w:rFonts w:hint="eastAsia" w:ascii="Times New Roman" w:hAnsi="Times New Roman" w:eastAsia="宋体" w:cs="宋体"/>
          <w:bCs w:val="0"/>
          <w:color w:val="auto"/>
          <w:kern w:val="2"/>
          <w:sz w:val="28"/>
          <w:szCs w:val="28"/>
          <w:lang w:eastAsia="zh-CN"/>
        </w:rPr>
        <w:t>分</w:t>
      </w:r>
      <w:r>
        <w:rPr>
          <w:rFonts w:hint="eastAsia" w:ascii="Times New Roman" w:hAnsi="Times New Roman" w:eastAsia="宋体" w:cs="宋体"/>
          <w:bCs w:val="0"/>
          <w:color w:val="auto"/>
          <w:kern w:val="2"/>
          <w:sz w:val="28"/>
          <w:szCs w:val="28"/>
        </w:rPr>
        <w:t>为生产单元和储存单元，加油罩棚区为生产单元，埋地油罐区为储存单元。</w:t>
      </w:r>
    </w:p>
    <w:p w14:paraId="7FBEBD93">
      <w:pPr>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（1）储存单元</w:t>
      </w:r>
    </w:p>
    <w:p w14:paraId="4ED9C6A2">
      <w:pPr>
        <w:spacing w:line="240" w:lineRule="atLeast"/>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表3.3-4 储存单元划分表</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624"/>
        <w:gridCol w:w="4908"/>
        <w:gridCol w:w="1262"/>
      </w:tblGrid>
      <w:tr w14:paraId="3188B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865" w:type="dxa"/>
            <w:vAlign w:val="center"/>
          </w:tcPr>
          <w:p w14:paraId="00457299">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序号</w:t>
            </w:r>
          </w:p>
        </w:tc>
        <w:tc>
          <w:tcPr>
            <w:tcW w:w="1624" w:type="dxa"/>
            <w:vAlign w:val="center"/>
          </w:tcPr>
          <w:p w14:paraId="45603056">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单元名称</w:t>
            </w:r>
          </w:p>
        </w:tc>
        <w:tc>
          <w:tcPr>
            <w:tcW w:w="4908" w:type="dxa"/>
            <w:vAlign w:val="center"/>
          </w:tcPr>
          <w:p w14:paraId="1DEE7B6D">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基本情况</w:t>
            </w:r>
          </w:p>
        </w:tc>
        <w:tc>
          <w:tcPr>
            <w:tcW w:w="1262" w:type="dxa"/>
            <w:vAlign w:val="center"/>
          </w:tcPr>
          <w:p w14:paraId="198DBB18">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备注</w:t>
            </w:r>
          </w:p>
        </w:tc>
      </w:tr>
      <w:tr w14:paraId="30746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65" w:type="dxa"/>
            <w:vAlign w:val="center"/>
          </w:tcPr>
          <w:p w14:paraId="70F6AAD8">
            <w:pPr>
              <w:jc w:val="center"/>
              <w:rPr>
                <w:rFonts w:ascii="Times New Roman" w:hAnsi="Times New Roman" w:eastAsia="宋体" w:cs="Times New Roman"/>
                <w:bCs w:val="0"/>
                <w:color w:val="auto"/>
                <w:kern w:val="2"/>
              </w:rPr>
            </w:pPr>
            <w:r>
              <w:rPr>
                <w:rFonts w:ascii="Times New Roman" w:hAnsi="Times New Roman" w:eastAsia="宋体" w:cs="Times New Roman"/>
                <w:color w:val="auto"/>
              </w:rPr>
              <w:t>1</w:t>
            </w:r>
          </w:p>
        </w:tc>
        <w:tc>
          <w:tcPr>
            <w:tcW w:w="1624" w:type="dxa"/>
            <w:vAlign w:val="center"/>
          </w:tcPr>
          <w:p w14:paraId="03C22C81">
            <w:pPr>
              <w:jc w:val="center"/>
              <w:rPr>
                <w:rFonts w:ascii="Times New Roman" w:hAnsi="Times New Roman" w:eastAsia="宋体" w:cs="Times New Roman"/>
                <w:bCs w:val="0"/>
                <w:color w:val="auto"/>
                <w:kern w:val="2"/>
              </w:rPr>
            </w:pPr>
            <w:r>
              <w:rPr>
                <w:rFonts w:ascii="Times New Roman" w:hAnsi="Times New Roman" w:eastAsia="宋体" w:cs="Times New Roman"/>
                <w:color w:val="auto"/>
              </w:rPr>
              <w:t>油储罐区</w:t>
            </w:r>
          </w:p>
        </w:tc>
        <w:tc>
          <w:tcPr>
            <w:tcW w:w="4908" w:type="dxa"/>
            <w:vAlign w:val="center"/>
          </w:tcPr>
          <w:p w14:paraId="7E386C89">
            <w:pPr>
              <w:jc w:val="center"/>
              <w:rPr>
                <w:rFonts w:ascii="Times New Roman" w:hAnsi="Times New Roman" w:eastAsia="宋体" w:cs="Times New Roman"/>
                <w:bCs w:val="0"/>
                <w:color w:val="auto"/>
                <w:kern w:val="2"/>
              </w:rPr>
            </w:pP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0m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的柴油储罐1个、</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0m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的汽油储罐</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个</w:t>
            </w:r>
          </w:p>
        </w:tc>
        <w:tc>
          <w:tcPr>
            <w:tcW w:w="1262" w:type="dxa"/>
            <w:vAlign w:val="center"/>
          </w:tcPr>
          <w:p w14:paraId="1C0922BE">
            <w:pPr>
              <w:jc w:val="center"/>
              <w:rPr>
                <w:rFonts w:ascii="Times New Roman" w:hAnsi="Times New Roman" w:eastAsia="宋体" w:cs="Times New Roman"/>
                <w:bCs w:val="0"/>
                <w:color w:val="auto"/>
                <w:kern w:val="2"/>
              </w:rPr>
            </w:pPr>
          </w:p>
        </w:tc>
      </w:tr>
    </w:tbl>
    <w:p w14:paraId="7D1044E5">
      <w:pPr>
        <w:spacing w:line="560" w:lineRule="exact"/>
        <w:ind w:firstLine="536" w:firstLineChars="200"/>
        <w:rPr>
          <w:rFonts w:ascii="Times New Roman" w:hAnsi="Times New Roman" w:eastAsia="宋体" w:cs="宋体"/>
          <w:bCs w:val="0"/>
          <w:color w:val="auto"/>
          <w:kern w:val="2"/>
          <w:sz w:val="28"/>
          <w:szCs w:val="28"/>
          <w:lang w:val="zh-CN"/>
        </w:rPr>
      </w:pPr>
      <w:r>
        <w:rPr>
          <w:rFonts w:ascii="Times New Roman" w:hAnsi="Times New Roman" w:eastAsia="宋体" w:cs="Times New Roman"/>
          <w:bCs w:val="0"/>
          <w:color w:val="auto"/>
          <w:spacing w:val="-6"/>
          <w:kern w:val="2"/>
          <w:sz w:val="28"/>
          <w:szCs w:val="28"/>
        </w:rPr>
        <w:t>该</w:t>
      </w:r>
      <w:r>
        <w:rPr>
          <w:rFonts w:ascii="Times New Roman" w:hAnsi="Times New Roman" w:eastAsia="宋体" w:cs="Times New Roman"/>
          <w:bCs w:val="0"/>
          <w:color w:val="auto"/>
          <w:spacing w:val="-6"/>
          <w:kern w:val="2"/>
          <w:sz w:val="28"/>
          <w:szCs w:val="28"/>
          <w:lang w:val="zh-CN"/>
        </w:rPr>
        <w:t>加油站设</w:t>
      </w:r>
      <w:r>
        <w:rPr>
          <w:rFonts w:hint="eastAsia" w:ascii="Times New Roman" w:hAnsi="Times New Roman" w:eastAsia="宋体" w:cs="Times New Roman"/>
          <w:bCs w:val="0"/>
          <w:color w:val="auto"/>
          <w:spacing w:val="-6"/>
          <w:kern w:val="2"/>
          <w:sz w:val="28"/>
          <w:szCs w:val="28"/>
          <w:lang w:val="en-US" w:eastAsia="zh-CN"/>
        </w:rPr>
        <w:t>1</w:t>
      </w:r>
      <w:r>
        <w:rPr>
          <w:rFonts w:ascii="Times New Roman" w:hAnsi="Times New Roman" w:eastAsia="宋体" w:cs="Times New Roman"/>
          <w:bCs w:val="0"/>
          <w:color w:val="auto"/>
          <w:spacing w:val="-6"/>
          <w:kern w:val="2"/>
          <w:sz w:val="28"/>
          <w:szCs w:val="28"/>
          <w:lang w:val="zh-CN"/>
        </w:rPr>
        <w:t>个汽油储罐，汽油最大储存量为</w:t>
      </w:r>
      <w:r>
        <w:rPr>
          <w:rFonts w:hint="eastAsia" w:ascii="Times New Roman" w:hAnsi="Times New Roman" w:eastAsia="宋体" w:cs="Times New Roman"/>
          <w:bCs w:val="0"/>
          <w:color w:val="auto"/>
          <w:spacing w:val="-6"/>
          <w:kern w:val="2"/>
          <w:sz w:val="28"/>
          <w:szCs w:val="28"/>
          <w:lang w:val="en-US" w:eastAsia="zh-CN"/>
        </w:rPr>
        <w:t>3</w:t>
      </w:r>
      <w:r>
        <w:rPr>
          <w:rFonts w:hint="eastAsia" w:ascii="Times New Roman" w:hAnsi="Times New Roman" w:eastAsia="宋体" w:cs="Times New Roman"/>
          <w:bCs w:val="0"/>
          <w:color w:val="auto"/>
          <w:spacing w:val="-6"/>
          <w:kern w:val="2"/>
          <w:sz w:val="28"/>
          <w:szCs w:val="28"/>
        </w:rPr>
        <w:t>0</w:t>
      </w:r>
      <w:r>
        <w:rPr>
          <w:rFonts w:ascii="Times New Roman" w:hAnsi="Times New Roman" w:eastAsia="宋体" w:cs="Times New Roman"/>
          <w:bCs w:val="0"/>
          <w:color w:val="auto"/>
          <w:spacing w:val="-6"/>
          <w:kern w:val="2"/>
          <w:sz w:val="28"/>
          <w:szCs w:val="28"/>
          <w:lang w:val="zh-CN"/>
        </w:rPr>
        <w:t>m</w:t>
      </w:r>
      <w:r>
        <w:rPr>
          <w:rFonts w:ascii="Times New Roman" w:hAnsi="Times New Roman" w:eastAsia="宋体" w:cs="Times New Roman"/>
          <w:bCs w:val="0"/>
          <w:color w:val="auto"/>
          <w:spacing w:val="-6"/>
          <w:kern w:val="2"/>
          <w:sz w:val="28"/>
          <w:szCs w:val="28"/>
          <w:vertAlign w:val="superscript"/>
          <w:lang w:val="zh-CN"/>
        </w:rPr>
        <w:t>3</w:t>
      </w:r>
      <w:r>
        <w:rPr>
          <w:rFonts w:ascii="Times New Roman" w:hAnsi="Times New Roman" w:eastAsia="宋体" w:cs="Times New Roman"/>
          <w:bCs w:val="0"/>
          <w:color w:val="auto"/>
          <w:spacing w:val="-6"/>
          <w:kern w:val="2"/>
          <w:sz w:val="28"/>
          <w:szCs w:val="28"/>
          <w:lang w:val="zh-CN"/>
        </w:rPr>
        <w:t>，汽油的相对密度（水＝1）：0.70-0.79，以0.75算，</w:t>
      </w:r>
      <w:r>
        <w:rPr>
          <w:rFonts w:ascii="Times New Roman" w:hAnsi="Times New Roman" w:eastAsia="宋体" w:cs="Times New Roman"/>
          <w:bCs w:val="0"/>
          <w:color w:val="auto"/>
          <w:spacing w:val="-6"/>
          <w:kern w:val="2"/>
          <w:sz w:val="28"/>
          <w:szCs w:val="28"/>
        </w:rPr>
        <w:t>最大量</w:t>
      </w:r>
      <w:r>
        <w:rPr>
          <w:rFonts w:ascii="Times New Roman" w:hAnsi="Times New Roman" w:eastAsia="宋体" w:cs="Times New Roman"/>
          <w:bCs w:val="0"/>
          <w:color w:val="auto"/>
          <w:spacing w:val="-6"/>
          <w:kern w:val="2"/>
          <w:sz w:val="28"/>
          <w:szCs w:val="28"/>
          <w:lang w:val="zh-CN"/>
        </w:rPr>
        <w:t>为</w:t>
      </w:r>
      <w:r>
        <w:rPr>
          <w:rFonts w:hint="eastAsia" w:ascii="Times New Roman" w:hAnsi="Times New Roman" w:eastAsia="宋体" w:cs="Times New Roman"/>
          <w:bCs w:val="0"/>
          <w:color w:val="auto"/>
          <w:spacing w:val="-6"/>
          <w:kern w:val="2"/>
          <w:sz w:val="28"/>
          <w:szCs w:val="28"/>
          <w:lang w:val="en-US" w:eastAsia="zh-CN"/>
        </w:rPr>
        <w:t>22.5</w:t>
      </w:r>
      <w:r>
        <w:rPr>
          <w:rFonts w:ascii="Times New Roman" w:hAnsi="Times New Roman" w:eastAsia="宋体" w:cs="Times New Roman"/>
          <w:bCs w:val="0"/>
          <w:color w:val="auto"/>
          <w:spacing w:val="-6"/>
          <w:kern w:val="2"/>
          <w:sz w:val="28"/>
          <w:szCs w:val="28"/>
        </w:rPr>
        <w:t>t</w:t>
      </w:r>
      <w:r>
        <w:rPr>
          <w:rFonts w:ascii="Times New Roman" w:hAnsi="Times New Roman" w:eastAsia="宋体" w:cs="Times New Roman"/>
          <w:bCs w:val="0"/>
          <w:color w:val="auto"/>
          <w:spacing w:val="-6"/>
          <w:kern w:val="2"/>
          <w:sz w:val="28"/>
          <w:szCs w:val="28"/>
          <w:lang w:val="zh-CN"/>
        </w:rPr>
        <w:t>；</w:t>
      </w:r>
      <w:r>
        <w:rPr>
          <w:rFonts w:hint="eastAsia" w:ascii="Times New Roman" w:hAnsi="Times New Roman" w:eastAsia="宋体" w:cs="Times New Roman"/>
          <w:bCs w:val="0"/>
          <w:color w:val="auto"/>
          <w:spacing w:val="-6"/>
          <w:kern w:val="2"/>
          <w:sz w:val="28"/>
          <w:szCs w:val="28"/>
        </w:rPr>
        <w:t>1</w:t>
      </w:r>
      <w:r>
        <w:rPr>
          <w:rFonts w:ascii="Times New Roman" w:hAnsi="Times New Roman" w:eastAsia="宋体" w:cs="Times New Roman"/>
          <w:bCs w:val="0"/>
          <w:color w:val="auto"/>
          <w:spacing w:val="-6"/>
          <w:kern w:val="2"/>
          <w:sz w:val="28"/>
          <w:szCs w:val="28"/>
          <w:lang w:val="zh-CN"/>
        </w:rPr>
        <w:t>个柴油储罐，柴油最大储存量为</w:t>
      </w:r>
      <w:r>
        <w:rPr>
          <w:rFonts w:hint="eastAsia" w:ascii="Times New Roman" w:hAnsi="Times New Roman" w:eastAsia="宋体" w:cs="Times New Roman"/>
          <w:bCs w:val="0"/>
          <w:color w:val="auto"/>
          <w:spacing w:val="-6"/>
          <w:kern w:val="2"/>
          <w:sz w:val="28"/>
          <w:szCs w:val="28"/>
          <w:lang w:val="en-US" w:eastAsia="zh-CN"/>
        </w:rPr>
        <w:t>3</w:t>
      </w:r>
      <w:r>
        <w:rPr>
          <w:rFonts w:hint="eastAsia" w:ascii="Times New Roman" w:hAnsi="Times New Roman" w:eastAsia="宋体" w:cs="Times New Roman"/>
          <w:bCs w:val="0"/>
          <w:color w:val="auto"/>
          <w:spacing w:val="-6"/>
          <w:kern w:val="2"/>
          <w:sz w:val="28"/>
          <w:szCs w:val="28"/>
        </w:rPr>
        <w:t>0</w:t>
      </w:r>
      <w:r>
        <w:rPr>
          <w:rFonts w:ascii="Times New Roman" w:hAnsi="Times New Roman" w:eastAsia="宋体" w:cs="Times New Roman"/>
          <w:bCs w:val="0"/>
          <w:color w:val="auto"/>
          <w:spacing w:val="-6"/>
          <w:kern w:val="2"/>
          <w:sz w:val="28"/>
          <w:szCs w:val="28"/>
          <w:lang w:val="zh-CN"/>
        </w:rPr>
        <w:t>m</w:t>
      </w:r>
      <w:r>
        <w:rPr>
          <w:rFonts w:ascii="Times New Roman" w:hAnsi="Times New Roman" w:eastAsia="宋体" w:cs="Times New Roman"/>
          <w:bCs w:val="0"/>
          <w:color w:val="auto"/>
          <w:spacing w:val="-6"/>
          <w:kern w:val="2"/>
          <w:sz w:val="28"/>
          <w:szCs w:val="28"/>
          <w:vertAlign w:val="superscript"/>
          <w:lang w:val="zh-CN"/>
        </w:rPr>
        <w:t>3</w:t>
      </w:r>
      <w:r>
        <w:rPr>
          <w:rFonts w:ascii="Times New Roman" w:hAnsi="Times New Roman" w:eastAsia="宋体" w:cs="Times New Roman"/>
          <w:bCs w:val="0"/>
          <w:color w:val="auto"/>
          <w:spacing w:val="-6"/>
          <w:kern w:val="2"/>
          <w:sz w:val="28"/>
          <w:szCs w:val="28"/>
          <w:lang w:val="zh-CN"/>
        </w:rPr>
        <w:t>，柴油的相对密度（水＝1）：0.8-0.9，以0.8</w:t>
      </w:r>
      <w:r>
        <w:rPr>
          <w:rFonts w:ascii="Times New Roman" w:hAnsi="Times New Roman" w:eastAsia="宋体" w:cs="Times New Roman"/>
          <w:bCs w:val="0"/>
          <w:color w:val="auto"/>
          <w:spacing w:val="-6"/>
          <w:kern w:val="2"/>
          <w:sz w:val="28"/>
          <w:szCs w:val="28"/>
        </w:rPr>
        <w:t>5</w:t>
      </w:r>
      <w:r>
        <w:rPr>
          <w:rFonts w:ascii="Times New Roman" w:hAnsi="Times New Roman" w:eastAsia="宋体" w:cs="Times New Roman"/>
          <w:bCs w:val="0"/>
          <w:color w:val="auto"/>
          <w:spacing w:val="-6"/>
          <w:kern w:val="2"/>
          <w:sz w:val="28"/>
          <w:szCs w:val="28"/>
          <w:lang w:val="zh-CN"/>
        </w:rPr>
        <w:t>算，</w:t>
      </w:r>
      <w:r>
        <w:rPr>
          <w:rFonts w:ascii="Times New Roman" w:hAnsi="Times New Roman" w:eastAsia="宋体" w:cs="Times New Roman"/>
          <w:bCs w:val="0"/>
          <w:color w:val="auto"/>
          <w:spacing w:val="-6"/>
          <w:kern w:val="2"/>
          <w:sz w:val="28"/>
          <w:szCs w:val="28"/>
        </w:rPr>
        <w:t>最大量</w:t>
      </w:r>
      <w:r>
        <w:rPr>
          <w:rFonts w:ascii="Times New Roman" w:hAnsi="Times New Roman" w:eastAsia="宋体" w:cs="Times New Roman"/>
          <w:bCs w:val="0"/>
          <w:color w:val="auto"/>
          <w:spacing w:val="-6"/>
          <w:kern w:val="2"/>
          <w:sz w:val="28"/>
          <w:szCs w:val="28"/>
          <w:lang w:val="zh-CN"/>
        </w:rPr>
        <w:t>为</w:t>
      </w:r>
      <w:r>
        <w:rPr>
          <w:rFonts w:hint="eastAsia" w:ascii="Times New Roman" w:hAnsi="Times New Roman" w:eastAsia="宋体" w:cs="Times New Roman"/>
          <w:bCs w:val="0"/>
          <w:color w:val="auto"/>
          <w:spacing w:val="-6"/>
          <w:kern w:val="2"/>
          <w:sz w:val="28"/>
          <w:szCs w:val="28"/>
          <w:lang w:val="en-US" w:eastAsia="zh-CN"/>
        </w:rPr>
        <w:t>25.5</w:t>
      </w:r>
      <w:r>
        <w:rPr>
          <w:rFonts w:ascii="Times New Roman" w:hAnsi="Times New Roman" w:eastAsia="宋体" w:cs="Times New Roman"/>
          <w:bCs w:val="0"/>
          <w:color w:val="auto"/>
          <w:spacing w:val="-6"/>
          <w:kern w:val="2"/>
          <w:sz w:val="28"/>
          <w:szCs w:val="28"/>
        </w:rPr>
        <w:t>t</w:t>
      </w:r>
      <w:r>
        <w:rPr>
          <w:rFonts w:ascii="Times New Roman" w:hAnsi="Times New Roman" w:eastAsia="宋体" w:cs="Times New Roman"/>
          <w:bCs w:val="0"/>
          <w:color w:val="auto"/>
          <w:spacing w:val="-6"/>
          <w:kern w:val="2"/>
          <w:sz w:val="28"/>
          <w:szCs w:val="28"/>
          <w:lang w:val="zh-CN"/>
        </w:rPr>
        <w:t>。</w:t>
      </w:r>
      <w:r>
        <w:rPr>
          <w:rFonts w:hint="eastAsia" w:ascii="Times New Roman" w:hAnsi="Times New Roman" w:eastAsia="宋体" w:cs="宋体"/>
          <w:bCs w:val="0"/>
          <w:color w:val="auto"/>
          <w:kern w:val="2"/>
          <w:sz w:val="28"/>
          <w:szCs w:val="28"/>
        </w:rPr>
        <w:t>（2）生产单元</w:t>
      </w:r>
      <w:r>
        <w:rPr>
          <w:rFonts w:hint="eastAsia" w:ascii="Times New Roman" w:hAnsi="Times New Roman" w:eastAsia="宋体" w:cs="宋体"/>
          <w:bCs w:val="0"/>
          <w:color w:val="auto"/>
          <w:kern w:val="2"/>
          <w:sz w:val="28"/>
          <w:szCs w:val="28"/>
          <w:lang w:val="zh-CN"/>
        </w:rPr>
        <w:t>：</w:t>
      </w:r>
    </w:p>
    <w:p w14:paraId="3C425864">
      <w:pPr>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表3.3-5 生产单元划分表</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098"/>
        <w:gridCol w:w="2632"/>
        <w:gridCol w:w="3472"/>
      </w:tblGrid>
      <w:tr w14:paraId="7D380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6" w:type="dxa"/>
            <w:vAlign w:val="center"/>
          </w:tcPr>
          <w:p w14:paraId="29ACB9D1">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序号</w:t>
            </w:r>
          </w:p>
        </w:tc>
        <w:tc>
          <w:tcPr>
            <w:tcW w:w="2098" w:type="dxa"/>
            <w:vAlign w:val="center"/>
          </w:tcPr>
          <w:p w14:paraId="5392B81B">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单元名称</w:t>
            </w:r>
          </w:p>
        </w:tc>
        <w:tc>
          <w:tcPr>
            <w:tcW w:w="2632" w:type="dxa"/>
            <w:vAlign w:val="center"/>
          </w:tcPr>
          <w:p w14:paraId="2695DDBF">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基本情况</w:t>
            </w:r>
          </w:p>
        </w:tc>
        <w:tc>
          <w:tcPr>
            <w:tcW w:w="3472" w:type="dxa"/>
            <w:vAlign w:val="center"/>
          </w:tcPr>
          <w:p w14:paraId="19AD49E8">
            <w:pPr>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kern w:val="2"/>
              </w:rPr>
              <w:t>备注</w:t>
            </w:r>
          </w:p>
        </w:tc>
      </w:tr>
      <w:tr w14:paraId="02DD6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876" w:type="dxa"/>
            <w:vAlign w:val="center"/>
          </w:tcPr>
          <w:p w14:paraId="719542FC">
            <w:pPr>
              <w:jc w:val="center"/>
              <w:rPr>
                <w:rFonts w:ascii="Times New Roman" w:hAnsi="Times New Roman" w:eastAsia="宋体" w:cs="Times New Roman"/>
                <w:bCs w:val="0"/>
                <w:color w:val="auto"/>
                <w:kern w:val="2"/>
              </w:rPr>
            </w:pPr>
            <w:r>
              <w:rPr>
                <w:rFonts w:hint="eastAsia" w:ascii="Times New Roman" w:hAnsi="Times New Roman" w:eastAsia="宋体" w:cs="Times New Roman"/>
                <w:color w:val="auto"/>
              </w:rPr>
              <w:t>1</w:t>
            </w:r>
          </w:p>
        </w:tc>
        <w:tc>
          <w:tcPr>
            <w:tcW w:w="2098" w:type="dxa"/>
            <w:vAlign w:val="center"/>
          </w:tcPr>
          <w:p w14:paraId="585EE412">
            <w:pPr>
              <w:jc w:val="center"/>
              <w:rPr>
                <w:rFonts w:ascii="Times New Roman" w:hAnsi="Times New Roman" w:eastAsia="宋体" w:cs="Times New Roman"/>
                <w:bCs w:val="0"/>
                <w:color w:val="auto"/>
                <w:kern w:val="2"/>
              </w:rPr>
            </w:pPr>
            <w:r>
              <w:rPr>
                <w:rFonts w:hint="eastAsia" w:ascii="Times New Roman" w:hAnsi="Times New Roman" w:eastAsia="宋体" w:cs="Times New Roman"/>
                <w:color w:val="auto"/>
              </w:rPr>
              <w:t>加油作业区</w:t>
            </w:r>
          </w:p>
        </w:tc>
        <w:tc>
          <w:tcPr>
            <w:tcW w:w="2632" w:type="dxa"/>
            <w:vAlign w:val="center"/>
          </w:tcPr>
          <w:p w14:paraId="3C40737F">
            <w:pPr>
              <w:autoSpaceDE w:val="0"/>
              <w:autoSpaceDN w:val="0"/>
              <w:adjustRightInd w:val="0"/>
              <w:jc w:val="center"/>
              <w:rPr>
                <w:rFonts w:ascii="Times New Roman" w:hAnsi="Times New Roman" w:eastAsia="宋体" w:cs="Times New Roman"/>
                <w:bCs w:val="0"/>
                <w:color w:val="auto"/>
                <w:kern w:val="2"/>
              </w:rPr>
            </w:pP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台</w:t>
            </w:r>
            <w:r>
              <w:rPr>
                <w:rFonts w:hint="eastAsia" w:ascii="Times New Roman" w:hAnsi="Times New Roman" w:eastAsia="宋体" w:cs="Times New Roman"/>
                <w:color w:val="auto"/>
                <w:lang w:val="en-US" w:eastAsia="zh-CN"/>
              </w:rPr>
              <w:t>双</w:t>
            </w:r>
            <w:r>
              <w:rPr>
                <w:rFonts w:ascii="Times New Roman" w:hAnsi="Times New Roman" w:eastAsia="宋体" w:cs="Times New Roman"/>
                <w:color w:val="auto"/>
              </w:rPr>
              <w:t>枪加油机</w:t>
            </w:r>
          </w:p>
        </w:tc>
        <w:tc>
          <w:tcPr>
            <w:tcW w:w="3472" w:type="dxa"/>
            <w:vAlign w:val="center"/>
          </w:tcPr>
          <w:p w14:paraId="2A0C6C3D">
            <w:pPr>
              <w:jc w:val="center"/>
              <w:rPr>
                <w:rFonts w:ascii="Times New Roman" w:hAnsi="Times New Roman" w:eastAsia="宋体" w:cs="Times New Roman"/>
                <w:bCs w:val="0"/>
                <w:color w:val="auto"/>
                <w:kern w:val="2"/>
                <w:szCs w:val="24"/>
              </w:rPr>
            </w:pPr>
            <w:r>
              <w:rPr>
                <w:rFonts w:hint="eastAsia" w:ascii="Times New Roman" w:hAnsi="Times New Roman" w:eastAsia="宋体" w:cs="Times New Roman"/>
                <w:color w:val="auto"/>
                <w:szCs w:val="24"/>
              </w:rPr>
              <w:t>汽油枪</w:t>
            </w:r>
            <w:r>
              <w:rPr>
                <w:rFonts w:hint="eastAsia" w:ascii="Times New Roman" w:hAnsi="Times New Roman" w:eastAsia="宋体" w:cs="Times New Roman"/>
                <w:color w:val="auto"/>
                <w:szCs w:val="24"/>
                <w:lang w:val="en-US" w:eastAsia="zh-CN"/>
              </w:rPr>
              <w:t>2</w:t>
            </w:r>
            <w:r>
              <w:rPr>
                <w:rFonts w:hint="eastAsia" w:ascii="Times New Roman" w:hAnsi="Times New Roman" w:eastAsia="宋体" w:cs="Times New Roman"/>
                <w:color w:val="auto"/>
                <w:szCs w:val="24"/>
              </w:rPr>
              <w:t>把</w:t>
            </w: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rPr>
              <w:t>柴油枪</w:t>
            </w:r>
            <w:r>
              <w:rPr>
                <w:rFonts w:hint="eastAsia" w:ascii="Times New Roman" w:hAnsi="Times New Roman" w:eastAsia="宋体" w:cs="Times New Roman"/>
                <w:color w:val="auto"/>
                <w:szCs w:val="24"/>
                <w:lang w:val="en-US" w:eastAsia="zh-CN"/>
              </w:rPr>
              <w:t>2</w:t>
            </w:r>
            <w:r>
              <w:rPr>
                <w:rFonts w:hint="eastAsia" w:ascii="Times New Roman" w:hAnsi="Times New Roman" w:eastAsia="宋体" w:cs="Times New Roman"/>
                <w:color w:val="auto"/>
                <w:szCs w:val="24"/>
              </w:rPr>
              <w:t>把</w:t>
            </w:r>
          </w:p>
        </w:tc>
      </w:tr>
    </w:tbl>
    <w:p w14:paraId="4D859107">
      <w:pPr>
        <w:spacing w:line="360" w:lineRule="auto"/>
        <w:ind w:firstLine="560" w:firstLineChars="200"/>
        <w:rPr>
          <w:rFonts w:hint="eastAsia" w:ascii="Times New Roman" w:hAnsi="Times New Roman" w:eastAsia="宋体" w:cs="宋体"/>
          <w:bCs w:val="0"/>
          <w:color w:val="auto"/>
          <w:kern w:val="2"/>
          <w:sz w:val="28"/>
          <w:szCs w:val="28"/>
          <w:lang w:val="zh-CN"/>
        </w:rPr>
      </w:pPr>
      <w:r>
        <w:rPr>
          <w:rFonts w:hint="eastAsia" w:ascii="Times New Roman" w:hAnsi="Times New Roman" w:eastAsia="宋体" w:cs="宋体"/>
          <w:bCs w:val="0"/>
          <w:color w:val="auto"/>
          <w:kern w:val="2"/>
          <w:sz w:val="28"/>
          <w:szCs w:val="28"/>
        </w:rPr>
        <w:t>该站</w:t>
      </w:r>
      <w:r>
        <w:rPr>
          <w:rFonts w:hint="eastAsia" w:ascii="Times New Roman" w:hAnsi="Times New Roman" w:eastAsia="宋体" w:cs="宋体"/>
          <w:bCs w:val="0"/>
          <w:color w:val="auto"/>
          <w:kern w:val="2"/>
          <w:sz w:val="28"/>
          <w:szCs w:val="28"/>
          <w:lang w:val="zh-CN"/>
        </w:rPr>
        <w:t>设汽油加油机最大加油量为</w:t>
      </w:r>
      <w:r>
        <w:rPr>
          <w:rFonts w:hint="eastAsia" w:ascii="Times New Roman" w:hAnsi="Times New Roman" w:eastAsia="宋体" w:cs="宋体"/>
          <w:bCs w:val="0"/>
          <w:color w:val="auto"/>
          <w:kern w:val="2"/>
          <w:sz w:val="28"/>
          <w:szCs w:val="28"/>
        </w:rPr>
        <w:t>0.</w:t>
      </w:r>
      <w:r>
        <w:rPr>
          <w:rFonts w:hint="eastAsia" w:ascii="Times New Roman" w:hAnsi="Times New Roman" w:eastAsia="宋体" w:cs="宋体"/>
          <w:bCs w:val="0"/>
          <w:color w:val="auto"/>
          <w:kern w:val="2"/>
          <w:sz w:val="28"/>
          <w:szCs w:val="28"/>
          <w:lang w:val="en-US" w:eastAsia="zh-CN"/>
        </w:rPr>
        <w:t>12</w:t>
      </w:r>
      <w:r>
        <w:rPr>
          <w:rFonts w:hint="eastAsia" w:ascii="Times New Roman" w:hAnsi="Times New Roman" w:eastAsia="宋体" w:cs="宋体"/>
          <w:bCs w:val="0"/>
          <w:color w:val="auto"/>
          <w:kern w:val="2"/>
          <w:sz w:val="28"/>
          <w:szCs w:val="28"/>
          <w:lang w:val="zh-CN"/>
        </w:rPr>
        <w:t>m</w:t>
      </w:r>
      <w:r>
        <w:rPr>
          <w:rFonts w:hint="eastAsia" w:ascii="Times New Roman" w:hAnsi="Times New Roman" w:eastAsia="宋体" w:cs="宋体"/>
          <w:bCs w:val="0"/>
          <w:color w:val="auto"/>
          <w:kern w:val="2"/>
          <w:sz w:val="28"/>
          <w:szCs w:val="28"/>
          <w:vertAlign w:val="superscript"/>
          <w:lang w:val="zh-CN"/>
        </w:rPr>
        <w:t>3</w:t>
      </w:r>
      <w:r>
        <w:rPr>
          <w:rFonts w:hint="eastAsia" w:ascii="Times New Roman" w:hAnsi="Times New Roman" w:eastAsia="宋体" w:cs="宋体"/>
          <w:bCs w:val="0"/>
          <w:color w:val="auto"/>
          <w:kern w:val="2"/>
          <w:sz w:val="28"/>
          <w:szCs w:val="28"/>
          <w:lang w:val="zh-CN"/>
        </w:rPr>
        <w:t>（</w:t>
      </w:r>
      <w:r>
        <w:rPr>
          <w:rFonts w:hint="eastAsia" w:ascii="Times New Roman" w:hAnsi="Times New Roman" w:eastAsia="宋体" w:cs="宋体"/>
          <w:bCs w:val="0"/>
          <w:color w:val="auto"/>
          <w:kern w:val="2"/>
          <w:sz w:val="28"/>
          <w:szCs w:val="28"/>
        </w:rPr>
        <w:t>按60L/枪计</w:t>
      </w:r>
      <w:r>
        <w:rPr>
          <w:rFonts w:hint="eastAsia" w:ascii="Times New Roman" w:hAnsi="Times New Roman" w:eastAsia="宋体" w:cs="宋体"/>
          <w:bCs w:val="0"/>
          <w:color w:val="auto"/>
          <w:kern w:val="2"/>
          <w:sz w:val="28"/>
          <w:szCs w:val="28"/>
          <w:lang w:val="zh-CN"/>
        </w:rPr>
        <w:t>），折算质量单位约为</w:t>
      </w:r>
      <w:r>
        <w:rPr>
          <w:rFonts w:hint="eastAsia" w:ascii="Times New Roman" w:hAnsi="Times New Roman" w:eastAsia="宋体" w:cs="宋体"/>
          <w:bCs w:val="0"/>
          <w:color w:val="auto"/>
          <w:kern w:val="2"/>
          <w:sz w:val="28"/>
          <w:szCs w:val="28"/>
        </w:rPr>
        <w:t>0.</w:t>
      </w:r>
      <w:r>
        <w:rPr>
          <w:rFonts w:hint="eastAsia" w:ascii="Times New Roman" w:hAnsi="Times New Roman" w:eastAsia="宋体" w:cs="宋体"/>
          <w:bCs w:val="0"/>
          <w:color w:val="auto"/>
          <w:kern w:val="2"/>
          <w:sz w:val="28"/>
          <w:szCs w:val="28"/>
          <w:lang w:val="en-US" w:eastAsia="zh-CN"/>
        </w:rPr>
        <w:t>09</w:t>
      </w:r>
      <w:r>
        <w:rPr>
          <w:rFonts w:hint="eastAsia" w:ascii="Times New Roman" w:hAnsi="Times New Roman" w:eastAsia="宋体" w:cs="宋体"/>
          <w:bCs w:val="0"/>
          <w:color w:val="auto"/>
          <w:kern w:val="2"/>
          <w:sz w:val="28"/>
          <w:szCs w:val="28"/>
        </w:rPr>
        <w:t>t</w:t>
      </w:r>
      <w:r>
        <w:rPr>
          <w:rFonts w:hint="eastAsia" w:ascii="Times New Roman" w:hAnsi="Times New Roman" w:eastAsia="宋体" w:cs="宋体"/>
          <w:bCs w:val="0"/>
          <w:color w:val="auto"/>
          <w:kern w:val="2"/>
          <w:sz w:val="28"/>
          <w:szCs w:val="28"/>
          <w:lang w:val="zh-CN"/>
        </w:rPr>
        <w:t>，柴油加油机最大加油量为</w:t>
      </w:r>
      <w:r>
        <w:rPr>
          <w:rFonts w:hint="eastAsia" w:ascii="Times New Roman" w:hAnsi="Times New Roman" w:eastAsia="宋体" w:cs="宋体"/>
          <w:bCs w:val="0"/>
          <w:color w:val="auto"/>
          <w:kern w:val="2"/>
          <w:sz w:val="28"/>
          <w:szCs w:val="28"/>
        </w:rPr>
        <w:t>0.</w:t>
      </w:r>
      <w:r>
        <w:rPr>
          <w:rFonts w:hint="eastAsia" w:ascii="Times New Roman" w:hAnsi="Times New Roman" w:eastAsia="宋体" w:cs="宋体"/>
          <w:bCs w:val="0"/>
          <w:color w:val="auto"/>
          <w:kern w:val="2"/>
          <w:sz w:val="28"/>
          <w:szCs w:val="28"/>
          <w:lang w:val="en-US" w:eastAsia="zh-CN"/>
        </w:rPr>
        <w:t>2</w:t>
      </w:r>
      <w:r>
        <w:rPr>
          <w:rFonts w:hint="eastAsia" w:ascii="Times New Roman" w:hAnsi="Times New Roman" w:eastAsia="宋体" w:cs="宋体"/>
          <w:bCs w:val="0"/>
          <w:color w:val="auto"/>
          <w:kern w:val="2"/>
          <w:sz w:val="28"/>
          <w:szCs w:val="28"/>
          <w:lang w:val="zh-CN"/>
        </w:rPr>
        <w:t>m</w:t>
      </w:r>
      <w:r>
        <w:rPr>
          <w:rFonts w:hint="eastAsia" w:ascii="Times New Roman" w:hAnsi="Times New Roman" w:eastAsia="宋体" w:cs="宋体"/>
          <w:bCs w:val="0"/>
          <w:color w:val="auto"/>
          <w:kern w:val="2"/>
          <w:sz w:val="28"/>
          <w:szCs w:val="28"/>
          <w:vertAlign w:val="superscript"/>
          <w:lang w:val="zh-CN"/>
        </w:rPr>
        <w:t>3</w:t>
      </w:r>
      <w:r>
        <w:rPr>
          <w:rFonts w:hint="eastAsia" w:ascii="Times New Roman" w:hAnsi="Times New Roman" w:eastAsia="宋体" w:cs="宋体"/>
          <w:bCs w:val="0"/>
          <w:color w:val="auto"/>
          <w:kern w:val="2"/>
          <w:sz w:val="28"/>
          <w:szCs w:val="28"/>
          <w:lang w:val="zh-CN"/>
        </w:rPr>
        <w:t>（</w:t>
      </w:r>
      <w:r>
        <w:rPr>
          <w:rFonts w:hint="eastAsia" w:ascii="Times New Roman" w:hAnsi="Times New Roman" w:eastAsia="宋体" w:cs="宋体"/>
          <w:bCs w:val="0"/>
          <w:color w:val="auto"/>
          <w:kern w:val="2"/>
          <w:sz w:val="28"/>
          <w:szCs w:val="28"/>
        </w:rPr>
        <w:t>按100L/枪计</w:t>
      </w:r>
      <w:r>
        <w:rPr>
          <w:rFonts w:hint="eastAsia" w:ascii="Times New Roman" w:hAnsi="Times New Roman" w:eastAsia="宋体" w:cs="宋体"/>
          <w:bCs w:val="0"/>
          <w:color w:val="auto"/>
          <w:kern w:val="2"/>
          <w:sz w:val="28"/>
          <w:szCs w:val="28"/>
          <w:lang w:val="zh-CN"/>
        </w:rPr>
        <w:t>），折算质量单位约为</w:t>
      </w:r>
      <w:r>
        <w:rPr>
          <w:rFonts w:hint="eastAsia" w:ascii="Times New Roman" w:hAnsi="Times New Roman" w:eastAsia="宋体" w:cs="宋体"/>
          <w:bCs w:val="0"/>
          <w:color w:val="auto"/>
          <w:kern w:val="2"/>
          <w:sz w:val="28"/>
          <w:szCs w:val="28"/>
        </w:rPr>
        <w:t>0.</w:t>
      </w:r>
      <w:r>
        <w:rPr>
          <w:rFonts w:hint="eastAsia" w:ascii="Times New Roman" w:hAnsi="Times New Roman" w:eastAsia="宋体" w:cs="宋体"/>
          <w:bCs w:val="0"/>
          <w:color w:val="auto"/>
          <w:kern w:val="2"/>
          <w:sz w:val="28"/>
          <w:szCs w:val="28"/>
          <w:lang w:val="en-US" w:eastAsia="zh-CN"/>
        </w:rPr>
        <w:t>17</w:t>
      </w:r>
      <w:r>
        <w:rPr>
          <w:rFonts w:hint="eastAsia" w:ascii="Times New Roman" w:hAnsi="Times New Roman" w:eastAsia="宋体" w:cs="宋体"/>
          <w:bCs w:val="0"/>
          <w:color w:val="auto"/>
          <w:kern w:val="2"/>
          <w:sz w:val="28"/>
          <w:szCs w:val="28"/>
        </w:rPr>
        <w:t>t</w:t>
      </w:r>
      <w:r>
        <w:rPr>
          <w:rFonts w:hint="eastAsia" w:ascii="Times New Roman" w:hAnsi="Times New Roman" w:eastAsia="宋体" w:cs="宋体"/>
          <w:bCs w:val="0"/>
          <w:color w:val="auto"/>
          <w:kern w:val="2"/>
          <w:sz w:val="28"/>
          <w:szCs w:val="28"/>
          <w:lang w:val="zh-CN"/>
        </w:rPr>
        <w:t>。</w:t>
      </w:r>
    </w:p>
    <w:p w14:paraId="73D85157">
      <w:pPr>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4、重大危险源辨识过程</w:t>
      </w:r>
    </w:p>
    <w:p w14:paraId="0A882D0E">
      <w:pPr>
        <w:jc w:val="center"/>
        <w:rPr>
          <w:rFonts w:ascii="Times New Roman" w:hAnsi="Times New Roman" w:eastAsia="宋体" w:cs="宋体"/>
          <w:bCs w:val="0"/>
          <w:color w:val="auto"/>
          <w:kern w:val="2"/>
          <w:sz w:val="24"/>
          <w:szCs w:val="24"/>
          <w:lang w:val="zh-CN"/>
        </w:rPr>
      </w:pPr>
      <w:r>
        <w:rPr>
          <w:rFonts w:hint="eastAsia" w:ascii="Times New Roman" w:hAnsi="Times New Roman" w:eastAsia="宋体" w:cs="宋体"/>
          <w:bCs w:val="0"/>
          <w:color w:val="auto"/>
          <w:kern w:val="2"/>
          <w:sz w:val="24"/>
          <w:szCs w:val="24"/>
        </w:rPr>
        <w:t>表3.3-6 储存单元危险化学品重大危险源辨识表</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0"/>
        <w:gridCol w:w="985"/>
        <w:gridCol w:w="2078"/>
        <w:gridCol w:w="1072"/>
        <w:gridCol w:w="1272"/>
        <w:gridCol w:w="1202"/>
        <w:gridCol w:w="1022"/>
        <w:gridCol w:w="955"/>
      </w:tblGrid>
      <w:tr w14:paraId="18F1F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0" w:type="dxa"/>
            <w:vAlign w:val="center"/>
          </w:tcPr>
          <w:p w14:paraId="00C7972A">
            <w:pPr>
              <w:autoSpaceDE w:val="0"/>
              <w:autoSpaceDN w:val="0"/>
              <w:adjustRightInd w:val="0"/>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2"/>
                <w:lang w:val="zh-CN"/>
              </w:rPr>
              <w:t>序号</w:t>
            </w:r>
          </w:p>
        </w:tc>
        <w:tc>
          <w:tcPr>
            <w:tcW w:w="985" w:type="dxa"/>
            <w:vAlign w:val="center"/>
          </w:tcPr>
          <w:p w14:paraId="301ABD0B">
            <w:pPr>
              <w:autoSpaceDE w:val="0"/>
              <w:autoSpaceDN w:val="0"/>
              <w:adjustRightInd w:val="0"/>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2"/>
                <w:lang w:val="zh-CN"/>
              </w:rPr>
              <w:t>名称</w:t>
            </w:r>
          </w:p>
        </w:tc>
        <w:tc>
          <w:tcPr>
            <w:tcW w:w="2078" w:type="dxa"/>
            <w:vAlign w:val="center"/>
          </w:tcPr>
          <w:p w14:paraId="53B8DF10">
            <w:pPr>
              <w:autoSpaceDE w:val="0"/>
              <w:autoSpaceDN w:val="0"/>
              <w:adjustRightInd w:val="0"/>
              <w:ind w:firstLine="207" w:firstLineChars="98"/>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2"/>
                <w:lang w:val="zh-CN"/>
              </w:rPr>
              <w:t>危险性分类</w:t>
            </w:r>
          </w:p>
        </w:tc>
        <w:tc>
          <w:tcPr>
            <w:tcW w:w="1072" w:type="dxa"/>
            <w:vAlign w:val="center"/>
          </w:tcPr>
          <w:p w14:paraId="09E09A03">
            <w:pPr>
              <w:autoSpaceDE w:val="0"/>
              <w:autoSpaceDN w:val="0"/>
              <w:adjustRightInd w:val="0"/>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特殊状态</w:t>
            </w:r>
          </w:p>
        </w:tc>
        <w:tc>
          <w:tcPr>
            <w:tcW w:w="1272" w:type="dxa"/>
            <w:vAlign w:val="center"/>
          </w:tcPr>
          <w:p w14:paraId="163E36A3">
            <w:pPr>
              <w:autoSpaceDE w:val="0"/>
              <w:autoSpaceDN w:val="0"/>
              <w:adjustRightInd w:val="0"/>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2"/>
              </w:rPr>
              <w:t>临界量（</w:t>
            </w:r>
            <w:r>
              <w:rPr>
                <w:rFonts w:ascii="Times New Roman" w:hAnsi="Times New Roman" w:eastAsia="宋体" w:cs="Times New Roman"/>
                <w:b/>
                <w:bCs/>
                <w:color w:val="auto"/>
                <w:kern w:val="2"/>
                <w:lang w:val="zh-CN"/>
              </w:rPr>
              <w:t>t</w:t>
            </w:r>
            <w:r>
              <w:rPr>
                <w:rFonts w:ascii="Times New Roman" w:hAnsi="Times New Roman" w:eastAsia="宋体" w:cs="Times New Roman"/>
                <w:b/>
                <w:bCs/>
                <w:color w:val="auto"/>
                <w:kern w:val="2"/>
              </w:rPr>
              <w:t>）</w:t>
            </w:r>
          </w:p>
        </w:tc>
        <w:tc>
          <w:tcPr>
            <w:tcW w:w="1202" w:type="dxa"/>
            <w:vAlign w:val="center"/>
          </w:tcPr>
          <w:p w14:paraId="1CD4196F">
            <w:pPr>
              <w:autoSpaceDE w:val="0"/>
              <w:autoSpaceDN w:val="0"/>
              <w:adjustRightInd w:val="0"/>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2"/>
                <w:lang w:val="zh-CN"/>
              </w:rPr>
              <w:t>存在量</w:t>
            </w:r>
            <w:r>
              <w:rPr>
                <w:rFonts w:ascii="Times New Roman" w:hAnsi="Times New Roman" w:eastAsia="宋体" w:cs="Times New Roman"/>
                <w:b/>
                <w:bCs/>
                <w:color w:val="auto"/>
                <w:kern w:val="2"/>
              </w:rPr>
              <w:t>（</w:t>
            </w:r>
            <w:r>
              <w:rPr>
                <w:rFonts w:ascii="Times New Roman" w:hAnsi="Times New Roman" w:eastAsia="宋体" w:cs="Times New Roman"/>
                <w:b/>
                <w:bCs/>
                <w:color w:val="auto"/>
                <w:kern w:val="2"/>
                <w:lang w:val="zh-CN"/>
              </w:rPr>
              <w:t>t</w:t>
            </w:r>
            <w:r>
              <w:rPr>
                <w:rFonts w:ascii="Times New Roman" w:hAnsi="Times New Roman" w:eastAsia="宋体" w:cs="Times New Roman"/>
                <w:b/>
                <w:bCs/>
                <w:color w:val="auto"/>
                <w:kern w:val="2"/>
              </w:rPr>
              <w:t>）</w:t>
            </w:r>
          </w:p>
        </w:tc>
        <w:tc>
          <w:tcPr>
            <w:tcW w:w="1022" w:type="dxa"/>
            <w:vAlign w:val="center"/>
          </w:tcPr>
          <w:p w14:paraId="7ACE02C3">
            <w:pPr>
              <w:autoSpaceDE w:val="0"/>
              <w:autoSpaceDN w:val="0"/>
              <w:adjustRightInd w:val="0"/>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0"/>
              </w:rPr>
              <w:t>qn/Qn</w:t>
            </w:r>
          </w:p>
        </w:tc>
        <w:tc>
          <w:tcPr>
            <w:tcW w:w="955" w:type="dxa"/>
            <w:vAlign w:val="center"/>
          </w:tcPr>
          <w:p w14:paraId="59A68A6C">
            <w:pPr>
              <w:autoSpaceDE w:val="0"/>
              <w:autoSpaceDN w:val="0"/>
              <w:adjustRightInd w:val="0"/>
              <w:jc w:val="center"/>
              <w:rPr>
                <w:rFonts w:ascii="Times New Roman" w:hAnsi="Times New Roman" w:eastAsia="宋体" w:cs="Times New Roman"/>
                <w:b/>
                <w:bCs/>
                <w:color w:val="auto"/>
                <w:kern w:val="2"/>
                <w:lang w:val="zh-CN"/>
              </w:rPr>
            </w:pPr>
            <w:r>
              <w:rPr>
                <w:rFonts w:ascii="Times New Roman" w:hAnsi="Times New Roman" w:eastAsia="宋体" w:cs="Times New Roman"/>
                <w:b/>
                <w:bCs/>
                <w:color w:val="auto"/>
                <w:kern w:val="2"/>
              </w:rPr>
              <w:t>辨识</w:t>
            </w:r>
          </w:p>
        </w:tc>
      </w:tr>
      <w:tr w14:paraId="7AA91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0" w:type="dxa"/>
            <w:vAlign w:val="center"/>
          </w:tcPr>
          <w:p w14:paraId="4D7B6DA6">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1</w:t>
            </w:r>
          </w:p>
        </w:tc>
        <w:tc>
          <w:tcPr>
            <w:tcW w:w="985" w:type="dxa"/>
            <w:vAlign w:val="center"/>
          </w:tcPr>
          <w:p w14:paraId="27F5DDAE">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汽油罐</w:t>
            </w:r>
          </w:p>
        </w:tc>
        <w:tc>
          <w:tcPr>
            <w:tcW w:w="2078" w:type="dxa"/>
            <w:vAlign w:val="center"/>
          </w:tcPr>
          <w:p w14:paraId="2B7BB245">
            <w:pPr>
              <w:autoSpaceDE w:val="0"/>
              <w:autoSpaceDN w:val="0"/>
              <w:adjustRightInd w:val="0"/>
              <w:ind w:firstLine="205" w:firstLineChars="98"/>
              <w:jc w:val="center"/>
              <w:rPr>
                <w:rFonts w:ascii="Times New Roman" w:hAnsi="Times New Roman" w:eastAsia="宋体" w:cs="Times New Roman"/>
                <w:bCs w:val="0"/>
                <w:color w:val="auto"/>
                <w:spacing w:val="-10"/>
                <w:kern w:val="0"/>
              </w:rPr>
            </w:pPr>
            <w:r>
              <w:rPr>
                <w:rFonts w:ascii="Times New Roman" w:hAnsi="Times New Roman" w:eastAsia="宋体" w:cs="Times New Roman"/>
                <w:color w:val="auto"/>
              </w:rPr>
              <w:t>表1（66）</w:t>
            </w:r>
          </w:p>
        </w:tc>
        <w:tc>
          <w:tcPr>
            <w:tcW w:w="1072" w:type="dxa"/>
            <w:vAlign w:val="center"/>
          </w:tcPr>
          <w:p w14:paraId="510FAF31">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w:t>
            </w:r>
          </w:p>
        </w:tc>
        <w:tc>
          <w:tcPr>
            <w:tcW w:w="1272" w:type="dxa"/>
            <w:vAlign w:val="center"/>
          </w:tcPr>
          <w:p w14:paraId="65E88EA8">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200</w:t>
            </w:r>
          </w:p>
        </w:tc>
        <w:tc>
          <w:tcPr>
            <w:tcW w:w="1202" w:type="dxa"/>
            <w:vAlign w:val="center"/>
          </w:tcPr>
          <w:p w14:paraId="43D7CAE4">
            <w:pPr>
              <w:autoSpaceDE w:val="0"/>
              <w:autoSpaceDN w:val="0"/>
              <w:adjustRightInd w:val="0"/>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color w:val="auto"/>
                <w:lang w:val="en-US" w:eastAsia="zh-CN"/>
              </w:rPr>
              <w:t>22.5</w:t>
            </w:r>
          </w:p>
        </w:tc>
        <w:tc>
          <w:tcPr>
            <w:tcW w:w="1022" w:type="dxa"/>
            <w:vAlign w:val="center"/>
          </w:tcPr>
          <w:p w14:paraId="7C792C33">
            <w:pPr>
              <w:autoSpaceDE w:val="0"/>
              <w:autoSpaceDN w:val="0"/>
              <w:adjustRightInd w:val="0"/>
              <w:jc w:val="center"/>
              <w:rPr>
                <w:rFonts w:hint="default" w:ascii="Times New Roman" w:hAnsi="Times New Roman" w:eastAsia="宋体" w:cs="Times New Roman"/>
                <w:b/>
                <w:bCs/>
                <w:color w:val="auto"/>
                <w:kern w:val="2"/>
                <w:lang w:val="en-US" w:eastAsia="zh-CN"/>
              </w:rPr>
            </w:pPr>
            <w:r>
              <w:rPr>
                <w:rFonts w:hint="eastAsia" w:ascii="Times New Roman" w:hAnsi="Times New Roman" w:eastAsia="宋体" w:cs="Times New Roman"/>
                <w:b/>
                <w:bCs/>
                <w:color w:val="auto"/>
                <w:lang w:val="en-US" w:eastAsia="zh-CN"/>
              </w:rPr>
              <w:t>0.1125</w:t>
            </w:r>
          </w:p>
        </w:tc>
        <w:tc>
          <w:tcPr>
            <w:tcW w:w="955" w:type="dxa"/>
            <w:vAlign w:val="center"/>
          </w:tcPr>
          <w:p w14:paraId="65367821">
            <w:pPr>
              <w:autoSpaceDE w:val="0"/>
              <w:autoSpaceDN w:val="0"/>
              <w:adjustRightInd w:val="0"/>
              <w:jc w:val="center"/>
              <w:rPr>
                <w:rFonts w:ascii="Times New Roman" w:hAnsi="Times New Roman" w:eastAsia="宋体" w:cs="Times New Roman"/>
                <w:bCs w:val="0"/>
                <w:color w:val="auto"/>
                <w:kern w:val="2"/>
                <w:lang w:val="zh-CN"/>
              </w:rPr>
            </w:pPr>
          </w:p>
        </w:tc>
      </w:tr>
      <w:tr w14:paraId="2E5C1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0" w:type="dxa"/>
            <w:vAlign w:val="center"/>
          </w:tcPr>
          <w:p w14:paraId="0918DAB1">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2</w:t>
            </w:r>
          </w:p>
        </w:tc>
        <w:tc>
          <w:tcPr>
            <w:tcW w:w="985" w:type="dxa"/>
            <w:vAlign w:val="center"/>
          </w:tcPr>
          <w:p w14:paraId="39F7EE7E">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柴油罐</w:t>
            </w:r>
          </w:p>
        </w:tc>
        <w:tc>
          <w:tcPr>
            <w:tcW w:w="2078" w:type="dxa"/>
            <w:vAlign w:val="center"/>
          </w:tcPr>
          <w:p w14:paraId="694773A6">
            <w:pPr>
              <w:autoSpaceDE w:val="0"/>
              <w:autoSpaceDN w:val="0"/>
              <w:adjustRightInd w:val="0"/>
              <w:ind w:firstLine="205" w:firstLineChars="98"/>
              <w:jc w:val="center"/>
              <w:rPr>
                <w:rFonts w:ascii="Times New Roman" w:hAnsi="Times New Roman" w:eastAsia="宋体" w:cs="Times New Roman"/>
                <w:bCs w:val="0"/>
                <w:color w:val="auto"/>
                <w:spacing w:val="-10"/>
                <w:kern w:val="0"/>
              </w:rPr>
            </w:pPr>
            <w:r>
              <w:rPr>
                <w:rFonts w:ascii="Times New Roman" w:hAnsi="Times New Roman" w:eastAsia="宋体" w:cs="Times New Roman"/>
                <w:color w:val="auto"/>
                <w:lang w:val="zh-CN"/>
              </w:rPr>
              <w:t>表</w:t>
            </w:r>
            <w:r>
              <w:rPr>
                <w:rFonts w:ascii="Times New Roman" w:hAnsi="Times New Roman" w:eastAsia="宋体" w:cs="Times New Roman"/>
                <w:color w:val="auto"/>
              </w:rPr>
              <w:t>2</w:t>
            </w:r>
            <w:r>
              <w:rPr>
                <w:rFonts w:ascii="Times New Roman" w:hAnsi="Times New Roman" w:eastAsia="宋体" w:cs="Times New Roman"/>
                <w:color w:val="auto"/>
                <w:lang w:val="zh-CN"/>
              </w:rPr>
              <w:t>易燃液体</w:t>
            </w:r>
            <w:r>
              <w:rPr>
                <w:rFonts w:ascii="Times New Roman" w:hAnsi="Times New Roman" w:eastAsia="宋体" w:cs="Times New Roman"/>
                <w:color w:val="auto"/>
              </w:rPr>
              <w:t>W5.4</w:t>
            </w:r>
          </w:p>
        </w:tc>
        <w:tc>
          <w:tcPr>
            <w:tcW w:w="1072" w:type="dxa"/>
            <w:vAlign w:val="center"/>
          </w:tcPr>
          <w:p w14:paraId="20B9C6FD">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w:t>
            </w:r>
          </w:p>
        </w:tc>
        <w:tc>
          <w:tcPr>
            <w:tcW w:w="1272" w:type="dxa"/>
            <w:vAlign w:val="center"/>
          </w:tcPr>
          <w:p w14:paraId="4678225D">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5000</w:t>
            </w:r>
          </w:p>
        </w:tc>
        <w:tc>
          <w:tcPr>
            <w:tcW w:w="1202" w:type="dxa"/>
            <w:vAlign w:val="center"/>
          </w:tcPr>
          <w:p w14:paraId="732959BF">
            <w:pPr>
              <w:autoSpaceDE w:val="0"/>
              <w:autoSpaceDN w:val="0"/>
              <w:adjustRightInd w:val="0"/>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color w:val="auto"/>
                <w:lang w:val="en-US" w:eastAsia="zh-CN"/>
              </w:rPr>
              <w:t>25.5</w:t>
            </w:r>
          </w:p>
        </w:tc>
        <w:tc>
          <w:tcPr>
            <w:tcW w:w="1022" w:type="dxa"/>
            <w:vAlign w:val="center"/>
          </w:tcPr>
          <w:p w14:paraId="6E7AEB87">
            <w:pPr>
              <w:autoSpaceDE w:val="0"/>
              <w:autoSpaceDN w:val="0"/>
              <w:adjustRightInd w:val="0"/>
              <w:jc w:val="center"/>
              <w:rPr>
                <w:rFonts w:hint="default" w:ascii="Times New Roman" w:hAnsi="Times New Roman" w:eastAsia="宋体" w:cs="Times New Roman"/>
                <w:b/>
                <w:bCs/>
                <w:color w:val="auto"/>
                <w:kern w:val="2"/>
                <w:lang w:val="en-US" w:eastAsia="zh-CN"/>
              </w:rPr>
            </w:pPr>
            <w:r>
              <w:rPr>
                <w:rFonts w:hint="eastAsia" w:ascii="Times New Roman" w:hAnsi="Times New Roman" w:eastAsia="宋体" w:cs="Times New Roman"/>
                <w:b/>
                <w:bCs/>
                <w:color w:val="auto"/>
                <w:lang w:val="en-US" w:eastAsia="zh-CN"/>
              </w:rPr>
              <w:t>0.0051</w:t>
            </w:r>
          </w:p>
        </w:tc>
        <w:tc>
          <w:tcPr>
            <w:tcW w:w="955" w:type="dxa"/>
            <w:vAlign w:val="center"/>
          </w:tcPr>
          <w:p w14:paraId="699306E4">
            <w:pPr>
              <w:autoSpaceDE w:val="0"/>
              <w:autoSpaceDN w:val="0"/>
              <w:adjustRightInd w:val="0"/>
              <w:jc w:val="center"/>
              <w:rPr>
                <w:rFonts w:ascii="Times New Roman" w:hAnsi="Times New Roman" w:eastAsia="宋体" w:cs="Times New Roman"/>
                <w:bCs w:val="0"/>
                <w:color w:val="auto"/>
                <w:kern w:val="2"/>
                <w:lang w:val="zh-CN"/>
              </w:rPr>
            </w:pPr>
          </w:p>
        </w:tc>
      </w:tr>
      <w:tr w14:paraId="6D504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0" w:type="dxa"/>
            <w:vAlign w:val="center"/>
          </w:tcPr>
          <w:p w14:paraId="1CD71883">
            <w:pPr>
              <w:autoSpaceDE w:val="0"/>
              <w:autoSpaceDN w:val="0"/>
              <w:adjustRightInd w:val="0"/>
              <w:jc w:val="center"/>
              <w:rPr>
                <w:rFonts w:ascii="Times New Roman" w:hAnsi="Times New Roman" w:eastAsia="宋体" w:cs="Times New Roman"/>
                <w:bCs w:val="0"/>
                <w:color w:val="auto"/>
                <w:kern w:val="2"/>
                <w:lang w:val="zh-CN"/>
              </w:rPr>
            </w:pPr>
          </w:p>
        </w:tc>
        <w:tc>
          <w:tcPr>
            <w:tcW w:w="6609" w:type="dxa"/>
            <w:gridSpan w:val="5"/>
            <w:vAlign w:val="center"/>
          </w:tcPr>
          <w:p w14:paraId="5C68DB33">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合计</w:t>
            </w:r>
          </w:p>
        </w:tc>
        <w:tc>
          <w:tcPr>
            <w:tcW w:w="1977" w:type="dxa"/>
            <w:gridSpan w:val="2"/>
            <w:vAlign w:val="center"/>
          </w:tcPr>
          <w:p w14:paraId="1DDB4675">
            <w:pPr>
              <w:autoSpaceDE w:val="0"/>
              <w:autoSpaceDN w:val="0"/>
              <w:adjustRightInd w:val="0"/>
              <w:ind w:firstLine="211" w:firstLineChars="100"/>
              <w:jc w:val="center"/>
              <w:rPr>
                <w:rFonts w:ascii="Times New Roman" w:hAnsi="Times New Roman" w:eastAsia="宋体" w:cs="Times New Roman"/>
                <w:b/>
                <w:bCs/>
                <w:color w:val="auto"/>
                <w:kern w:val="2"/>
              </w:rPr>
            </w:pPr>
            <w:r>
              <w:rPr>
                <w:rFonts w:hint="eastAsia" w:ascii="Times New Roman" w:hAnsi="Times New Roman" w:eastAsia="宋体" w:cs="Times New Roman"/>
                <w:b/>
                <w:bCs/>
                <w:color w:val="auto"/>
              </w:rPr>
              <w:t>0.1176＜1</w:t>
            </w:r>
          </w:p>
        </w:tc>
      </w:tr>
    </w:tbl>
    <w:p w14:paraId="2DD6E444">
      <w:pPr>
        <w:jc w:val="center"/>
        <w:rPr>
          <w:rFonts w:ascii="Times New Roman" w:hAnsi="Times New Roman" w:eastAsia="宋体" w:cs="黑体"/>
          <w:bCs/>
          <w:color w:val="auto"/>
          <w:kern w:val="2"/>
          <w:sz w:val="24"/>
          <w:szCs w:val="24"/>
        </w:rPr>
      </w:pPr>
      <w:r>
        <w:rPr>
          <w:rFonts w:hint="eastAsia" w:ascii="Times New Roman" w:hAnsi="Times New Roman" w:eastAsia="宋体" w:cs="宋体"/>
          <w:bCs w:val="0"/>
          <w:color w:val="auto"/>
          <w:kern w:val="2"/>
          <w:sz w:val="24"/>
          <w:szCs w:val="24"/>
        </w:rPr>
        <w:t>表3.3-7 生产单元危险化学品重大危险源辨识表</w:t>
      </w:r>
    </w:p>
    <w:tbl>
      <w:tblPr>
        <w:tblStyle w:val="7"/>
        <w:tblW w:w="93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8"/>
        <w:gridCol w:w="670"/>
        <w:gridCol w:w="2026"/>
        <w:gridCol w:w="1102"/>
        <w:gridCol w:w="1306"/>
        <w:gridCol w:w="1305"/>
        <w:gridCol w:w="1193"/>
        <w:gridCol w:w="1078"/>
      </w:tblGrid>
      <w:tr w14:paraId="6027D6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678" w:type="dxa"/>
            <w:vAlign w:val="center"/>
          </w:tcPr>
          <w:p w14:paraId="0E7C7EA5">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2"/>
                <w:lang w:val="zh-CN"/>
              </w:rPr>
              <w:t>序号</w:t>
            </w:r>
          </w:p>
        </w:tc>
        <w:tc>
          <w:tcPr>
            <w:tcW w:w="670" w:type="dxa"/>
            <w:vAlign w:val="center"/>
          </w:tcPr>
          <w:p w14:paraId="66C1C9A7">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2"/>
                <w:lang w:val="zh-CN"/>
              </w:rPr>
              <w:t>名称</w:t>
            </w:r>
          </w:p>
        </w:tc>
        <w:tc>
          <w:tcPr>
            <w:tcW w:w="2026" w:type="dxa"/>
            <w:vAlign w:val="center"/>
          </w:tcPr>
          <w:p w14:paraId="7998462B">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2"/>
                <w:lang w:val="zh-CN"/>
              </w:rPr>
              <w:t>危险性分类</w:t>
            </w:r>
          </w:p>
        </w:tc>
        <w:tc>
          <w:tcPr>
            <w:tcW w:w="1102" w:type="dxa"/>
            <w:vAlign w:val="center"/>
          </w:tcPr>
          <w:p w14:paraId="602E1CDD">
            <w:pPr>
              <w:autoSpaceDE w:val="0"/>
              <w:autoSpaceDN w:val="0"/>
              <w:adjustRightInd w:val="0"/>
              <w:jc w:val="center"/>
              <w:rPr>
                <w:rFonts w:ascii="Times New Roman" w:hAnsi="Times New Roman" w:eastAsia="宋体" w:cs="Times New Roman"/>
                <w:b/>
                <w:bCs w:val="0"/>
                <w:color w:val="auto"/>
                <w:kern w:val="2"/>
              </w:rPr>
            </w:pPr>
            <w:r>
              <w:rPr>
                <w:rFonts w:ascii="Times New Roman" w:hAnsi="Times New Roman" w:eastAsia="宋体" w:cs="Times New Roman"/>
                <w:b/>
                <w:bCs w:val="0"/>
                <w:color w:val="auto"/>
                <w:kern w:val="2"/>
              </w:rPr>
              <w:t>特殊状态</w:t>
            </w:r>
          </w:p>
        </w:tc>
        <w:tc>
          <w:tcPr>
            <w:tcW w:w="1306" w:type="dxa"/>
            <w:vAlign w:val="center"/>
          </w:tcPr>
          <w:p w14:paraId="23B48CD3">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2"/>
              </w:rPr>
              <w:t>临界量（</w:t>
            </w:r>
            <w:r>
              <w:rPr>
                <w:rFonts w:ascii="Times New Roman" w:hAnsi="Times New Roman" w:eastAsia="宋体" w:cs="Times New Roman"/>
                <w:b/>
                <w:bCs w:val="0"/>
                <w:color w:val="auto"/>
                <w:kern w:val="2"/>
                <w:lang w:val="zh-CN"/>
              </w:rPr>
              <w:t>t</w:t>
            </w:r>
            <w:r>
              <w:rPr>
                <w:rFonts w:ascii="Times New Roman" w:hAnsi="Times New Roman" w:eastAsia="宋体" w:cs="Times New Roman"/>
                <w:b/>
                <w:bCs w:val="0"/>
                <w:color w:val="auto"/>
                <w:kern w:val="2"/>
              </w:rPr>
              <w:t>）</w:t>
            </w:r>
          </w:p>
        </w:tc>
        <w:tc>
          <w:tcPr>
            <w:tcW w:w="1305" w:type="dxa"/>
            <w:vAlign w:val="center"/>
          </w:tcPr>
          <w:p w14:paraId="04A3C95B">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2"/>
                <w:lang w:val="zh-CN"/>
              </w:rPr>
              <w:t>存在量</w:t>
            </w:r>
            <w:r>
              <w:rPr>
                <w:rFonts w:ascii="Times New Roman" w:hAnsi="Times New Roman" w:eastAsia="宋体" w:cs="Times New Roman"/>
                <w:b/>
                <w:bCs w:val="0"/>
                <w:color w:val="auto"/>
                <w:kern w:val="2"/>
              </w:rPr>
              <w:t>（</w:t>
            </w:r>
            <w:r>
              <w:rPr>
                <w:rFonts w:ascii="Times New Roman" w:hAnsi="Times New Roman" w:eastAsia="宋体" w:cs="Times New Roman"/>
                <w:b/>
                <w:bCs w:val="0"/>
                <w:color w:val="auto"/>
                <w:kern w:val="2"/>
                <w:lang w:val="zh-CN"/>
              </w:rPr>
              <w:t>t</w:t>
            </w:r>
            <w:r>
              <w:rPr>
                <w:rFonts w:ascii="Times New Roman" w:hAnsi="Times New Roman" w:eastAsia="宋体" w:cs="Times New Roman"/>
                <w:b/>
                <w:bCs w:val="0"/>
                <w:color w:val="auto"/>
                <w:kern w:val="2"/>
              </w:rPr>
              <w:t>）</w:t>
            </w:r>
          </w:p>
        </w:tc>
        <w:tc>
          <w:tcPr>
            <w:tcW w:w="1193" w:type="dxa"/>
            <w:vAlign w:val="center"/>
          </w:tcPr>
          <w:p w14:paraId="53DAF666">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0"/>
              </w:rPr>
              <w:t>qn/Qn</w:t>
            </w:r>
          </w:p>
        </w:tc>
        <w:tc>
          <w:tcPr>
            <w:tcW w:w="1078" w:type="dxa"/>
            <w:vAlign w:val="center"/>
          </w:tcPr>
          <w:p w14:paraId="2738E098">
            <w:pPr>
              <w:autoSpaceDE w:val="0"/>
              <w:autoSpaceDN w:val="0"/>
              <w:adjustRightInd w:val="0"/>
              <w:jc w:val="center"/>
              <w:rPr>
                <w:rFonts w:ascii="Times New Roman" w:hAnsi="Times New Roman" w:eastAsia="宋体" w:cs="Times New Roman"/>
                <w:b/>
                <w:bCs w:val="0"/>
                <w:color w:val="auto"/>
                <w:kern w:val="2"/>
                <w:lang w:val="zh-CN"/>
              </w:rPr>
            </w:pPr>
            <w:r>
              <w:rPr>
                <w:rFonts w:ascii="Times New Roman" w:hAnsi="Times New Roman" w:eastAsia="宋体" w:cs="Times New Roman"/>
                <w:b/>
                <w:bCs w:val="0"/>
                <w:color w:val="auto"/>
                <w:kern w:val="2"/>
                <w:lang w:val="zh-CN"/>
              </w:rPr>
              <w:t>辨识</w:t>
            </w:r>
          </w:p>
        </w:tc>
      </w:tr>
      <w:tr w14:paraId="54F75F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78" w:type="dxa"/>
            <w:vAlign w:val="center"/>
          </w:tcPr>
          <w:p w14:paraId="3A9E77F6">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1</w:t>
            </w:r>
          </w:p>
        </w:tc>
        <w:tc>
          <w:tcPr>
            <w:tcW w:w="670" w:type="dxa"/>
            <w:vAlign w:val="center"/>
          </w:tcPr>
          <w:p w14:paraId="425958E5">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lang w:val="zh-CN"/>
              </w:rPr>
              <w:t>汽油</w:t>
            </w:r>
          </w:p>
        </w:tc>
        <w:tc>
          <w:tcPr>
            <w:tcW w:w="2026" w:type="dxa"/>
            <w:vAlign w:val="center"/>
          </w:tcPr>
          <w:p w14:paraId="02B7E1BB">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表1（66）</w:t>
            </w:r>
          </w:p>
        </w:tc>
        <w:tc>
          <w:tcPr>
            <w:tcW w:w="1102" w:type="dxa"/>
            <w:vAlign w:val="center"/>
          </w:tcPr>
          <w:p w14:paraId="23B2D7FD">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w:t>
            </w:r>
          </w:p>
        </w:tc>
        <w:tc>
          <w:tcPr>
            <w:tcW w:w="1306" w:type="dxa"/>
            <w:vAlign w:val="center"/>
          </w:tcPr>
          <w:p w14:paraId="26246696">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200</w:t>
            </w:r>
          </w:p>
        </w:tc>
        <w:tc>
          <w:tcPr>
            <w:tcW w:w="1305" w:type="dxa"/>
            <w:vAlign w:val="center"/>
          </w:tcPr>
          <w:p w14:paraId="7327517D">
            <w:pPr>
              <w:autoSpaceDE w:val="0"/>
              <w:autoSpaceDN w:val="0"/>
              <w:adjustRightInd w:val="0"/>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color w:val="auto"/>
                <w:lang w:val="en-US" w:eastAsia="zh-CN"/>
              </w:rPr>
              <w:t>0.09</w:t>
            </w:r>
          </w:p>
        </w:tc>
        <w:tc>
          <w:tcPr>
            <w:tcW w:w="1193" w:type="dxa"/>
            <w:vAlign w:val="center"/>
          </w:tcPr>
          <w:p w14:paraId="399F1808">
            <w:pPr>
              <w:autoSpaceDE w:val="0"/>
              <w:autoSpaceDN w:val="0"/>
              <w:adjustRightInd w:val="0"/>
              <w:jc w:val="center"/>
              <w:rPr>
                <w:rFonts w:hint="default" w:ascii="Times New Roman" w:hAnsi="Times New Roman" w:eastAsia="宋体" w:cs="Times New Roman"/>
                <w:b/>
                <w:bCs/>
                <w:color w:val="auto"/>
                <w:kern w:val="2"/>
                <w:lang w:val="en-US" w:eastAsia="zh-CN"/>
              </w:rPr>
            </w:pPr>
            <w:r>
              <w:rPr>
                <w:rFonts w:hint="eastAsia" w:ascii="Times New Roman" w:hAnsi="Times New Roman" w:eastAsia="宋体" w:cs="Times New Roman"/>
                <w:b/>
                <w:bCs/>
                <w:color w:val="auto"/>
                <w:lang w:val="en-US" w:eastAsia="zh-CN"/>
              </w:rPr>
              <w:t>0.00045</w:t>
            </w:r>
          </w:p>
        </w:tc>
        <w:tc>
          <w:tcPr>
            <w:tcW w:w="1078" w:type="dxa"/>
            <w:vAlign w:val="center"/>
          </w:tcPr>
          <w:p w14:paraId="2DDE2523">
            <w:pPr>
              <w:autoSpaceDE w:val="0"/>
              <w:autoSpaceDN w:val="0"/>
              <w:adjustRightInd w:val="0"/>
              <w:jc w:val="center"/>
              <w:rPr>
                <w:rFonts w:ascii="Times New Roman" w:hAnsi="Times New Roman" w:eastAsia="宋体" w:cs="Times New Roman"/>
                <w:bCs w:val="0"/>
                <w:color w:val="auto"/>
                <w:kern w:val="2"/>
              </w:rPr>
            </w:pPr>
          </w:p>
        </w:tc>
      </w:tr>
      <w:tr w14:paraId="64857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78" w:type="dxa"/>
            <w:vAlign w:val="center"/>
          </w:tcPr>
          <w:p w14:paraId="4A8AA4E3">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2</w:t>
            </w:r>
          </w:p>
        </w:tc>
        <w:tc>
          <w:tcPr>
            <w:tcW w:w="670" w:type="dxa"/>
            <w:vAlign w:val="center"/>
          </w:tcPr>
          <w:p w14:paraId="45BB47D0">
            <w:pPr>
              <w:autoSpaceDE w:val="0"/>
              <w:autoSpaceDN w:val="0"/>
              <w:adjustRightInd w:val="0"/>
              <w:jc w:val="center"/>
              <w:rPr>
                <w:rFonts w:ascii="Times New Roman" w:hAnsi="Times New Roman" w:eastAsia="宋体" w:cs="Times New Roman"/>
                <w:bCs w:val="0"/>
                <w:color w:val="auto"/>
                <w:kern w:val="2"/>
                <w:lang w:val="zh-CN"/>
              </w:rPr>
            </w:pPr>
            <w:r>
              <w:rPr>
                <w:rFonts w:ascii="Times New Roman" w:hAnsi="Times New Roman" w:eastAsia="宋体" w:cs="Times New Roman"/>
                <w:color w:val="auto"/>
                <w:lang w:val="zh-CN"/>
              </w:rPr>
              <w:t>柴油</w:t>
            </w:r>
          </w:p>
        </w:tc>
        <w:tc>
          <w:tcPr>
            <w:tcW w:w="2026" w:type="dxa"/>
            <w:vAlign w:val="center"/>
          </w:tcPr>
          <w:p w14:paraId="057C5E06">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lang w:val="zh-CN"/>
              </w:rPr>
              <w:t>表</w:t>
            </w:r>
            <w:r>
              <w:rPr>
                <w:rFonts w:ascii="Times New Roman" w:hAnsi="Times New Roman" w:eastAsia="宋体" w:cs="Times New Roman"/>
                <w:color w:val="auto"/>
              </w:rPr>
              <w:t>2</w:t>
            </w:r>
            <w:r>
              <w:rPr>
                <w:rFonts w:ascii="Times New Roman" w:hAnsi="Times New Roman" w:eastAsia="宋体" w:cs="Times New Roman"/>
                <w:color w:val="auto"/>
                <w:lang w:val="zh-CN"/>
              </w:rPr>
              <w:t>易燃液体</w:t>
            </w:r>
            <w:r>
              <w:rPr>
                <w:rFonts w:ascii="Times New Roman" w:hAnsi="Times New Roman" w:eastAsia="宋体" w:cs="Times New Roman"/>
                <w:color w:val="auto"/>
              </w:rPr>
              <w:t>W5.4</w:t>
            </w:r>
          </w:p>
        </w:tc>
        <w:tc>
          <w:tcPr>
            <w:tcW w:w="1102" w:type="dxa"/>
            <w:vAlign w:val="center"/>
          </w:tcPr>
          <w:p w14:paraId="32374346">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w:t>
            </w:r>
          </w:p>
        </w:tc>
        <w:tc>
          <w:tcPr>
            <w:tcW w:w="1306" w:type="dxa"/>
            <w:vAlign w:val="center"/>
          </w:tcPr>
          <w:p w14:paraId="458D6990">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rPr>
              <w:t>5000</w:t>
            </w:r>
          </w:p>
        </w:tc>
        <w:tc>
          <w:tcPr>
            <w:tcW w:w="1305" w:type="dxa"/>
            <w:vAlign w:val="center"/>
          </w:tcPr>
          <w:p w14:paraId="187EBA55">
            <w:pPr>
              <w:autoSpaceDE w:val="0"/>
              <w:autoSpaceDN w:val="0"/>
              <w:adjustRightInd w:val="0"/>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color w:val="auto"/>
                <w:lang w:val="en-US" w:eastAsia="zh-CN"/>
              </w:rPr>
              <w:t>0.17</w:t>
            </w:r>
          </w:p>
        </w:tc>
        <w:tc>
          <w:tcPr>
            <w:tcW w:w="1193" w:type="dxa"/>
            <w:vAlign w:val="center"/>
          </w:tcPr>
          <w:p w14:paraId="0E060CD1">
            <w:pPr>
              <w:autoSpaceDE w:val="0"/>
              <w:autoSpaceDN w:val="0"/>
              <w:adjustRightInd w:val="0"/>
              <w:jc w:val="center"/>
              <w:rPr>
                <w:rFonts w:hint="default" w:ascii="Times New Roman" w:hAnsi="Times New Roman" w:eastAsia="宋体" w:cs="Times New Roman"/>
                <w:b/>
                <w:bCs/>
                <w:color w:val="auto"/>
                <w:kern w:val="2"/>
                <w:lang w:val="en-US" w:eastAsia="zh-CN"/>
              </w:rPr>
            </w:pPr>
            <w:r>
              <w:rPr>
                <w:rFonts w:hint="eastAsia" w:ascii="Times New Roman" w:hAnsi="Times New Roman" w:eastAsia="宋体" w:cs="Times New Roman"/>
                <w:b/>
                <w:bCs/>
                <w:color w:val="auto"/>
                <w:lang w:val="en-US" w:eastAsia="zh-CN"/>
              </w:rPr>
              <w:t>0.000034</w:t>
            </w:r>
          </w:p>
        </w:tc>
        <w:tc>
          <w:tcPr>
            <w:tcW w:w="1078" w:type="dxa"/>
            <w:vAlign w:val="center"/>
          </w:tcPr>
          <w:p w14:paraId="15CFCB92">
            <w:pPr>
              <w:autoSpaceDE w:val="0"/>
              <w:autoSpaceDN w:val="0"/>
              <w:adjustRightInd w:val="0"/>
              <w:jc w:val="center"/>
              <w:rPr>
                <w:rFonts w:ascii="Times New Roman" w:hAnsi="Times New Roman" w:eastAsia="宋体" w:cs="Times New Roman"/>
                <w:bCs w:val="0"/>
                <w:color w:val="auto"/>
                <w:kern w:val="2"/>
              </w:rPr>
            </w:pPr>
          </w:p>
        </w:tc>
      </w:tr>
      <w:tr w14:paraId="70DC8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78" w:type="dxa"/>
            <w:vAlign w:val="center"/>
          </w:tcPr>
          <w:p w14:paraId="30BF3B02">
            <w:pPr>
              <w:autoSpaceDE w:val="0"/>
              <w:autoSpaceDN w:val="0"/>
              <w:adjustRightInd w:val="0"/>
              <w:jc w:val="center"/>
              <w:rPr>
                <w:rFonts w:ascii="Times New Roman" w:hAnsi="Times New Roman" w:eastAsia="宋体" w:cs="Times New Roman"/>
                <w:bCs w:val="0"/>
                <w:color w:val="auto"/>
                <w:kern w:val="2"/>
                <w:lang w:val="zh-CN"/>
              </w:rPr>
            </w:pPr>
          </w:p>
        </w:tc>
        <w:tc>
          <w:tcPr>
            <w:tcW w:w="6409" w:type="dxa"/>
            <w:gridSpan w:val="5"/>
            <w:vAlign w:val="center"/>
          </w:tcPr>
          <w:p w14:paraId="3EC21160">
            <w:pPr>
              <w:autoSpaceDE w:val="0"/>
              <w:autoSpaceDN w:val="0"/>
              <w:adjustRightInd w:val="0"/>
              <w:jc w:val="center"/>
              <w:rPr>
                <w:rFonts w:ascii="Times New Roman" w:hAnsi="Times New Roman" w:eastAsia="宋体" w:cs="Times New Roman"/>
                <w:bCs w:val="0"/>
                <w:color w:val="auto"/>
                <w:kern w:val="2"/>
              </w:rPr>
            </w:pPr>
            <w:r>
              <w:rPr>
                <w:rFonts w:ascii="Times New Roman" w:hAnsi="Times New Roman" w:eastAsia="宋体" w:cs="Times New Roman"/>
                <w:color w:val="auto"/>
                <w:lang w:val="zh-CN"/>
              </w:rPr>
              <w:t>合计</w:t>
            </w:r>
          </w:p>
        </w:tc>
        <w:tc>
          <w:tcPr>
            <w:tcW w:w="2271" w:type="dxa"/>
            <w:gridSpan w:val="2"/>
            <w:vAlign w:val="center"/>
          </w:tcPr>
          <w:p w14:paraId="68E19096">
            <w:pPr>
              <w:autoSpaceDE w:val="0"/>
              <w:autoSpaceDN w:val="0"/>
              <w:adjustRightInd w:val="0"/>
              <w:jc w:val="center"/>
              <w:rPr>
                <w:rFonts w:ascii="Times New Roman" w:hAnsi="Times New Roman" w:eastAsia="宋体" w:cs="Times New Roman"/>
                <w:bCs w:val="0"/>
                <w:color w:val="auto"/>
                <w:kern w:val="2"/>
              </w:rPr>
            </w:pPr>
            <w:r>
              <w:rPr>
                <w:rFonts w:hint="eastAsia" w:ascii="Times New Roman" w:hAnsi="Times New Roman" w:eastAsia="宋体" w:cs="Times New Roman"/>
                <w:b/>
                <w:bCs/>
                <w:color w:val="auto"/>
              </w:rPr>
              <w:t>0.000484</w:t>
            </w:r>
            <w:r>
              <w:rPr>
                <w:rFonts w:ascii="Times New Roman" w:hAnsi="Times New Roman" w:eastAsia="宋体" w:cs="Times New Roman"/>
                <w:b/>
                <w:bCs/>
                <w:color w:val="auto"/>
              </w:rPr>
              <w:t>＜1</w:t>
            </w:r>
          </w:p>
        </w:tc>
      </w:tr>
    </w:tbl>
    <w:p w14:paraId="5F319625">
      <w:pPr>
        <w:spacing w:line="240" w:lineRule="atLeast"/>
        <w:ind w:firstLine="560" w:firstLineChars="200"/>
        <w:jc w:val="left"/>
        <w:rPr>
          <w:rFonts w:ascii="Times New Roman" w:hAnsi="Times New Roman" w:eastAsia="宋体" w:cs="黑体"/>
          <w:bCs/>
          <w:color w:val="auto"/>
          <w:kern w:val="2"/>
        </w:rPr>
      </w:pPr>
      <w:r>
        <w:rPr>
          <w:rFonts w:hint="eastAsia" w:ascii="Times New Roman" w:hAnsi="Times New Roman" w:eastAsia="宋体" w:cs="Times New Roman"/>
          <w:bCs w:val="0"/>
          <w:color w:val="auto"/>
          <w:kern w:val="2"/>
          <w:sz w:val="28"/>
          <w:szCs w:val="28"/>
        </w:rPr>
        <w:t>从上述重大危险源辨识过程得知</w:t>
      </w:r>
      <w:r>
        <w:rPr>
          <w:rFonts w:hint="eastAsia" w:ascii="Times New Roman" w:hAnsi="Times New Roman" w:eastAsia="宋体" w:cs="Times New Roman"/>
          <w:bCs/>
          <w:color w:val="auto"/>
          <w:kern w:val="24"/>
          <w:sz w:val="28"/>
          <w:szCs w:val="28"/>
        </w:rPr>
        <w:t>：</w:t>
      </w:r>
      <w:r>
        <w:rPr>
          <w:rFonts w:hint="eastAsia" w:ascii="Times New Roman" w:hAnsi="Times New Roman" w:eastAsia="宋体" w:cs="Times New Roman"/>
          <w:b/>
          <w:bCs w:val="0"/>
          <w:color w:val="auto"/>
          <w:kern w:val="24"/>
          <w:sz w:val="28"/>
          <w:szCs w:val="28"/>
        </w:rPr>
        <w:t>该加油站</w:t>
      </w:r>
      <w:r>
        <w:rPr>
          <w:rFonts w:hint="eastAsia" w:ascii="Times New Roman" w:hAnsi="Times New Roman" w:eastAsia="宋体" w:cs="宋体"/>
          <w:b/>
          <w:bCs w:val="0"/>
          <w:color w:val="auto"/>
          <w:kern w:val="2"/>
          <w:sz w:val="28"/>
          <w:szCs w:val="28"/>
        </w:rPr>
        <w:t>生产单元和储存单元</w:t>
      </w:r>
      <w:r>
        <w:rPr>
          <w:rFonts w:hint="eastAsia" w:ascii="Times New Roman" w:hAnsi="Times New Roman" w:eastAsia="宋体" w:cs="宋体"/>
          <w:b/>
          <w:bCs w:val="0"/>
          <w:color w:val="auto"/>
          <w:kern w:val="2"/>
          <w:sz w:val="28"/>
          <w:szCs w:val="28"/>
          <w:lang w:val="zh-CN"/>
        </w:rPr>
        <w:t>均未</w:t>
      </w:r>
      <w:r>
        <w:rPr>
          <w:rFonts w:hint="eastAsia" w:ascii="Times New Roman" w:hAnsi="Times New Roman" w:eastAsia="宋体" w:cs="宋体"/>
          <w:b/>
          <w:bCs/>
          <w:color w:val="auto"/>
          <w:kern w:val="2"/>
          <w:sz w:val="28"/>
          <w:szCs w:val="28"/>
          <w:lang w:val="zh-CN"/>
        </w:rPr>
        <w:t>构成重大危险源</w:t>
      </w:r>
      <w:r>
        <w:rPr>
          <w:rFonts w:hint="eastAsia" w:ascii="Times New Roman" w:hAnsi="Times New Roman" w:eastAsia="宋体" w:cs="宋体"/>
          <w:b/>
          <w:bCs w:val="0"/>
          <w:color w:val="auto"/>
          <w:kern w:val="2"/>
          <w:sz w:val="28"/>
          <w:szCs w:val="28"/>
          <w:lang w:val="zh-CN"/>
        </w:rPr>
        <w:t>。</w:t>
      </w:r>
    </w:p>
    <w:p w14:paraId="2D01C5E7">
      <w:pPr>
        <w:keepNext/>
        <w:keepLines/>
        <w:spacing w:line="600" w:lineRule="exact"/>
        <w:outlineLvl w:val="1"/>
        <w:rPr>
          <w:rFonts w:ascii="Times New Roman" w:hAnsi="Times New Roman" w:eastAsia="宋体" w:cs="Times New Roman"/>
          <w:b/>
          <w:bCs/>
          <w:color w:val="auto"/>
          <w:kern w:val="2"/>
          <w:sz w:val="28"/>
          <w:szCs w:val="28"/>
        </w:rPr>
      </w:pPr>
      <w:bookmarkStart w:id="63" w:name="_Toc31826"/>
      <w:r>
        <w:rPr>
          <w:rFonts w:ascii="Times New Roman" w:hAnsi="Times New Roman" w:eastAsia="宋体" w:cs="Times New Roman"/>
          <w:b/>
          <w:bCs/>
          <w:color w:val="auto"/>
          <w:kern w:val="2"/>
          <w:sz w:val="28"/>
          <w:szCs w:val="28"/>
        </w:rPr>
        <w:t>3.4</w:t>
      </w:r>
      <w:r>
        <w:rPr>
          <w:rFonts w:hint="eastAsia" w:ascii="Times New Roman" w:hAnsi="Times New Roman" w:eastAsia="宋体" w:cs="宋体"/>
          <w:b/>
          <w:bCs/>
          <w:color w:val="auto"/>
          <w:kern w:val="2"/>
          <w:sz w:val="28"/>
          <w:szCs w:val="28"/>
        </w:rPr>
        <w:t>加油站主要危险因素分析</w:t>
      </w:r>
      <w:bookmarkEnd w:id="55"/>
      <w:bookmarkEnd w:id="56"/>
      <w:bookmarkEnd w:id="63"/>
    </w:p>
    <w:p w14:paraId="2AACE357">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危险是指可能造成人员伤害、职业病、财产损失、作业环境破坏的根源或状态。危害是指特定危险事件发生的可能性与后果的结合。危害因素是指能对人造成伤亡或对物造成突发性损坏的因素，强调突发性和瞬间作用。从其产生的</w:t>
      </w:r>
      <w:r>
        <w:rPr>
          <w:rFonts w:hint="eastAsia" w:ascii="Times New Roman" w:hAnsi="Times New Roman" w:eastAsia="宋体" w:cs="宋体"/>
          <w:bCs w:val="0"/>
          <w:color w:val="auto"/>
          <w:kern w:val="2"/>
          <w:sz w:val="28"/>
          <w:szCs w:val="28"/>
          <w:lang w:eastAsia="zh-CN"/>
        </w:rPr>
        <w:t>种类</w:t>
      </w:r>
      <w:r>
        <w:rPr>
          <w:rFonts w:hint="eastAsia" w:ascii="Times New Roman" w:hAnsi="Times New Roman" w:eastAsia="宋体" w:cs="宋体"/>
          <w:bCs w:val="0"/>
          <w:color w:val="auto"/>
          <w:kern w:val="2"/>
          <w:sz w:val="28"/>
          <w:szCs w:val="28"/>
        </w:rPr>
        <w:t>及形式看，主要有火灾、爆炸、电气事故以及中毒等。</w:t>
      </w:r>
    </w:p>
    <w:p w14:paraId="318A2670">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有害因素是指能影响人的身体健康，导致疾病，或对物造成慢性损坏的因素，强调在一定范围内的积累作用。主要有生产性粉尘、毒物、噪声与振动、辐射、高温、低温等。</w:t>
      </w:r>
    </w:p>
    <w:p w14:paraId="2D4606BD">
      <w:pPr>
        <w:spacing w:line="600" w:lineRule="exact"/>
        <w:ind w:firstLine="544" w:firstLineChars="200"/>
        <w:rPr>
          <w:rFonts w:ascii="Times New Roman" w:hAnsi="Times New Roman" w:eastAsia="宋体" w:cs="Times New Roman"/>
          <w:bCs w:val="0"/>
          <w:color w:val="auto"/>
          <w:spacing w:val="-4"/>
          <w:kern w:val="2"/>
          <w:sz w:val="28"/>
          <w:szCs w:val="28"/>
        </w:rPr>
      </w:pPr>
      <w:r>
        <w:rPr>
          <w:rFonts w:hint="eastAsia" w:ascii="Times New Roman" w:hAnsi="Times New Roman" w:eastAsia="宋体" w:cs="宋体"/>
          <w:bCs w:val="0"/>
          <w:color w:val="auto"/>
          <w:spacing w:val="-4"/>
          <w:kern w:val="2"/>
          <w:sz w:val="28"/>
          <w:szCs w:val="28"/>
        </w:rPr>
        <w:t>按导致事故的直接原因进行分析，根据《生产过程危险和有害因素分类与代码》（</w:t>
      </w:r>
      <w:r>
        <w:rPr>
          <w:rFonts w:hint="eastAsia" w:ascii="Times New Roman" w:hAnsi="Times New Roman" w:eastAsia="宋体" w:cs="Times New Roman"/>
          <w:bCs w:val="0"/>
          <w:color w:val="auto"/>
          <w:spacing w:val="-4"/>
          <w:kern w:val="2"/>
          <w:sz w:val="28"/>
          <w:szCs w:val="28"/>
        </w:rPr>
        <w:t>GB/T13861-2022</w:t>
      </w:r>
      <w:r>
        <w:rPr>
          <w:rFonts w:hint="eastAsia" w:ascii="Times New Roman" w:hAnsi="Times New Roman" w:eastAsia="宋体" w:cs="宋体"/>
          <w:bCs w:val="0"/>
          <w:color w:val="auto"/>
          <w:spacing w:val="-4"/>
          <w:kern w:val="2"/>
          <w:sz w:val="28"/>
          <w:szCs w:val="28"/>
        </w:rPr>
        <w:t>）的规定，本项目存在以下四类危险、有害因素。</w:t>
      </w:r>
    </w:p>
    <w:p w14:paraId="2F354ED3">
      <w:pPr>
        <w:numPr>
          <w:ilvl w:val="0"/>
          <w:numId w:val="5"/>
        </w:num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人的因素</w:t>
      </w:r>
    </w:p>
    <w:p w14:paraId="39E88E4B">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、心理、生理性危险、有害因素</w:t>
      </w:r>
    </w:p>
    <w:p w14:paraId="25F523E8">
      <w:pPr>
        <w:spacing w:line="600" w:lineRule="exact"/>
        <w:ind w:firstLine="544" w:firstLineChars="200"/>
        <w:rPr>
          <w:rFonts w:ascii="Times New Roman" w:hAnsi="Times New Roman" w:eastAsia="宋体" w:cs="Times New Roman"/>
          <w:bCs w:val="0"/>
          <w:color w:val="auto"/>
          <w:spacing w:val="-4"/>
          <w:kern w:val="2"/>
          <w:sz w:val="28"/>
          <w:szCs w:val="28"/>
        </w:rPr>
      </w:pPr>
      <w:r>
        <w:rPr>
          <w:rFonts w:hint="eastAsia" w:ascii="Times New Roman" w:hAnsi="Times New Roman" w:eastAsia="宋体" w:cs="宋体"/>
          <w:bCs w:val="0"/>
          <w:color w:val="auto"/>
          <w:spacing w:val="-4"/>
          <w:kern w:val="2"/>
          <w:sz w:val="28"/>
          <w:szCs w:val="28"/>
        </w:rPr>
        <w:t>本项目中职工可能存在年龄、体质、受教育程度、操作熟练程度、心理承受能力、对事物的反应速度、休息好坏等差异。在生产过程中，存在过度疲劳、健康异常、心理异常（如情绪异常、过度紧张等）或有职业禁忌症，反应迟钝等，从而不能及时判断处理故障发生事故或引发事故。</w:t>
      </w:r>
    </w:p>
    <w:p w14:paraId="15C68838">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2</w:t>
      </w:r>
      <w:r>
        <w:rPr>
          <w:rFonts w:hint="eastAsia" w:ascii="Times New Roman" w:hAnsi="Times New Roman" w:eastAsia="宋体" w:cs="宋体"/>
          <w:bCs w:val="0"/>
          <w:color w:val="auto"/>
          <w:kern w:val="2"/>
          <w:sz w:val="28"/>
          <w:szCs w:val="28"/>
        </w:rPr>
        <w:t>、行为性危险、有害因素</w:t>
      </w:r>
    </w:p>
    <w:p w14:paraId="3280462E">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行为性危险、有害因素主要表现为操作错误（如误操作、违章操作）或监护错误（如作业人员脱离岗位等）。</w:t>
      </w:r>
    </w:p>
    <w:p w14:paraId="52C3288F">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由于加油站是一个开放的经营场所，来往车辆多，车辆带来的是流动的外来人员，常有不明白加油站安全要求的人员进入加油站，并有点火吸烟、在加油区打手机、摩托车进站不熄火、用塑料桶装汽油等行为出现，这些人员的行为性危险有害因素需要加油站工作人员的安全引导和及时</w:t>
      </w:r>
      <w:r>
        <w:rPr>
          <w:rFonts w:hint="eastAsia" w:ascii="Times New Roman" w:hAnsi="Times New Roman" w:eastAsia="宋体" w:cs="宋体"/>
          <w:bCs w:val="0"/>
          <w:color w:val="auto"/>
          <w:kern w:val="2"/>
          <w:sz w:val="28"/>
          <w:szCs w:val="28"/>
          <w:lang w:eastAsia="zh-CN"/>
        </w:rPr>
        <w:t>地</w:t>
      </w:r>
      <w:r>
        <w:rPr>
          <w:rFonts w:hint="eastAsia" w:ascii="Times New Roman" w:hAnsi="Times New Roman" w:eastAsia="宋体" w:cs="宋体"/>
          <w:bCs w:val="0"/>
          <w:color w:val="auto"/>
          <w:kern w:val="2"/>
          <w:sz w:val="28"/>
          <w:szCs w:val="28"/>
        </w:rPr>
        <w:t>制止。因此，加油站的行为性危险、有害因素多表现在外来人员中。</w:t>
      </w:r>
    </w:p>
    <w:p w14:paraId="1FF5DC3C">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二、物的因素</w:t>
      </w:r>
    </w:p>
    <w:p w14:paraId="742643CF">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、物理性危险和有害因素</w:t>
      </w:r>
    </w:p>
    <w:p w14:paraId="1B891C9D">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）设备、设施缺陷</w:t>
      </w:r>
    </w:p>
    <w:p w14:paraId="14B64E19">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本项目中存在储罐、泵等设备、设施，如因设备基础、本体腐蚀、强度不够、安装质量低、管道密封不良、运动件损坏等可能引发各类事故。</w:t>
      </w:r>
    </w:p>
    <w:p w14:paraId="4706B4AE">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2</w:t>
      </w:r>
      <w:r>
        <w:rPr>
          <w:rFonts w:hint="eastAsia" w:ascii="Times New Roman" w:hAnsi="Times New Roman" w:eastAsia="宋体" w:cs="宋体"/>
          <w:bCs w:val="0"/>
          <w:color w:val="auto"/>
          <w:kern w:val="2"/>
          <w:sz w:val="28"/>
          <w:szCs w:val="28"/>
        </w:rPr>
        <w:t>）电气危害</w:t>
      </w:r>
    </w:p>
    <w:p w14:paraId="1E5FE68A">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本项目中使用电气设备、设施，可能发生带电部位裸露、漏电、雷电、静电、电火花等电危害。</w:t>
      </w:r>
    </w:p>
    <w:p w14:paraId="5DA09C45">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3</w:t>
      </w:r>
      <w:r>
        <w:rPr>
          <w:rFonts w:hint="eastAsia" w:ascii="Times New Roman" w:hAnsi="Times New Roman" w:eastAsia="宋体" w:cs="宋体"/>
          <w:bCs w:val="0"/>
          <w:color w:val="auto"/>
          <w:kern w:val="2"/>
          <w:sz w:val="28"/>
          <w:szCs w:val="28"/>
        </w:rPr>
        <w:t>）运动物危害</w:t>
      </w:r>
    </w:p>
    <w:p w14:paraId="7ED6B241">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本项目中的机泵在工作时可能发生机械伤人，另外，高处未固定好的物体或检修工具、器落下、飞出等。运输车辆可能因各种原因发生撞击设备或人员等。</w:t>
      </w:r>
    </w:p>
    <w:p w14:paraId="2E4D28BB">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4</w:t>
      </w:r>
      <w:r>
        <w:rPr>
          <w:rFonts w:hint="eastAsia" w:ascii="Times New Roman" w:hAnsi="Times New Roman" w:eastAsia="宋体" w:cs="宋体"/>
          <w:bCs w:val="0"/>
          <w:color w:val="auto"/>
          <w:kern w:val="2"/>
          <w:sz w:val="28"/>
          <w:szCs w:val="28"/>
        </w:rPr>
        <w:t>）明火</w:t>
      </w:r>
    </w:p>
    <w:p w14:paraId="6076DA71">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包括检修动火，违章吸烟及汽车排气管尾气带火等。</w:t>
      </w:r>
    </w:p>
    <w:p w14:paraId="0D531B37">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5</w:t>
      </w:r>
      <w:r>
        <w:rPr>
          <w:rFonts w:hint="eastAsia" w:ascii="Times New Roman" w:hAnsi="Times New Roman" w:eastAsia="宋体" w:cs="宋体"/>
          <w:bCs w:val="0"/>
          <w:color w:val="auto"/>
          <w:kern w:val="2"/>
          <w:sz w:val="28"/>
          <w:szCs w:val="28"/>
        </w:rPr>
        <w:t>）标志缺陷</w:t>
      </w:r>
    </w:p>
    <w:p w14:paraId="70A93CD3">
      <w:pPr>
        <w:spacing w:line="58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本项目标志缺陷主要可能在于未设置警示标志或标志不规范等。</w:t>
      </w:r>
    </w:p>
    <w:p w14:paraId="60AAB9DF">
      <w:pPr>
        <w:spacing w:line="58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（6）受限空间</w:t>
      </w:r>
    </w:p>
    <w:p w14:paraId="71FCC992">
      <w:pPr>
        <w:spacing w:line="58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该项目设置埋地油罐、地下人孔井，需要定期进入进行维护、清理和定检，由于其作业条件复杂等特点，在作业过程中极易发生人身伤害事故。</w:t>
      </w:r>
    </w:p>
    <w:p w14:paraId="0A800C66">
      <w:pPr>
        <w:spacing w:line="580" w:lineRule="exact"/>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本项目设备油罐、地下人孔井属封闭空间作业，此空间存在通风不良，易造成易燃易爆、有毒有害等物质积聚或者氧含量不足。当作业人员对有限空间概念的陌生，</w:t>
      </w:r>
      <w:r>
        <w:rPr>
          <w:rFonts w:hint="eastAsia" w:ascii="Times New Roman" w:hAnsi="Times New Roman" w:eastAsia="宋体" w:cs="宋体"/>
          <w:bCs w:val="0"/>
          <w:color w:val="auto"/>
          <w:kern w:val="2"/>
          <w:sz w:val="28"/>
          <w:szCs w:val="28"/>
          <w:lang w:eastAsia="zh-CN"/>
        </w:rPr>
        <w:t>以至于</w:t>
      </w:r>
      <w:r>
        <w:rPr>
          <w:rFonts w:hint="eastAsia" w:ascii="Times New Roman" w:hAnsi="Times New Roman" w:eastAsia="宋体" w:cs="宋体"/>
          <w:bCs w:val="0"/>
          <w:color w:val="auto"/>
          <w:kern w:val="2"/>
          <w:sz w:val="28"/>
          <w:szCs w:val="28"/>
        </w:rPr>
        <w:t>根本无法认清相应空间存在的危害性；监护、救援人员相关知识的匮乏及救援设备的缺失可能发生有限空间作业事故。</w:t>
      </w:r>
    </w:p>
    <w:p w14:paraId="11F66573">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清理隔油池不按规程作业，可能发生有限空间作业事故。</w:t>
      </w:r>
    </w:p>
    <w:p w14:paraId="4D311562">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2</w:t>
      </w:r>
      <w:r>
        <w:rPr>
          <w:rFonts w:hint="eastAsia" w:ascii="Times New Roman" w:hAnsi="Times New Roman" w:eastAsia="宋体" w:cs="宋体"/>
          <w:bCs w:val="0"/>
          <w:color w:val="auto"/>
          <w:kern w:val="2"/>
          <w:sz w:val="28"/>
          <w:szCs w:val="28"/>
        </w:rPr>
        <w:t>、化学性危险、有害因素</w:t>
      </w:r>
    </w:p>
    <w:p w14:paraId="637ECF6F">
      <w:pPr>
        <w:snapToGrid w:val="0"/>
        <w:spacing w:line="600" w:lineRule="exact"/>
        <w:ind w:firstLine="516" w:firstLineChars="200"/>
        <w:rPr>
          <w:rFonts w:ascii="Times New Roman" w:hAnsi="Times New Roman" w:eastAsia="宋体" w:cs="Times New Roman"/>
          <w:bCs w:val="0"/>
          <w:color w:val="auto"/>
          <w:spacing w:val="-6"/>
          <w:kern w:val="2"/>
          <w:sz w:val="28"/>
          <w:szCs w:val="28"/>
        </w:rPr>
      </w:pPr>
      <w:r>
        <w:rPr>
          <w:rFonts w:hint="eastAsia" w:ascii="Times New Roman" w:hAnsi="Times New Roman" w:eastAsia="宋体" w:cs="宋体"/>
          <w:bCs w:val="0"/>
          <w:color w:val="auto"/>
          <w:spacing w:val="-11"/>
          <w:kern w:val="2"/>
          <w:sz w:val="28"/>
          <w:szCs w:val="28"/>
        </w:rPr>
        <w:t>汽油危险性类别：生殖细胞致突变性，类别</w:t>
      </w:r>
      <w:r>
        <w:rPr>
          <w:rFonts w:ascii="Times New Roman" w:hAnsi="Times New Roman" w:eastAsia="宋体" w:cs="Times New Roman"/>
          <w:bCs w:val="0"/>
          <w:color w:val="auto"/>
          <w:spacing w:val="-11"/>
          <w:kern w:val="2"/>
          <w:sz w:val="28"/>
          <w:szCs w:val="28"/>
        </w:rPr>
        <w:t>1B</w:t>
      </w:r>
      <w:r>
        <w:rPr>
          <w:rFonts w:hint="eastAsia" w:ascii="Times New Roman" w:hAnsi="Times New Roman" w:eastAsia="宋体" w:cs="宋体"/>
          <w:bCs w:val="0"/>
          <w:color w:val="auto"/>
          <w:spacing w:val="-11"/>
          <w:kern w:val="2"/>
          <w:sz w:val="28"/>
          <w:szCs w:val="28"/>
        </w:rPr>
        <w:t>；致癌性，类别</w:t>
      </w:r>
      <w:r>
        <w:rPr>
          <w:rFonts w:ascii="Times New Roman" w:hAnsi="Times New Roman" w:eastAsia="宋体" w:cs="Times New Roman"/>
          <w:bCs w:val="0"/>
          <w:color w:val="auto"/>
          <w:spacing w:val="-11"/>
          <w:kern w:val="2"/>
          <w:sz w:val="28"/>
          <w:szCs w:val="28"/>
        </w:rPr>
        <w:t>2</w:t>
      </w:r>
      <w:r>
        <w:rPr>
          <w:rFonts w:hint="eastAsia" w:ascii="Times New Roman" w:hAnsi="Times New Roman" w:eastAsia="宋体" w:cs="宋体"/>
          <w:bCs w:val="0"/>
          <w:color w:val="auto"/>
          <w:spacing w:val="-11"/>
          <w:kern w:val="2"/>
          <w:sz w:val="28"/>
          <w:szCs w:val="28"/>
        </w:rPr>
        <w:t>；吸入危害，类别</w:t>
      </w:r>
      <w:r>
        <w:rPr>
          <w:rFonts w:ascii="Times New Roman" w:hAnsi="Times New Roman" w:eastAsia="宋体" w:cs="Times New Roman"/>
          <w:bCs w:val="0"/>
          <w:color w:val="auto"/>
          <w:spacing w:val="-11"/>
          <w:kern w:val="2"/>
          <w:sz w:val="28"/>
          <w:szCs w:val="28"/>
        </w:rPr>
        <w:t>1</w:t>
      </w:r>
      <w:r>
        <w:rPr>
          <w:rFonts w:hint="eastAsia" w:ascii="Times New Roman" w:hAnsi="Times New Roman" w:eastAsia="宋体" w:cs="宋体"/>
          <w:bCs w:val="0"/>
          <w:color w:val="auto"/>
          <w:spacing w:val="-11"/>
          <w:kern w:val="2"/>
          <w:sz w:val="28"/>
          <w:szCs w:val="28"/>
        </w:rPr>
        <w:t>；危害水生环境</w:t>
      </w:r>
      <w:r>
        <w:rPr>
          <w:rFonts w:hint="eastAsia" w:ascii="Times New Roman" w:hAnsi="Times New Roman" w:eastAsia="宋体" w:cs="宋体"/>
          <w:bCs w:val="0"/>
          <w:color w:val="auto"/>
          <w:spacing w:val="-11"/>
          <w:kern w:val="2"/>
          <w:sz w:val="28"/>
          <w:szCs w:val="28"/>
          <w:lang w:eastAsia="zh-CN"/>
        </w:rPr>
        <w:t>－</w:t>
      </w:r>
      <w:r>
        <w:rPr>
          <w:rFonts w:hint="eastAsia" w:ascii="Times New Roman" w:hAnsi="Times New Roman" w:eastAsia="宋体" w:cs="宋体"/>
          <w:bCs w:val="0"/>
          <w:color w:val="auto"/>
          <w:spacing w:val="-11"/>
          <w:kern w:val="2"/>
          <w:sz w:val="28"/>
          <w:szCs w:val="28"/>
        </w:rPr>
        <w:t>急性危害</w:t>
      </w:r>
      <w:r>
        <w:rPr>
          <w:rFonts w:hint="eastAsia" w:ascii="Times New Roman" w:hAnsi="Times New Roman" w:eastAsia="宋体" w:cs="宋体"/>
          <w:bCs w:val="0"/>
          <w:color w:val="auto"/>
          <w:spacing w:val="-11"/>
          <w:kern w:val="2"/>
          <w:sz w:val="28"/>
          <w:szCs w:val="28"/>
          <w:lang w:eastAsia="zh-CN"/>
        </w:rPr>
        <w:t>，</w:t>
      </w:r>
      <w:r>
        <w:rPr>
          <w:rFonts w:hint="eastAsia" w:ascii="Times New Roman" w:hAnsi="Times New Roman" w:eastAsia="宋体" w:cs="宋体"/>
          <w:bCs w:val="0"/>
          <w:color w:val="auto"/>
          <w:spacing w:val="-11"/>
          <w:kern w:val="2"/>
          <w:sz w:val="28"/>
          <w:szCs w:val="28"/>
        </w:rPr>
        <w:t>类别</w:t>
      </w:r>
      <w:r>
        <w:rPr>
          <w:rFonts w:ascii="Times New Roman" w:hAnsi="Times New Roman" w:eastAsia="宋体" w:cs="Times New Roman"/>
          <w:bCs w:val="0"/>
          <w:color w:val="auto"/>
          <w:spacing w:val="-11"/>
          <w:kern w:val="2"/>
          <w:sz w:val="28"/>
          <w:szCs w:val="28"/>
        </w:rPr>
        <w:t>2</w:t>
      </w:r>
      <w:r>
        <w:rPr>
          <w:rFonts w:hint="eastAsia" w:ascii="Times New Roman" w:hAnsi="Times New Roman" w:eastAsia="宋体" w:cs="宋体"/>
          <w:bCs w:val="0"/>
          <w:color w:val="auto"/>
          <w:spacing w:val="-11"/>
          <w:kern w:val="2"/>
          <w:sz w:val="28"/>
          <w:szCs w:val="28"/>
        </w:rPr>
        <w:t>；危害水生环境</w:t>
      </w:r>
      <w:r>
        <w:rPr>
          <w:rFonts w:hint="eastAsia" w:ascii="Times New Roman" w:hAnsi="Times New Roman" w:eastAsia="宋体" w:cs="宋体"/>
          <w:bCs w:val="0"/>
          <w:color w:val="auto"/>
          <w:spacing w:val="-11"/>
          <w:kern w:val="2"/>
          <w:sz w:val="28"/>
          <w:szCs w:val="28"/>
          <w:lang w:eastAsia="zh-CN"/>
        </w:rPr>
        <w:t>－</w:t>
      </w:r>
      <w:r>
        <w:rPr>
          <w:rFonts w:hint="eastAsia" w:ascii="Times New Roman" w:hAnsi="Times New Roman" w:eastAsia="宋体" w:cs="宋体"/>
          <w:bCs w:val="0"/>
          <w:color w:val="auto"/>
          <w:spacing w:val="-11"/>
          <w:kern w:val="2"/>
          <w:sz w:val="28"/>
          <w:szCs w:val="28"/>
        </w:rPr>
        <w:t>长期危害</w:t>
      </w:r>
      <w:r>
        <w:rPr>
          <w:rFonts w:hint="eastAsia" w:ascii="Times New Roman" w:hAnsi="Times New Roman" w:eastAsia="宋体" w:cs="宋体"/>
          <w:bCs w:val="0"/>
          <w:color w:val="auto"/>
          <w:spacing w:val="-11"/>
          <w:kern w:val="2"/>
          <w:sz w:val="28"/>
          <w:szCs w:val="28"/>
          <w:lang w:eastAsia="zh-CN"/>
        </w:rPr>
        <w:t>，</w:t>
      </w:r>
      <w:r>
        <w:rPr>
          <w:rFonts w:hint="eastAsia" w:ascii="Times New Roman" w:hAnsi="Times New Roman" w:eastAsia="宋体" w:cs="宋体"/>
          <w:bCs w:val="0"/>
          <w:color w:val="auto"/>
          <w:spacing w:val="-11"/>
          <w:kern w:val="2"/>
          <w:sz w:val="28"/>
          <w:szCs w:val="28"/>
        </w:rPr>
        <w:t>类别</w:t>
      </w:r>
      <w:r>
        <w:rPr>
          <w:rFonts w:ascii="Times New Roman" w:hAnsi="Times New Roman" w:eastAsia="宋体" w:cs="Times New Roman"/>
          <w:bCs w:val="0"/>
          <w:color w:val="auto"/>
          <w:spacing w:val="-11"/>
          <w:kern w:val="2"/>
          <w:sz w:val="28"/>
          <w:szCs w:val="28"/>
        </w:rPr>
        <w:t>2</w:t>
      </w:r>
      <w:r>
        <w:rPr>
          <w:rFonts w:hint="eastAsia" w:ascii="Times New Roman" w:hAnsi="Times New Roman" w:eastAsia="宋体" w:cs="宋体"/>
          <w:bCs w:val="0"/>
          <w:color w:val="auto"/>
          <w:spacing w:val="-11"/>
          <w:kern w:val="2"/>
          <w:sz w:val="28"/>
          <w:szCs w:val="28"/>
        </w:rPr>
        <w:t>。</w:t>
      </w:r>
    </w:p>
    <w:p w14:paraId="6103B808">
      <w:pPr>
        <w:snapToGrid w:val="0"/>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）易燃易爆性物质</w:t>
      </w:r>
    </w:p>
    <w:p w14:paraId="60E8C4D1">
      <w:pPr>
        <w:snapToGrid w:val="0"/>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本项目中汽油和柴油均是化学品液体。汽油为易燃液体（类别</w:t>
      </w:r>
      <w:r>
        <w:rPr>
          <w:rFonts w:ascii="Times New Roman" w:hAnsi="Times New Roman" w:eastAsia="宋体" w:cs="Times New Roman"/>
          <w:bCs w:val="0"/>
          <w:color w:val="auto"/>
          <w:kern w:val="2"/>
          <w:sz w:val="28"/>
          <w:szCs w:val="28"/>
        </w:rPr>
        <w:t xml:space="preserve">2* </w:t>
      </w:r>
      <w:r>
        <w:rPr>
          <w:rFonts w:hint="eastAsia" w:ascii="Times New Roman" w:hAnsi="Times New Roman" w:eastAsia="宋体" w:cs="宋体"/>
          <w:bCs w:val="0"/>
          <w:color w:val="auto"/>
          <w:kern w:val="2"/>
          <w:sz w:val="28"/>
          <w:szCs w:val="28"/>
        </w:rPr>
        <w:t>），其蒸汽与空气形成爆炸性气体，遇明火、高热易燃烧爆炸；柴油为易燃液体（类别</w:t>
      </w:r>
      <w:r>
        <w:rPr>
          <w:rFonts w:ascii="Times New Roman" w:hAnsi="Times New Roman" w:eastAsia="宋体" w:cs="Times New Roman"/>
          <w:bCs w:val="0"/>
          <w:color w:val="auto"/>
          <w:kern w:val="2"/>
          <w:sz w:val="28"/>
          <w:szCs w:val="28"/>
        </w:rPr>
        <w:t>3</w:t>
      </w:r>
      <w:r>
        <w:rPr>
          <w:rFonts w:hint="eastAsia" w:ascii="Times New Roman" w:hAnsi="Times New Roman" w:eastAsia="宋体" w:cs="宋体"/>
          <w:bCs w:val="0"/>
          <w:color w:val="auto"/>
          <w:kern w:val="2"/>
          <w:sz w:val="28"/>
          <w:szCs w:val="28"/>
        </w:rPr>
        <w:t>），遇明火、高热或与氧化剂接触，有引起燃烧爆炸的危险。</w:t>
      </w:r>
    </w:p>
    <w:p w14:paraId="539B8E54">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2</w:t>
      </w:r>
      <w:r>
        <w:rPr>
          <w:rFonts w:hint="eastAsia" w:ascii="Times New Roman" w:hAnsi="Times New Roman" w:eastAsia="宋体" w:cs="宋体"/>
          <w:bCs w:val="0"/>
          <w:color w:val="auto"/>
          <w:kern w:val="2"/>
          <w:sz w:val="28"/>
          <w:szCs w:val="28"/>
        </w:rPr>
        <w:t>）有毒物质</w:t>
      </w:r>
    </w:p>
    <w:p w14:paraId="794E30E8">
      <w:pPr>
        <w:snapToGrid w:val="0"/>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汽油及柴油经口、鼻进入人体的呼吸系统，能使人体器官损害而产生急性或慢性中毒。当空气中油气含量为</w:t>
      </w:r>
      <w:r>
        <w:rPr>
          <w:rFonts w:ascii="Times New Roman" w:hAnsi="Times New Roman" w:eastAsia="宋体" w:cs="Times New Roman"/>
          <w:bCs w:val="0"/>
          <w:color w:val="auto"/>
          <w:kern w:val="2"/>
          <w:sz w:val="28"/>
          <w:szCs w:val="28"/>
        </w:rPr>
        <w:t>0.28%</w:t>
      </w:r>
      <w:r>
        <w:rPr>
          <w:rFonts w:hint="eastAsia" w:ascii="Times New Roman" w:hAnsi="Times New Roman" w:eastAsia="宋体" w:cs="宋体"/>
          <w:bCs w:val="0"/>
          <w:color w:val="auto"/>
          <w:kern w:val="2"/>
          <w:sz w:val="28"/>
          <w:szCs w:val="28"/>
        </w:rPr>
        <w:t>，人在该环境中经过</w:t>
      </w:r>
      <w:r>
        <w:rPr>
          <w:rFonts w:ascii="Times New Roman" w:hAnsi="Times New Roman" w:eastAsia="宋体" w:cs="Times New Roman"/>
          <w:bCs w:val="0"/>
          <w:color w:val="auto"/>
          <w:kern w:val="2"/>
          <w:sz w:val="28"/>
          <w:szCs w:val="28"/>
        </w:rPr>
        <w:t>12</w:t>
      </w: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14min</w:t>
      </w:r>
      <w:r>
        <w:rPr>
          <w:rFonts w:hint="eastAsia" w:ascii="Times New Roman" w:hAnsi="Times New Roman" w:eastAsia="宋体" w:cs="宋体"/>
          <w:bCs w:val="0"/>
          <w:color w:val="auto"/>
          <w:kern w:val="2"/>
          <w:sz w:val="28"/>
          <w:szCs w:val="28"/>
        </w:rPr>
        <w:t>便会有头晕感；如含量达到</w:t>
      </w:r>
      <w:r>
        <w:rPr>
          <w:rFonts w:ascii="Times New Roman" w:hAnsi="Times New Roman" w:eastAsia="宋体" w:cs="Times New Roman"/>
          <w:bCs w:val="0"/>
          <w:color w:val="auto"/>
          <w:kern w:val="2"/>
          <w:sz w:val="28"/>
          <w:szCs w:val="28"/>
        </w:rPr>
        <w:t>1.13%</w:t>
      </w:r>
      <w:r>
        <w:rPr>
          <w:rFonts w:hint="eastAsia" w:ascii="Times New Roman" w:hAnsi="Times New Roman" w:eastAsia="宋体" w:cs="宋体"/>
          <w:bCs w:val="0"/>
          <w:color w:val="auto"/>
          <w:kern w:val="2"/>
          <w:sz w:val="28"/>
          <w:szCs w:val="28"/>
        </w:rPr>
        <w:t>～</w:t>
      </w:r>
      <w:r>
        <w:rPr>
          <w:rFonts w:ascii="Times New Roman" w:hAnsi="Times New Roman" w:eastAsia="宋体" w:cs="Times New Roman"/>
          <w:bCs w:val="0"/>
          <w:color w:val="auto"/>
          <w:kern w:val="2"/>
          <w:sz w:val="28"/>
          <w:szCs w:val="28"/>
        </w:rPr>
        <w:t>2.22%</w:t>
      </w:r>
      <w:r>
        <w:rPr>
          <w:rFonts w:hint="eastAsia" w:ascii="Times New Roman" w:hAnsi="Times New Roman" w:eastAsia="宋体" w:cs="宋体"/>
          <w:bCs w:val="0"/>
          <w:color w:val="auto"/>
          <w:kern w:val="2"/>
          <w:sz w:val="28"/>
          <w:szCs w:val="28"/>
        </w:rPr>
        <w:t>，将会使人难以支持；含量更高时，则会使人立即晕倒，失去知觉，造成急性中毒。若皮肤经常与油品接触，则会产生脱脂、干燥、裂口、皮炎或局部神经麻木等症状；油品进入口腔、眼睛时，会使黏膜枯萎，有时还会引起局部充血。</w:t>
      </w:r>
    </w:p>
    <w:p w14:paraId="01CE9275">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三、环境因素</w:t>
      </w:r>
    </w:p>
    <w:p w14:paraId="2870F75C">
      <w:pPr>
        <w:spacing w:line="600" w:lineRule="exact"/>
        <w:ind w:firstLine="560" w:firstLineChars="200"/>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sz w:val="28"/>
          <w:szCs w:val="28"/>
        </w:rPr>
        <w:t>本项目作业环境不良主要包括高温高湿环境、雷雨天气、夜间作业采光照明不良、作业场所地面不平整及台风等自然灾害。</w:t>
      </w:r>
    </w:p>
    <w:p w14:paraId="04FBB637">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本项目中其他危险、有害因素主要表现为周边环境、公用辅助设施的保证等。</w:t>
      </w:r>
    </w:p>
    <w:p w14:paraId="28D7085F">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四、管理因素</w:t>
      </w:r>
    </w:p>
    <w:p w14:paraId="0C0DEB9E">
      <w:pPr>
        <w:spacing w:line="600" w:lineRule="exact"/>
        <w:ind w:firstLine="544" w:firstLineChars="200"/>
        <w:rPr>
          <w:rFonts w:ascii="Times New Roman" w:hAnsi="Times New Roman" w:eastAsia="宋体" w:cs="Times New Roman"/>
          <w:bCs w:val="0"/>
          <w:color w:val="auto"/>
          <w:spacing w:val="-4"/>
          <w:kern w:val="2"/>
          <w:sz w:val="28"/>
          <w:szCs w:val="28"/>
        </w:rPr>
      </w:pPr>
      <w:r>
        <w:rPr>
          <w:rFonts w:hint="eastAsia" w:ascii="Times New Roman" w:hAnsi="Times New Roman" w:eastAsia="宋体" w:cs="宋体"/>
          <w:bCs w:val="0"/>
          <w:color w:val="auto"/>
          <w:spacing w:val="-4"/>
          <w:kern w:val="2"/>
          <w:sz w:val="28"/>
          <w:szCs w:val="28"/>
        </w:rPr>
        <w:t>本项目管理缺陷主要为安全教育培训、职业健康管理不完善，包括安全教育培训、人员持证、职业健康体检及其档案管理等不完善。</w:t>
      </w:r>
    </w:p>
    <w:p w14:paraId="375CF18E">
      <w:pPr>
        <w:keepNext/>
        <w:keepLines/>
        <w:spacing w:line="600" w:lineRule="exact"/>
        <w:outlineLvl w:val="1"/>
        <w:rPr>
          <w:rFonts w:ascii="Times New Roman" w:hAnsi="Times New Roman" w:eastAsia="宋体" w:cs="Times New Roman"/>
          <w:b/>
          <w:bCs/>
          <w:color w:val="auto"/>
          <w:kern w:val="2"/>
          <w:sz w:val="28"/>
          <w:szCs w:val="28"/>
        </w:rPr>
      </w:pPr>
      <w:bookmarkStart w:id="64" w:name="_Toc16859"/>
      <w:bookmarkStart w:id="65" w:name="_Toc17404"/>
      <w:bookmarkStart w:id="66" w:name="_Toc12440"/>
      <w:bookmarkStart w:id="67" w:name="_Toc20706"/>
      <w:r>
        <w:rPr>
          <w:rFonts w:ascii="Times New Roman" w:hAnsi="Times New Roman" w:eastAsia="宋体" w:cs="Times New Roman"/>
          <w:b/>
          <w:bCs/>
          <w:color w:val="auto"/>
          <w:kern w:val="2"/>
          <w:sz w:val="28"/>
          <w:szCs w:val="28"/>
        </w:rPr>
        <w:t>3.5</w:t>
      </w:r>
      <w:r>
        <w:rPr>
          <w:rFonts w:hint="eastAsia" w:ascii="Times New Roman" w:hAnsi="Times New Roman" w:eastAsia="宋体" w:cs="宋体"/>
          <w:b/>
          <w:bCs/>
          <w:color w:val="auto"/>
          <w:kern w:val="2"/>
          <w:sz w:val="28"/>
          <w:szCs w:val="28"/>
        </w:rPr>
        <w:t>经营过程中的危险辨识</w:t>
      </w:r>
      <w:bookmarkEnd w:id="64"/>
      <w:bookmarkEnd w:id="65"/>
      <w:bookmarkEnd w:id="66"/>
      <w:bookmarkEnd w:id="67"/>
    </w:p>
    <w:p w14:paraId="7037C5CF">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由于能量的积聚和有害物质的存在是危险、有害因素产生的根源，系统具有的能量越大，存在的有害物质的数量越多，系统的潜在危险性和危害性也越大。能量和有害物质的失控是危险，有害因素产生的条件，失控主要体现在设备故障，人为失误，管理缺陷，环境因素四个方面。</w:t>
      </w:r>
    </w:p>
    <w:p w14:paraId="14958A7D">
      <w:pPr>
        <w:spacing w:line="600" w:lineRule="exact"/>
        <w:ind w:firstLine="560" w:firstLineChars="200"/>
        <w:rPr>
          <w:rFonts w:ascii="Times New Roman" w:hAnsi="Times New Roman" w:eastAsia="宋体" w:cs="Times New Roman"/>
          <w:bCs w:val="0"/>
          <w:color w:val="auto"/>
          <w:spacing w:val="0"/>
          <w:kern w:val="2"/>
          <w:sz w:val="28"/>
          <w:szCs w:val="28"/>
        </w:rPr>
      </w:pPr>
      <w:r>
        <w:rPr>
          <w:rFonts w:hint="eastAsia" w:ascii="Times New Roman" w:hAnsi="Times New Roman" w:eastAsia="宋体" w:cs="宋体"/>
          <w:bCs w:val="0"/>
          <w:color w:val="auto"/>
          <w:spacing w:val="0"/>
          <w:kern w:val="2"/>
          <w:sz w:val="28"/>
          <w:szCs w:val="28"/>
        </w:rPr>
        <w:t>通过对该企业提供的有关资料的分析，结合现场调研和类比企业装置现场调查、了解的资料分析，按照《生产安全事故分类与编码》</w:t>
      </w:r>
      <w:r>
        <w:rPr>
          <w:rFonts w:ascii="Times New Roman" w:hAnsi="Times New Roman" w:eastAsia="宋体" w:cs="Times New Roman"/>
          <w:bCs w:val="0"/>
          <w:color w:val="auto"/>
          <w:spacing w:val="0"/>
          <w:kern w:val="2"/>
          <w:sz w:val="28"/>
          <w:szCs w:val="28"/>
        </w:rPr>
        <w:t>GB6441-</w:t>
      </w:r>
      <w:r>
        <w:rPr>
          <w:rFonts w:hint="eastAsia" w:ascii="Times New Roman" w:hAnsi="Times New Roman" w:eastAsia="宋体" w:cs="Times New Roman"/>
          <w:bCs w:val="0"/>
          <w:color w:val="auto"/>
          <w:spacing w:val="0"/>
          <w:kern w:val="2"/>
          <w:sz w:val="28"/>
          <w:szCs w:val="28"/>
          <w:lang w:val="en-US" w:eastAsia="zh-CN"/>
        </w:rPr>
        <w:t>2025</w:t>
      </w:r>
      <w:r>
        <w:rPr>
          <w:rFonts w:hint="eastAsia" w:ascii="Times New Roman" w:hAnsi="Times New Roman" w:eastAsia="宋体" w:cs="宋体"/>
          <w:bCs w:val="0"/>
          <w:color w:val="auto"/>
          <w:spacing w:val="0"/>
          <w:kern w:val="2"/>
          <w:sz w:val="28"/>
          <w:szCs w:val="28"/>
        </w:rPr>
        <w:t>的规定，对本项目存在危险因素归纳汇总。各单元危险性具体分析见危险性分析评价。</w:t>
      </w:r>
    </w:p>
    <w:p w14:paraId="575FAEB9">
      <w:pPr>
        <w:widowControl/>
        <w:spacing w:line="600" w:lineRule="exact"/>
        <w:outlineLvl w:val="2"/>
        <w:rPr>
          <w:rFonts w:hint="eastAsia" w:ascii="Times New Roman" w:hAnsi="Times New Roman" w:eastAsia="宋体" w:cs="Times New Roman"/>
          <w:b/>
          <w:bCs/>
          <w:color w:val="auto"/>
          <w:kern w:val="0"/>
          <w:sz w:val="28"/>
          <w:szCs w:val="28"/>
          <w:lang w:val="en-US" w:eastAsia="zh-CN"/>
        </w:rPr>
      </w:pPr>
      <w:bookmarkStart w:id="68" w:name="_Toc9570"/>
      <w:bookmarkStart w:id="69" w:name="_Toc16083"/>
      <w:bookmarkStart w:id="70" w:name="_Toc12873"/>
      <w:r>
        <w:rPr>
          <w:rFonts w:ascii="Times New Roman" w:hAnsi="Times New Roman" w:eastAsia="宋体" w:cs="Times New Roman"/>
          <w:b/>
          <w:bCs/>
          <w:color w:val="auto"/>
          <w:kern w:val="0"/>
          <w:sz w:val="28"/>
          <w:szCs w:val="28"/>
        </w:rPr>
        <w:t>3.5.1</w:t>
      </w:r>
      <w:bookmarkEnd w:id="68"/>
      <w:bookmarkEnd w:id="69"/>
      <w:bookmarkEnd w:id="70"/>
      <w:r>
        <w:rPr>
          <w:rFonts w:hint="eastAsia" w:ascii="Times New Roman" w:hAnsi="Times New Roman" w:eastAsia="宋体" w:cs="宋体"/>
          <w:b/>
          <w:bCs/>
          <w:color w:val="auto"/>
          <w:kern w:val="0"/>
          <w:sz w:val="28"/>
          <w:szCs w:val="28"/>
        </w:rPr>
        <w:t>火灾、可燃液体蒸汽爆炸、容器爆</w:t>
      </w:r>
      <w:r>
        <w:rPr>
          <w:rFonts w:hint="eastAsia" w:ascii="Times New Roman" w:hAnsi="Times New Roman" w:eastAsia="宋体" w:cs="宋体"/>
          <w:b/>
          <w:bCs/>
          <w:color w:val="auto"/>
          <w:kern w:val="0"/>
          <w:sz w:val="28"/>
          <w:szCs w:val="28"/>
          <w:lang w:val="en-US" w:eastAsia="zh-CN"/>
        </w:rPr>
        <w:t>炸</w:t>
      </w:r>
    </w:p>
    <w:p w14:paraId="744D11C7">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(1)项目涉及的汽油蒸气与空气形成爆炸性混合物，遇明火、高热极易</w:t>
      </w:r>
      <w:r>
        <w:rPr>
          <w:rFonts w:hint="eastAsia" w:ascii="Times New Roman" w:hAnsi="Times New Roman" w:eastAsia="宋体" w:cs="宋体"/>
          <w:bCs w:val="0"/>
          <w:color w:val="auto"/>
          <w:spacing w:val="-11"/>
          <w:kern w:val="2"/>
          <w:sz w:val="28"/>
          <w:szCs w:val="28"/>
        </w:rPr>
        <w:t>燃烧爆炸。与氧化剂能发生强烈反应。其蒸气比空气重，能在较低处扩散到相当远的地方，遇明火会引着回燃，引发火灾、爆炸事故。柴油蒸气与空气形成可燃混合气，达到爆炸极限范围后，再遇到点火源后火灾、爆炸</w:t>
      </w:r>
      <w:r>
        <w:rPr>
          <w:rFonts w:hint="eastAsia" w:ascii="Times New Roman" w:hAnsi="Times New Roman" w:eastAsia="宋体" w:cs="宋体"/>
          <w:bCs w:val="0"/>
          <w:color w:val="auto"/>
          <w:kern w:val="2"/>
          <w:sz w:val="28"/>
          <w:szCs w:val="28"/>
        </w:rPr>
        <w:t>事故。</w:t>
      </w:r>
    </w:p>
    <w:p w14:paraId="0E9B78E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(2)汽油、柴油在装卸、输送过程中流速过快，或者贮罐、管道等无导静电措施，可能产生静电积聚，由静电火花而引起火灾、爆炸事故。</w:t>
      </w:r>
    </w:p>
    <w:p w14:paraId="07D33097">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(3)汽油、柴油贮罐无高液位控制措施，卸油时造成满溢泄漏，遇火源，可引发发生火灾、爆炸事故。</w:t>
      </w:r>
    </w:p>
    <w:p w14:paraId="302DADEC">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(4)汽油、柴油贮罐设置为地下式贮罐，埋地贮罐未设置相应的防腐措施，或焊接质量不合格，长年使用，发生罐体腐蚀引发油品泄漏，若遇点火源，可引发火灾、爆炸事故。</w:t>
      </w:r>
    </w:p>
    <w:p w14:paraId="7F233E97">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(5)地下输油管道未设置相应的防腐措施，或焊接质量不合格，使用时间过长易造成管道腐蚀穿孔，导致油品泄漏，若遇点火源，可引发火灾、爆炸事故。</w:t>
      </w:r>
    </w:p>
    <w:p w14:paraId="6B3787B3">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(6)地下输油管线的地沟未用沙填实，油气积聚达到爆炸极限浓度，可引发火灾、爆炸事故。</w:t>
      </w:r>
    </w:p>
    <w:p w14:paraId="4CCA305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(7)油罐通气管、呼吸阀维护不当等原因，不能正常关闭，易导致油品大量挥发，当浓度到达爆炸极限，若遇点火源，可引发火灾、爆炸事故。</w:t>
      </w:r>
    </w:p>
    <w:p w14:paraId="088C5235">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(8)卸完油如果立即启动油罐车，油罐车周围的油气未消散，可能会引起油气燃烧、爆炸。</w:t>
      </w:r>
    </w:p>
    <w:p w14:paraId="446BEE90">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(9)在加油过程中，进站加油车辆未熄火、或者有人员在加油作业区违章用火，可能使挥发的油气与火源接触后闪燃，引发火灾事故。</w:t>
      </w:r>
    </w:p>
    <w:p w14:paraId="4C1B23D3">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(10)加油员若违反规程向塑料容器加注油品，易造成静电积聚放电，会引起油品或油气燃烧，发生火灾。</w:t>
      </w:r>
    </w:p>
    <w:p w14:paraId="3D8D846C">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(11)加油过程，洒在地上的汽油不及时处理或处理不当，会引起地面汽油燃烧，发生火灾危险。</w:t>
      </w:r>
    </w:p>
    <w:p w14:paraId="2CD1FD38">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(12)站区内建构筑物未设置防雷设施、防雷设施失效，可能因雷电造成火灾、爆炸事故。</w:t>
      </w:r>
    </w:p>
    <w:p w14:paraId="22CCE4E0">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(13)项目设有一定量的电力电缆，这些电缆分别连接着各个电气设备。电缆自身故障产生的电弧、附近发生着火、短路或超负荷等可引起电力电缆火灾。线路因绝缘下降导致短路，存在着火灾、爆炸的危险。</w:t>
      </w:r>
    </w:p>
    <w:p w14:paraId="7991F8F5">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(14)加油区、油罐区等爆炸危险区域的电气设备若未按防爆要求设置，易产生电火花，引起火灾、爆炸事故。</w:t>
      </w:r>
    </w:p>
    <w:p w14:paraId="01366DD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(15)加油区、油罐区、站房等建构筑物、设备、管道未设置静电接地或静电接地设施失效，可能导致火灾、爆炸事故。</w:t>
      </w:r>
    </w:p>
    <w:p w14:paraId="694A6D97">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(16)在对油罐区、加油区等爆炸危险区域的汽油贮罐、输油管线、加油机等进行检修时，如设备、管道未置换或未完全置换，导致空气进入与汽油蒸汽爆炸性混合物，遇明火、高热能等，可引起火灾、爆炸事故。</w:t>
      </w:r>
    </w:p>
    <w:p w14:paraId="764627E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(17)卸油车卸油时未做好静电接地，可能引起火灾爆炸事故。</w:t>
      </w:r>
    </w:p>
    <w:p w14:paraId="5528760B">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(18)进油管伸至罐内距罐底深度不够，可能在罐内产生油品喷溅，引发静电火灾事故。</w:t>
      </w:r>
    </w:p>
    <w:p w14:paraId="08762E04">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(19)车辆碰撞事故、加油车辆带枪启动、卸油车辆滑行、使用手机等造成火灾爆炸事故。</w:t>
      </w:r>
    </w:p>
    <w:p w14:paraId="16DDB462">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(20)当罐池受地下水或雨水作用，油罐基础不均匀下沉或地下水浮力大，防上浮措施失效造成油罐发生倾斜，拉断油品管道，造成油品泄漏引发爆炸事故。</w:t>
      </w:r>
    </w:p>
    <w:p w14:paraId="5199F5DF">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(21)拆除油罐管线操作不当，未穿戴劳保工具。</w:t>
      </w:r>
    </w:p>
    <w:p w14:paraId="1699788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(22)人员违章动火，产生火花引起爆炸事故。</w:t>
      </w:r>
    </w:p>
    <w:p w14:paraId="615305EE">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(23)手机，电脑等电子产品充电或使用过程产生电火花引起爆炸事故。</w:t>
      </w:r>
    </w:p>
    <w:p w14:paraId="625E3028">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(24)卸油车与加油车辆发生碰撞引发火灾爆炸事故。</w:t>
      </w:r>
    </w:p>
    <w:p w14:paraId="6CEEE8C6">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(25)卸油车辆冲撞加油机导致起火引发火灾爆炸。</w:t>
      </w:r>
    </w:p>
    <w:p w14:paraId="08DEBBDA">
      <w:pPr>
        <w:widowControl/>
        <w:spacing w:line="600" w:lineRule="exact"/>
        <w:outlineLvl w:val="2"/>
        <w:rPr>
          <w:rFonts w:hint="eastAsia" w:ascii="Times New Roman" w:hAnsi="Times New Roman" w:eastAsia="宋体" w:cs="Times New Roman"/>
          <w:b/>
          <w:bCs/>
          <w:color w:val="auto"/>
          <w:kern w:val="0"/>
          <w:sz w:val="28"/>
          <w:szCs w:val="28"/>
        </w:rPr>
      </w:pPr>
      <w:r>
        <w:rPr>
          <w:rFonts w:hint="eastAsia" w:ascii="Times New Roman" w:hAnsi="Times New Roman" w:eastAsia="宋体" w:cs="Times New Roman"/>
          <w:b/>
          <w:bCs/>
          <w:color w:val="auto"/>
          <w:kern w:val="0"/>
          <w:sz w:val="28"/>
          <w:szCs w:val="28"/>
          <w:lang w:val="en-US" w:eastAsia="zh-CN"/>
        </w:rPr>
        <w:t>3.5.</w:t>
      </w:r>
      <w:r>
        <w:rPr>
          <w:rFonts w:hint="eastAsia" w:ascii="Times New Roman" w:hAnsi="Times New Roman" w:eastAsia="宋体" w:cs="Times New Roman"/>
          <w:b/>
          <w:bCs/>
          <w:color w:val="auto"/>
          <w:kern w:val="0"/>
          <w:sz w:val="28"/>
          <w:szCs w:val="28"/>
        </w:rPr>
        <w:t>2中毒</w:t>
      </w:r>
      <w:r>
        <w:rPr>
          <w:rFonts w:hint="eastAsia" w:ascii="Times New Roman" w:hAnsi="Times New Roman" w:eastAsia="宋体" w:cs="Times New Roman"/>
          <w:b/>
          <w:bCs/>
          <w:color w:val="auto"/>
          <w:kern w:val="0"/>
          <w:sz w:val="28"/>
          <w:szCs w:val="28"/>
          <w:lang w:eastAsia="zh-CN"/>
        </w:rPr>
        <w:t>、</w:t>
      </w:r>
      <w:r>
        <w:rPr>
          <w:rFonts w:hint="eastAsia" w:ascii="Times New Roman" w:hAnsi="Times New Roman" w:eastAsia="宋体" w:cs="Times New Roman"/>
          <w:b/>
          <w:bCs/>
          <w:color w:val="auto"/>
          <w:kern w:val="0"/>
          <w:sz w:val="28"/>
          <w:szCs w:val="28"/>
        </w:rPr>
        <w:t>窒息</w:t>
      </w:r>
    </w:p>
    <w:p w14:paraId="4D0D2754">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汽油、柴油对人体均有一定的危害性，人体接触或吸入可引发中毒事故，具体危害如下。</w:t>
      </w:r>
    </w:p>
    <w:p w14:paraId="625B83D7">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(1)汽油是一种有机溶剂，对神经系统具有较高的亲和力和毒害作用，人体经呼吸道长期吸入一定浓度的汽油后，可引起慢性中毒。</w:t>
      </w:r>
    </w:p>
    <w:p w14:paraId="5EC54A7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(2)汽油急性中毒对中枢神经系统有麻醉作用，出现意识丧失，反射性呼吸停止</w:t>
      </w:r>
      <w:r>
        <w:rPr>
          <w:rFonts w:hint="eastAsia" w:ascii="Times New Roman" w:hAnsi="Times New Roman" w:eastAsia="宋体" w:cs="宋体"/>
          <w:bCs w:val="0"/>
          <w:color w:val="auto"/>
          <w:kern w:val="2"/>
          <w:sz w:val="28"/>
          <w:szCs w:val="28"/>
          <w:lang w:eastAsia="zh-CN"/>
        </w:rPr>
        <w:t>；</w:t>
      </w:r>
      <w:r>
        <w:rPr>
          <w:rFonts w:hint="eastAsia" w:ascii="Times New Roman" w:hAnsi="Times New Roman" w:eastAsia="宋体" w:cs="宋体"/>
          <w:bCs w:val="0"/>
          <w:color w:val="auto"/>
          <w:kern w:val="2"/>
          <w:sz w:val="28"/>
          <w:szCs w:val="28"/>
        </w:rPr>
        <w:t>中毒性脑病、化学性肺炎等;慢性中毒则出现神经衰弱、植物神经功能紊乱等。溅入眼内可致角膜损害，甚至失明。皮肤接触致接触性皮炎或灼伤。吞咽引起急性胃肠炎，重者出现类似急性吸入中毒症状，并可引起肝、肾损害。</w:t>
      </w:r>
    </w:p>
    <w:p w14:paraId="07F6674B">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(3)皮肤接触为主要吸收途径。柴油可引起接触性皮炎、油性痤疮。吸入其雾滴或液体呛入可引起吸入性肺炎。柴油废气可引起眼、鼻刺激症状，头晕及头痛。</w:t>
      </w:r>
    </w:p>
    <w:p w14:paraId="4C6FF590">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(4)进入贮罐内检修时，因设备内未置换合格或未采取有效的隔绝措施，进入设备前或作业期间未按规定取样分析合格，可能造成人员中毒或窒息。</w:t>
      </w:r>
    </w:p>
    <w:p w14:paraId="51F441B9">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(5)油罐超装溢料、加油枪自封装置失效、辆碰撞事故、加油车辆带枪启动、卸油车辆滑行等导致泄漏，火灾爆炸，造成中毒</w:t>
      </w:r>
      <w:r>
        <w:rPr>
          <w:rFonts w:hint="eastAsia" w:ascii="Times New Roman" w:hAnsi="Times New Roman" w:eastAsia="宋体" w:cs="宋体"/>
          <w:bCs w:val="0"/>
          <w:color w:val="auto"/>
          <w:kern w:val="2"/>
          <w:sz w:val="28"/>
          <w:szCs w:val="28"/>
          <w:lang w:eastAsia="zh-CN"/>
        </w:rPr>
        <w:t>、</w:t>
      </w:r>
      <w:r>
        <w:rPr>
          <w:rFonts w:hint="eastAsia" w:ascii="Times New Roman" w:hAnsi="Times New Roman" w:eastAsia="宋体" w:cs="宋体"/>
          <w:bCs w:val="0"/>
          <w:color w:val="auto"/>
          <w:kern w:val="2"/>
          <w:sz w:val="28"/>
          <w:szCs w:val="28"/>
        </w:rPr>
        <w:t>窒息。</w:t>
      </w:r>
    </w:p>
    <w:p w14:paraId="7631B35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(6)拆除油罐管线操作不当，未穿戴劳保工具。</w:t>
      </w:r>
    </w:p>
    <w:p w14:paraId="2DEE023D">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(7)汽油火灾爆炸后所产生的化学物质和燃烧过程会释放出大量的有毒气体，这些有毒气体进入呼吸道后，会引起咳嗽、喘息、剧痛等症状，严重时甚至会导致窒息。</w:t>
      </w:r>
    </w:p>
    <w:p w14:paraId="3B622B93">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(8)在卸油、加油过程如有大量汽油、柴油泄漏就易造成作业人员窒息。</w:t>
      </w:r>
    </w:p>
    <w:p w14:paraId="6D004C58">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(9)加油区、油罐区和载油设施维修时，特别是进入罐内作业时，违章操作，未严格执行检修作业规定，如未进行置换、未佩戴防护用品、无人监护时进入罐内作业等，均有可能导致工作人员发生窒息事故。</w:t>
      </w:r>
    </w:p>
    <w:p w14:paraId="42A198C8">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rPr>
        <w:t>(10)站房发生火灾，可燃物质燃烧的烟气可能会导致工作人员窒息死</w:t>
      </w:r>
      <w:r>
        <w:rPr>
          <w:rFonts w:hint="eastAsia" w:ascii="Times New Roman" w:hAnsi="Times New Roman" w:eastAsia="宋体" w:cs="宋体"/>
          <w:bCs w:val="0"/>
          <w:color w:val="auto"/>
          <w:kern w:val="2"/>
          <w:sz w:val="28"/>
          <w:szCs w:val="28"/>
          <w:lang w:val="en-US" w:eastAsia="zh-CN"/>
        </w:rPr>
        <w:t>。</w:t>
      </w:r>
    </w:p>
    <w:p w14:paraId="7D424F46">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3.5.3泄漏</w:t>
      </w:r>
    </w:p>
    <w:p w14:paraId="6F2238DA">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(1)卸油过程油品泄漏</w:t>
      </w:r>
    </w:p>
    <w:p w14:paraId="6F4FC905">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潜在危险源形成条件:1)快速接头未卡紧或接头损坏。2)接头内部密封垫片损坏。3)卸油车辆滑行使得卸油管接口断开。</w:t>
      </w:r>
    </w:p>
    <w:p w14:paraId="0E300E79">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(2)储罐泄漏</w:t>
      </w:r>
    </w:p>
    <w:p w14:paraId="3B1DC1A1">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潜在危险源形成条件:超过设计使用年限、受到腐蚀性介质侵蚀穿孔、卸油时超装溢料、雨水漫灌使得储罐漂浮及管道断裂等。</w:t>
      </w:r>
    </w:p>
    <w:p w14:paraId="09BB2A53">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(3)加油机、管道泄漏</w:t>
      </w:r>
    </w:p>
    <w:p w14:paraId="38D017B6">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设备超过设计使用年限、阀门、密封、软管、加油枪等处密封损坏，管道受到腐蚀介质侵蚀导致穿孔、自封式加油枪失效、防溢阀失效导致油罐溢料。车辆碰撞加油机，导致加油机内部管道破裂油品泄漏。</w:t>
      </w:r>
    </w:p>
    <w:p w14:paraId="68FC8742">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(4)加油机的加油软管泄漏</w:t>
      </w:r>
    </w:p>
    <w:p w14:paraId="189399AB">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潜在危险源形成条件:加油汽车忘记将加油枪从油箱口移开就开车，而导致加油软管被拉断或加油机被拉到。</w:t>
      </w:r>
    </w:p>
    <w:p w14:paraId="69B16B90">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(5)汽车油箱、储罐加满溢漏</w:t>
      </w:r>
    </w:p>
    <w:p w14:paraId="48EF1A65">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潜在危险源形成条件:汽车油箱、储罐加满、卸油车辆发生意外碰撞。</w:t>
      </w:r>
    </w:p>
    <w:p w14:paraId="3AC288A5">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6油罐池</w:t>
      </w:r>
    </w:p>
    <w:p w14:paraId="54D5CF28">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潜在危险源形成条件:油罐池防渗漏质量差和施工质量差。罐池雨水排放不顺畅或不及时，导致油罐漂浮管道松动油品泄漏。</w:t>
      </w:r>
    </w:p>
    <w:p w14:paraId="013D054F">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(7)油罐车</w:t>
      </w:r>
    </w:p>
    <w:p w14:paraId="5A857DC0">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潜在危险源形成条件:油罐车超过使用年限、受到外力作用发生破坏。</w:t>
      </w:r>
    </w:p>
    <w:p w14:paraId="2403560D">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(8)卸油软管</w:t>
      </w:r>
    </w:p>
    <w:p w14:paraId="07022BB1">
      <w:pPr>
        <w:spacing w:line="600" w:lineRule="exact"/>
        <w:ind w:firstLine="560" w:firstLineChars="200"/>
        <w:rPr>
          <w:rFonts w:hint="eastAsia" w:ascii="Times New Roman" w:hAnsi="Times New Roman" w:eastAsia="宋体" w:cs="宋体"/>
          <w:bCs w:val="0"/>
          <w:color w:val="auto"/>
          <w:kern w:val="2"/>
          <w:sz w:val="28"/>
          <w:szCs w:val="28"/>
          <w:lang w:val="en-US" w:eastAsia="zh-CN"/>
        </w:rPr>
      </w:pPr>
      <w:r>
        <w:rPr>
          <w:rFonts w:hint="eastAsia" w:ascii="Times New Roman" w:hAnsi="Times New Roman" w:eastAsia="宋体" w:cs="宋体"/>
          <w:bCs w:val="0"/>
          <w:color w:val="auto"/>
          <w:kern w:val="2"/>
          <w:sz w:val="28"/>
          <w:szCs w:val="28"/>
          <w:lang w:val="en-US" w:eastAsia="zh-CN"/>
        </w:rPr>
        <w:t>潜在危险源形成条件:软管超过使用年限、受到外力作用发生破坏。</w:t>
      </w:r>
    </w:p>
    <w:p w14:paraId="17A90DA9">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3.5.4触电</w:t>
      </w:r>
    </w:p>
    <w:p w14:paraId="6C0B36F0">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站内有动力、照明配电屏(柜)等电气设备，在春夏季节多雨、潮湿、高温，由于电器绝缘不好，引起漏电，电线裸露、短路、作业人员违反操作规程、设备缺陷、防护设施不到位、防护措施不落实、不正确佩戴劳动保护用品，可能发生触电。</w:t>
      </w:r>
    </w:p>
    <w:p w14:paraId="5E17F1D1">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3.5.5厂(场)内车辆致害</w:t>
      </w:r>
    </w:p>
    <w:p w14:paraId="77C27F4C">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加油车辆频繁出入，并且成品油是通过汽车运输来完成的。站区内部的生产设施和生活设施的平面布置、内部道路的设计、交通标志和安全标志设置、照明的质量、绿化的规划、车辆的管理、交通指挥等方面的缺陷、</w:t>
      </w:r>
      <w:r>
        <w:rPr>
          <w:rFonts w:hint="eastAsia" w:ascii="Times New Roman" w:hAnsi="Times New Roman" w:eastAsia="宋体" w:cs="宋体"/>
          <w:bCs w:val="0"/>
          <w:color w:val="auto"/>
          <w:spacing w:val="-11"/>
          <w:kern w:val="2"/>
          <w:sz w:val="28"/>
          <w:szCs w:val="28"/>
        </w:rPr>
        <w:t>人员违反操作规程，精力不集中，疲劳过度、酒后驾车均可能引发车辆交通事故。车辆碰撞事故、加油车辆带枪启动、卸油车辆滑行等事故。在成品油运输装卸过程由于违规或管理缺陷、使用不当有可能发生运输交通事</w:t>
      </w:r>
      <w:r>
        <w:rPr>
          <w:rFonts w:hint="eastAsia" w:ascii="Times New Roman" w:hAnsi="Times New Roman" w:eastAsia="宋体" w:cs="宋体"/>
          <w:bCs w:val="0"/>
          <w:color w:val="auto"/>
          <w:kern w:val="2"/>
          <w:sz w:val="28"/>
          <w:szCs w:val="28"/>
        </w:rPr>
        <w:t>故。</w:t>
      </w:r>
    </w:p>
    <w:p w14:paraId="7C5110BE">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3.5.6高处坠落</w:t>
      </w:r>
    </w:p>
    <w:p w14:paraId="674C7548">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在对罩棚顶部的照明或其他设施进行检查、更换或其他作业，属高空作业，按高空作业安全操作规程执行，应有专人监护，有牢固的防护用品。站房及罩棚顶维修或更换照明灯作业，其高度超过2m，当扶梯打滑或无人监护导致滑倒属于高处坠落。</w:t>
      </w:r>
    </w:p>
    <w:p w14:paraId="70549518">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3.5.7噪声</w:t>
      </w:r>
    </w:p>
    <w:p w14:paraId="7696F56F">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本加油站的噪音源主要为进入站内的汽车发动机和汽车喇叭产生的噪声，但没有长时间连续产生噪音，不会给现场作业人员的健康带来危害。</w:t>
      </w:r>
    </w:p>
    <w:p w14:paraId="02CA6E15">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3.5.8物体打击</w:t>
      </w:r>
    </w:p>
    <w:p w14:paraId="615348C8">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站房屋顶以及加油区罩棚在维修、更换照明灯等操作时，如有不慎可能发生高空落物的伤害事故。</w:t>
      </w:r>
    </w:p>
    <w:p w14:paraId="69BF465C">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3.5.9跌落</w:t>
      </w:r>
    </w:p>
    <w:p w14:paraId="1F7013F3">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未按规范放坡或支护不足，员工、顾客注意力分散、夜间光线差、身体重心不稳，穿拖鞋、高跟鞋、鞋底沾油，雨天油污导致岛面湿滑，易踩空或滑倒，容易脚踝扭伤、骨折、头部撞击加油机、地面。</w:t>
      </w:r>
    </w:p>
    <w:p w14:paraId="4970CF6E">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3.5.10机械致害</w:t>
      </w:r>
    </w:p>
    <w:p w14:paraId="305F162E">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设备老化和磨损:设备长期使用后，设备的某些部件会出现老化和磨损，导致设备运行不稳定，容易出现机械故障。操作不当:操作人员对设备的使用方法和操作规程不熟悉，容易导致操作不当，从而导致机械伤害。外部因素:加油站周围环境不良，如风沙、雨水、灰尘等，会影响加油机的工作效率，增加机械故障的风险。</w:t>
      </w:r>
    </w:p>
    <w:p w14:paraId="67B48B1A">
      <w:pPr>
        <w:widowControl/>
        <w:spacing w:line="600" w:lineRule="exact"/>
        <w:outlineLvl w:val="2"/>
        <w:rPr>
          <w:rFonts w:hint="eastAsia" w:ascii="Times New Roman" w:hAnsi="Times New Roman" w:eastAsia="宋体" w:cs="Times New Roman"/>
          <w:b/>
          <w:bCs/>
          <w:color w:val="auto"/>
          <w:kern w:val="0"/>
          <w:sz w:val="28"/>
          <w:szCs w:val="28"/>
          <w:lang w:val="en-US" w:eastAsia="zh-CN"/>
        </w:rPr>
      </w:pPr>
      <w:r>
        <w:rPr>
          <w:rFonts w:hint="eastAsia" w:ascii="Times New Roman" w:hAnsi="Times New Roman" w:eastAsia="宋体" w:cs="Times New Roman"/>
          <w:b/>
          <w:bCs/>
          <w:color w:val="auto"/>
          <w:kern w:val="0"/>
          <w:sz w:val="28"/>
          <w:szCs w:val="28"/>
          <w:lang w:val="en-US" w:eastAsia="zh-CN"/>
        </w:rPr>
        <w:t>3.5.11 坍塌</w:t>
      </w:r>
    </w:p>
    <w:p w14:paraId="5DD1F7FF">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建筑如果构件荷载设计不够，结构方案布置不合理、构件之间连接不可靠等问题，一旦发生火灾、爆炸或其他灾害，高温造成构件损坏，极易造成建筑整体坍塌。</w:t>
      </w:r>
    </w:p>
    <w:p w14:paraId="116765B7">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建筑在爆炸、地震、撞击等外力作用下，对建筑结构造成破坏，使建筑发生坍塌。</w:t>
      </w:r>
    </w:p>
    <w:p w14:paraId="7AC645DC">
      <w:pPr>
        <w:spacing w:line="600" w:lineRule="exact"/>
        <w:ind w:firstLine="560" w:firstLineChars="200"/>
        <w:rPr>
          <w:rFonts w:hint="eastAsia"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加油站涉及罩棚、站房及其他建筑，如果安装质量不符合要求，可能会发生坍塌事故。</w:t>
      </w:r>
    </w:p>
    <w:p w14:paraId="7C9006E2">
      <w:pPr>
        <w:keepNext/>
        <w:keepLines/>
        <w:spacing w:line="600" w:lineRule="exact"/>
        <w:outlineLvl w:val="1"/>
        <w:rPr>
          <w:rFonts w:ascii="Times New Roman" w:hAnsi="Times New Roman" w:eastAsia="宋体" w:cs="Times New Roman"/>
          <w:b/>
          <w:bCs/>
          <w:color w:val="auto"/>
          <w:kern w:val="2"/>
          <w:sz w:val="28"/>
          <w:szCs w:val="28"/>
        </w:rPr>
      </w:pPr>
      <w:bookmarkStart w:id="71" w:name="_Toc258"/>
      <w:bookmarkStart w:id="72" w:name="_Toc8840"/>
      <w:bookmarkStart w:id="73" w:name="_Toc24976"/>
      <w:bookmarkStart w:id="74" w:name="_Toc3570"/>
      <w:r>
        <w:rPr>
          <w:rFonts w:ascii="Times New Roman" w:hAnsi="Times New Roman" w:eastAsia="宋体" w:cs="Times New Roman"/>
          <w:b/>
          <w:bCs/>
          <w:color w:val="auto"/>
          <w:kern w:val="2"/>
          <w:sz w:val="28"/>
          <w:szCs w:val="28"/>
        </w:rPr>
        <w:t>3.6</w:t>
      </w:r>
      <w:r>
        <w:rPr>
          <w:rFonts w:hint="eastAsia" w:ascii="Times New Roman" w:hAnsi="Times New Roman" w:eastAsia="宋体" w:cs="宋体"/>
          <w:b/>
          <w:bCs/>
          <w:color w:val="auto"/>
          <w:kern w:val="2"/>
          <w:sz w:val="28"/>
          <w:szCs w:val="28"/>
        </w:rPr>
        <w:t>环境、自然危害因素分析</w:t>
      </w:r>
      <w:bookmarkEnd w:id="71"/>
      <w:bookmarkEnd w:id="72"/>
      <w:bookmarkEnd w:id="73"/>
      <w:bookmarkEnd w:id="74"/>
    </w:p>
    <w:p w14:paraId="5A569475">
      <w:pPr>
        <w:spacing w:line="600" w:lineRule="exact"/>
        <w:ind w:firstLine="560" w:firstLineChars="200"/>
        <w:rPr>
          <w:rFonts w:ascii="Times New Roman" w:hAnsi="Times New Roman" w:eastAsia="宋体" w:cs="Times New Roman"/>
          <w:bCs w:val="0"/>
          <w:color w:val="auto"/>
          <w:kern w:val="2"/>
          <w:sz w:val="28"/>
          <w:szCs w:val="28"/>
        </w:rPr>
      </w:pPr>
      <w:bookmarkStart w:id="75" w:name="_Toc31394"/>
      <w:bookmarkStart w:id="76" w:name="_Toc10194"/>
      <w:r>
        <w:rPr>
          <w:rFonts w:ascii="Times New Roman" w:hAnsi="Times New Roman" w:eastAsia="宋体" w:cs="Times New Roman"/>
          <w:bCs w:val="0"/>
          <w:color w:val="auto"/>
          <w:kern w:val="2"/>
          <w:sz w:val="28"/>
          <w:szCs w:val="28"/>
        </w:rPr>
        <w:t>1、地震</w:t>
      </w:r>
    </w:p>
    <w:p w14:paraId="5BC74571">
      <w:pPr>
        <w:tabs>
          <w:tab w:val="left" w:pos="1050"/>
        </w:tabs>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lang w:val="zh-CN"/>
        </w:rPr>
        <w:t>地震可能造成建（构）筑物、设备设施、电力设施等的破坏，严重时</w:t>
      </w:r>
      <w:r>
        <w:rPr>
          <w:rFonts w:hint="eastAsia" w:ascii="Times New Roman" w:hAnsi="Times New Roman" w:eastAsia="宋体" w:cs="Times New Roman"/>
          <w:bCs w:val="0"/>
          <w:color w:val="auto"/>
          <w:kern w:val="2"/>
          <w:sz w:val="28"/>
          <w:szCs w:val="28"/>
          <w:lang w:val="zh-CN"/>
        </w:rPr>
        <w:t>可能</w:t>
      </w:r>
      <w:r>
        <w:rPr>
          <w:rFonts w:ascii="Times New Roman" w:hAnsi="Times New Roman" w:eastAsia="宋体" w:cs="Times New Roman"/>
          <w:bCs w:val="0"/>
          <w:color w:val="auto"/>
          <w:kern w:val="2"/>
          <w:sz w:val="28"/>
          <w:szCs w:val="28"/>
          <w:lang w:val="zh-CN"/>
        </w:rPr>
        <w:t>导致次生灾害</w:t>
      </w:r>
      <w:r>
        <w:rPr>
          <w:rFonts w:hint="eastAsia" w:ascii="Times New Roman" w:hAnsi="Times New Roman" w:eastAsia="宋体" w:cs="Times New Roman"/>
          <w:bCs w:val="0"/>
          <w:color w:val="auto"/>
          <w:kern w:val="2"/>
          <w:sz w:val="28"/>
          <w:szCs w:val="28"/>
          <w:lang w:val="zh-CN"/>
        </w:rPr>
        <w:t>。该站</w:t>
      </w:r>
      <w:r>
        <w:rPr>
          <w:rFonts w:ascii="Times New Roman" w:hAnsi="Times New Roman" w:eastAsia="宋体" w:cs="Times New Roman"/>
          <w:bCs w:val="0"/>
          <w:color w:val="auto"/>
          <w:kern w:val="2"/>
          <w:sz w:val="28"/>
          <w:szCs w:val="28"/>
          <w:lang w:val="zh-CN"/>
        </w:rPr>
        <w:t>所在区域地震烈度为Ⅵ度，地震的威胁较小。</w:t>
      </w:r>
    </w:p>
    <w:p w14:paraId="6DA4404C">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2、雷击</w:t>
      </w:r>
    </w:p>
    <w:p w14:paraId="0602CDB7">
      <w:pPr>
        <w:autoSpaceDE w:val="0"/>
        <w:autoSpaceDN w:val="0"/>
        <w:adjustRightInd w:val="0"/>
        <w:spacing w:line="600" w:lineRule="exact"/>
        <w:ind w:firstLine="560" w:firstLineChars="200"/>
        <w:rPr>
          <w:rFonts w:ascii="Times New Roman" w:hAnsi="Times New Roman" w:eastAsia="宋体" w:cs="Times New Roman"/>
          <w:bCs w:val="0"/>
          <w:color w:val="auto"/>
          <w:kern w:val="2"/>
          <w:sz w:val="28"/>
          <w:szCs w:val="28"/>
          <w:lang w:val="zh-CN"/>
        </w:rPr>
      </w:pPr>
      <w:r>
        <w:rPr>
          <w:rFonts w:hint="eastAsia" w:ascii="Times New Roman" w:hAnsi="Times New Roman" w:eastAsia="宋体" w:cs="Times New Roman"/>
          <w:bCs w:val="0"/>
          <w:color w:val="auto"/>
          <w:kern w:val="2"/>
          <w:sz w:val="28"/>
          <w:szCs w:val="28"/>
          <w:lang w:val="zh-CN"/>
        </w:rPr>
        <w:t>该站</w:t>
      </w:r>
      <w:r>
        <w:rPr>
          <w:rFonts w:ascii="Times New Roman" w:hAnsi="Times New Roman" w:eastAsia="宋体" w:cs="Times New Roman"/>
          <w:bCs w:val="0"/>
          <w:color w:val="auto"/>
          <w:kern w:val="2"/>
          <w:sz w:val="28"/>
          <w:szCs w:val="28"/>
        </w:rPr>
        <w:t>位于雷击多发区，</w:t>
      </w:r>
      <w:r>
        <w:rPr>
          <w:rFonts w:ascii="Times New Roman" w:hAnsi="Times New Roman" w:eastAsia="宋体" w:cs="Times New Roman"/>
          <w:bCs w:val="0"/>
          <w:color w:val="auto"/>
          <w:kern w:val="2"/>
          <w:sz w:val="28"/>
          <w:szCs w:val="28"/>
          <w:lang w:val="zh-CN"/>
        </w:rPr>
        <w:t>建（构）筑物容易遭受雷击，造成建（构）筑物、设备等</w:t>
      </w:r>
      <w:r>
        <w:rPr>
          <w:rFonts w:hint="eastAsia" w:ascii="Times New Roman" w:hAnsi="Times New Roman" w:eastAsia="宋体" w:cs="Times New Roman"/>
          <w:bCs w:val="0"/>
          <w:color w:val="auto"/>
          <w:kern w:val="2"/>
          <w:sz w:val="28"/>
          <w:szCs w:val="28"/>
          <w:lang w:val="zh-CN"/>
        </w:rPr>
        <w:t>的</w:t>
      </w:r>
      <w:r>
        <w:rPr>
          <w:rFonts w:ascii="Times New Roman" w:hAnsi="Times New Roman" w:eastAsia="宋体" w:cs="Times New Roman"/>
          <w:bCs w:val="0"/>
          <w:color w:val="auto"/>
          <w:kern w:val="2"/>
          <w:sz w:val="28"/>
          <w:szCs w:val="28"/>
          <w:lang w:val="zh-CN"/>
        </w:rPr>
        <w:t>损坏。</w:t>
      </w:r>
    </w:p>
    <w:p w14:paraId="2180898C">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3、暴雨、洪水</w:t>
      </w:r>
    </w:p>
    <w:p w14:paraId="0204D925">
      <w:pPr>
        <w:widowControl/>
        <w:spacing w:line="600" w:lineRule="exact"/>
        <w:ind w:firstLine="552" w:firstLineChars="200"/>
        <w:rPr>
          <w:rFonts w:ascii="Times New Roman" w:hAnsi="Times New Roman" w:eastAsia="宋体" w:cs="Times New Roman"/>
          <w:bCs w:val="0"/>
          <w:color w:val="auto"/>
          <w:spacing w:val="-2"/>
          <w:kern w:val="0"/>
          <w:sz w:val="28"/>
          <w:szCs w:val="28"/>
        </w:rPr>
      </w:pPr>
      <w:r>
        <w:rPr>
          <w:rFonts w:ascii="Times New Roman" w:hAnsi="Times New Roman" w:eastAsia="宋体" w:cs="Times New Roman"/>
          <w:bCs w:val="0"/>
          <w:color w:val="auto"/>
          <w:spacing w:val="-2"/>
          <w:kern w:val="0"/>
          <w:sz w:val="28"/>
          <w:szCs w:val="28"/>
        </w:rPr>
        <w:t>突然的大规模降水可能导致排水不畅，油罐固定不牢暴雨可能造成浮罐，拉断管线。</w:t>
      </w:r>
    </w:p>
    <w:p w14:paraId="1FF98D18">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4、高</w:t>
      </w:r>
      <w:r>
        <w:rPr>
          <w:rFonts w:hint="eastAsia" w:ascii="Times New Roman" w:hAnsi="Times New Roman" w:eastAsia="宋体" w:cs="Times New Roman"/>
          <w:bCs w:val="0"/>
          <w:color w:val="auto"/>
          <w:kern w:val="2"/>
          <w:sz w:val="28"/>
          <w:szCs w:val="28"/>
        </w:rPr>
        <w:t>气</w:t>
      </w:r>
      <w:r>
        <w:rPr>
          <w:rFonts w:ascii="Times New Roman" w:hAnsi="Times New Roman" w:eastAsia="宋体" w:cs="Times New Roman"/>
          <w:bCs w:val="0"/>
          <w:color w:val="auto"/>
          <w:kern w:val="2"/>
          <w:sz w:val="28"/>
          <w:szCs w:val="28"/>
        </w:rPr>
        <w:t>温</w:t>
      </w:r>
    </w:p>
    <w:p w14:paraId="780853D4">
      <w:pPr>
        <w:autoSpaceDE w:val="0"/>
        <w:autoSpaceDN w:val="0"/>
        <w:adjustRightInd w:val="0"/>
        <w:spacing w:line="600" w:lineRule="exact"/>
        <w:ind w:firstLine="560" w:firstLineChars="200"/>
        <w:rPr>
          <w:rFonts w:ascii="Times New Roman" w:hAnsi="Times New Roman" w:eastAsia="宋体" w:cs="Times New Roman"/>
          <w:bCs w:val="0"/>
          <w:color w:val="auto"/>
          <w:kern w:val="2"/>
          <w:sz w:val="28"/>
          <w:szCs w:val="28"/>
          <w:lang w:val="zh-CN"/>
        </w:rPr>
      </w:pPr>
      <w:r>
        <w:rPr>
          <w:rFonts w:hint="eastAsia" w:ascii="Times New Roman" w:hAnsi="Times New Roman" w:eastAsia="宋体" w:cs="Times New Roman"/>
          <w:bCs w:val="0"/>
          <w:color w:val="auto"/>
          <w:kern w:val="2"/>
          <w:sz w:val="28"/>
          <w:szCs w:val="28"/>
          <w:lang w:val="zh-CN"/>
        </w:rPr>
        <w:t>该站</w:t>
      </w:r>
      <w:r>
        <w:rPr>
          <w:rFonts w:ascii="Times New Roman" w:hAnsi="Times New Roman" w:eastAsia="宋体" w:cs="Times New Roman"/>
          <w:bCs w:val="0"/>
          <w:color w:val="auto"/>
          <w:kern w:val="2"/>
          <w:sz w:val="28"/>
          <w:szCs w:val="28"/>
          <w:lang w:val="zh-CN"/>
        </w:rPr>
        <w:t>所在区域极端最高气温</w:t>
      </w:r>
      <w:r>
        <w:rPr>
          <w:rFonts w:hint="eastAsia" w:ascii="Times New Roman" w:hAnsi="Times New Roman" w:eastAsia="宋体" w:cs="Times New Roman"/>
          <w:bCs w:val="0"/>
          <w:color w:val="auto"/>
          <w:kern w:val="2"/>
          <w:sz w:val="28"/>
          <w:szCs w:val="28"/>
        </w:rPr>
        <w:t>高于40℃</w:t>
      </w:r>
      <w:r>
        <w:rPr>
          <w:rFonts w:hint="eastAsia" w:ascii="Times New Roman" w:hAnsi="Times New Roman" w:eastAsia="宋体" w:cs="Times New Roman"/>
          <w:bCs w:val="0"/>
          <w:color w:val="auto"/>
          <w:kern w:val="2"/>
          <w:sz w:val="28"/>
          <w:szCs w:val="28"/>
          <w:lang w:val="zh-CN"/>
        </w:rPr>
        <w:t>，</w:t>
      </w:r>
      <w:r>
        <w:rPr>
          <w:rFonts w:ascii="Times New Roman" w:hAnsi="Times New Roman" w:eastAsia="宋体" w:cs="Times New Roman"/>
          <w:bCs w:val="0"/>
          <w:color w:val="auto"/>
          <w:kern w:val="2"/>
          <w:sz w:val="28"/>
          <w:szCs w:val="28"/>
          <w:lang w:val="zh-CN"/>
        </w:rPr>
        <w:t>高</w:t>
      </w:r>
      <w:r>
        <w:rPr>
          <w:rFonts w:hint="eastAsia" w:ascii="Times New Roman" w:hAnsi="Times New Roman" w:eastAsia="宋体" w:cs="Times New Roman"/>
          <w:bCs w:val="0"/>
          <w:color w:val="auto"/>
          <w:kern w:val="2"/>
          <w:sz w:val="28"/>
          <w:szCs w:val="28"/>
          <w:lang w:val="zh-CN"/>
        </w:rPr>
        <w:t>气</w:t>
      </w:r>
      <w:r>
        <w:rPr>
          <w:rFonts w:ascii="Times New Roman" w:hAnsi="Times New Roman" w:eastAsia="宋体" w:cs="Times New Roman"/>
          <w:bCs w:val="0"/>
          <w:color w:val="auto"/>
          <w:kern w:val="2"/>
          <w:sz w:val="28"/>
          <w:szCs w:val="28"/>
          <w:lang w:val="zh-CN"/>
        </w:rPr>
        <w:t>温可能导致人员中暑。</w:t>
      </w:r>
    </w:p>
    <w:p w14:paraId="427B81BC">
      <w:pPr>
        <w:spacing w:line="600" w:lineRule="exact"/>
        <w:ind w:firstLine="560" w:firstLineChars="200"/>
        <w:rPr>
          <w:rFonts w:ascii="Times New Roman" w:hAnsi="Times New Roman" w:eastAsia="宋体" w:cs="Times New Roman"/>
          <w:bCs w:val="0"/>
          <w:color w:val="auto"/>
          <w:kern w:val="2"/>
          <w:sz w:val="28"/>
          <w:szCs w:val="24"/>
        </w:rPr>
      </w:pPr>
      <w:r>
        <w:rPr>
          <w:rFonts w:ascii="Times New Roman" w:hAnsi="Times New Roman" w:eastAsia="宋体" w:cs="Times New Roman"/>
          <w:bCs w:val="0"/>
          <w:color w:val="auto"/>
          <w:kern w:val="2"/>
          <w:sz w:val="28"/>
          <w:szCs w:val="28"/>
        </w:rPr>
        <w:t>5、低气温</w:t>
      </w:r>
    </w:p>
    <w:p w14:paraId="103E4B9D">
      <w:pPr>
        <w:autoSpaceDE w:val="0"/>
        <w:autoSpaceDN w:val="0"/>
        <w:adjustRightInd w:val="0"/>
        <w:spacing w:line="600" w:lineRule="exact"/>
        <w:ind w:firstLine="560" w:firstLineChars="200"/>
        <w:rPr>
          <w:rFonts w:ascii="Times New Roman" w:hAnsi="Times New Roman" w:eastAsia="宋体" w:cs="Times New Roman"/>
          <w:bCs w:val="0"/>
          <w:color w:val="auto"/>
          <w:kern w:val="2"/>
          <w:sz w:val="28"/>
          <w:szCs w:val="28"/>
          <w:lang w:val="zh-CN"/>
        </w:rPr>
      </w:pPr>
      <w:r>
        <w:rPr>
          <w:rFonts w:hint="eastAsia" w:ascii="Times New Roman" w:hAnsi="Times New Roman" w:eastAsia="宋体" w:cs="Times New Roman"/>
          <w:bCs w:val="0"/>
          <w:color w:val="auto"/>
          <w:kern w:val="2"/>
          <w:sz w:val="28"/>
          <w:szCs w:val="28"/>
          <w:lang w:val="zh-CN"/>
        </w:rPr>
        <w:t>该站</w:t>
      </w:r>
      <w:r>
        <w:rPr>
          <w:rFonts w:ascii="Times New Roman" w:hAnsi="Times New Roman" w:eastAsia="宋体" w:cs="Times New Roman"/>
          <w:bCs w:val="0"/>
          <w:color w:val="auto"/>
          <w:kern w:val="2"/>
          <w:sz w:val="28"/>
          <w:szCs w:val="28"/>
          <w:lang w:val="zh-CN"/>
        </w:rPr>
        <w:t>所在区域极端最低气温</w:t>
      </w:r>
      <w:r>
        <w:rPr>
          <w:rFonts w:hint="eastAsia" w:ascii="Times New Roman" w:hAnsi="Times New Roman" w:eastAsia="宋体" w:cs="Times New Roman"/>
          <w:bCs w:val="0"/>
          <w:color w:val="auto"/>
          <w:kern w:val="2"/>
          <w:sz w:val="28"/>
          <w:szCs w:val="28"/>
          <w:lang w:val="zh-CN"/>
        </w:rPr>
        <w:t>低于</w:t>
      </w:r>
      <w:r>
        <w:rPr>
          <w:rFonts w:hint="eastAsia" w:ascii="Times New Roman" w:hAnsi="Times New Roman" w:eastAsia="宋体" w:cs="Times New Roman"/>
          <w:bCs w:val="0"/>
          <w:color w:val="auto"/>
          <w:kern w:val="2"/>
          <w:sz w:val="28"/>
          <w:szCs w:val="28"/>
        </w:rPr>
        <w:t>0</w:t>
      </w:r>
      <w:r>
        <w:rPr>
          <w:rFonts w:ascii="Times New Roman" w:hAnsi="Times New Roman" w:eastAsia="宋体" w:cs="Times New Roman"/>
          <w:bCs w:val="0"/>
          <w:color w:val="auto"/>
          <w:kern w:val="2"/>
          <w:sz w:val="28"/>
          <w:szCs w:val="28"/>
          <w:lang w:val="zh-CN"/>
        </w:rPr>
        <w:t>℃。低气温和潮湿空气可能造成</w:t>
      </w:r>
      <w:r>
        <w:rPr>
          <w:rFonts w:hint="eastAsia" w:ascii="Times New Roman" w:hAnsi="Times New Roman" w:eastAsia="宋体" w:cs="Times New Roman"/>
          <w:bCs w:val="0"/>
          <w:color w:val="auto"/>
          <w:kern w:val="2"/>
          <w:sz w:val="28"/>
          <w:szCs w:val="28"/>
        </w:rPr>
        <w:t>罩棚</w:t>
      </w:r>
      <w:r>
        <w:rPr>
          <w:rFonts w:hint="eastAsia" w:ascii="Times New Roman" w:hAnsi="Times New Roman" w:eastAsia="宋体" w:cs="Times New Roman"/>
          <w:bCs w:val="0"/>
          <w:color w:val="auto"/>
          <w:spacing w:val="-11"/>
          <w:kern w:val="2"/>
          <w:sz w:val="28"/>
          <w:szCs w:val="28"/>
        </w:rPr>
        <w:t>、</w:t>
      </w:r>
      <w:r>
        <w:rPr>
          <w:rFonts w:ascii="Times New Roman" w:hAnsi="Times New Roman" w:eastAsia="宋体" w:cs="Times New Roman"/>
          <w:bCs w:val="0"/>
          <w:color w:val="auto"/>
          <w:spacing w:val="-11"/>
          <w:kern w:val="2"/>
          <w:sz w:val="28"/>
          <w:szCs w:val="28"/>
          <w:lang w:val="zh-CN"/>
        </w:rPr>
        <w:t>屋顶结冰压塌建筑，造成事故；同时，地面结冰，容易造成人员滑倒跌伤等</w:t>
      </w:r>
      <w:r>
        <w:rPr>
          <w:rFonts w:hint="eastAsia" w:ascii="Times New Roman" w:hAnsi="Times New Roman" w:eastAsia="宋体" w:cs="宋体"/>
          <w:bCs w:val="0"/>
          <w:color w:val="auto"/>
          <w:spacing w:val="-11"/>
          <w:kern w:val="2"/>
          <w:sz w:val="28"/>
          <w:szCs w:val="28"/>
          <w:lang w:val="zh-CN"/>
        </w:rPr>
        <w:t>。</w:t>
      </w:r>
    </w:p>
    <w:p w14:paraId="049EA00C">
      <w:pPr>
        <w:keepNext/>
        <w:keepLines/>
        <w:spacing w:line="600" w:lineRule="exact"/>
        <w:outlineLvl w:val="1"/>
        <w:rPr>
          <w:rFonts w:ascii="Times New Roman" w:hAnsi="Times New Roman" w:eastAsia="宋体" w:cs="Times New Roman"/>
          <w:b/>
          <w:bCs/>
          <w:color w:val="auto"/>
          <w:kern w:val="2"/>
          <w:sz w:val="28"/>
          <w:szCs w:val="28"/>
        </w:rPr>
      </w:pPr>
      <w:bookmarkStart w:id="77" w:name="_Toc5009"/>
      <w:bookmarkStart w:id="78" w:name="_Toc13024"/>
      <w:r>
        <w:rPr>
          <w:rFonts w:ascii="Times New Roman" w:hAnsi="Times New Roman" w:eastAsia="宋体" w:cs="Times New Roman"/>
          <w:b/>
          <w:bCs/>
          <w:color w:val="auto"/>
          <w:kern w:val="2"/>
          <w:sz w:val="28"/>
          <w:szCs w:val="28"/>
        </w:rPr>
        <w:t>3.7</w:t>
      </w:r>
      <w:r>
        <w:rPr>
          <w:rFonts w:hint="eastAsia" w:ascii="Times New Roman" w:hAnsi="Times New Roman" w:eastAsia="宋体" w:cs="宋体"/>
          <w:b/>
          <w:bCs/>
          <w:color w:val="auto"/>
          <w:kern w:val="2"/>
          <w:sz w:val="28"/>
          <w:szCs w:val="28"/>
        </w:rPr>
        <w:t>有害因素分析</w:t>
      </w:r>
      <w:bookmarkEnd w:id="75"/>
      <w:bookmarkEnd w:id="76"/>
      <w:bookmarkEnd w:id="77"/>
      <w:bookmarkEnd w:id="78"/>
    </w:p>
    <w:p w14:paraId="6361A5AE">
      <w:pPr>
        <w:keepNext/>
        <w:keepLines/>
        <w:spacing w:line="600" w:lineRule="exact"/>
        <w:outlineLvl w:val="2"/>
        <w:rPr>
          <w:rFonts w:ascii="Times New Roman" w:hAnsi="Times New Roman" w:eastAsia="宋体" w:cs="Times New Roman"/>
          <w:b/>
          <w:bCs/>
          <w:color w:val="auto"/>
          <w:kern w:val="2"/>
          <w:sz w:val="28"/>
          <w:szCs w:val="28"/>
        </w:rPr>
      </w:pPr>
      <w:bookmarkStart w:id="79" w:name="_Toc28615"/>
      <w:bookmarkStart w:id="80" w:name="_Toc14200"/>
      <w:bookmarkStart w:id="81" w:name="_Toc14090"/>
      <w:r>
        <w:rPr>
          <w:rFonts w:ascii="Times New Roman" w:hAnsi="Times New Roman" w:eastAsia="宋体" w:cs="Times New Roman"/>
          <w:b/>
          <w:bCs/>
          <w:color w:val="auto"/>
          <w:kern w:val="2"/>
          <w:sz w:val="28"/>
          <w:szCs w:val="28"/>
        </w:rPr>
        <w:t>3.7.1</w:t>
      </w:r>
      <w:r>
        <w:rPr>
          <w:rFonts w:hint="eastAsia" w:ascii="Times New Roman" w:hAnsi="Times New Roman" w:eastAsia="宋体" w:cs="宋体"/>
          <w:b/>
          <w:bCs/>
          <w:color w:val="auto"/>
          <w:kern w:val="2"/>
          <w:sz w:val="28"/>
          <w:szCs w:val="28"/>
        </w:rPr>
        <w:t>有害物质</w:t>
      </w:r>
      <w:bookmarkEnd w:id="79"/>
      <w:bookmarkEnd w:id="80"/>
      <w:bookmarkEnd w:id="81"/>
    </w:p>
    <w:p w14:paraId="539F95E3">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经营、储存的汽油、柴油等物质即使在正常的生产过程中也会有微量的泄漏</w:t>
      </w:r>
      <w:r>
        <w:rPr>
          <w:rFonts w:hint="eastAsia" w:ascii="Times New Roman" w:hAnsi="Times New Roman" w:eastAsia="宋体" w:cs="宋体"/>
          <w:bCs w:val="0"/>
          <w:color w:val="auto"/>
          <w:kern w:val="2"/>
          <w:sz w:val="28"/>
          <w:szCs w:val="28"/>
          <w:lang w:val="zh-CN"/>
        </w:rPr>
        <w:t>，汽车尾气中有燃烧不充分的一氧化碳等</w:t>
      </w:r>
      <w:r>
        <w:rPr>
          <w:rFonts w:hint="eastAsia" w:ascii="Times New Roman" w:hAnsi="Times New Roman" w:eastAsia="宋体" w:cs="宋体"/>
          <w:bCs w:val="0"/>
          <w:color w:val="auto"/>
          <w:kern w:val="2"/>
          <w:sz w:val="28"/>
          <w:szCs w:val="28"/>
        </w:rPr>
        <w:t>，长期低浓度接触这些物质可能对人体造成不良影响，可能导致神经衰弱综合征、皮肤过敏、损害。</w:t>
      </w:r>
    </w:p>
    <w:p w14:paraId="0517C73C">
      <w:pPr>
        <w:keepNext/>
        <w:keepLines/>
        <w:spacing w:line="600" w:lineRule="exact"/>
        <w:outlineLvl w:val="2"/>
        <w:rPr>
          <w:rFonts w:ascii="Times New Roman" w:hAnsi="Times New Roman" w:eastAsia="宋体" w:cs="Times New Roman"/>
          <w:b/>
          <w:bCs/>
          <w:color w:val="auto"/>
          <w:kern w:val="2"/>
          <w:sz w:val="28"/>
          <w:szCs w:val="28"/>
        </w:rPr>
      </w:pPr>
      <w:bookmarkStart w:id="82" w:name="_Toc13751"/>
      <w:bookmarkStart w:id="83" w:name="_Toc5946"/>
      <w:bookmarkStart w:id="84" w:name="_Toc19293"/>
      <w:bookmarkStart w:id="85" w:name="_Toc20651"/>
      <w:r>
        <w:rPr>
          <w:rFonts w:ascii="Times New Roman" w:hAnsi="Times New Roman" w:eastAsia="宋体" w:cs="Times New Roman"/>
          <w:b/>
          <w:bCs/>
          <w:color w:val="auto"/>
          <w:kern w:val="2"/>
          <w:sz w:val="28"/>
          <w:szCs w:val="28"/>
        </w:rPr>
        <w:t>3.7.2</w:t>
      </w:r>
      <w:r>
        <w:rPr>
          <w:rFonts w:hint="eastAsia" w:ascii="Times New Roman" w:hAnsi="Times New Roman" w:eastAsia="宋体" w:cs="宋体"/>
          <w:b/>
          <w:bCs/>
          <w:color w:val="auto"/>
          <w:kern w:val="2"/>
          <w:sz w:val="28"/>
          <w:szCs w:val="28"/>
        </w:rPr>
        <w:t>噪声危害</w:t>
      </w:r>
      <w:bookmarkEnd w:id="82"/>
      <w:bookmarkEnd w:id="83"/>
      <w:bookmarkEnd w:id="84"/>
      <w:bookmarkEnd w:id="85"/>
    </w:p>
    <w:p w14:paraId="3A42FF68">
      <w:pPr>
        <w:spacing w:line="600" w:lineRule="exact"/>
        <w:ind w:firstLine="57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加油站经营中的噪声一般</w:t>
      </w:r>
      <w:r>
        <w:rPr>
          <w:rFonts w:hint="eastAsia" w:ascii="Times New Roman" w:hAnsi="Times New Roman" w:eastAsia="宋体" w:cs="宋体"/>
          <w:bCs w:val="0"/>
          <w:color w:val="auto"/>
          <w:kern w:val="2"/>
          <w:sz w:val="28"/>
          <w:szCs w:val="28"/>
          <w:lang w:eastAsia="zh-CN"/>
        </w:rPr>
        <w:t>来自</w:t>
      </w:r>
      <w:r>
        <w:rPr>
          <w:rFonts w:hint="eastAsia" w:ascii="Times New Roman" w:hAnsi="Times New Roman" w:eastAsia="宋体" w:cs="宋体"/>
          <w:bCs w:val="0"/>
          <w:color w:val="auto"/>
          <w:kern w:val="2"/>
          <w:sz w:val="28"/>
          <w:szCs w:val="28"/>
        </w:rPr>
        <w:t>大型车辆的启动、运行的噪声。</w:t>
      </w:r>
    </w:p>
    <w:p w14:paraId="6458AD9B">
      <w:pPr>
        <w:spacing w:line="600" w:lineRule="exact"/>
        <w:ind w:firstLine="570"/>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sz w:val="28"/>
          <w:szCs w:val="28"/>
        </w:rPr>
        <w:t>此外机械运转部件发生故障也会产生较大的机械噪声。</w:t>
      </w:r>
    </w:p>
    <w:bookmarkEnd w:id="57"/>
    <w:bookmarkEnd w:id="58"/>
    <w:p w14:paraId="024A0E2A">
      <w:pPr>
        <w:keepNext/>
        <w:keepLines/>
        <w:spacing w:line="580" w:lineRule="exact"/>
        <w:outlineLvl w:val="1"/>
        <w:rPr>
          <w:rFonts w:ascii="Times New Roman" w:hAnsi="Times New Roman" w:eastAsia="宋体" w:cs="Times New Roman"/>
          <w:b/>
          <w:bCs/>
          <w:color w:val="auto"/>
          <w:kern w:val="2"/>
          <w:sz w:val="28"/>
          <w:szCs w:val="28"/>
        </w:rPr>
      </w:pPr>
      <w:bookmarkStart w:id="86" w:name="_Toc31633"/>
      <w:bookmarkStart w:id="87" w:name="_Toc8607"/>
      <w:bookmarkStart w:id="88" w:name="_Toc22537"/>
      <w:bookmarkStart w:id="89" w:name="_Toc18812"/>
      <w:bookmarkStart w:id="90" w:name="_Toc22089"/>
      <w:bookmarkStart w:id="91" w:name="_Toc343692256"/>
      <w:r>
        <w:rPr>
          <w:rFonts w:ascii="Times New Roman" w:hAnsi="Times New Roman" w:eastAsia="宋体" w:cs="Times New Roman"/>
          <w:b/>
          <w:bCs/>
          <w:color w:val="auto"/>
          <w:kern w:val="2"/>
          <w:sz w:val="28"/>
          <w:szCs w:val="28"/>
        </w:rPr>
        <w:t>3.8</w:t>
      </w:r>
      <w:r>
        <w:rPr>
          <w:rFonts w:hint="eastAsia" w:ascii="Times New Roman" w:hAnsi="Times New Roman" w:eastAsia="宋体" w:cs="宋体"/>
          <w:b/>
          <w:bCs/>
          <w:color w:val="auto"/>
          <w:kern w:val="2"/>
          <w:sz w:val="28"/>
          <w:szCs w:val="28"/>
        </w:rPr>
        <w:t>危险和有害因素分析总结</w:t>
      </w:r>
      <w:bookmarkEnd w:id="86"/>
      <w:bookmarkEnd w:id="87"/>
      <w:bookmarkEnd w:id="88"/>
      <w:bookmarkEnd w:id="89"/>
    </w:p>
    <w:p w14:paraId="50879D84">
      <w:pPr>
        <w:spacing w:line="58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通过上述危险、有害因素的分析以及案例分析，项目的主要危险和有害因素列表见表</w:t>
      </w:r>
      <w:r>
        <w:rPr>
          <w:rFonts w:ascii="Times New Roman" w:hAnsi="Times New Roman" w:eastAsia="宋体" w:cs="Times New Roman"/>
          <w:bCs w:val="0"/>
          <w:color w:val="auto"/>
          <w:kern w:val="2"/>
          <w:sz w:val="28"/>
          <w:szCs w:val="28"/>
        </w:rPr>
        <w:t>3</w:t>
      </w:r>
      <w:r>
        <w:rPr>
          <w:rFonts w:hint="eastAsia" w:ascii="Times New Roman" w:hAnsi="Times New Roman" w:eastAsia="宋体" w:cs="Times New Roman"/>
          <w:bCs w:val="0"/>
          <w:color w:val="auto"/>
          <w:kern w:val="2"/>
          <w:sz w:val="28"/>
          <w:szCs w:val="28"/>
        </w:rPr>
        <w:t>.8-1</w:t>
      </w:r>
      <w:r>
        <w:rPr>
          <w:rFonts w:hint="eastAsia" w:ascii="Times New Roman" w:hAnsi="Times New Roman" w:eastAsia="宋体" w:cs="宋体"/>
          <w:bCs w:val="0"/>
          <w:color w:val="auto"/>
          <w:kern w:val="2"/>
          <w:sz w:val="28"/>
          <w:szCs w:val="28"/>
        </w:rPr>
        <w:t>。</w:t>
      </w:r>
    </w:p>
    <w:p w14:paraId="28992B03">
      <w:pPr>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表3.8-1  主要危险和有害因素</w:t>
      </w:r>
    </w:p>
    <w:tbl>
      <w:tblPr>
        <w:tblStyle w:val="7"/>
        <w:tblW w:w="8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981"/>
        <w:gridCol w:w="2186"/>
        <w:gridCol w:w="4006"/>
      </w:tblGrid>
      <w:tr w14:paraId="4FD9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vAlign w:val="center"/>
          </w:tcPr>
          <w:p w14:paraId="2FF18D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序号</w:t>
            </w:r>
          </w:p>
        </w:tc>
        <w:tc>
          <w:tcPr>
            <w:tcW w:w="1981" w:type="dxa"/>
            <w:vAlign w:val="center"/>
          </w:tcPr>
          <w:p w14:paraId="25509D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危险危害因素</w:t>
            </w:r>
          </w:p>
        </w:tc>
        <w:tc>
          <w:tcPr>
            <w:tcW w:w="2186" w:type="dxa"/>
            <w:vAlign w:val="center"/>
          </w:tcPr>
          <w:p w14:paraId="6F9EAC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造成后果</w:t>
            </w:r>
          </w:p>
        </w:tc>
        <w:tc>
          <w:tcPr>
            <w:tcW w:w="4006" w:type="dxa"/>
            <w:vAlign w:val="center"/>
          </w:tcPr>
          <w:p w14:paraId="7E67D2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所在部位</w:t>
            </w:r>
          </w:p>
        </w:tc>
      </w:tr>
      <w:tr w14:paraId="740C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vAlign w:val="center"/>
          </w:tcPr>
          <w:p w14:paraId="4AC948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1</w:t>
            </w:r>
          </w:p>
        </w:tc>
        <w:tc>
          <w:tcPr>
            <w:tcW w:w="1981" w:type="dxa"/>
            <w:vAlign w:val="center"/>
          </w:tcPr>
          <w:p w14:paraId="3B049B9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火灾</w:t>
            </w:r>
          </w:p>
        </w:tc>
        <w:tc>
          <w:tcPr>
            <w:tcW w:w="2186" w:type="dxa"/>
            <w:vAlign w:val="center"/>
          </w:tcPr>
          <w:p w14:paraId="39C6EEF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人员伤亡、财产损失</w:t>
            </w:r>
          </w:p>
        </w:tc>
        <w:tc>
          <w:tcPr>
            <w:tcW w:w="4006" w:type="dxa"/>
            <w:vAlign w:val="center"/>
          </w:tcPr>
          <w:p w14:paraId="25727E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加油区、油罐区、卸油区、</w:t>
            </w:r>
            <w:r>
              <w:rPr>
                <w:rFonts w:hint="eastAsia" w:ascii="Times New Roman" w:hAnsi="Times New Roman" w:eastAsia="宋体" w:cs="宋体"/>
                <w:bCs w:val="0"/>
                <w:color w:val="auto"/>
                <w:kern w:val="2"/>
                <w:lang w:val="en-US" w:eastAsia="zh-CN"/>
              </w:rPr>
              <w:t>站房、</w:t>
            </w:r>
            <w:r>
              <w:rPr>
                <w:rFonts w:hint="eastAsia" w:ascii="Times New Roman" w:hAnsi="Times New Roman" w:eastAsia="宋体" w:cs="宋体"/>
                <w:bCs w:val="0"/>
                <w:color w:val="auto"/>
                <w:kern w:val="2"/>
              </w:rPr>
              <w:t>配电间</w:t>
            </w:r>
          </w:p>
        </w:tc>
      </w:tr>
      <w:tr w14:paraId="5F22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vAlign w:val="center"/>
          </w:tcPr>
          <w:p w14:paraId="3C3488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1981" w:type="dxa"/>
            <w:vAlign w:val="center"/>
          </w:tcPr>
          <w:p w14:paraId="253E85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宋体"/>
                <w:bCs w:val="0"/>
                <w:color w:val="auto"/>
                <w:kern w:val="2"/>
                <w:lang w:val="en-US" w:eastAsia="zh-CN"/>
              </w:rPr>
              <w:t>可燃液体蒸汽爆炸</w:t>
            </w:r>
          </w:p>
        </w:tc>
        <w:tc>
          <w:tcPr>
            <w:tcW w:w="2186" w:type="dxa"/>
            <w:vAlign w:val="center"/>
          </w:tcPr>
          <w:p w14:paraId="5EC5F8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人员伤亡、财产损失</w:t>
            </w:r>
          </w:p>
        </w:tc>
        <w:tc>
          <w:tcPr>
            <w:tcW w:w="4006" w:type="dxa"/>
            <w:vAlign w:val="center"/>
          </w:tcPr>
          <w:p w14:paraId="6BB76F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宋体"/>
                <w:bCs w:val="0"/>
                <w:color w:val="auto"/>
                <w:kern w:val="2"/>
                <w:lang w:val="en-US" w:eastAsia="zh-CN"/>
              </w:rPr>
              <w:t>油罐区、卸油作业区、加油作业区</w:t>
            </w:r>
          </w:p>
        </w:tc>
      </w:tr>
      <w:tr w14:paraId="041F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269DC4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sz w:val="21"/>
                <w:szCs w:val="21"/>
                <w:lang w:val="en-US" w:eastAsia="zh-CN" w:bidi="ar-SA"/>
              </w:rPr>
            </w:pPr>
            <w:r>
              <w:rPr>
                <w:rFonts w:ascii="Times New Roman" w:hAnsi="Times New Roman" w:eastAsia="宋体" w:cs="Times New Roman"/>
                <w:bCs w:val="0"/>
                <w:color w:val="auto"/>
                <w:kern w:val="2"/>
              </w:rPr>
              <w:t>3</w:t>
            </w:r>
          </w:p>
        </w:tc>
        <w:tc>
          <w:tcPr>
            <w:tcW w:w="1981" w:type="dxa"/>
            <w:vAlign w:val="center"/>
          </w:tcPr>
          <w:p w14:paraId="7E362E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容器爆炸</w:t>
            </w:r>
          </w:p>
        </w:tc>
        <w:tc>
          <w:tcPr>
            <w:tcW w:w="2186" w:type="dxa"/>
            <w:vAlign w:val="center"/>
          </w:tcPr>
          <w:p w14:paraId="278276B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人员伤亡、财产损失</w:t>
            </w:r>
          </w:p>
        </w:tc>
        <w:tc>
          <w:tcPr>
            <w:tcW w:w="4006" w:type="dxa"/>
            <w:vAlign w:val="center"/>
          </w:tcPr>
          <w:p w14:paraId="5CEDC8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油罐区、卸油作业区、加油作业区</w:t>
            </w:r>
          </w:p>
        </w:tc>
      </w:tr>
      <w:tr w14:paraId="253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6DDDE8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sz w:val="21"/>
                <w:szCs w:val="21"/>
                <w:lang w:val="en-US" w:eastAsia="zh-CN" w:bidi="ar-SA"/>
              </w:rPr>
            </w:pPr>
            <w:r>
              <w:rPr>
                <w:rFonts w:ascii="Times New Roman" w:hAnsi="Times New Roman" w:eastAsia="宋体" w:cs="Times New Roman"/>
                <w:bCs w:val="0"/>
                <w:color w:val="auto"/>
                <w:kern w:val="2"/>
              </w:rPr>
              <w:t>4</w:t>
            </w:r>
          </w:p>
        </w:tc>
        <w:tc>
          <w:tcPr>
            <w:tcW w:w="1981" w:type="dxa"/>
            <w:vAlign w:val="center"/>
          </w:tcPr>
          <w:p w14:paraId="3D5DA5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泄漏</w:t>
            </w:r>
          </w:p>
        </w:tc>
        <w:tc>
          <w:tcPr>
            <w:tcW w:w="2186" w:type="dxa"/>
            <w:vAlign w:val="center"/>
          </w:tcPr>
          <w:p w14:paraId="46093D6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人员伤亡、财产损失</w:t>
            </w:r>
          </w:p>
        </w:tc>
        <w:tc>
          <w:tcPr>
            <w:tcW w:w="4006" w:type="dxa"/>
            <w:vAlign w:val="center"/>
          </w:tcPr>
          <w:p w14:paraId="70965A0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油罐区、卸油作业区、加油作业区</w:t>
            </w:r>
          </w:p>
        </w:tc>
      </w:tr>
      <w:tr w14:paraId="0727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15C27F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sz w:val="21"/>
                <w:szCs w:val="21"/>
                <w:lang w:val="en-US" w:eastAsia="zh-CN" w:bidi="ar-SA"/>
              </w:rPr>
            </w:pPr>
            <w:r>
              <w:rPr>
                <w:rFonts w:ascii="Times New Roman" w:hAnsi="Times New Roman" w:eastAsia="宋体" w:cs="Times New Roman"/>
                <w:bCs w:val="0"/>
                <w:color w:val="auto"/>
                <w:kern w:val="2"/>
              </w:rPr>
              <w:t>5</w:t>
            </w:r>
          </w:p>
        </w:tc>
        <w:tc>
          <w:tcPr>
            <w:tcW w:w="1981" w:type="dxa"/>
            <w:vAlign w:val="center"/>
          </w:tcPr>
          <w:p w14:paraId="2CDCAC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触电</w:t>
            </w:r>
          </w:p>
        </w:tc>
        <w:tc>
          <w:tcPr>
            <w:tcW w:w="2186" w:type="dxa"/>
            <w:vAlign w:val="center"/>
          </w:tcPr>
          <w:p w14:paraId="2F6959B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人员伤亡</w:t>
            </w:r>
          </w:p>
        </w:tc>
        <w:tc>
          <w:tcPr>
            <w:tcW w:w="4006" w:type="dxa"/>
            <w:vAlign w:val="center"/>
          </w:tcPr>
          <w:p w14:paraId="61304B7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经营作业场所</w:t>
            </w:r>
          </w:p>
        </w:tc>
      </w:tr>
      <w:tr w14:paraId="1D17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466833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Times New Roman"/>
                <w:bCs w:val="0"/>
                <w:color w:val="auto"/>
                <w:kern w:val="2"/>
              </w:rPr>
              <w:t>6</w:t>
            </w:r>
          </w:p>
        </w:tc>
        <w:tc>
          <w:tcPr>
            <w:tcW w:w="1981" w:type="dxa"/>
            <w:vAlign w:val="center"/>
          </w:tcPr>
          <w:p w14:paraId="2D8D2B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高处坠落</w:t>
            </w:r>
          </w:p>
        </w:tc>
        <w:tc>
          <w:tcPr>
            <w:tcW w:w="2186" w:type="dxa"/>
            <w:vAlign w:val="center"/>
          </w:tcPr>
          <w:p w14:paraId="741768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人员伤亡</w:t>
            </w:r>
          </w:p>
        </w:tc>
        <w:tc>
          <w:tcPr>
            <w:tcW w:w="4006" w:type="dxa"/>
            <w:vAlign w:val="center"/>
          </w:tcPr>
          <w:p w14:paraId="6783D6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站房、配电间、罩棚</w:t>
            </w:r>
          </w:p>
        </w:tc>
      </w:tr>
      <w:tr w14:paraId="3DE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vAlign w:val="center"/>
          </w:tcPr>
          <w:p w14:paraId="269F76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w:t>
            </w:r>
          </w:p>
        </w:tc>
        <w:tc>
          <w:tcPr>
            <w:tcW w:w="1981" w:type="dxa"/>
            <w:vAlign w:val="center"/>
          </w:tcPr>
          <w:p w14:paraId="7A7D74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2"/>
              </w:rPr>
              <w:t>厂(场)内车辆致害</w:t>
            </w:r>
          </w:p>
        </w:tc>
        <w:tc>
          <w:tcPr>
            <w:tcW w:w="2186" w:type="dxa"/>
            <w:vAlign w:val="center"/>
          </w:tcPr>
          <w:p w14:paraId="2A0972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人员伤亡</w:t>
            </w:r>
          </w:p>
        </w:tc>
        <w:tc>
          <w:tcPr>
            <w:tcW w:w="4006" w:type="dxa"/>
            <w:vAlign w:val="center"/>
          </w:tcPr>
          <w:p w14:paraId="39CF89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宋体"/>
                <w:bCs w:val="0"/>
                <w:color w:val="auto"/>
                <w:kern w:val="2"/>
                <w:lang w:val="en-US" w:eastAsia="zh-CN"/>
              </w:rPr>
              <w:t>加油作业区</w:t>
            </w:r>
            <w:r>
              <w:rPr>
                <w:rFonts w:hint="eastAsia" w:ascii="Times New Roman" w:hAnsi="Times New Roman" w:eastAsia="宋体" w:cs="宋体"/>
                <w:bCs w:val="0"/>
                <w:color w:val="auto"/>
                <w:kern w:val="2"/>
              </w:rPr>
              <w:t>、卸</w:t>
            </w:r>
            <w:r>
              <w:rPr>
                <w:rFonts w:hint="eastAsia" w:ascii="Times New Roman" w:hAnsi="Times New Roman" w:eastAsia="宋体" w:cs="宋体"/>
                <w:bCs w:val="0"/>
                <w:color w:val="auto"/>
                <w:kern w:val="2"/>
                <w:lang w:val="en-US" w:eastAsia="zh-CN"/>
              </w:rPr>
              <w:t>作业区</w:t>
            </w:r>
            <w:r>
              <w:rPr>
                <w:rFonts w:hint="eastAsia" w:ascii="Times New Roman" w:hAnsi="Times New Roman" w:eastAsia="宋体" w:cs="宋体"/>
                <w:bCs w:val="0"/>
                <w:color w:val="auto"/>
                <w:kern w:val="2"/>
              </w:rPr>
              <w:t>口</w:t>
            </w:r>
          </w:p>
        </w:tc>
      </w:tr>
      <w:tr w14:paraId="3B51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vAlign w:val="center"/>
          </w:tcPr>
          <w:p w14:paraId="5294DF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8</w:t>
            </w:r>
          </w:p>
        </w:tc>
        <w:tc>
          <w:tcPr>
            <w:tcW w:w="1981" w:type="dxa"/>
            <w:vAlign w:val="center"/>
          </w:tcPr>
          <w:p w14:paraId="0C6F3D8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中毒</w:t>
            </w:r>
          </w:p>
        </w:tc>
        <w:tc>
          <w:tcPr>
            <w:tcW w:w="2186" w:type="dxa"/>
            <w:vAlign w:val="center"/>
          </w:tcPr>
          <w:p w14:paraId="1D108A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人员伤亡</w:t>
            </w:r>
          </w:p>
        </w:tc>
        <w:tc>
          <w:tcPr>
            <w:tcW w:w="4006" w:type="dxa"/>
            <w:vAlign w:val="center"/>
          </w:tcPr>
          <w:p w14:paraId="3D085B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lang w:eastAsia="zh-CN"/>
              </w:rPr>
            </w:pPr>
            <w:r>
              <w:rPr>
                <w:rFonts w:hint="eastAsia" w:ascii="Times New Roman" w:hAnsi="Times New Roman" w:eastAsia="宋体" w:cs="宋体"/>
                <w:bCs w:val="0"/>
                <w:color w:val="auto"/>
                <w:kern w:val="2"/>
                <w:lang w:val="en-US" w:eastAsia="zh-CN"/>
              </w:rPr>
              <w:t>油罐区、卸油作业区、加油作业区</w:t>
            </w:r>
          </w:p>
        </w:tc>
      </w:tr>
      <w:tr w14:paraId="1965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5630C2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lang w:val="en-US" w:eastAsia="zh-CN"/>
              </w:rPr>
            </w:pPr>
            <w:bookmarkStart w:id="92" w:name="_Toc28553"/>
            <w:bookmarkStart w:id="93" w:name="_Toc1204"/>
            <w:bookmarkStart w:id="94" w:name="_Toc7354"/>
            <w:bookmarkStart w:id="95" w:name="_Toc30502"/>
            <w:bookmarkStart w:id="96" w:name="_Toc30431"/>
            <w:r>
              <w:rPr>
                <w:rFonts w:hint="eastAsia" w:ascii="Times New Roman" w:hAnsi="Times New Roman" w:eastAsia="宋体" w:cs="Times New Roman"/>
                <w:bCs w:val="0"/>
                <w:color w:val="auto"/>
                <w:kern w:val="2"/>
                <w:lang w:val="en-US" w:eastAsia="zh-CN"/>
              </w:rPr>
              <w:t>9</w:t>
            </w:r>
          </w:p>
        </w:tc>
        <w:tc>
          <w:tcPr>
            <w:tcW w:w="1981" w:type="dxa"/>
            <w:shd w:val="clear" w:color="auto" w:fill="auto"/>
            <w:vAlign w:val="center"/>
          </w:tcPr>
          <w:p w14:paraId="5CB75E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窒息</w:t>
            </w:r>
          </w:p>
        </w:tc>
        <w:tc>
          <w:tcPr>
            <w:tcW w:w="2186" w:type="dxa"/>
            <w:shd w:val="clear" w:color="auto" w:fill="auto"/>
            <w:vAlign w:val="center"/>
          </w:tcPr>
          <w:p w14:paraId="0CA6B4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rPr>
              <w:t>人员伤亡</w:t>
            </w:r>
          </w:p>
        </w:tc>
        <w:tc>
          <w:tcPr>
            <w:tcW w:w="4006" w:type="dxa"/>
            <w:shd w:val="clear" w:color="auto" w:fill="auto"/>
            <w:vAlign w:val="center"/>
          </w:tcPr>
          <w:p w14:paraId="71ACC7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bCs w:val="0"/>
                <w:color w:val="auto"/>
                <w:kern w:val="2"/>
              </w:rPr>
            </w:pPr>
            <w:r>
              <w:rPr>
                <w:rFonts w:hint="eastAsia" w:ascii="Times New Roman" w:hAnsi="Times New Roman" w:eastAsia="宋体" w:cs="宋体"/>
                <w:bCs w:val="0"/>
                <w:color w:val="auto"/>
                <w:kern w:val="2"/>
                <w:lang w:val="en-US" w:eastAsia="zh-CN"/>
              </w:rPr>
              <w:t>油罐区、卸油作业区、加油作业区</w:t>
            </w:r>
          </w:p>
        </w:tc>
      </w:tr>
      <w:tr w14:paraId="505C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57FF02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10</w:t>
            </w:r>
          </w:p>
        </w:tc>
        <w:tc>
          <w:tcPr>
            <w:tcW w:w="1981" w:type="dxa"/>
            <w:shd w:val="clear" w:color="auto" w:fill="auto"/>
            <w:vAlign w:val="center"/>
          </w:tcPr>
          <w:p w14:paraId="3FE1F1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物体打击</w:t>
            </w:r>
          </w:p>
        </w:tc>
        <w:tc>
          <w:tcPr>
            <w:tcW w:w="2186" w:type="dxa"/>
            <w:shd w:val="clear" w:color="auto" w:fill="auto"/>
            <w:vAlign w:val="center"/>
          </w:tcPr>
          <w:p w14:paraId="301ABB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人员伤亡、财产损失</w:t>
            </w:r>
          </w:p>
        </w:tc>
        <w:tc>
          <w:tcPr>
            <w:tcW w:w="4006" w:type="dxa"/>
            <w:shd w:val="clear" w:color="auto" w:fill="auto"/>
            <w:vAlign w:val="center"/>
          </w:tcPr>
          <w:p w14:paraId="1EB915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加油作业区、站房、罩棚、</w:t>
            </w:r>
          </w:p>
        </w:tc>
      </w:tr>
      <w:tr w14:paraId="379D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5C34A3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11</w:t>
            </w:r>
          </w:p>
        </w:tc>
        <w:tc>
          <w:tcPr>
            <w:tcW w:w="1981" w:type="dxa"/>
            <w:shd w:val="clear" w:color="auto" w:fill="auto"/>
            <w:vAlign w:val="center"/>
          </w:tcPr>
          <w:p w14:paraId="266915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跌落</w:t>
            </w:r>
          </w:p>
        </w:tc>
        <w:tc>
          <w:tcPr>
            <w:tcW w:w="2186" w:type="dxa"/>
            <w:shd w:val="clear" w:color="auto" w:fill="auto"/>
            <w:vAlign w:val="center"/>
          </w:tcPr>
          <w:p w14:paraId="0C369F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人员伤亡</w:t>
            </w:r>
          </w:p>
        </w:tc>
        <w:tc>
          <w:tcPr>
            <w:tcW w:w="4006" w:type="dxa"/>
            <w:shd w:val="clear" w:color="auto" w:fill="auto"/>
            <w:vAlign w:val="center"/>
          </w:tcPr>
          <w:p w14:paraId="063527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rPr>
            </w:pPr>
            <w:r>
              <w:rPr>
                <w:rFonts w:hint="eastAsia" w:ascii="Times New Roman" w:hAnsi="Times New Roman" w:eastAsia="宋体" w:cs="宋体"/>
                <w:bCs w:val="0"/>
                <w:color w:val="auto"/>
                <w:kern w:val="2"/>
              </w:rPr>
              <w:t>经营作业场所</w:t>
            </w:r>
          </w:p>
        </w:tc>
      </w:tr>
      <w:tr w14:paraId="17E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75E7AAA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12</w:t>
            </w:r>
          </w:p>
        </w:tc>
        <w:tc>
          <w:tcPr>
            <w:tcW w:w="1981" w:type="dxa"/>
            <w:shd w:val="clear" w:color="auto" w:fill="auto"/>
            <w:vAlign w:val="center"/>
          </w:tcPr>
          <w:p w14:paraId="0386D3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机械致害</w:t>
            </w:r>
          </w:p>
        </w:tc>
        <w:tc>
          <w:tcPr>
            <w:tcW w:w="2186" w:type="dxa"/>
            <w:shd w:val="clear" w:color="auto" w:fill="auto"/>
            <w:vAlign w:val="center"/>
          </w:tcPr>
          <w:p w14:paraId="4CDEE3A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rPr>
              <w:t>人员伤亡、</w:t>
            </w:r>
            <w:r>
              <w:rPr>
                <w:rFonts w:hint="eastAsia" w:ascii="Times New Roman" w:hAnsi="Times New Roman" w:eastAsia="宋体" w:cs="宋体"/>
                <w:bCs w:val="0"/>
                <w:color w:val="auto"/>
                <w:kern w:val="2"/>
                <w:lang w:val="en-US" w:eastAsia="zh-CN"/>
              </w:rPr>
              <w:t>设备损坏</w:t>
            </w:r>
          </w:p>
        </w:tc>
        <w:tc>
          <w:tcPr>
            <w:tcW w:w="4006" w:type="dxa"/>
            <w:shd w:val="clear" w:color="auto" w:fill="auto"/>
            <w:vAlign w:val="center"/>
          </w:tcPr>
          <w:p w14:paraId="0FDF10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加油作业区</w:t>
            </w:r>
          </w:p>
        </w:tc>
      </w:tr>
      <w:tr w14:paraId="3021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2BB7F5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13</w:t>
            </w:r>
          </w:p>
        </w:tc>
        <w:tc>
          <w:tcPr>
            <w:tcW w:w="1981" w:type="dxa"/>
            <w:shd w:val="clear" w:color="auto" w:fill="auto"/>
            <w:vAlign w:val="center"/>
          </w:tcPr>
          <w:p w14:paraId="30E7447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Times New Roman"/>
                <w:bCs w:val="0"/>
                <w:color w:val="auto"/>
                <w:kern w:val="2"/>
                <w:sz w:val="21"/>
                <w:szCs w:val="21"/>
                <w:lang w:val="en-US" w:eastAsia="zh-CN" w:bidi="ar-SA"/>
              </w:rPr>
              <w:t>坍塌</w:t>
            </w:r>
          </w:p>
        </w:tc>
        <w:tc>
          <w:tcPr>
            <w:tcW w:w="2186" w:type="dxa"/>
            <w:shd w:val="clear" w:color="auto" w:fill="auto"/>
            <w:vAlign w:val="center"/>
          </w:tcPr>
          <w:p w14:paraId="341C0D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bCs w:val="0"/>
                <w:color w:val="auto"/>
                <w:kern w:val="2"/>
                <w:sz w:val="21"/>
                <w:szCs w:val="21"/>
                <w:lang w:val="en-US" w:eastAsia="zh-CN" w:bidi="ar-SA"/>
              </w:rPr>
            </w:pPr>
            <w:r>
              <w:rPr>
                <w:rFonts w:hint="eastAsia" w:ascii="Times New Roman" w:hAnsi="Times New Roman" w:eastAsia="宋体" w:cs="宋体"/>
                <w:bCs w:val="0"/>
                <w:color w:val="auto"/>
                <w:kern w:val="2"/>
              </w:rPr>
              <w:t>人员伤亡、</w:t>
            </w:r>
            <w:r>
              <w:rPr>
                <w:rFonts w:hint="eastAsia" w:ascii="Times New Roman" w:hAnsi="Times New Roman" w:eastAsia="宋体" w:cs="宋体"/>
                <w:bCs w:val="0"/>
                <w:color w:val="auto"/>
                <w:kern w:val="2"/>
                <w:lang w:val="en-US" w:eastAsia="zh-CN"/>
              </w:rPr>
              <w:t>设备损坏</w:t>
            </w:r>
          </w:p>
        </w:tc>
        <w:tc>
          <w:tcPr>
            <w:tcW w:w="4006" w:type="dxa"/>
            <w:shd w:val="clear" w:color="auto" w:fill="auto"/>
            <w:vAlign w:val="center"/>
          </w:tcPr>
          <w:p w14:paraId="7F3BF0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宋体"/>
                <w:bCs w:val="0"/>
                <w:color w:val="auto"/>
                <w:kern w:val="2"/>
                <w:sz w:val="21"/>
                <w:szCs w:val="21"/>
                <w:lang w:val="en-US" w:eastAsia="zh-CN" w:bidi="ar-SA"/>
              </w:rPr>
            </w:pPr>
            <w:r>
              <w:rPr>
                <w:rFonts w:hint="eastAsia" w:ascii="Times New Roman" w:hAnsi="Times New Roman" w:eastAsia="宋体" w:cs="宋体"/>
                <w:bCs w:val="0"/>
                <w:color w:val="auto"/>
                <w:kern w:val="2"/>
                <w:lang w:val="en-US" w:eastAsia="zh-CN"/>
              </w:rPr>
              <w:t>罩棚、站房</w:t>
            </w:r>
          </w:p>
        </w:tc>
      </w:tr>
      <w:tr w14:paraId="0102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5" w:type="dxa"/>
            <w:shd w:val="clear" w:color="auto" w:fill="auto"/>
            <w:vAlign w:val="center"/>
          </w:tcPr>
          <w:p w14:paraId="0EF088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Cs w:val="0"/>
                <w:color w:val="auto"/>
                <w:kern w:val="2"/>
                <w:lang w:val="en-US" w:eastAsia="zh-CN"/>
              </w:rPr>
            </w:pPr>
            <w:bookmarkStart w:id="97" w:name="_Toc3053"/>
            <w:r>
              <w:rPr>
                <w:rFonts w:hint="eastAsia" w:ascii="Times New Roman" w:hAnsi="Times New Roman" w:eastAsia="宋体" w:cs="Times New Roman"/>
                <w:bCs w:val="0"/>
                <w:color w:val="auto"/>
                <w:kern w:val="2"/>
                <w:lang w:val="en-US" w:eastAsia="zh-CN"/>
              </w:rPr>
              <w:t>14</w:t>
            </w:r>
          </w:p>
        </w:tc>
        <w:tc>
          <w:tcPr>
            <w:tcW w:w="1981" w:type="dxa"/>
            <w:shd w:val="clear" w:color="auto" w:fill="auto"/>
            <w:vAlign w:val="center"/>
          </w:tcPr>
          <w:p w14:paraId="6C72589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宋体"/>
                <w:bCs w:val="0"/>
                <w:color w:val="auto"/>
                <w:kern w:val="2"/>
              </w:rPr>
              <w:t>环境、自然因素</w:t>
            </w:r>
          </w:p>
        </w:tc>
        <w:tc>
          <w:tcPr>
            <w:tcW w:w="2186" w:type="dxa"/>
            <w:shd w:val="clear" w:color="auto" w:fill="auto"/>
            <w:vAlign w:val="center"/>
          </w:tcPr>
          <w:p w14:paraId="70BF0C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宋体"/>
                <w:bCs w:val="0"/>
                <w:color w:val="auto"/>
                <w:kern w:val="2"/>
              </w:rPr>
              <w:t>人员伤亡、财产损失</w:t>
            </w:r>
          </w:p>
        </w:tc>
        <w:tc>
          <w:tcPr>
            <w:tcW w:w="4006" w:type="dxa"/>
            <w:shd w:val="clear" w:color="auto" w:fill="auto"/>
            <w:vAlign w:val="center"/>
          </w:tcPr>
          <w:p w14:paraId="757BDA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宋体"/>
                <w:bCs w:val="0"/>
                <w:color w:val="auto"/>
                <w:kern w:val="2"/>
              </w:rPr>
              <w:t>经营作业场所</w:t>
            </w:r>
          </w:p>
        </w:tc>
      </w:tr>
    </w:tbl>
    <w:p w14:paraId="7D3CFCC0">
      <w:pPr>
        <w:rPr>
          <w:rFonts w:ascii="Times New Roman" w:hAnsi="Times New Roman" w:eastAsia="宋体" w:cs="Times New Roman"/>
          <w:b/>
          <w:bCs/>
          <w:color w:val="0000FF"/>
          <w:kern w:val="2"/>
          <w:sz w:val="28"/>
          <w:szCs w:val="28"/>
        </w:rPr>
      </w:pPr>
      <w:r>
        <w:rPr>
          <w:rFonts w:ascii="Times New Roman" w:hAnsi="Times New Roman" w:eastAsia="宋体" w:cs="Times New Roman"/>
          <w:b/>
          <w:bCs/>
          <w:color w:val="0000FF"/>
          <w:kern w:val="2"/>
          <w:sz w:val="28"/>
          <w:szCs w:val="28"/>
        </w:rPr>
        <w:br w:type="page"/>
      </w:r>
    </w:p>
    <w:p w14:paraId="5B83E1AE">
      <w:pPr>
        <w:keepNext/>
        <w:keepLines/>
        <w:spacing w:line="600" w:lineRule="exact"/>
        <w:outlineLvl w:val="1"/>
        <w:rPr>
          <w:rFonts w:ascii="Times New Roman" w:hAnsi="Times New Roman" w:eastAsia="宋体" w:cs="Times New Roman"/>
          <w:b/>
          <w:bCs/>
          <w:color w:val="auto"/>
          <w:kern w:val="2"/>
          <w:sz w:val="28"/>
          <w:szCs w:val="28"/>
        </w:rPr>
      </w:pPr>
      <w:r>
        <w:rPr>
          <w:rFonts w:ascii="Times New Roman" w:hAnsi="Times New Roman" w:eastAsia="宋体" w:cs="Times New Roman"/>
          <w:b/>
          <w:bCs/>
          <w:color w:val="auto"/>
          <w:kern w:val="2"/>
          <w:sz w:val="28"/>
          <w:szCs w:val="28"/>
        </w:rPr>
        <w:t>3.9</w:t>
      </w:r>
      <w:r>
        <w:rPr>
          <w:rFonts w:hint="eastAsia" w:ascii="Times New Roman" w:hAnsi="Times New Roman" w:eastAsia="宋体" w:cs="宋体"/>
          <w:b/>
          <w:bCs/>
          <w:color w:val="auto"/>
          <w:kern w:val="2"/>
          <w:sz w:val="28"/>
          <w:szCs w:val="28"/>
        </w:rPr>
        <w:t>爆炸危险区域划分</w:t>
      </w:r>
      <w:bookmarkEnd w:id="92"/>
      <w:bookmarkEnd w:id="93"/>
      <w:bookmarkEnd w:id="94"/>
      <w:bookmarkEnd w:id="95"/>
      <w:bookmarkEnd w:id="96"/>
      <w:bookmarkEnd w:id="97"/>
    </w:p>
    <w:p w14:paraId="3F102F20">
      <w:pPr>
        <w:spacing w:line="60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本项目采用油气回收系统，根据《汽车加油加气加氢站技术标准》</w:t>
      </w:r>
      <w:r>
        <w:rPr>
          <w:rFonts w:ascii="Times New Roman" w:hAnsi="Times New Roman" w:eastAsia="宋体" w:cs="Times New Roman"/>
          <w:bCs w:val="0"/>
          <w:color w:val="auto"/>
          <w:kern w:val="2"/>
          <w:sz w:val="28"/>
          <w:szCs w:val="28"/>
        </w:rPr>
        <w:t>GB50156-2021</w:t>
      </w:r>
      <w:r>
        <w:rPr>
          <w:rFonts w:hint="eastAsia" w:ascii="Times New Roman" w:hAnsi="Times New Roman" w:eastAsia="宋体" w:cs="宋体"/>
          <w:bCs w:val="0"/>
          <w:color w:val="auto"/>
          <w:kern w:val="2"/>
          <w:sz w:val="28"/>
          <w:szCs w:val="28"/>
        </w:rPr>
        <w:t>附录</w:t>
      </w:r>
      <w:r>
        <w:rPr>
          <w:rFonts w:ascii="Times New Roman" w:hAnsi="Times New Roman" w:eastAsia="宋体" w:cs="Times New Roman"/>
          <w:bCs w:val="0"/>
          <w:color w:val="auto"/>
          <w:kern w:val="2"/>
          <w:sz w:val="28"/>
          <w:szCs w:val="28"/>
        </w:rPr>
        <w:t>C</w:t>
      </w:r>
      <w:r>
        <w:rPr>
          <w:rFonts w:hint="eastAsia" w:ascii="Times New Roman" w:hAnsi="Times New Roman" w:eastAsia="宋体" w:cs="宋体"/>
          <w:bCs w:val="0"/>
          <w:color w:val="auto"/>
          <w:kern w:val="2"/>
          <w:sz w:val="28"/>
          <w:szCs w:val="28"/>
        </w:rPr>
        <w:t>，其爆炸危险区域划分见表</w:t>
      </w:r>
      <w:r>
        <w:rPr>
          <w:rFonts w:ascii="Times New Roman" w:hAnsi="Times New Roman" w:eastAsia="宋体" w:cs="Times New Roman"/>
          <w:bCs w:val="0"/>
          <w:color w:val="auto"/>
          <w:kern w:val="2"/>
          <w:sz w:val="28"/>
          <w:szCs w:val="28"/>
        </w:rPr>
        <w:t>3</w:t>
      </w:r>
      <w:r>
        <w:rPr>
          <w:rFonts w:hint="eastAsia" w:ascii="Times New Roman" w:hAnsi="Times New Roman" w:eastAsia="宋体" w:cs="Times New Roman"/>
          <w:bCs w:val="0"/>
          <w:color w:val="auto"/>
          <w:kern w:val="2"/>
          <w:sz w:val="28"/>
          <w:szCs w:val="28"/>
        </w:rPr>
        <w:t>.9-1</w:t>
      </w:r>
      <w:r>
        <w:rPr>
          <w:rFonts w:hint="eastAsia" w:ascii="Times New Roman" w:hAnsi="Times New Roman" w:eastAsia="宋体" w:cs="宋体"/>
          <w:bCs w:val="0"/>
          <w:color w:val="auto"/>
          <w:kern w:val="2"/>
          <w:sz w:val="28"/>
          <w:szCs w:val="28"/>
        </w:rPr>
        <w:t>：</w:t>
      </w:r>
    </w:p>
    <w:p w14:paraId="446DA1BC">
      <w:pPr>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表3.9-1  爆炸危险区域划分图</w:t>
      </w:r>
    </w:p>
    <w:tbl>
      <w:tblPr>
        <w:tblStyle w:val="7"/>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584"/>
        <w:gridCol w:w="3167"/>
        <w:gridCol w:w="4747"/>
      </w:tblGrid>
      <w:tr w14:paraId="7361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tblHeader/>
          <w:jc w:val="center"/>
        </w:trPr>
        <w:tc>
          <w:tcPr>
            <w:tcW w:w="1584" w:type="dxa"/>
            <w:vAlign w:val="center"/>
          </w:tcPr>
          <w:p w14:paraId="6A0E8851">
            <w:pPr>
              <w:adjustRightInd w:val="0"/>
              <w:snapToGrid w:val="0"/>
              <w:jc w:val="center"/>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区域名称</w:t>
            </w:r>
          </w:p>
        </w:tc>
        <w:tc>
          <w:tcPr>
            <w:tcW w:w="3167" w:type="dxa"/>
            <w:vAlign w:val="center"/>
          </w:tcPr>
          <w:p w14:paraId="63330127">
            <w:pPr>
              <w:adjustRightInd w:val="0"/>
              <w:snapToGrid w:val="0"/>
              <w:ind w:firstLine="480"/>
              <w:jc w:val="center"/>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图例</w:t>
            </w:r>
          </w:p>
        </w:tc>
        <w:tc>
          <w:tcPr>
            <w:tcW w:w="4747" w:type="dxa"/>
            <w:vAlign w:val="center"/>
          </w:tcPr>
          <w:p w14:paraId="20298A03">
            <w:pPr>
              <w:adjustRightInd w:val="0"/>
              <w:snapToGrid w:val="0"/>
              <w:ind w:firstLine="480"/>
              <w:jc w:val="center"/>
              <w:rPr>
                <w:rFonts w:ascii="Times New Roman" w:hAnsi="Times New Roman" w:eastAsia="宋体" w:cs="Times New Roman"/>
                <w:b/>
                <w:bCs/>
                <w:color w:val="auto"/>
                <w:kern w:val="2"/>
              </w:rPr>
            </w:pPr>
            <w:r>
              <w:rPr>
                <w:rFonts w:hint="eastAsia" w:ascii="Times New Roman" w:hAnsi="Times New Roman" w:eastAsia="宋体" w:cs="宋体"/>
                <w:b/>
                <w:bCs/>
                <w:color w:val="auto"/>
                <w:kern w:val="2"/>
              </w:rPr>
              <w:t>危险区域范围</w:t>
            </w:r>
          </w:p>
        </w:tc>
      </w:tr>
      <w:tr w14:paraId="381D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6" w:hRule="atLeast"/>
          <w:tblHeader/>
          <w:jc w:val="center"/>
        </w:trPr>
        <w:tc>
          <w:tcPr>
            <w:tcW w:w="1584" w:type="dxa"/>
            <w:vAlign w:val="center"/>
          </w:tcPr>
          <w:p w14:paraId="2485FEF1">
            <w:pPr>
              <w:adjustRightInd w:val="0"/>
              <w:snapToGrid w:val="0"/>
              <w:rPr>
                <w:rFonts w:ascii="Times New Roman" w:hAnsi="Times New Roman" w:eastAsia="宋体" w:cs="Times New Roman"/>
                <w:b/>
                <w:bCs/>
                <w:color w:val="auto"/>
                <w:kern w:val="2"/>
              </w:rPr>
            </w:pPr>
            <w:r>
              <w:rPr>
                <w:rFonts w:hint="eastAsia" w:ascii="Times New Roman" w:hAnsi="Times New Roman" w:eastAsia="宋体" w:cs="宋体"/>
                <w:bCs w:val="0"/>
                <w:color w:val="auto"/>
                <w:kern w:val="2"/>
              </w:rPr>
              <w:t>汽油设施</w:t>
            </w:r>
          </w:p>
        </w:tc>
        <w:tc>
          <w:tcPr>
            <w:tcW w:w="3167" w:type="dxa"/>
            <w:vAlign w:val="center"/>
          </w:tcPr>
          <w:p w14:paraId="7127E1AD">
            <w:pPr>
              <w:adjustRightInd w:val="0"/>
              <w:snapToGrid w:val="0"/>
              <w:ind w:firstLine="422" w:firstLineChars="200"/>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w:t>
            </w:r>
          </w:p>
        </w:tc>
        <w:tc>
          <w:tcPr>
            <w:tcW w:w="4747" w:type="dxa"/>
            <w:vAlign w:val="center"/>
          </w:tcPr>
          <w:p w14:paraId="21E55042">
            <w:pPr>
              <w:adjustRightInd w:val="0"/>
              <w:snapToGrid w:val="0"/>
              <w:ind w:firstLine="210" w:firstLineChars="100"/>
              <w:rPr>
                <w:rFonts w:ascii="Times New Roman" w:hAnsi="Times New Roman" w:eastAsia="宋体" w:cs="Times New Roman"/>
                <w:b/>
                <w:bCs/>
                <w:color w:val="auto"/>
                <w:kern w:val="2"/>
              </w:rPr>
            </w:pPr>
            <w:r>
              <w:rPr>
                <w:rFonts w:hint="eastAsia" w:ascii="Times New Roman" w:hAnsi="Times New Roman" w:eastAsia="宋体" w:cs="宋体"/>
                <w:bCs w:val="0"/>
                <w:color w:val="auto"/>
                <w:kern w:val="2"/>
              </w:rPr>
              <w:t>汽油设施爆炸危险区域内地坪以下的坑或沟应划分为</w:t>
            </w:r>
            <w:r>
              <w:rPr>
                <w:rFonts w:ascii="Times New Roman" w:hAnsi="Times New Roman" w:eastAsia="宋体" w:cs="Times New Roman"/>
                <w:bCs w:val="0"/>
                <w:color w:val="auto"/>
                <w:kern w:val="2"/>
              </w:rPr>
              <w:t>1</w:t>
            </w:r>
            <w:r>
              <w:rPr>
                <w:rFonts w:hint="eastAsia" w:ascii="Times New Roman" w:hAnsi="Times New Roman" w:eastAsia="宋体" w:cs="宋体"/>
                <w:bCs w:val="0"/>
                <w:color w:val="auto"/>
                <w:kern w:val="2"/>
              </w:rPr>
              <w:t>区。</w:t>
            </w:r>
          </w:p>
        </w:tc>
      </w:tr>
      <w:tr w14:paraId="29D6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584" w:type="dxa"/>
            <w:vAlign w:val="center"/>
          </w:tcPr>
          <w:p w14:paraId="275DB200">
            <w:pPr>
              <w:adjustRightInd w:val="0"/>
              <w:snapToGrid w:val="0"/>
              <w:rPr>
                <w:rFonts w:ascii="Times New Roman" w:hAnsi="Times New Roman" w:eastAsia="宋体" w:cs="Times New Roman"/>
                <w:bCs w:val="0"/>
                <w:color w:val="auto"/>
                <w:kern w:val="2"/>
              </w:rPr>
            </w:pPr>
            <w:r>
              <w:rPr>
                <w:rFonts w:hint="eastAsia" w:ascii="Times New Roman" w:hAnsi="Times New Roman" w:eastAsia="宋体" w:cs="宋体"/>
                <w:bCs w:val="0"/>
                <w:color w:val="auto"/>
                <w:spacing w:val="10"/>
                <w:kern w:val="2"/>
              </w:rPr>
              <w:t>埋地卧式汽油储罐爆炸危险区域划分</w:t>
            </w:r>
          </w:p>
        </w:tc>
        <w:tc>
          <w:tcPr>
            <w:tcW w:w="3167" w:type="dxa"/>
            <w:vAlign w:val="center"/>
          </w:tcPr>
          <w:p w14:paraId="5FDFC566">
            <w:pPr>
              <w:adjustRightInd w:val="0"/>
              <w:snapToGrid w:val="0"/>
              <w:rPr>
                <w:rFonts w:ascii="Times New Roman" w:hAnsi="Times New Roman" w:eastAsia="宋体" w:cs="Times New Roman"/>
                <w:bCs w:val="0"/>
                <w:color w:val="auto"/>
                <w:kern w:val="2"/>
              </w:rPr>
            </w:pPr>
          </w:p>
          <w:p w14:paraId="1F3624FD">
            <w:pPr>
              <w:adjustRightInd w:val="0"/>
              <w:snapToGrid w:val="0"/>
              <w:rPr>
                <w:rFonts w:ascii="Times New Roman" w:hAnsi="Times New Roman" w:eastAsia="宋体" w:cs="Times New Roman"/>
                <w:bCs w:val="0"/>
                <w:color w:val="auto"/>
                <w:kern w:val="2"/>
              </w:rPr>
            </w:pPr>
          </w:p>
          <w:p w14:paraId="566071A7">
            <w:pPr>
              <w:adjustRightInd w:val="0"/>
              <w:snapToGrid w:val="0"/>
              <w:rPr>
                <w:rFonts w:ascii="Times New Roman" w:hAnsi="Times New Roman" w:eastAsia="宋体" w:cs="Times New Roman"/>
                <w:bCs w:val="0"/>
                <w:color w:val="auto"/>
                <w:kern w:val="2"/>
              </w:rPr>
            </w:pPr>
            <w:r>
              <w:rPr>
                <w:rFonts w:ascii="Times New Roman" w:hAnsi="Times New Roman" w:eastAsia="宋体" w:cs="Calibri"/>
                <w:bCs w:val="0"/>
                <w:color w:val="auto"/>
                <w:kern w:val="2"/>
              </w:rPr>
              <w:pict>
                <v:shape id="Picture 66" o:spid="_x0000_s1026" o:spt="75" type="#_x0000_t75" style="position:absolute;left:0pt;margin-left:-0.2pt;margin-top:22.4pt;height:110.6pt;width:175.45pt;mso-wrap-distance-bottom:0pt;mso-wrap-distance-top:0pt;z-index:251660288;mso-width-relative:page;mso-height-relative:page;" o:ole="t" filled="f" o:preferrelative="t" stroked="f" coordsize="21600,21600">
                  <v:path/>
                  <v:fill on="f" focussize="0,0"/>
                  <v:stroke on="f" joinstyle="miter"/>
                  <v:imagedata r:id="rId14" o:title=""/>
                  <o:lock v:ext="edit" aspectratio="t"/>
                  <w10:wrap type="topAndBottom"/>
                </v:shape>
                <o:OLEObject Type="Embed" ProgID="Msxml2.SAXXMLReader.5.0" ShapeID="Picture 66" DrawAspect="Content" ObjectID="_1468075725" r:id="rId13">
                  <o:LockedField>false</o:LockedField>
                </o:OLEObject>
              </w:pict>
            </w:r>
          </w:p>
        </w:tc>
        <w:tc>
          <w:tcPr>
            <w:tcW w:w="4747" w:type="dxa"/>
            <w:vAlign w:val="center"/>
          </w:tcPr>
          <w:p w14:paraId="2359BCFF">
            <w:pPr>
              <w:adjustRightInd w:val="0"/>
              <w:snapToGrid w:val="0"/>
              <w:spacing w:line="340" w:lineRule="exact"/>
              <w:ind w:firstLine="210" w:firstLineChars="100"/>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1</w:t>
            </w:r>
            <w:r>
              <w:rPr>
                <w:rFonts w:hint="eastAsia" w:ascii="Times New Roman" w:hAnsi="Times New Roman" w:eastAsia="宋体" w:cs="宋体"/>
                <w:bCs w:val="0"/>
                <w:color w:val="auto"/>
                <w:kern w:val="2"/>
              </w:rPr>
              <w:t>、罐内部油品表面以上的空间应划分为</w:t>
            </w:r>
            <w:r>
              <w:rPr>
                <w:rFonts w:ascii="Times New Roman" w:hAnsi="Times New Roman" w:eastAsia="宋体" w:cs="Times New Roman"/>
                <w:bCs w:val="0"/>
                <w:color w:val="auto"/>
                <w:kern w:val="2"/>
              </w:rPr>
              <w:t>0</w:t>
            </w:r>
            <w:r>
              <w:rPr>
                <w:rFonts w:hint="eastAsia" w:ascii="Times New Roman" w:hAnsi="Times New Roman" w:eastAsia="宋体" w:cs="宋体"/>
                <w:bCs w:val="0"/>
                <w:color w:val="auto"/>
                <w:kern w:val="2"/>
              </w:rPr>
              <w:t>区。</w:t>
            </w:r>
          </w:p>
          <w:p w14:paraId="3315BDDA">
            <w:pPr>
              <w:adjustRightInd w:val="0"/>
              <w:snapToGrid w:val="0"/>
              <w:spacing w:line="340" w:lineRule="exact"/>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 xml:space="preserve">  2</w:t>
            </w:r>
            <w:r>
              <w:rPr>
                <w:rFonts w:hint="eastAsia" w:ascii="Times New Roman" w:hAnsi="Times New Roman" w:eastAsia="宋体" w:cs="宋体"/>
                <w:bCs w:val="0"/>
                <w:color w:val="auto"/>
                <w:kern w:val="2"/>
              </w:rPr>
              <w:t>、人孔（阀）井内部空间，以通气管管口为中心、半径为</w:t>
            </w:r>
            <w:r>
              <w:rPr>
                <w:rFonts w:ascii="Times New Roman" w:hAnsi="Times New Roman" w:eastAsia="宋体" w:cs="Times New Roman"/>
                <w:bCs w:val="0"/>
                <w:color w:val="auto"/>
                <w:kern w:val="2"/>
              </w:rPr>
              <w:t>0.75m</w:t>
            </w:r>
            <w:r>
              <w:rPr>
                <w:rFonts w:hint="eastAsia" w:ascii="Times New Roman" w:hAnsi="Times New Roman" w:eastAsia="宋体" w:cs="宋体"/>
                <w:bCs w:val="0"/>
                <w:color w:val="auto"/>
                <w:kern w:val="2"/>
              </w:rPr>
              <w:t>的球形空间和以密闭卸油口为中心、半径为</w:t>
            </w:r>
            <w:r>
              <w:rPr>
                <w:rFonts w:ascii="Times New Roman" w:hAnsi="Times New Roman" w:eastAsia="宋体" w:cs="Times New Roman"/>
                <w:bCs w:val="0"/>
                <w:color w:val="auto"/>
                <w:kern w:val="2"/>
              </w:rPr>
              <w:t>0.5m</w:t>
            </w:r>
            <w:r>
              <w:rPr>
                <w:rFonts w:hint="eastAsia" w:ascii="Times New Roman" w:hAnsi="Times New Roman" w:eastAsia="宋体" w:cs="宋体"/>
                <w:bCs w:val="0"/>
                <w:color w:val="auto"/>
                <w:kern w:val="2"/>
              </w:rPr>
              <w:t>的球形空间，应划分为</w:t>
            </w:r>
            <w:r>
              <w:rPr>
                <w:rFonts w:ascii="Times New Roman" w:hAnsi="Times New Roman" w:eastAsia="宋体" w:cs="Times New Roman"/>
                <w:bCs w:val="0"/>
                <w:color w:val="auto"/>
                <w:kern w:val="2"/>
              </w:rPr>
              <w:t>1</w:t>
            </w:r>
            <w:r>
              <w:rPr>
                <w:rFonts w:hint="eastAsia" w:ascii="Times New Roman" w:hAnsi="Times New Roman" w:eastAsia="宋体" w:cs="宋体"/>
                <w:bCs w:val="0"/>
                <w:color w:val="auto"/>
                <w:kern w:val="2"/>
              </w:rPr>
              <w:t>区。</w:t>
            </w:r>
          </w:p>
          <w:p w14:paraId="7EC07C55">
            <w:pPr>
              <w:adjustRightInd w:val="0"/>
              <w:snapToGrid w:val="0"/>
              <w:spacing w:line="340" w:lineRule="exact"/>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 xml:space="preserve">  3</w:t>
            </w:r>
            <w:r>
              <w:rPr>
                <w:rFonts w:hint="eastAsia" w:ascii="Times New Roman" w:hAnsi="Times New Roman" w:eastAsia="宋体" w:cs="宋体"/>
                <w:bCs w:val="0"/>
                <w:color w:val="auto"/>
                <w:kern w:val="2"/>
              </w:rPr>
              <w:t>、距人孔（阀）井外边缘</w:t>
            </w:r>
            <w:r>
              <w:rPr>
                <w:rFonts w:ascii="Times New Roman" w:hAnsi="Times New Roman" w:eastAsia="宋体" w:cs="Times New Roman"/>
                <w:bCs w:val="0"/>
                <w:color w:val="auto"/>
                <w:kern w:val="2"/>
              </w:rPr>
              <w:t>1.5m</w:t>
            </w:r>
            <w:r>
              <w:rPr>
                <w:rFonts w:hint="eastAsia" w:ascii="Times New Roman" w:hAnsi="Times New Roman" w:eastAsia="宋体" w:cs="宋体"/>
                <w:bCs w:val="0"/>
                <w:color w:val="auto"/>
                <w:kern w:val="2"/>
              </w:rPr>
              <w:t>以内，自地面算起</w:t>
            </w:r>
            <w:r>
              <w:rPr>
                <w:rFonts w:ascii="Times New Roman" w:hAnsi="Times New Roman" w:eastAsia="宋体" w:cs="Times New Roman"/>
                <w:bCs w:val="0"/>
                <w:color w:val="auto"/>
                <w:kern w:val="2"/>
              </w:rPr>
              <w:t>1m</w:t>
            </w:r>
            <w:r>
              <w:rPr>
                <w:rFonts w:hint="eastAsia" w:ascii="Times New Roman" w:hAnsi="Times New Roman" w:eastAsia="宋体" w:cs="宋体"/>
                <w:bCs w:val="0"/>
                <w:color w:val="auto"/>
                <w:kern w:val="2"/>
              </w:rPr>
              <w:t>高的圆柱形空间，以通气管管口为中心、半径为</w:t>
            </w:r>
            <w:r>
              <w:rPr>
                <w:rFonts w:ascii="Times New Roman" w:hAnsi="Times New Roman" w:eastAsia="宋体" w:cs="Times New Roman"/>
                <w:bCs w:val="0"/>
                <w:color w:val="auto"/>
                <w:kern w:val="2"/>
              </w:rPr>
              <w:t>2m</w:t>
            </w:r>
            <w:r>
              <w:rPr>
                <w:rFonts w:hint="eastAsia" w:ascii="Times New Roman" w:hAnsi="Times New Roman" w:eastAsia="宋体" w:cs="宋体"/>
                <w:bCs w:val="0"/>
                <w:color w:val="auto"/>
                <w:kern w:val="2"/>
              </w:rPr>
              <w:t>的球形空间和以密闭卸油口为中心、半径为</w:t>
            </w:r>
            <w:r>
              <w:rPr>
                <w:rFonts w:ascii="Times New Roman" w:hAnsi="Times New Roman" w:eastAsia="宋体" w:cs="Times New Roman"/>
                <w:bCs w:val="0"/>
                <w:color w:val="auto"/>
                <w:kern w:val="2"/>
              </w:rPr>
              <w:t>1.5m</w:t>
            </w:r>
            <w:r>
              <w:rPr>
                <w:rFonts w:hint="eastAsia" w:ascii="Times New Roman" w:hAnsi="Times New Roman" w:eastAsia="宋体" w:cs="宋体"/>
                <w:bCs w:val="0"/>
                <w:color w:val="auto"/>
                <w:kern w:val="2"/>
              </w:rPr>
              <w:t>的球形并延至地面的空间，应划分为</w:t>
            </w:r>
            <w:r>
              <w:rPr>
                <w:rFonts w:ascii="Times New Roman" w:hAnsi="Times New Roman" w:eastAsia="宋体" w:cs="Times New Roman"/>
                <w:bCs w:val="0"/>
                <w:color w:val="auto"/>
                <w:kern w:val="2"/>
              </w:rPr>
              <w:t>2</w:t>
            </w:r>
            <w:r>
              <w:rPr>
                <w:rFonts w:hint="eastAsia" w:ascii="Times New Roman" w:hAnsi="Times New Roman" w:eastAsia="宋体" w:cs="宋体"/>
                <w:bCs w:val="0"/>
                <w:color w:val="auto"/>
                <w:kern w:val="2"/>
              </w:rPr>
              <w:t>区。</w:t>
            </w:r>
          </w:p>
          <w:p w14:paraId="640424AB">
            <w:pPr>
              <w:rPr>
                <w:rFonts w:ascii="Times New Roman" w:hAnsi="Times New Roman" w:eastAsia="宋体" w:cs="Times New Roman"/>
                <w:bCs w:val="0"/>
                <w:color w:val="auto"/>
                <w:kern w:val="2"/>
              </w:rPr>
            </w:pPr>
            <w:r>
              <w:rPr>
                <w:rFonts w:ascii="Times New Roman" w:hAnsi="Times New Roman" w:eastAsia="宋体" w:cs="Times New Roman"/>
                <w:bCs w:val="0"/>
                <w:color w:val="auto"/>
                <w:spacing w:val="10"/>
                <w:kern w:val="2"/>
              </w:rPr>
              <w:t xml:space="preserve">  4</w:t>
            </w:r>
            <w:r>
              <w:rPr>
                <w:rFonts w:hint="eastAsia" w:ascii="Times New Roman" w:hAnsi="Times New Roman" w:eastAsia="宋体" w:cs="宋体"/>
                <w:bCs w:val="0"/>
                <w:color w:val="auto"/>
                <w:spacing w:val="10"/>
                <w:kern w:val="2"/>
              </w:rPr>
              <w:t>、当地上密闭卸油口设在箱体内时，箱体内部的空间应划分为</w:t>
            </w:r>
            <w:r>
              <w:rPr>
                <w:rFonts w:ascii="Times New Roman" w:hAnsi="Times New Roman" w:eastAsia="宋体" w:cs="Times New Roman"/>
                <w:bCs w:val="0"/>
                <w:color w:val="auto"/>
                <w:spacing w:val="10"/>
                <w:kern w:val="2"/>
              </w:rPr>
              <w:t>1</w:t>
            </w:r>
            <w:r>
              <w:rPr>
                <w:rFonts w:hint="eastAsia" w:ascii="Times New Roman" w:hAnsi="Times New Roman" w:eastAsia="宋体" w:cs="宋体"/>
                <w:bCs w:val="0"/>
                <w:color w:val="auto"/>
                <w:spacing w:val="10"/>
                <w:kern w:val="2"/>
              </w:rPr>
              <w:t>区，箱体外部四周</w:t>
            </w:r>
            <w:r>
              <w:rPr>
                <w:rFonts w:ascii="Times New Roman" w:hAnsi="Times New Roman" w:eastAsia="宋体" w:cs="Times New Roman"/>
                <w:bCs w:val="0"/>
                <w:color w:val="auto"/>
                <w:spacing w:val="10"/>
                <w:kern w:val="2"/>
              </w:rPr>
              <w:t>1m</w:t>
            </w:r>
            <w:r>
              <w:rPr>
                <w:rFonts w:hint="eastAsia" w:ascii="Times New Roman" w:hAnsi="Times New Roman" w:eastAsia="宋体" w:cs="宋体"/>
                <w:bCs w:val="0"/>
                <w:color w:val="auto"/>
                <w:spacing w:val="10"/>
                <w:kern w:val="2"/>
              </w:rPr>
              <w:t>和箱体顶部以上</w:t>
            </w:r>
            <w:r>
              <w:rPr>
                <w:rFonts w:ascii="Times New Roman" w:hAnsi="Times New Roman" w:eastAsia="宋体" w:cs="Times New Roman"/>
                <w:bCs w:val="0"/>
                <w:color w:val="auto"/>
                <w:spacing w:val="10"/>
                <w:kern w:val="2"/>
              </w:rPr>
              <w:t>1.5m</w:t>
            </w:r>
            <w:r>
              <w:rPr>
                <w:rFonts w:hint="eastAsia" w:ascii="Times New Roman" w:hAnsi="Times New Roman" w:eastAsia="宋体" w:cs="宋体"/>
                <w:bCs w:val="0"/>
                <w:color w:val="auto"/>
                <w:spacing w:val="10"/>
                <w:kern w:val="2"/>
              </w:rPr>
              <w:t>范围内的空间应划分为</w:t>
            </w:r>
            <w:r>
              <w:rPr>
                <w:rFonts w:ascii="Times New Roman" w:hAnsi="Times New Roman" w:eastAsia="宋体" w:cs="Times New Roman"/>
                <w:bCs w:val="0"/>
                <w:color w:val="auto"/>
                <w:spacing w:val="10"/>
                <w:kern w:val="2"/>
              </w:rPr>
              <w:t>2</w:t>
            </w:r>
            <w:r>
              <w:rPr>
                <w:rFonts w:hint="eastAsia" w:ascii="Times New Roman" w:hAnsi="Times New Roman" w:eastAsia="宋体" w:cs="宋体"/>
                <w:bCs w:val="0"/>
                <w:color w:val="auto"/>
                <w:spacing w:val="10"/>
                <w:kern w:val="2"/>
              </w:rPr>
              <w:t>区；当密闭卸油口设在卸油坑内时，坑内的空间应划分为</w:t>
            </w:r>
            <w:r>
              <w:rPr>
                <w:rFonts w:ascii="Times New Roman" w:hAnsi="Times New Roman" w:eastAsia="宋体" w:cs="Times New Roman"/>
                <w:bCs w:val="0"/>
                <w:color w:val="auto"/>
                <w:spacing w:val="10"/>
                <w:kern w:val="2"/>
              </w:rPr>
              <w:t>1</w:t>
            </w:r>
            <w:r>
              <w:rPr>
                <w:rFonts w:hint="eastAsia" w:ascii="Times New Roman" w:hAnsi="Times New Roman" w:eastAsia="宋体" w:cs="宋体"/>
                <w:bCs w:val="0"/>
                <w:color w:val="auto"/>
                <w:spacing w:val="10"/>
                <w:kern w:val="2"/>
              </w:rPr>
              <w:t>区，坑口外</w:t>
            </w:r>
            <w:r>
              <w:rPr>
                <w:rFonts w:ascii="Times New Roman" w:hAnsi="Times New Roman" w:eastAsia="宋体" w:cs="Times New Roman"/>
                <w:bCs w:val="0"/>
                <w:color w:val="auto"/>
                <w:spacing w:val="10"/>
                <w:kern w:val="2"/>
              </w:rPr>
              <w:t>1.5m</w:t>
            </w:r>
            <w:r>
              <w:rPr>
                <w:rFonts w:hint="eastAsia" w:ascii="Times New Roman" w:hAnsi="Times New Roman" w:eastAsia="宋体" w:cs="宋体"/>
                <w:bCs w:val="0"/>
                <w:color w:val="auto"/>
                <w:spacing w:val="10"/>
                <w:kern w:val="2"/>
              </w:rPr>
              <w:t>范围内的空间应划分为</w:t>
            </w:r>
            <w:r>
              <w:rPr>
                <w:rFonts w:ascii="Times New Roman" w:hAnsi="Times New Roman" w:eastAsia="宋体" w:cs="Times New Roman"/>
                <w:bCs w:val="0"/>
                <w:color w:val="auto"/>
                <w:spacing w:val="10"/>
                <w:kern w:val="2"/>
              </w:rPr>
              <w:t>2</w:t>
            </w:r>
            <w:r>
              <w:rPr>
                <w:rFonts w:hint="eastAsia" w:ascii="Times New Roman" w:hAnsi="Times New Roman" w:eastAsia="宋体" w:cs="宋体"/>
                <w:bCs w:val="0"/>
                <w:color w:val="auto"/>
                <w:spacing w:val="10"/>
                <w:kern w:val="2"/>
              </w:rPr>
              <w:t>区。</w:t>
            </w:r>
          </w:p>
        </w:tc>
      </w:tr>
      <w:tr w14:paraId="7C2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584" w:type="dxa"/>
            <w:vAlign w:val="center"/>
          </w:tcPr>
          <w:p w14:paraId="74446BB5">
            <w:pPr>
              <w:adjustRightInd w:val="0"/>
              <w:snapToGrid w:val="0"/>
              <w:rPr>
                <w:rFonts w:ascii="Times New Roman" w:hAnsi="Times New Roman" w:eastAsia="宋体" w:cs="Times New Roman"/>
                <w:bCs w:val="0"/>
                <w:color w:val="auto"/>
                <w:kern w:val="2"/>
              </w:rPr>
            </w:pPr>
            <w:r>
              <w:rPr>
                <w:rFonts w:hint="eastAsia" w:ascii="Times New Roman" w:hAnsi="Times New Roman" w:eastAsia="宋体" w:cs="宋体"/>
                <w:bCs w:val="0"/>
                <w:color w:val="auto"/>
                <w:spacing w:val="10"/>
                <w:kern w:val="2"/>
              </w:rPr>
              <w:t>汽油油罐车和密闭卸油口的爆炸危险区域划分</w:t>
            </w:r>
          </w:p>
        </w:tc>
        <w:tc>
          <w:tcPr>
            <w:tcW w:w="3167" w:type="dxa"/>
            <w:vAlign w:val="center"/>
          </w:tcPr>
          <w:p w14:paraId="015973D0">
            <w:pPr>
              <w:adjustRightInd w:val="0"/>
              <w:snapToGrid w:val="0"/>
              <w:jc w:val="center"/>
              <w:rPr>
                <w:rFonts w:ascii="Times New Roman" w:hAnsi="Times New Roman" w:eastAsia="宋体" w:cs="Times New Roman"/>
                <w:bCs w:val="0"/>
                <w:color w:val="auto"/>
                <w:kern w:val="2"/>
              </w:rPr>
            </w:pPr>
            <w:r>
              <w:rPr>
                <w:rFonts w:ascii="Times New Roman" w:hAnsi="Times New Roman" w:eastAsia="宋体" w:cs="Calibri"/>
                <w:bCs w:val="0"/>
                <w:color w:val="auto"/>
                <w:kern w:val="2"/>
              </w:rPr>
              <w:drawing>
                <wp:anchor distT="0" distB="0" distL="114300" distR="114300" simplePos="0" relativeHeight="251661312" behindDoc="0" locked="0" layoutInCell="1" allowOverlap="1">
                  <wp:simplePos x="0" y="0"/>
                  <wp:positionH relativeFrom="column">
                    <wp:posOffset>29845</wp:posOffset>
                  </wp:positionH>
                  <wp:positionV relativeFrom="paragraph">
                    <wp:posOffset>220345</wp:posOffset>
                  </wp:positionV>
                  <wp:extent cx="1870075" cy="1113790"/>
                  <wp:effectExtent l="0" t="0" r="15875" b="10160"/>
                  <wp:wrapNone/>
                  <wp:docPr id="1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7"/>
                          <pic:cNvPicPr>
                            <a:picLocks noChangeAspect="1"/>
                          </pic:cNvPicPr>
                        </pic:nvPicPr>
                        <pic:blipFill>
                          <a:blip r:embed="rId15"/>
                          <a:srcRect t="5914" r="19711" b="25301"/>
                          <a:stretch>
                            <a:fillRect/>
                          </a:stretch>
                        </pic:blipFill>
                        <pic:spPr>
                          <a:xfrm>
                            <a:off x="0" y="0"/>
                            <a:ext cx="1870075" cy="1113790"/>
                          </a:xfrm>
                          <a:prstGeom prst="rect">
                            <a:avLst/>
                          </a:prstGeom>
                          <a:noFill/>
                          <a:ln>
                            <a:noFill/>
                          </a:ln>
                        </pic:spPr>
                      </pic:pic>
                    </a:graphicData>
                  </a:graphic>
                </wp:anchor>
              </w:drawing>
            </w:r>
          </w:p>
        </w:tc>
        <w:tc>
          <w:tcPr>
            <w:tcW w:w="4747" w:type="dxa"/>
            <w:vAlign w:val="center"/>
          </w:tcPr>
          <w:p w14:paraId="55CAFD39">
            <w:pPr>
              <w:adjustRightInd w:val="0"/>
              <w:snapToGrid w:val="0"/>
              <w:spacing w:line="340" w:lineRule="exact"/>
              <w:ind w:firstLine="230" w:firstLineChars="100"/>
              <w:rPr>
                <w:rFonts w:ascii="Times New Roman" w:hAnsi="Times New Roman" w:eastAsia="宋体" w:cs="Times New Roman"/>
                <w:bCs w:val="0"/>
                <w:color w:val="auto"/>
                <w:spacing w:val="10"/>
                <w:kern w:val="2"/>
              </w:rPr>
            </w:pPr>
            <w:r>
              <w:rPr>
                <w:rFonts w:ascii="Times New Roman" w:hAnsi="Times New Roman" w:eastAsia="宋体" w:cs="Times New Roman"/>
                <w:bCs w:val="0"/>
                <w:color w:val="auto"/>
                <w:spacing w:val="10"/>
                <w:kern w:val="2"/>
              </w:rPr>
              <w:t>1</w:t>
            </w:r>
            <w:r>
              <w:rPr>
                <w:rFonts w:hint="eastAsia" w:ascii="Times New Roman" w:hAnsi="Times New Roman" w:eastAsia="宋体" w:cs="宋体"/>
                <w:bCs w:val="0"/>
                <w:color w:val="auto"/>
                <w:spacing w:val="10"/>
                <w:kern w:val="2"/>
              </w:rPr>
              <w:t>、油罐车内部的油品表面以上空间应划分为</w:t>
            </w:r>
            <w:r>
              <w:rPr>
                <w:rFonts w:ascii="Times New Roman" w:hAnsi="Times New Roman" w:eastAsia="宋体" w:cs="Times New Roman"/>
                <w:bCs w:val="0"/>
                <w:color w:val="auto"/>
                <w:spacing w:val="10"/>
                <w:kern w:val="2"/>
              </w:rPr>
              <w:t>0</w:t>
            </w:r>
            <w:r>
              <w:rPr>
                <w:rFonts w:hint="eastAsia" w:ascii="Times New Roman" w:hAnsi="Times New Roman" w:eastAsia="宋体" w:cs="宋体"/>
                <w:bCs w:val="0"/>
                <w:color w:val="auto"/>
                <w:spacing w:val="10"/>
                <w:kern w:val="2"/>
              </w:rPr>
              <w:t>区。</w:t>
            </w:r>
          </w:p>
          <w:p w14:paraId="1A99DEC0">
            <w:pPr>
              <w:adjustRightInd w:val="0"/>
              <w:snapToGrid w:val="0"/>
              <w:spacing w:line="340" w:lineRule="exact"/>
              <w:rPr>
                <w:rFonts w:ascii="Times New Roman" w:hAnsi="Times New Roman" w:eastAsia="宋体" w:cs="Times New Roman"/>
                <w:bCs w:val="0"/>
                <w:color w:val="auto"/>
                <w:spacing w:val="10"/>
                <w:kern w:val="2"/>
              </w:rPr>
            </w:pPr>
            <w:r>
              <w:rPr>
                <w:rFonts w:ascii="Times New Roman" w:hAnsi="Times New Roman" w:eastAsia="宋体" w:cs="Times New Roman"/>
                <w:bCs w:val="0"/>
                <w:color w:val="auto"/>
                <w:spacing w:val="10"/>
                <w:kern w:val="2"/>
              </w:rPr>
              <w:t xml:space="preserve">  2</w:t>
            </w:r>
            <w:r>
              <w:rPr>
                <w:rFonts w:hint="eastAsia" w:ascii="Times New Roman" w:hAnsi="Times New Roman" w:eastAsia="宋体" w:cs="宋体"/>
                <w:bCs w:val="0"/>
                <w:color w:val="auto"/>
                <w:spacing w:val="10"/>
                <w:kern w:val="2"/>
              </w:rPr>
              <w:t>、以罐车通气口为中心、半径为</w:t>
            </w:r>
            <w:r>
              <w:rPr>
                <w:rFonts w:ascii="Times New Roman" w:hAnsi="Times New Roman" w:eastAsia="宋体" w:cs="Times New Roman"/>
                <w:bCs w:val="0"/>
                <w:color w:val="auto"/>
                <w:spacing w:val="10"/>
                <w:kern w:val="2"/>
              </w:rPr>
              <w:t>1.5m</w:t>
            </w:r>
            <w:r>
              <w:rPr>
                <w:rFonts w:hint="eastAsia" w:ascii="Times New Roman" w:hAnsi="Times New Roman" w:eastAsia="宋体" w:cs="宋体"/>
                <w:bCs w:val="0"/>
                <w:color w:val="auto"/>
                <w:spacing w:val="10"/>
                <w:kern w:val="2"/>
              </w:rPr>
              <w:t>的球形空间和以罐车密闭卸油口为中心、半径为</w:t>
            </w:r>
            <w:r>
              <w:rPr>
                <w:rFonts w:ascii="Times New Roman" w:hAnsi="Times New Roman" w:eastAsia="宋体" w:cs="Times New Roman"/>
                <w:bCs w:val="0"/>
                <w:color w:val="auto"/>
                <w:spacing w:val="10"/>
                <w:kern w:val="2"/>
              </w:rPr>
              <w:t>0.5m</w:t>
            </w:r>
            <w:r>
              <w:rPr>
                <w:rFonts w:hint="eastAsia" w:ascii="Times New Roman" w:hAnsi="Times New Roman" w:eastAsia="宋体" w:cs="宋体"/>
                <w:bCs w:val="0"/>
                <w:color w:val="auto"/>
                <w:spacing w:val="10"/>
                <w:kern w:val="2"/>
              </w:rPr>
              <w:t>的球形空间，应划分为</w:t>
            </w:r>
            <w:r>
              <w:rPr>
                <w:rFonts w:ascii="Times New Roman" w:hAnsi="Times New Roman" w:eastAsia="宋体" w:cs="Times New Roman"/>
                <w:bCs w:val="0"/>
                <w:color w:val="auto"/>
                <w:spacing w:val="10"/>
                <w:kern w:val="2"/>
              </w:rPr>
              <w:t>1</w:t>
            </w:r>
            <w:r>
              <w:rPr>
                <w:rFonts w:hint="eastAsia" w:ascii="Times New Roman" w:hAnsi="Times New Roman" w:eastAsia="宋体" w:cs="宋体"/>
                <w:bCs w:val="0"/>
                <w:color w:val="auto"/>
                <w:spacing w:val="10"/>
                <w:kern w:val="2"/>
              </w:rPr>
              <w:t>区。</w:t>
            </w:r>
          </w:p>
          <w:p w14:paraId="1FB9E5E1">
            <w:pPr>
              <w:adjustRightInd w:val="0"/>
              <w:snapToGrid w:val="0"/>
              <w:spacing w:line="340" w:lineRule="exact"/>
              <w:rPr>
                <w:rFonts w:ascii="Times New Roman" w:hAnsi="Times New Roman" w:eastAsia="宋体" w:cs="Times New Roman"/>
                <w:bCs w:val="0"/>
                <w:color w:val="auto"/>
                <w:spacing w:val="20"/>
                <w:kern w:val="2"/>
              </w:rPr>
            </w:pPr>
            <w:r>
              <w:rPr>
                <w:rFonts w:ascii="Times New Roman" w:hAnsi="Times New Roman" w:eastAsia="宋体" w:cs="Times New Roman"/>
                <w:bCs w:val="0"/>
                <w:color w:val="auto"/>
                <w:spacing w:val="10"/>
                <w:kern w:val="2"/>
              </w:rPr>
              <w:t xml:space="preserve">  3</w:t>
            </w:r>
            <w:r>
              <w:rPr>
                <w:rFonts w:hint="eastAsia" w:ascii="Times New Roman" w:hAnsi="Times New Roman" w:eastAsia="宋体" w:cs="宋体"/>
                <w:bCs w:val="0"/>
                <w:color w:val="auto"/>
                <w:spacing w:val="10"/>
                <w:kern w:val="2"/>
              </w:rPr>
              <w:t>、以罐车通气口为中心、半径为</w:t>
            </w:r>
            <w:r>
              <w:rPr>
                <w:rFonts w:ascii="Times New Roman" w:hAnsi="Times New Roman" w:eastAsia="宋体" w:cs="Times New Roman"/>
                <w:bCs w:val="0"/>
                <w:color w:val="auto"/>
                <w:spacing w:val="10"/>
                <w:kern w:val="2"/>
              </w:rPr>
              <w:t>3m</w:t>
            </w:r>
            <w:r>
              <w:rPr>
                <w:rFonts w:hint="eastAsia" w:ascii="Times New Roman" w:hAnsi="Times New Roman" w:eastAsia="宋体" w:cs="宋体"/>
                <w:bCs w:val="0"/>
                <w:color w:val="auto"/>
                <w:spacing w:val="10"/>
                <w:kern w:val="2"/>
              </w:rPr>
              <w:t>的球形并延至地面的空间和以罐车密闭卸油口为中心、半径为</w:t>
            </w:r>
            <w:r>
              <w:rPr>
                <w:rFonts w:ascii="Times New Roman" w:hAnsi="Times New Roman" w:eastAsia="宋体" w:cs="Times New Roman"/>
                <w:bCs w:val="0"/>
                <w:color w:val="auto"/>
                <w:spacing w:val="10"/>
                <w:kern w:val="2"/>
              </w:rPr>
              <w:t>1.5m</w:t>
            </w:r>
            <w:r>
              <w:rPr>
                <w:rFonts w:hint="eastAsia" w:ascii="Times New Roman" w:hAnsi="Times New Roman" w:eastAsia="宋体" w:cs="宋体"/>
                <w:bCs w:val="0"/>
                <w:color w:val="auto"/>
                <w:spacing w:val="10"/>
                <w:kern w:val="2"/>
              </w:rPr>
              <w:t>的球形并延至地面的空间，应划分为</w:t>
            </w:r>
            <w:r>
              <w:rPr>
                <w:rFonts w:ascii="Times New Roman" w:hAnsi="Times New Roman" w:eastAsia="宋体" w:cs="Times New Roman"/>
                <w:bCs w:val="0"/>
                <w:color w:val="auto"/>
                <w:spacing w:val="10"/>
                <w:kern w:val="2"/>
              </w:rPr>
              <w:t>2</w:t>
            </w:r>
            <w:r>
              <w:rPr>
                <w:rFonts w:hint="eastAsia" w:ascii="Times New Roman" w:hAnsi="Times New Roman" w:eastAsia="宋体" w:cs="宋体"/>
                <w:bCs w:val="0"/>
                <w:color w:val="auto"/>
                <w:spacing w:val="10"/>
                <w:kern w:val="2"/>
              </w:rPr>
              <w:t>区。</w:t>
            </w:r>
          </w:p>
        </w:tc>
      </w:tr>
      <w:tr w14:paraId="65B9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2" w:hRule="atLeast"/>
          <w:tblHeader/>
          <w:jc w:val="center"/>
        </w:trPr>
        <w:tc>
          <w:tcPr>
            <w:tcW w:w="1584" w:type="dxa"/>
            <w:vAlign w:val="center"/>
          </w:tcPr>
          <w:p w14:paraId="669A23F6">
            <w:pPr>
              <w:adjustRightInd w:val="0"/>
              <w:snapToGrid w:val="0"/>
              <w:rPr>
                <w:rFonts w:ascii="Times New Roman" w:hAnsi="Times New Roman" w:eastAsia="宋体" w:cs="Times New Roman"/>
                <w:bCs w:val="0"/>
                <w:color w:val="auto"/>
                <w:kern w:val="2"/>
              </w:rPr>
            </w:pPr>
            <w:r>
              <w:rPr>
                <w:rFonts w:hint="eastAsia" w:ascii="Times New Roman" w:hAnsi="Times New Roman" w:eastAsia="宋体" w:cs="宋体"/>
                <w:bCs w:val="0"/>
                <w:color w:val="auto"/>
                <w:spacing w:val="10"/>
                <w:kern w:val="2"/>
              </w:rPr>
              <w:t>汽油加油机爆炸危险区域划分</w:t>
            </w:r>
          </w:p>
        </w:tc>
        <w:tc>
          <w:tcPr>
            <w:tcW w:w="3167" w:type="dxa"/>
            <w:vAlign w:val="center"/>
          </w:tcPr>
          <w:p w14:paraId="29AA67C1">
            <w:pPr>
              <w:adjustRightInd w:val="0"/>
              <w:snapToGrid w:val="0"/>
              <w:jc w:val="center"/>
              <w:rPr>
                <w:rFonts w:ascii="Times New Roman" w:hAnsi="Times New Roman" w:eastAsia="宋体" w:cs="Times New Roman"/>
                <w:bCs w:val="0"/>
                <w:color w:val="auto"/>
                <w:kern w:val="2"/>
              </w:rPr>
            </w:pPr>
            <w:r>
              <w:rPr>
                <w:rFonts w:ascii="Times New Roman" w:hAnsi="Times New Roman" w:eastAsia="宋体" w:cs="Calibri"/>
                <w:bCs w:val="0"/>
                <w:color w:val="auto"/>
                <w:kern w:val="2"/>
              </w:rPr>
              <w:drawing>
                <wp:anchor distT="0" distB="0" distL="114300" distR="114300" simplePos="0" relativeHeight="251662336" behindDoc="0" locked="0" layoutInCell="1" allowOverlap="1">
                  <wp:simplePos x="0" y="0"/>
                  <wp:positionH relativeFrom="column">
                    <wp:posOffset>12065</wp:posOffset>
                  </wp:positionH>
                  <wp:positionV relativeFrom="paragraph">
                    <wp:posOffset>-1166495</wp:posOffset>
                  </wp:positionV>
                  <wp:extent cx="2223135" cy="1317625"/>
                  <wp:effectExtent l="0" t="0" r="5715" b="15875"/>
                  <wp:wrapTopAndBottom/>
                  <wp:docPr id="1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8"/>
                          <pic:cNvPicPr>
                            <a:picLocks noChangeAspect="1"/>
                          </pic:cNvPicPr>
                        </pic:nvPicPr>
                        <pic:blipFill>
                          <a:blip r:embed="rId16"/>
                          <a:stretch>
                            <a:fillRect/>
                          </a:stretch>
                        </pic:blipFill>
                        <pic:spPr>
                          <a:xfrm>
                            <a:off x="0" y="0"/>
                            <a:ext cx="2223135" cy="1317625"/>
                          </a:xfrm>
                          <a:prstGeom prst="rect">
                            <a:avLst/>
                          </a:prstGeom>
                          <a:noFill/>
                          <a:ln>
                            <a:noFill/>
                          </a:ln>
                        </pic:spPr>
                      </pic:pic>
                    </a:graphicData>
                  </a:graphic>
                </wp:anchor>
              </w:drawing>
            </w:r>
          </w:p>
        </w:tc>
        <w:tc>
          <w:tcPr>
            <w:tcW w:w="4747" w:type="dxa"/>
            <w:vAlign w:val="center"/>
          </w:tcPr>
          <w:p w14:paraId="3C474AC3">
            <w:pPr>
              <w:adjustRightInd w:val="0"/>
              <w:snapToGrid w:val="0"/>
              <w:spacing w:line="340" w:lineRule="exact"/>
              <w:ind w:firstLine="230" w:firstLineChars="100"/>
              <w:rPr>
                <w:rFonts w:ascii="Times New Roman" w:hAnsi="Times New Roman" w:eastAsia="宋体" w:cs="Times New Roman"/>
                <w:bCs w:val="0"/>
                <w:color w:val="auto"/>
                <w:spacing w:val="10"/>
                <w:kern w:val="2"/>
              </w:rPr>
            </w:pPr>
            <w:r>
              <w:rPr>
                <w:rFonts w:ascii="Times New Roman" w:hAnsi="Times New Roman" w:eastAsia="宋体" w:cs="Times New Roman"/>
                <w:bCs w:val="0"/>
                <w:color w:val="auto"/>
                <w:spacing w:val="10"/>
                <w:kern w:val="2"/>
              </w:rPr>
              <w:t>1</w:t>
            </w:r>
            <w:r>
              <w:rPr>
                <w:rFonts w:hint="eastAsia" w:ascii="Times New Roman" w:hAnsi="Times New Roman" w:eastAsia="宋体" w:cs="宋体"/>
                <w:bCs w:val="0"/>
                <w:color w:val="auto"/>
                <w:spacing w:val="10"/>
                <w:kern w:val="2"/>
              </w:rPr>
              <w:t>、加油机下箱体内部空间应划分为</w:t>
            </w:r>
            <w:r>
              <w:rPr>
                <w:rFonts w:ascii="Times New Roman" w:hAnsi="Times New Roman" w:eastAsia="宋体" w:cs="Times New Roman"/>
                <w:bCs w:val="0"/>
                <w:color w:val="auto"/>
                <w:spacing w:val="10"/>
                <w:kern w:val="2"/>
              </w:rPr>
              <w:t>1</w:t>
            </w:r>
            <w:r>
              <w:rPr>
                <w:rFonts w:hint="eastAsia" w:ascii="Times New Roman" w:hAnsi="Times New Roman" w:eastAsia="宋体" w:cs="宋体"/>
                <w:bCs w:val="0"/>
                <w:color w:val="auto"/>
                <w:spacing w:val="10"/>
                <w:kern w:val="2"/>
              </w:rPr>
              <w:t>区。</w:t>
            </w:r>
          </w:p>
          <w:p w14:paraId="1F6C1F40">
            <w:pPr>
              <w:adjustRightInd w:val="0"/>
              <w:snapToGrid w:val="0"/>
              <w:spacing w:line="340" w:lineRule="exact"/>
              <w:ind w:firstLine="230" w:firstLineChars="100"/>
              <w:rPr>
                <w:rFonts w:ascii="Times New Roman" w:hAnsi="Times New Roman" w:eastAsia="宋体" w:cs="Times New Roman"/>
                <w:bCs w:val="0"/>
                <w:color w:val="auto"/>
                <w:spacing w:val="20"/>
                <w:kern w:val="2"/>
              </w:rPr>
            </w:pPr>
            <w:r>
              <w:rPr>
                <w:rFonts w:ascii="Times New Roman" w:hAnsi="Times New Roman" w:eastAsia="宋体" w:cs="Times New Roman"/>
                <w:bCs w:val="0"/>
                <w:color w:val="auto"/>
                <w:spacing w:val="10"/>
                <w:kern w:val="2"/>
              </w:rPr>
              <w:t>2</w:t>
            </w:r>
            <w:r>
              <w:rPr>
                <w:rFonts w:hint="eastAsia" w:ascii="Times New Roman" w:hAnsi="Times New Roman" w:eastAsia="宋体" w:cs="宋体"/>
                <w:bCs w:val="0"/>
                <w:color w:val="auto"/>
                <w:spacing w:val="10"/>
                <w:kern w:val="2"/>
              </w:rPr>
              <w:t>、以加油机中心线为中心线、以半径为</w:t>
            </w:r>
            <w:r>
              <w:rPr>
                <w:rFonts w:ascii="Times New Roman" w:hAnsi="Times New Roman" w:eastAsia="宋体" w:cs="Times New Roman"/>
                <w:bCs w:val="0"/>
                <w:color w:val="auto"/>
                <w:spacing w:val="10"/>
                <w:kern w:val="2"/>
              </w:rPr>
              <w:t>3m</w:t>
            </w:r>
            <w:r>
              <w:rPr>
                <w:rFonts w:hint="eastAsia" w:ascii="Times New Roman" w:hAnsi="Times New Roman" w:eastAsia="宋体" w:cs="宋体"/>
                <w:bCs w:val="0"/>
                <w:color w:val="auto"/>
                <w:spacing w:val="10"/>
                <w:kern w:val="2"/>
              </w:rPr>
              <w:t>的地面区域为底面和以加油机箱体顶部以上</w:t>
            </w:r>
            <w:r>
              <w:rPr>
                <w:rFonts w:ascii="Times New Roman" w:hAnsi="Times New Roman" w:eastAsia="宋体" w:cs="Times New Roman"/>
                <w:bCs w:val="0"/>
                <w:color w:val="auto"/>
                <w:spacing w:val="10"/>
                <w:kern w:val="2"/>
              </w:rPr>
              <w:t>0.15m</w:t>
            </w:r>
            <w:r>
              <w:rPr>
                <w:rFonts w:hint="eastAsia" w:ascii="Times New Roman" w:hAnsi="Times New Roman" w:eastAsia="宋体" w:cs="宋体"/>
                <w:bCs w:val="0"/>
                <w:color w:val="auto"/>
                <w:spacing w:val="10"/>
                <w:kern w:val="2"/>
              </w:rPr>
              <w:t>、半径为</w:t>
            </w:r>
            <w:r>
              <w:rPr>
                <w:rFonts w:ascii="Times New Roman" w:hAnsi="Times New Roman" w:eastAsia="宋体" w:cs="Times New Roman"/>
                <w:bCs w:val="0"/>
                <w:color w:val="auto"/>
                <w:spacing w:val="10"/>
                <w:kern w:val="2"/>
              </w:rPr>
              <w:t>1.5m</w:t>
            </w:r>
            <w:r>
              <w:rPr>
                <w:rFonts w:hint="eastAsia" w:ascii="Times New Roman" w:hAnsi="Times New Roman" w:eastAsia="宋体" w:cs="宋体"/>
                <w:bCs w:val="0"/>
                <w:color w:val="auto"/>
                <w:spacing w:val="10"/>
                <w:kern w:val="2"/>
              </w:rPr>
              <w:t>的平面为顶面的圆台形空间，应划分为</w:t>
            </w:r>
            <w:r>
              <w:rPr>
                <w:rFonts w:ascii="Times New Roman" w:hAnsi="Times New Roman" w:eastAsia="宋体" w:cs="Times New Roman"/>
                <w:bCs w:val="0"/>
                <w:color w:val="auto"/>
                <w:spacing w:val="10"/>
                <w:kern w:val="2"/>
              </w:rPr>
              <w:t>2</w:t>
            </w:r>
            <w:r>
              <w:rPr>
                <w:rFonts w:hint="eastAsia" w:ascii="Times New Roman" w:hAnsi="Times New Roman" w:eastAsia="宋体" w:cs="宋体"/>
                <w:bCs w:val="0"/>
                <w:color w:val="auto"/>
                <w:spacing w:val="10"/>
                <w:kern w:val="2"/>
              </w:rPr>
              <w:t>区。</w:t>
            </w:r>
          </w:p>
        </w:tc>
      </w:tr>
    </w:tbl>
    <w:p w14:paraId="25BB98CC">
      <w:pPr>
        <w:keepNext/>
        <w:keepLines/>
        <w:spacing w:line="600" w:lineRule="exact"/>
        <w:outlineLvl w:val="1"/>
        <w:rPr>
          <w:rFonts w:ascii="Times New Roman" w:hAnsi="Times New Roman" w:eastAsia="宋体" w:cs="Times New Roman"/>
          <w:b/>
          <w:bCs/>
          <w:color w:val="auto"/>
          <w:spacing w:val="0"/>
          <w:kern w:val="2"/>
          <w:sz w:val="28"/>
          <w:szCs w:val="28"/>
        </w:rPr>
      </w:pPr>
      <w:bookmarkStart w:id="98" w:name="_Toc21593"/>
      <w:r>
        <w:rPr>
          <w:rFonts w:ascii="Times New Roman" w:hAnsi="Times New Roman" w:eastAsia="宋体" w:cs="Times New Roman"/>
          <w:b/>
          <w:bCs/>
          <w:color w:val="auto"/>
          <w:spacing w:val="0"/>
          <w:kern w:val="2"/>
          <w:sz w:val="28"/>
          <w:szCs w:val="28"/>
        </w:rPr>
        <w:t xml:space="preserve">3.10 </w:t>
      </w:r>
      <w:r>
        <w:rPr>
          <w:rFonts w:hint="eastAsia" w:ascii="Times New Roman" w:hAnsi="Times New Roman" w:eastAsia="宋体" w:cs="宋体"/>
          <w:b/>
          <w:bCs/>
          <w:color w:val="auto"/>
          <w:spacing w:val="0"/>
          <w:kern w:val="2"/>
          <w:sz w:val="28"/>
          <w:szCs w:val="28"/>
        </w:rPr>
        <w:t>典型事故案例</w:t>
      </w:r>
      <w:bookmarkEnd w:id="90"/>
      <w:bookmarkEnd w:id="91"/>
      <w:bookmarkEnd w:id="98"/>
    </w:p>
    <w:p w14:paraId="055B4BB2">
      <w:pPr>
        <w:spacing w:line="600" w:lineRule="exact"/>
        <w:ind w:firstLine="560" w:firstLineChars="200"/>
        <w:rPr>
          <w:rFonts w:ascii="Times New Roman" w:hAnsi="Times New Roman" w:eastAsia="宋体" w:cs="Times New Roman"/>
          <w:bCs w:val="0"/>
          <w:color w:val="auto"/>
          <w:spacing w:val="0"/>
          <w:kern w:val="2"/>
          <w:sz w:val="28"/>
          <w:szCs w:val="28"/>
        </w:rPr>
      </w:pPr>
      <w:r>
        <w:rPr>
          <w:rFonts w:hint="eastAsia" w:ascii="Times New Roman" w:hAnsi="Times New Roman" w:eastAsia="宋体" w:cs="宋体"/>
          <w:bCs w:val="0"/>
          <w:color w:val="auto"/>
          <w:spacing w:val="0"/>
          <w:kern w:val="2"/>
          <w:sz w:val="28"/>
          <w:szCs w:val="28"/>
        </w:rPr>
        <w:t>案例</w:t>
      </w:r>
      <w:r>
        <w:rPr>
          <w:rFonts w:ascii="Times New Roman" w:hAnsi="Times New Roman" w:eastAsia="宋体" w:cs="Times New Roman"/>
          <w:bCs w:val="0"/>
          <w:color w:val="auto"/>
          <w:spacing w:val="0"/>
          <w:kern w:val="2"/>
          <w:sz w:val="28"/>
          <w:szCs w:val="28"/>
        </w:rPr>
        <w:t>1</w:t>
      </w:r>
      <w:r>
        <w:rPr>
          <w:rFonts w:hint="eastAsia" w:ascii="Times New Roman" w:hAnsi="Times New Roman" w:eastAsia="宋体" w:cs="宋体"/>
          <w:bCs w:val="0"/>
          <w:color w:val="auto"/>
          <w:spacing w:val="0"/>
          <w:kern w:val="2"/>
          <w:sz w:val="28"/>
          <w:szCs w:val="28"/>
        </w:rPr>
        <w:t>：</w:t>
      </w:r>
    </w:p>
    <w:p w14:paraId="7F8DF190">
      <w:pPr>
        <w:autoSpaceDE w:val="0"/>
        <w:autoSpaceDN w:val="0"/>
        <w:adjustRightInd w:val="0"/>
        <w:spacing w:line="360" w:lineRule="auto"/>
        <w:ind w:firstLine="482"/>
        <w:rPr>
          <w:rFonts w:ascii="Times New Roman" w:hAnsi="Times New Roman" w:eastAsia="宋体" w:cs="Times New Roman"/>
          <w:bCs w:val="0"/>
          <w:color w:val="auto"/>
          <w:spacing w:val="0"/>
          <w:kern w:val="0"/>
          <w:sz w:val="28"/>
          <w:szCs w:val="28"/>
        </w:rPr>
      </w:pPr>
      <w:r>
        <w:rPr>
          <w:rFonts w:ascii="Times New Roman" w:hAnsi="Times New Roman" w:eastAsia="宋体" w:cs="Times New Roman"/>
          <w:bCs w:val="0"/>
          <w:color w:val="auto"/>
          <w:spacing w:val="0"/>
          <w:kern w:val="0"/>
          <w:sz w:val="28"/>
          <w:szCs w:val="28"/>
        </w:rPr>
        <w:t>2008</w:t>
      </w:r>
      <w:r>
        <w:rPr>
          <w:rFonts w:hint="eastAsia" w:ascii="Times New Roman" w:hAnsi="Times New Roman" w:eastAsia="宋体" w:cs="宋体"/>
          <w:bCs w:val="0"/>
          <w:color w:val="auto"/>
          <w:spacing w:val="0"/>
          <w:kern w:val="0"/>
          <w:sz w:val="28"/>
          <w:szCs w:val="28"/>
        </w:rPr>
        <w:t>年</w:t>
      </w:r>
      <w:r>
        <w:rPr>
          <w:rFonts w:ascii="Times New Roman" w:hAnsi="Times New Roman" w:eastAsia="宋体" w:cs="Times New Roman"/>
          <w:bCs w:val="0"/>
          <w:color w:val="auto"/>
          <w:spacing w:val="0"/>
          <w:kern w:val="0"/>
          <w:sz w:val="28"/>
          <w:szCs w:val="28"/>
        </w:rPr>
        <w:t>9</w:t>
      </w:r>
      <w:r>
        <w:rPr>
          <w:rFonts w:hint="eastAsia" w:ascii="Times New Roman" w:hAnsi="Times New Roman" w:eastAsia="宋体" w:cs="宋体"/>
          <w:bCs w:val="0"/>
          <w:color w:val="auto"/>
          <w:spacing w:val="0"/>
          <w:kern w:val="0"/>
          <w:sz w:val="28"/>
          <w:szCs w:val="28"/>
        </w:rPr>
        <w:t>月</w:t>
      </w:r>
      <w:r>
        <w:rPr>
          <w:rFonts w:ascii="Times New Roman" w:hAnsi="Times New Roman" w:eastAsia="宋体" w:cs="Times New Roman"/>
          <w:bCs w:val="0"/>
          <w:color w:val="auto"/>
          <w:spacing w:val="0"/>
          <w:kern w:val="0"/>
          <w:sz w:val="28"/>
          <w:szCs w:val="28"/>
        </w:rPr>
        <w:t>8</w:t>
      </w:r>
      <w:r>
        <w:rPr>
          <w:rFonts w:hint="eastAsia" w:ascii="Times New Roman" w:hAnsi="Times New Roman" w:eastAsia="宋体" w:cs="宋体"/>
          <w:bCs w:val="0"/>
          <w:color w:val="auto"/>
          <w:spacing w:val="0"/>
          <w:kern w:val="0"/>
          <w:sz w:val="28"/>
          <w:szCs w:val="28"/>
        </w:rPr>
        <w:t>日，某石油公司下属的一加油站在安装加油机和潜油泵过程中，由于油罐人孔盖不符合安装潜油泵的条件，对油罐人孔盖进行改造，承包商某建设工程公司的施工人员，擅自用自带泵将埋地罐中的注水抽空，并在无人监控的情况下，在操作井边沿用气割对油罐法兰盘、管线短管开坡口，切割过程中，引燃油罐内残余油气发生闪爆，现场施工人员当即受伤，送医院经抢救无效死亡。</w:t>
      </w:r>
    </w:p>
    <w:p w14:paraId="7BC6AF3C">
      <w:pPr>
        <w:autoSpaceDE w:val="0"/>
        <w:autoSpaceDN w:val="0"/>
        <w:adjustRightInd w:val="0"/>
        <w:spacing w:line="360" w:lineRule="auto"/>
        <w:ind w:firstLine="482"/>
        <w:rPr>
          <w:rFonts w:ascii="Times New Roman" w:hAnsi="Times New Roman" w:eastAsia="宋体" w:cs="Times New Roman"/>
          <w:bCs w:val="0"/>
          <w:color w:val="auto"/>
          <w:spacing w:val="0"/>
          <w:kern w:val="0"/>
          <w:sz w:val="28"/>
          <w:szCs w:val="28"/>
        </w:rPr>
      </w:pPr>
      <w:r>
        <w:rPr>
          <w:rFonts w:hint="eastAsia" w:ascii="Times New Roman" w:hAnsi="Times New Roman" w:eastAsia="宋体" w:cs="宋体"/>
          <w:bCs w:val="0"/>
          <w:color w:val="auto"/>
          <w:spacing w:val="0"/>
          <w:kern w:val="0"/>
          <w:sz w:val="28"/>
          <w:szCs w:val="28"/>
        </w:rPr>
        <w:t>分析事故原因，施工单位施工人员严重违反施工安全规定</w:t>
      </w:r>
      <w:r>
        <w:rPr>
          <w:rFonts w:hint="eastAsia" w:ascii="Times New Roman" w:hAnsi="Times New Roman" w:eastAsia="宋体" w:cs="宋体"/>
          <w:bCs w:val="0"/>
          <w:color w:val="auto"/>
          <w:spacing w:val="0"/>
          <w:kern w:val="0"/>
          <w:sz w:val="28"/>
          <w:szCs w:val="28"/>
          <w:lang w:eastAsia="zh-CN"/>
        </w:rPr>
        <w:t>，在</w:t>
      </w:r>
      <w:r>
        <w:rPr>
          <w:rFonts w:hint="eastAsia" w:ascii="Times New Roman" w:hAnsi="Times New Roman" w:eastAsia="宋体" w:cs="宋体"/>
          <w:bCs w:val="0"/>
          <w:color w:val="auto"/>
          <w:spacing w:val="0"/>
          <w:kern w:val="0"/>
          <w:sz w:val="28"/>
          <w:szCs w:val="28"/>
        </w:rPr>
        <w:t>安装潜油泵过程中将油罐注水抽出，造成油罐及操作井口油气积聚。在当天无动火作业计划、没有办理动火作业票的情况下，施工人员擅自变更作业地点，在靠近油罐口的区域内进行动火作业，造成闪爆。</w:t>
      </w:r>
    </w:p>
    <w:p w14:paraId="60AFD44A">
      <w:pPr>
        <w:spacing w:line="600" w:lineRule="exact"/>
        <w:ind w:firstLine="560" w:firstLineChars="200"/>
        <w:rPr>
          <w:rFonts w:ascii="Times New Roman" w:hAnsi="Times New Roman" w:eastAsia="宋体" w:cs="Times New Roman"/>
          <w:bCs w:val="0"/>
          <w:color w:val="auto"/>
          <w:spacing w:val="0"/>
          <w:kern w:val="2"/>
          <w:sz w:val="28"/>
          <w:szCs w:val="28"/>
        </w:rPr>
      </w:pPr>
      <w:r>
        <w:rPr>
          <w:rFonts w:hint="eastAsia" w:ascii="Times New Roman" w:hAnsi="Times New Roman" w:eastAsia="宋体" w:cs="宋体"/>
          <w:bCs w:val="0"/>
          <w:color w:val="auto"/>
          <w:spacing w:val="0"/>
          <w:kern w:val="2"/>
          <w:sz w:val="28"/>
          <w:szCs w:val="28"/>
        </w:rPr>
        <w:t>案例</w:t>
      </w:r>
      <w:r>
        <w:rPr>
          <w:rFonts w:ascii="Times New Roman" w:hAnsi="Times New Roman" w:eastAsia="宋体" w:cs="Times New Roman"/>
          <w:bCs w:val="0"/>
          <w:color w:val="auto"/>
          <w:spacing w:val="0"/>
          <w:kern w:val="2"/>
          <w:sz w:val="28"/>
          <w:szCs w:val="28"/>
        </w:rPr>
        <w:t>2</w:t>
      </w:r>
      <w:r>
        <w:rPr>
          <w:rFonts w:hint="eastAsia" w:ascii="Times New Roman" w:hAnsi="Times New Roman" w:eastAsia="宋体" w:cs="宋体"/>
          <w:bCs w:val="0"/>
          <w:color w:val="auto"/>
          <w:spacing w:val="0"/>
          <w:kern w:val="2"/>
          <w:sz w:val="28"/>
          <w:szCs w:val="28"/>
        </w:rPr>
        <w:t>：</w:t>
      </w:r>
    </w:p>
    <w:p w14:paraId="3BDC8A88">
      <w:pPr>
        <w:autoSpaceDE w:val="0"/>
        <w:autoSpaceDN w:val="0"/>
        <w:adjustRightInd w:val="0"/>
        <w:spacing w:line="360" w:lineRule="auto"/>
        <w:ind w:firstLine="482"/>
        <w:rPr>
          <w:rFonts w:ascii="Times New Roman" w:hAnsi="Times New Roman" w:eastAsia="宋体" w:cs="Times New Roman"/>
          <w:bCs w:val="0"/>
          <w:color w:val="auto"/>
          <w:spacing w:val="0"/>
          <w:kern w:val="2"/>
          <w:sz w:val="28"/>
          <w:szCs w:val="28"/>
        </w:rPr>
      </w:pPr>
      <w:r>
        <w:rPr>
          <w:rFonts w:ascii="Times New Roman" w:hAnsi="Times New Roman" w:eastAsia="宋体" w:cs="Times New Roman"/>
          <w:bCs w:val="0"/>
          <w:color w:val="auto"/>
          <w:spacing w:val="0"/>
          <w:kern w:val="2"/>
          <w:sz w:val="28"/>
          <w:szCs w:val="28"/>
        </w:rPr>
        <w:t>1999</w:t>
      </w:r>
      <w:r>
        <w:rPr>
          <w:rFonts w:hint="eastAsia" w:ascii="Times New Roman" w:hAnsi="Times New Roman" w:eastAsia="宋体" w:cs="宋体"/>
          <w:bCs w:val="0"/>
          <w:color w:val="auto"/>
          <w:spacing w:val="0"/>
          <w:kern w:val="2"/>
          <w:sz w:val="28"/>
          <w:szCs w:val="28"/>
        </w:rPr>
        <w:t>年</w:t>
      </w:r>
      <w:r>
        <w:rPr>
          <w:rFonts w:ascii="Times New Roman" w:hAnsi="Times New Roman" w:eastAsia="宋体" w:cs="Times New Roman"/>
          <w:bCs w:val="0"/>
          <w:color w:val="auto"/>
          <w:spacing w:val="0"/>
          <w:kern w:val="2"/>
          <w:sz w:val="28"/>
          <w:szCs w:val="28"/>
        </w:rPr>
        <w:t>5</w:t>
      </w:r>
      <w:r>
        <w:rPr>
          <w:rFonts w:hint="eastAsia" w:ascii="Times New Roman" w:hAnsi="Times New Roman" w:eastAsia="宋体" w:cs="宋体"/>
          <w:bCs w:val="0"/>
          <w:color w:val="auto"/>
          <w:spacing w:val="0"/>
          <w:kern w:val="2"/>
          <w:sz w:val="28"/>
          <w:szCs w:val="28"/>
        </w:rPr>
        <w:t>月</w:t>
      </w:r>
      <w:r>
        <w:rPr>
          <w:rFonts w:ascii="Times New Roman" w:hAnsi="Times New Roman" w:eastAsia="宋体" w:cs="Times New Roman"/>
          <w:bCs w:val="0"/>
          <w:color w:val="auto"/>
          <w:spacing w:val="0"/>
          <w:kern w:val="2"/>
          <w:sz w:val="28"/>
          <w:szCs w:val="28"/>
        </w:rPr>
        <w:t>19</w:t>
      </w:r>
      <w:r>
        <w:rPr>
          <w:rFonts w:hint="eastAsia" w:ascii="Times New Roman" w:hAnsi="Times New Roman" w:eastAsia="宋体" w:cs="宋体"/>
          <w:bCs w:val="0"/>
          <w:color w:val="auto"/>
          <w:spacing w:val="0"/>
          <w:kern w:val="2"/>
          <w:sz w:val="28"/>
          <w:szCs w:val="28"/>
        </w:rPr>
        <w:t>日，一辆客货车到加油站加油，当加油员给该车油箱加满后，车主为凑足</w:t>
      </w:r>
      <w:r>
        <w:rPr>
          <w:rFonts w:ascii="Times New Roman" w:hAnsi="Times New Roman" w:eastAsia="宋体" w:cs="Times New Roman"/>
          <w:bCs w:val="0"/>
          <w:color w:val="auto"/>
          <w:spacing w:val="0"/>
          <w:kern w:val="2"/>
          <w:sz w:val="28"/>
          <w:szCs w:val="28"/>
        </w:rPr>
        <w:t>100</w:t>
      </w:r>
      <w:r>
        <w:rPr>
          <w:rFonts w:hint="eastAsia" w:ascii="Times New Roman" w:hAnsi="Times New Roman" w:eastAsia="宋体" w:cs="宋体"/>
          <w:bCs w:val="0"/>
          <w:color w:val="auto"/>
          <w:spacing w:val="0"/>
          <w:kern w:val="2"/>
          <w:sz w:val="28"/>
          <w:szCs w:val="28"/>
        </w:rPr>
        <w:t>元的油款，要求将剩余的</w:t>
      </w:r>
      <w:r>
        <w:rPr>
          <w:rFonts w:ascii="Times New Roman" w:hAnsi="Times New Roman" w:eastAsia="宋体" w:cs="Times New Roman"/>
          <w:bCs w:val="0"/>
          <w:color w:val="auto"/>
          <w:spacing w:val="0"/>
          <w:kern w:val="2"/>
          <w:sz w:val="28"/>
          <w:szCs w:val="28"/>
        </w:rPr>
        <w:t>70</w:t>
      </w:r>
      <w:r>
        <w:rPr>
          <w:rFonts w:hint="eastAsia" w:ascii="Times New Roman" w:hAnsi="Times New Roman" w:eastAsia="宋体" w:cs="宋体"/>
          <w:bCs w:val="0"/>
          <w:color w:val="auto"/>
          <w:spacing w:val="0"/>
          <w:kern w:val="2"/>
          <w:sz w:val="28"/>
          <w:szCs w:val="28"/>
        </w:rPr>
        <w:t>号汽油用加油枪直接注入容量</w:t>
      </w:r>
      <w:r>
        <w:rPr>
          <w:rFonts w:ascii="Times New Roman" w:hAnsi="Times New Roman" w:eastAsia="宋体" w:cs="Times New Roman"/>
          <w:bCs w:val="0"/>
          <w:color w:val="auto"/>
          <w:spacing w:val="0"/>
          <w:kern w:val="2"/>
          <w:sz w:val="28"/>
          <w:szCs w:val="28"/>
        </w:rPr>
        <w:t>25kg</w:t>
      </w:r>
      <w:r>
        <w:rPr>
          <w:rFonts w:hint="eastAsia" w:ascii="Times New Roman" w:hAnsi="Times New Roman" w:eastAsia="宋体" w:cs="宋体"/>
          <w:bCs w:val="0"/>
          <w:color w:val="auto"/>
          <w:spacing w:val="0"/>
          <w:kern w:val="2"/>
          <w:sz w:val="28"/>
          <w:szCs w:val="28"/>
        </w:rPr>
        <w:t>的塑料桶内，塑料桶就在客货车旁边。当油品注到塑料桶</w:t>
      </w:r>
      <w:r>
        <w:rPr>
          <w:rFonts w:ascii="Times New Roman" w:hAnsi="Times New Roman" w:eastAsia="宋体" w:cs="Times New Roman"/>
          <w:bCs w:val="0"/>
          <w:color w:val="auto"/>
          <w:spacing w:val="0"/>
          <w:kern w:val="2"/>
          <w:sz w:val="28"/>
          <w:szCs w:val="28"/>
        </w:rPr>
        <w:t>2/3</w:t>
      </w:r>
      <w:r>
        <w:rPr>
          <w:rFonts w:hint="eastAsia" w:ascii="Times New Roman" w:hAnsi="Times New Roman" w:eastAsia="宋体" w:cs="宋体"/>
          <w:bCs w:val="0"/>
          <w:color w:val="auto"/>
          <w:spacing w:val="0"/>
          <w:kern w:val="2"/>
          <w:sz w:val="28"/>
          <w:szCs w:val="28"/>
        </w:rPr>
        <w:t>时，由于产生静电，</w:t>
      </w:r>
      <w:r>
        <w:rPr>
          <w:rFonts w:hint="eastAsia" w:ascii="Times New Roman" w:hAnsi="Times New Roman" w:eastAsia="宋体" w:cs="Times New Roman"/>
          <w:bCs w:val="0"/>
          <w:color w:val="auto"/>
          <w:spacing w:val="0"/>
          <w:kern w:val="2"/>
          <w:sz w:val="28"/>
          <w:szCs w:val="28"/>
        </w:rPr>
        <w:t>“</w:t>
      </w:r>
      <w:r>
        <w:rPr>
          <w:rFonts w:hint="eastAsia" w:ascii="Times New Roman" w:hAnsi="Times New Roman" w:eastAsia="宋体" w:cs="宋体"/>
          <w:bCs w:val="0"/>
          <w:color w:val="auto"/>
          <w:spacing w:val="0"/>
          <w:kern w:val="2"/>
          <w:sz w:val="28"/>
          <w:szCs w:val="28"/>
        </w:rPr>
        <w:t>砰</w:t>
      </w:r>
      <w:r>
        <w:rPr>
          <w:rFonts w:hint="eastAsia" w:ascii="Times New Roman" w:hAnsi="Times New Roman" w:eastAsia="宋体" w:cs="Times New Roman"/>
          <w:bCs w:val="0"/>
          <w:color w:val="auto"/>
          <w:spacing w:val="0"/>
          <w:kern w:val="2"/>
          <w:sz w:val="28"/>
          <w:szCs w:val="28"/>
        </w:rPr>
        <w:t>”</w:t>
      </w:r>
      <w:r>
        <w:rPr>
          <w:rFonts w:hint="eastAsia" w:ascii="Times New Roman" w:hAnsi="Times New Roman" w:eastAsia="宋体" w:cs="宋体"/>
          <w:bCs w:val="0"/>
          <w:color w:val="auto"/>
          <w:spacing w:val="0"/>
          <w:kern w:val="2"/>
          <w:sz w:val="28"/>
          <w:szCs w:val="28"/>
        </w:rPr>
        <w:t>的一声，燃起大火，大火将塑料桶烧毁，满地的火源，又把客货车燃着，此时一位加油员拨打</w:t>
      </w:r>
      <w:r>
        <w:rPr>
          <w:rFonts w:ascii="Times New Roman" w:hAnsi="Times New Roman" w:eastAsia="宋体" w:cs="Times New Roman"/>
          <w:bCs w:val="0"/>
          <w:color w:val="auto"/>
          <w:spacing w:val="0"/>
          <w:kern w:val="2"/>
          <w:sz w:val="28"/>
          <w:szCs w:val="28"/>
        </w:rPr>
        <w:t>110</w:t>
      </w:r>
      <w:r>
        <w:rPr>
          <w:rFonts w:hint="eastAsia" w:ascii="Times New Roman" w:hAnsi="Times New Roman" w:eastAsia="宋体" w:cs="宋体"/>
          <w:bCs w:val="0"/>
          <w:color w:val="auto"/>
          <w:spacing w:val="0"/>
          <w:kern w:val="2"/>
          <w:sz w:val="28"/>
          <w:szCs w:val="28"/>
        </w:rPr>
        <w:t>报警。同时，另一位加油员开始操纵</w:t>
      </w:r>
      <w:r>
        <w:rPr>
          <w:rFonts w:ascii="Times New Roman" w:hAnsi="Times New Roman" w:eastAsia="宋体" w:cs="Times New Roman"/>
          <w:bCs w:val="0"/>
          <w:color w:val="auto"/>
          <w:spacing w:val="0"/>
          <w:kern w:val="2"/>
          <w:sz w:val="28"/>
          <w:szCs w:val="28"/>
        </w:rPr>
        <w:t>35kg</w:t>
      </w:r>
      <w:r>
        <w:rPr>
          <w:rFonts w:hint="eastAsia" w:ascii="Times New Roman" w:hAnsi="Times New Roman" w:eastAsia="宋体" w:cs="Times New Roman"/>
          <w:bCs w:val="0"/>
          <w:color w:val="auto"/>
          <w:spacing w:val="0"/>
          <w:kern w:val="2"/>
          <w:sz w:val="28"/>
          <w:szCs w:val="28"/>
          <w:lang w:eastAsia="zh-CN"/>
        </w:rPr>
        <w:t>干粉灭火器</w:t>
      </w:r>
      <w:r>
        <w:rPr>
          <w:rFonts w:hint="eastAsia" w:ascii="Times New Roman" w:hAnsi="Times New Roman" w:eastAsia="宋体" w:cs="宋体"/>
          <w:bCs w:val="0"/>
          <w:color w:val="auto"/>
          <w:spacing w:val="0"/>
          <w:kern w:val="2"/>
          <w:sz w:val="28"/>
          <w:szCs w:val="28"/>
        </w:rPr>
        <w:t>灭火，但由于对灭火机性能掌握不熟练，未能灭火。当客货车被全部烧着后又把</w:t>
      </w:r>
      <w:r>
        <w:rPr>
          <w:rFonts w:ascii="Times New Roman" w:hAnsi="Times New Roman" w:eastAsia="宋体" w:cs="Times New Roman"/>
          <w:bCs w:val="0"/>
          <w:color w:val="auto"/>
          <w:spacing w:val="0"/>
          <w:kern w:val="2"/>
          <w:sz w:val="28"/>
          <w:szCs w:val="28"/>
        </w:rPr>
        <w:t>5m</w:t>
      </w:r>
      <w:r>
        <w:rPr>
          <w:rFonts w:hint="eastAsia" w:ascii="Times New Roman" w:hAnsi="Times New Roman" w:eastAsia="宋体" w:cs="宋体"/>
          <w:bCs w:val="0"/>
          <w:color w:val="auto"/>
          <w:spacing w:val="0"/>
          <w:kern w:val="2"/>
          <w:sz w:val="28"/>
          <w:szCs w:val="28"/>
        </w:rPr>
        <w:t>高的</w:t>
      </w:r>
      <w:r>
        <w:rPr>
          <w:rFonts w:hint="eastAsia" w:ascii="Times New Roman" w:hAnsi="Times New Roman" w:eastAsia="宋体" w:cs="宋体"/>
          <w:bCs w:val="0"/>
          <w:color w:val="auto"/>
          <w:spacing w:val="0"/>
          <w:kern w:val="2"/>
          <w:sz w:val="28"/>
          <w:szCs w:val="28"/>
          <w:lang w:eastAsia="zh-CN"/>
        </w:rPr>
        <w:t>雨篷</w:t>
      </w:r>
      <w:r>
        <w:rPr>
          <w:rFonts w:hint="eastAsia" w:ascii="Times New Roman" w:hAnsi="Times New Roman" w:eastAsia="宋体" w:cs="宋体"/>
          <w:bCs w:val="0"/>
          <w:color w:val="auto"/>
          <w:spacing w:val="0"/>
          <w:kern w:val="2"/>
          <w:sz w:val="28"/>
          <w:szCs w:val="28"/>
        </w:rPr>
        <w:t>引燃，</w:t>
      </w:r>
      <w:r>
        <w:rPr>
          <w:rFonts w:ascii="Times New Roman" w:hAnsi="Times New Roman" w:eastAsia="宋体" w:cs="Times New Roman"/>
          <w:bCs w:val="0"/>
          <w:color w:val="auto"/>
          <w:spacing w:val="0"/>
          <w:kern w:val="2"/>
          <w:sz w:val="28"/>
          <w:szCs w:val="28"/>
        </w:rPr>
        <w:t>39.6m</w:t>
      </w:r>
      <w:r>
        <w:rPr>
          <w:rFonts w:ascii="Times New Roman" w:hAnsi="Times New Roman" w:eastAsia="宋体" w:cs="Times New Roman"/>
          <w:bCs w:val="0"/>
          <w:color w:val="auto"/>
          <w:spacing w:val="0"/>
          <w:kern w:val="2"/>
          <w:sz w:val="28"/>
          <w:szCs w:val="28"/>
          <w:vertAlign w:val="superscript"/>
        </w:rPr>
        <w:t>2</w:t>
      </w:r>
      <w:r>
        <w:rPr>
          <w:rFonts w:hint="eastAsia" w:ascii="Times New Roman" w:hAnsi="Times New Roman" w:eastAsia="宋体" w:cs="宋体"/>
          <w:bCs w:val="0"/>
          <w:color w:val="auto"/>
          <w:spacing w:val="0"/>
          <w:kern w:val="2"/>
          <w:sz w:val="28"/>
          <w:szCs w:val="28"/>
        </w:rPr>
        <w:t>铝塑封檐板，</w:t>
      </w:r>
      <w:r>
        <w:rPr>
          <w:rFonts w:ascii="Times New Roman" w:hAnsi="Times New Roman" w:eastAsia="宋体" w:cs="Times New Roman"/>
          <w:bCs w:val="0"/>
          <w:color w:val="auto"/>
          <w:spacing w:val="0"/>
          <w:kern w:val="2"/>
          <w:sz w:val="28"/>
          <w:szCs w:val="28"/>
        </w:rPr>
        <w:t>5.6m</w:t>
      </w:r>
      <w:r>
        <w:rPr>
          <w:rFonts w:ascii="Times New Roman" w:hAnsi="Times New Roman" w:eastAsia="宋体" w:cs="Times New Roman"/>
          <w:bCs w:val="0"/>
          <w:color w:val="auto"/>
          <w:spacing w:val="0"/>
          <w:kern w:val="2"/>
          <w:sz w:val="28"/>
          <w:szCs w:val="28"/>
          <w:vertAlign w:val="superscript"/>
        </w:rPr>
        <w:t>2</w:t>
      </w:r>
      <w:r>
        <w:rPr>
          <w:rFonts w:hint="eastAsia" w:ascii="Times New Roman" w:hAnsi="Times New Roman" w:eastAsia="宋体" w:cs="宋体"/>
          <w:bCs w:val="0"/>
          <w:color w:val="auto"/>
          <w:spacing w:val="0"/>
          <w:kern w:val="2"/>
          <w:sz w:val="28"/>
          <w:szCs w:val="28"/>
        </w:rPr>
        <w:t>的雨棚镀锌钢柱板、两台电脑加油机、</w:t>
      </w:r>
      <w:r>
        <w:rPr>
          <w:rFonts w:hint="eastAsia" w:ascii="Times New Roman" w:hAnsi="Times New Roman" w:eastAsia="宋体" w:cs="宋体"/>
          <w:bCs w:val="0"/>
          <w:color w:val="auto"/>
          <w:spacing w:val="0"/>
          <w:kern w:val="2"/>
          <w:sz w:val="28"/>
          <w:szCs w:val="28"/>
          <w:lang w:eastAsia="zh-CN"/>
        </w:rPr>
        <w:t>雨篷</w:t>
      </w:r>
      <w:r>
        <w:rPr>
          <w:rFonts w:hint="eastAsia" w:ascii="Times New Roman" w:hAnsi="Times New Roman" w:eastAsia="宋体" w:cs="宋体"/>
          <w:bCs w:val="0"/>
          <w:color w:val="auto"/>
          <w:spacing w:val="0"/>
          <w:kern w:val="2"/>
          <w:sz w:val="28"/>
          <w:szCs w:val="28"/>
        </w:rPr>
        <w:t>内射灯和部分线路、</w:t>
      </w:r>
      <w:r>
        <w:rPr>
          <w:rFonts w:ascii="Times New Roman" w:hAnsi="Times New Roman" w:eastAsia="宋体" w:cs="Times New Roman"/>
          <w:bCs w:val="0"/>
          <w:color w:val="auto"/>
          <w:spacing w:val="0"/>
          <w:kern w:val="2"/>
          <w:sz w:val="28"/>
          <w:szCs w:val="28"/>
        </w:rPr>
        <w:t>12m</w:t>
      </w:r>
      <w:r>
        <w:rPr>
          <w:rFonts w:ascii="Times New Roman" w:hAnsi="Times New Roman" w:eastAsia="宋体" w:cs="Times New Roman"/>
          <w:bCs w:val="0"/>
          <w:color w:val="auto"/>
          <w:spacing w:val="0"/>
          <w:kern w:val="2"/>
          <w:sz w:val="28"/>
          <w:szCs w:val="28"/>
          <w:vertAlign w:val="superscript"/>
        </w:rPr>
        <w:t>2</w:t>
      </w:r>
      <w:r>
        <w:rPr>
          <w:rFonts w:hint="eastAsia" w:ascii="Times New Roman" w:hAnsi="Times New Roman" w:eastAsia="宋体" w:cs="宋体"/>
          <w:bCs w:val="0"/>
          <w:color w:val="auto"/>
          <w:spacing w:val="0"/>
          <w:kern w:val="2"/>
          <w:sz w:val="28"/>
          <w:szCs w:val="28"/>
        </w:rPr>
        <w:t>铝合金开票收款厅、</w:t>
      </w:r>
      <w:r>
        <w:rPr>
          <w:rFonts w:ascii="Times New Roman" w:hAnsi="Times New Roman" w:eastAsia="宋体" w:cs="Times New Roman"/>
          <w:bCs w:val="0"/>
          <w:color w:val="auto"/>
          <w:spacing w:val="0"/>
          <w:kern w:val="2"/>
          <w:sz w:val="28"/>
          <w:szCs w:val="28"/>
        </w:rPr>
        <w:t>1</w:t>
      </w:r>
      <w:r>
        <w:rPr>
          <w:rFonts w:hint="eastAsia" w:ascii="Times New Roman" w:hAnsi="Times New Roman" w:eastAsia="宋体" w:cs="宋体"/>
          <w:bCs w:val="0"/>
          <w:color w:val="auto"/>
          <w:spacing w:val="0"/>
          <w:kern w:val="2"/>
          <w:sz w:val="28"/>
          <w:szCs w:val="28"/>
        </w:rPr>
        <w:t>台</w:t>
      </w:r>
      <w:r>
        <w:rPr>
          <w:rFonts w:ascii="Times New Roman" w:hAnsi="Times New Roman" w:eastAsia="宋体" w:cs="Times New Roman"/>
          <w:bCs w:val="0"/>
          <w:color w:val="auto"/>
          <w:spacing w:val="0"/>
          <w:kern w:val="2"/>
          <w:sz w:val="28"/>
          <w:szCs w:val="28"/>
        </w:rPr>
        <w:t>35kg</w:t>
      </w:r>
      <w:r>
        <w:rPr>
          <w:rFonts w:hint="eastAsia" w:ascii="Times New Roman" w:hAnsi="Times New Roman" w:eastAsia="宋体" w:cs="宋体"/>
          <w:bCs w:val="0"/>
          <w:color w:val="auto"/>
          <w:spacing w:val="0"/>
          <w:kern w:val="2"/>
          <w:sz w:val="28"/>
          <w:szCs w:val="28"/>
        </w:rPr>
        <w:t>干粉灭火机全部烧毁，直接经济损失达</w:t>
      </w:r>
      <w:r>
        <w:rPr>
          <w:rFonts w:ascii="Times New Roman" w:hAnsi="Times New Roman" w:eastAsia="宋体" w:cs="Times New Roman"/>
          <w:bCs w:val="0"/>
          <w:color w:val="auto"/>
          <w:spacing w:val="0"/>
          <w:kern w:val="2"/>
          <w:sz w:val="28"/>
          <w:szCs w:val="28"/>
        </w:rPr>
        <w:t>2309</w:t>
      </w:r>
      <w:r>
        <w:rPr>
          <w:rFonts w:hint="eastAsia" w:ascii="Times New Roman" w:hAnsi="Times New Roman" w:eastAsia="宋体" w:cs="宋体"/>
          <w:bCs w:val="0"/>
          <w:color w:val="auto"/>
          <w:spacing w:val="0"/>
          <w:kern w:val="2"/>
          <w:sz w:val="28"/>
          <w:szCs w:val="28"/>
        </w:rPr>
        <w:t>万元。</w:t>
      </w:r>
    </w:p>
    <w:p w14:paraId="3CDE1FE2">
      <w:pPr>
        <w:autoSpaceDE w:val="0"/>
        <w:autoSpaceDN w:val="0"/>
        <w:adjustRightInd w:val="0"/>
        <w:spacing w:line="360" w:lineRule="auto"/>
        <w:ind w:firstLine="482"/>
        <w:rPr>
          <w:rFonts w:ascii="Times New Roman" w:hAnsi="Times New Roman" w:eastAsia="宋体" w:cs="Times New Roman"/>
          <w:bCs w:val="0"/>
          <w:color w:val="auto"/>
          <w:spacing w:val="0"/>
          <w:kern w:val="2"/>
          <w:sz w:val="28"/>
          <w:szCs w:val="28"/>
        </w:rPr>
      </w:pPr>
      <w:r>
        <w:rPr>
          <w:rFonts w:hint="eastAsia" w:ascii="Times New Roman" w:hAnsi="Times New Roman" w:eastAsia="宋体" w:cs="宋体"/>
          <w:bCs w:val="0"/>
          <w:color w:val="auto"/>
          <w:spacing w:val="0"/>
          <w:kern w:val="2"/>
          <w:sz w:val="28"/>
          <w:szCs w:val="28"/>
        </w:rPr>
        <w:t>事后分析着火原因，一是违反安全管理制度，用加油枪直接向塑料桶容器内灌装汽油，静电引起爆燃。二是岗位职工不会使用</w:t>
      </w:r>
      <w:r>
        <w:rPr>
          <w:rFonts w:hint="eastAsia" w:ascii="Times New Roman" w:hAnsi="Times New Roman" w:eastAsia="宋体" w:cs="宋体"/>
          <w:bCs w:val="0"/>
          <w:color w:val="auto"/>
          <w:spacing w:val="0"/>
          <w:kern w:val="2"/>
          <w:sz w:val="28"/>
          <w:szCs w:val="28"/>
          <w:lang w:eastAsia="zh-CN"/>
        </w:rPr>
        <w:t>干粉灭火器</w:t>
      </w:r>
      <w:r>
        <w:rPr>
          <w:rFonts w:hint="eastAsia" w:ascii="Times New Roman" w:hAnsi="Times New Roman" w:eastAsia="宋体" w:cs="宋体"/>
          <w:bCs w:val="0"/>
          <w:color w:val="auto"/>
          <w:spacing w:val="0"/>
          <w:kern w:val="2"/>
          <w:sz w:val="28"/>
          <w:szCs w:val="28"/>
        </w:rPr>
        <w:t>，延误了扑灭初起火灾的最佳时间。三是安全管理不严，管理不到位，职工安全意识淡薄，安全生产责任制和安全操作规程不落实。</w:t>
      </w:r>
    </w:p>
    <w:p w14:paraId="08A3BC1F">
      <w:pPr>
        <w:rPr>
          <w:rFonts w:ascii="Times New Roman" w:hAnsi="Times New Roman" w:eastAsia="宋体" w:cs="Calibri"/>
          <w:bCs w:val="0"/>
          <w:color w:val="auto"/>
          <w:kern w:val="2"/>
          <w:sz w:val="32"/>
          <w:szCs w:val="32"/>
        </w:rPr>
      </w:pPr>
      <w:bookmarkStart w:id="99" w:name="_Toc10015"/>
      <w:bookmarkStart w:id="100" w:name="_Toc8100"/>
      <w:r>
        <w:rPr>
          <w:rFonts w:ascii="Times New Roman" w:hAnsi="Times New Roman" w:eastAsia="宋体" w:cs="Times New Roman"/>
          <w:b/>
          <w:bCs/>
          <w:color w:val="auto"/>
          <w:kern w:val="36"/>
          <w:sz w:val="28"/>
          <w:szCs w:val="28"/>
        </w:rPr>
        <w:br w:type="page"/>
      </w:r>
      <w:bookmarkEnd w:id="99"/>
      <w:bookmarkEnd w:id="100"/>
      <w:bookmarkStart w:id="101" w:name="_Toc19195"/>
    </w:p>
    <w:p w14:paraId="4A46093E">
      <w:pPr>
        <w:widowControl/>
        <w:spacing w:line="600" w:lineRule="exact"/>
        <w:jc w:val="center"/>
        <w:outlineLvl w:val="0"/>
        <w:rPr>
          <w:rFonts w:ascii="Times New Roman" w:hAnsi="Times New Roman" w:eastAsia="宋体" w:cs="Times New Roman"/>
          <w:b/>
          <w:bCs/>
          <w:color w:val="auto"/>
          <w:kern w:val="36"/>
          <w:sz w:val="32"/>
          <w:szCs w:val="32"/>
          <w:lang w:val="en-US" w:eastAsia="zh-CN" w:bidi="ar-SA"/>
        </w:rPr>
      </w:pPr>
      <w:bookmarkStart w:id="102" w:name="_Toc9281"/>
      <w:r>
        <w:rPr>
          <w:rFonts w:ascii="Times New Roman" w:hAnsi="Times New Roman" w:eastAsia="宋体" w:cs="Times New Roman"/>
          <w:b/>
          <w:bCs/>
          <w:color w:val="auto"/>
          <w:kern w:val="36"/>
          <w:sz w:val="32"/>
          <w:szCs w:val="32"/>
          <w:lang w:val="en-US" w:eastAsia="zh-CN" w:bidi="ar-SA"/>
        </w:rPr>
        <w:t xml:space="preserve">4 </w:t>
      </w:r>
      <w:r>
        <w:rPr>
          <w:rFonts w:hint="eastAsia" w:ascii="Times New Roman" w:hAnsi="Times New Roman" w:eastAsia="宋体" w:cs="Times New Roman"/>
          <w:b/>
          <w:bCs/>
          <w:color w:val="auto"/>
          <w:kern w:val="36"/>
          <w:sz w:val="32"/>
          <w:szCs w:val="32"/>
          <w:lang w:val="en-US" w:eastAsia="zh-CN" w:bidi="ar-SA"/>
        </w:rPr>
        <w:t>评价单元划分和评价方法选择</w:t>
      </w:r>
      <w:bookmarkEnd w:id="101"/>
      <w:bookmarkEnd w:id="102"/>
    </w:p>
    <w:p w14:paraId="16AFE590">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03" w:name="_Toc18672"/>
      <w:bookmarkStart w:id="104" w:name="_Toc23345"/>
      <w:bookmarkStart w:id="105" w:name="_Toc1174"/>
      <w:bookmarkStart w:id="106" w:name="_Toc20468418"/>
      <w:bookmarkStart w:id="107" w:name="_Toc90566109"/>
      <w:bookmarkStart w:id="108" w:name="_Toc92712580"/>
      <w:bookmarkStart w:id="109" w:name="_Toc30901"/>
      <w:bookmarkStart w:id="110" w:name="_Toc11638"/>
      <w:r>
        <w:rPr>
          <w:rFonts w:ascii="Times New Roman" w:hAnsi="Times New Roman" w:eastAsia="宋体" w:cs="Times New Roman"/>
          <w:b/>
          <w:bCs/>
          <w:color w:val="auto"/>
          <w:kern w:val="0"/>
          <w:sz w:val="30"/>
          <w:szCs w:val="30"/>
          <w:lang w:val="en-US" w:eastAsia="zh-CN" w:bidi="ar-SA"/>
        </w:rPr>
        <w:t xml:space="preserve">4.1 </w:t>
      </w:r>
      <w:r>
        <w:rPr>
          <w:rFonts w:hint="eastAsia" w:ascii="Times New Roman" w:hAnsi="Times New Roman" w:eastAsia="宋体" w:cs="Times New Roman"/>
          <w:b/>
          <w:bCs/>
          <w:color w:val="auto"/>
          <w:kern w:val="0"/>
          <w:sz w:val="30"/>
          <w:szCs w:val="30"/>
          <w:lang w:val="en-US" w:eastAsia="zh-CN" w:bidi="ar-SA"/>
        </w:rPr>
        <w:t>评价单元的</w:t>
      </w:r>
      <w:bookmarkEnd w:id="103"/>
      <w:bookmarkEnd w:id="104"/>
      <w:bookmarkEnd w:id="105"/>
      <w:bookmarkEnd w:id="106"/>
      <w:r>
        <w:rPr>
          <w:rFonts w:hint="eastAsia" w:ascii="Times New Roman" w:hAnsi="Times New Roman" w:eastAsia="宋体" w:cs="Times New Roman"/>
          <w:b/>
          <w:bCs/>
          <w:color w:val="auto"/>
          <w:kern w:val="0"/>
          <w:sz w:val="30"/>
          <w:szCs w:val="30"/>
          <w:lang w:val="en-US" w:eastAsia="zh-CN" w:bidi="ar-SA"/>
        </w:rPr>
        <w:t>划分</w:t>
      </w:r>
      <w:bookmarkEnd w:id="107"/>
      <w:r>
        <w:rPr>
          <w:rFonts w:hint="eastAsia" w:ascii="Times New Roman" w:hAnsi="Times New Roman" w:eastAsia="宋体" w:cs="Times New Roman"/>
          <w:b/>
          <w:bCs/>
          <w:color w:val="auto"/>
          <w:kern w:val="0"/>
          <w:sz w:val="30"/>
          <w:szCs w:val="30"/>
          <w:lang w:val="en-US" w:eastAsia="zh-CN" w:bidi="ar-SA"/>
        </w:rPr>
        <w:t>和评价方法选择</w:t>
      </w:r>
      <w:bookmarkEnd w:id="108"/>
      <w:bookmarkEnd w:id="109"/>
      <w:bookmarkEnd w:id="110"/>
    </w:p>
    <w:p w14:paraId="26555E2F">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以装置功能为主划分评价单元。</w:t>
      </w:r>
    </w:p>
    <w:p w14:paraId="4FB40D24">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根据评价单元划分的原则，结合本项目装置自身的工艺特点，按照各工序的不同危险性，总体上划分为以下4个单元，见表4</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-1。</w:t>
      </w:r>
    </w:p>
    <w:p w14:paraId="2AC717B4">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表4</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-1  评价单元划分</w:t>
      </w:r>
      <w:r>
        <w:rPr>
          <w:rFonts w:hint="eastAsia" w:ascii="Times New Roman" w:hAnsi="Times New Roman" w:eastAsia="宋体" w:cs="Calibri"/>
          <w:bCs w:val="0"/>
          <w:color w:val="auto"/>
          <w:kern w:val="2"/>
          <w:sz w:val="28"/>
          <w:szCs w:val="28"/>
        </w:rPr>
        <w:t>和评价方法选择</w:t>
      </w:r>
      <w:r>
        <w:rPr>
          <w:rFonts w:ascii="Times New Roman" w:hAnsi="Times New Roman" w:eastAsia="宋体" w:cs="Calibri"/>
          <w:bCs w:val="0"/>
          <w:color w:val="auto"/>
          <w:kern w:val="2"/>
          <w:sz w:val="28"/>
          <w:szCs w:val="28"/>
        </w:rPr>
        <w:t>一览表</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94"/>
        <w:gridCol w:w="1220"/>
        <w:gridCol w:w="5040"/>
        <w:gridCol w:w="2434"/>
      </w:tblGrid>
      <w:tr w14:paraId="3CAE4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14:paraId="41E9E3AD">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1220" w:type="dxa"/>
            <w:vAlign w:val="center"/>
          </w:tcPr>
          <w:p w14:paraId="5E364E4B">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评价单元</w:t>
            </w:r>
          </w:p>
        </w:tc>
        <w:tc>
          <w:tcPr>
            <w:tcW w:w="5040" w:type="dxa"/>
            <w:vAlign w:val="center"/>
          </w:tcPr>
          <w:p w14:paraId="1DF6E949">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评价的主要对象</w:t>
            </w:r>
          </w:p>
        </w:tc>
        <w:tc>
          <w:tcPr>
            <w:tcW w:w="2434" w:type="dxa"/>
            <w:vAlign w:val="center"/>
          </w:tcPr>
          <w:p w14:paraId="07377A38">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采用的评价方法</w:t>
            </w:r>
          </w:p>
        </w:tc>
      </w:tr>
      <w:tr w14:paraId="226E3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47F0635">
            <w:pP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220" w:type="dxa"/>
            <w:vAlign w:val="center"/>
          </w:tcPr>
          <w:p w14:paraId="26B8061B">
            <w:pPr>
              <w:rPr>
                <w:rFonts w:ascii="Times New Roman" w:hAnsi="Times New Roman" w:eastAsia="宋体" w:cs="Calibri"/>
                <w:bCs w:val="0"/>
                <w:color w:val="auto"/>
                <w:kern w:val="2"/>
              </w:rPr>
            </w:pPr>
            <w:r>
              <w:rPr>
                <w:rFonts w:ascii="Times New Roman" w:hAnsi="Times New Roman" w:eastAsia="宋体" w:cs="Calibri"/>
                <w:bCs w:val="0"/>
                <w:color w:val="auto"/>
                <w:kern w:val="2"/>
              </w:rPr>
              <w:t>厂址及外部距离</w:t>
            </w:r>
          </w:p>
        </w:tc>
        <w:tc>
          <w:tcPr>
            <w:tcW w:w="5040" w:type="dxa"/>
            <w:vAlign w:val="center"/>
          </w:tcPr>
          <w:p w14:paraId="3E650D34">
            <w:pPr>
              <w:rPr>
                <w:rFonts w:ascii="Times New Roman" w:hAnsi="Times New Roman" w:eastAsia="宋体" w:cs="Calibri"/>
                <w:bCs w:val="0"/>
                <w:color w:val="auto"/>
                <w:kern w:val="2"/>
              </w:rPr>
            </w:pPr>
            <w:r>
              <w:rPr>
                <w:rFonts w:ascii="Times New Roman" w:hAnsi="Times New Roman" w:eastAsia="宋体" w:cs="Calibri"/>
                <w:bCs w:val="0"/>
                <w:color w:val="auto"/>
                <w:kern w:val="2"/>
              </w:rPr>
              <w:t>加油站区</w:t>
            </w:r>
            <w:r>
              <w:rPr>
                <w:rFonts w:hint="eastAsia" w:ascii="Times New Roman" w:hAnsi="Times New Roman" w:eastAsia="宋体" w:cs="Calibri"/>
                <w:bCs w:val="0"/>
                <w:color w:val="auto"/>
                <w:kern w:val="2"/>
              </w:rPr>
              <w:t>（储油罐、通气管、卸油口、加油机等）</w:t>
            </w:r>
          </w:p>
        </w:tc>
        <w:tc>
          <w:tcPr>
            <w:tcW w:w="2434" w:type="dxa"/>
            <w:vAlign w:val="center"/>
          </w:tcPr>
          <w:p w14:paraId="29D502C7">
            <w:pPr>
              <w:rPr>
                <w:rFonts w:ascii="Times New Roman" w:hAnsi="Times New Roman" w:eastAsia="宋体" w:cs="Calibri"/>
                <w:bCs w:val="0"/>
                <w:color w:val="auto"/>
                <w:kern w:val="2"/>
              </w:rPr>
            </w:pPr>
            <w:r>
              <w:rPr>
                <w:rFonts w:ascii="Times New Roman" w:hAnsi="Times New Roman" w:eastAsia="宋体" w:cs="Calibri"/>
                <w:bCs w:val="0"/>
                <w:color w:val="auto"/>
                <w:kern w:val="2"/>
              </w:rPr>
              <w:t>安全检查表</w:t>
            </w:r>
          </w:p>
        </w:tc>
      </w:tr>
      <w:tr w14:paraId="275D0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78D68BC3">
            <w:pPr>
              <w:rPr>
                <w:rFonts w:ascii="Times New Roman" w:hAnsi="Times New Roman" w:eastAsia="宋体" w:cs="Calibri"/>
                <w:bCs w:val="0"/>
                <w:color w:val="auto"/>
                <w:kern w:val="2"/>
              </w:rPr>
            </w:pPr>
            <w:r>
              <w:rPr>
                <w:rFonts w:ascii="Times New Roman" w:hAnsi="Times New Roman" w:eastAsia="宋体" w:cs="Calibri"/>
                <w:bCs w:val="0"/>
                <w:color w:val="auto"/>
                <w:kern w:val="2"/>
              </w:rPr>
              <w:t>2</w:t>
            </w:r>
          </w:p>
        </w:tc>
        <w:tc>
          <w:tcPr>
            <w:tcW w:w="1220" w:type="dxa"/>
            <w:vAlign w:val="center"/>
          </w:tcPr>
          <w:p w14:paraId="7DF1149F">
            <w:pPr>
              <w:rPr>
                <w:rFonts w:ascii="Times New Roman" w:hAnsi="Times New Roman" w:eastAsia="宋体" w:cs="Calibri"/>
                <w:bCs w:val="0"/>
                <w:color w:val="auto"/>
                <w:kern w:val="2"/>
              </w:rPr>
            </w:pPr>
            <w:r>
              <w:rPr>
                <w:rFonts w:ascii="Times New Roman" w:hAnsi="Times New Roman" w:eastAsia="宋体" w:cs="Calibri"/>
                <w:bCs w:val="0"/>
                <w:color w:val="auto"/>
                <w:kern w:val="2"/>
              </w:rPr>
              <w:t>平面布置</w:t>
            </w:r>
          </w:p>
        </w:tc>
        <w:tc>
          <w:tcPr>
            <w:tcW w:w="5040" w:type="dxa"/>
            <w:vAlign w:val="center"/>
          </w:tcPr>
          <w:p w14:paraId="1F57BAB5">
            <w:pPr>
              <w:rPr>
                <w:rFonts w:ascii="Times New Roman" w:hAnsi="Times New Roman" w:eastAsia="宋体" w:cs="Calibri"/>
                <w:bCs w:val="0"/>
                <w:color w:val="auto"/>
                <w:kern w:val="2"/>
              </w:rPr>
            </w:pPr>
            <w:r>
              <w:rPr>
                <w:rFonts w:ascii="Times New Roman" w:hAnsi="Times New Roman" w:eastAsia="宋体" w:cs="Calibri"/>
                <w:bCs w:val="0"/>
                <w:color w:val="auto"/>
                <w:kern w:val="2"/>
              </w:rPr>
              <w:t>站房</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加油机、储油罐</w:t>
            </w:r>
            <w:r>
              <w:rPr>
                <w:rFonts w:hint="eastAsia" w:ascii="Times New Roman" w:hAnsi="Times New Roman" w:eastAsia="宋体" w:cs="Calibri"/>
                <w:bCs w:val="0"/>
                <w:color w:val="auto"/>
                <w:kern w:val="2"/>
              </w:rPr>
              <w:t>、通气管、卸油口等</w:t>
            </w:r>
          </w:p>
        </w:tc>
        <w:tc>
          <w:tcPr>
            <w:tcW w:w="2434" w:type="dxa"/>
            <w:vAlign w:val="center"/>
          </w:tcPr>
          <w:p w14:paraId="72E600B6">
            <w:pPr>
              <w:rPr>
                <w:rFonts w:ascii="Times New Roman" w:hAnsi="Times New Roman" w:eastAsia="宋体" w:cs="Calibri"/>
                <w:bCs w:val="0"/>
                <w:color w:val="auto"/>
                <w:kern w:val="2"/>
              </w:rPr>
            </w:pPr>
            <w:r>
              <w:rPr>
                <w:rFonts w:ascii="Times New Roman" w:hAnsi="Times New Roman" w:eastAsia="宋体" w:cs="Calibri"/>
                <w:bCs w:val="0"/>
                <w:color w:val="auto"/>
                <w:kern w:val="2"/>
              </w:rPr>
              <w:t>安全检查表</w:t>
            </w:r>
          </w:p>
        </w:tc>
      </w:tr>
      <w:tr w14:paraId="56B40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333B79AE">
            <w:pP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1220" w:type="dxa"/>
            <w:vMerge w:val="restart"/>
            <w:vAlign w:val="center"/>
          </w:tcPr>
          <w:p w14:paraId="2BBD58D4">
            <w:pPr>
              <w:rPr>
                <w:rFonts w:ascii="Times New Roman" w:hAnsi="Times New Roman" w:eastAsia="宋体" w:cs="Calibri"/>
                <w:bCs w:val="0"/>
                <w:color w:val="auto"/>
                <w:kern w:val="2"/>
              </w:rPr>
            </w:pPr>
            <w:r>
              <w:rPr>
                <w:rFonts w:ascii="Times New Roman" w:hAnsi="Times New Roman" w:eastAsia="宋体" w:cs="Calibri"/>
                <w:bCs w:val="0"/>
                <w:color w:val="auto"/>
                <w:kern w:val="2"/>
              </w:rPr>
              <w:t>工艺设施、消防</w:t>
            </w:r>
          </w:p>
        </w:tc>
        <w:tc>
          <w:tcPr>
            <w:tcW w:w="5040" w:type="dxa"/>
            <w:vAlign w:val="center"/>
          </w:tcPr>
          <w:p w14:paraId="003D9B88">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配电间、</w:t>
            </w:r>
            <w:r>
              <w:rPr>
                <w:rFonts w:ascii="Times New Roman" w:hAnsi="Times New Roman" w:eastAsia="宋体" w:cs="Calibri"/>
                <w:bCs w:val="0"/>
                <w:color w:val="auto"/>
                <w:kern w:val="2"/>
              </w:rPr>
              <w:t>消防器材</w:t>
            </w:r>
          </w:p>
        </w:tc>
        <w:tc>
          <w:tcPr>
            <w:tcW w:w="2434" w:type="dxa"/>
            <w:vMerge w:val="restart"/>
            <w:vAlign w:val="center"/>
          </w:tcPr>
          <w:p w14:paraId="38FC46CC">
            <w:pPr>
              <w:rPr>
                <w:rFonts w:ascii="Times New Roman" w:hAnsi="Times New Roman" w:eastAsia="宋体" w:cs="Calibri"/>
                <w:bCs w:val="0"/>
                <w:color w:val="auto"/>
                <w:kern w:val="2"/>
              </w:rPr>
            </w:pPr>
            <w:r>
              <w:rPr>
                <w:rFonts w:ascii="Times New Roman" w:hAnsi="Times New Roman" w:eastAsia="宋体" w:cs="Calibri"/>
                <w:bCs w:val="0"/>
                <w:color w:val="auto"/>
                <w:kern w:val="2"/>
              </w:rPr>
              <w:t>安全检查表法</w:t>
            </w:r>
          </w:p>
          <w:p w14:paraId="09E43004">
            <w:pPr>
              <w:rPr>
                <w:rFonts w:ascii="Times New Roman" w:hAnsi="Times New Roman" w:eastAsia="宋体" w:cs="Calibri"/>
                <w:bCs w:val="0"/>
                <w:color w:val="auto"/>
                <w:kern w:val="2"/>
              </w:rPr>
            </w:pPr>
            <w:r>
              <w:rPr>
                <w:rFonts w:ascii="Times New Roman" w:hAnsi="Times New Roman" w:eastAsia="宋体" w:cs="Calibri"/>
                <w:bCs w:val="0"/>
                <w:color w:val="auto"/>
                <w:kern w:val="2"/>
              </w:rPr>
              <w:t>危险度评价</w:t>
            </w:r>
          </w:p>
          <w:p w14:paraId="18F0C602">
            <w:pPr>
              <w:rPr>
                <w:rFonts w:ascii="Times New Roman" w:hAnsi="Times New Roman" w:eastAsia="宋体" w:cs="Calibri"/>
                <w:bCs w:val="0"/>
                <w:color w:val="auto"/>
                <w:kern w:val="2"/>
              </w:rPr>
            </w:pPr>
            <w:r>
              <w:rPr>
                <w:rFonts w:ascii="Times New Roman" w:hAnsi="Times New Roman" w:eastAsia="宋体" w:cs="Calibri"/>
                <w:bCs w:val="0"/>
                <w:color w:val="auto"/>
                <w:kern w:val="2"/>
              </w:rPr>
              <w:t>作业条件危险性评价法</w:t>
            </w:r>
          </w:p>
        </w:tc>
      </w:tr>
      <w:tr w14:paraId="38D57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71A16A48">
            <w:pPr>
              <w:rPr>
                <w:rFonts w:ascii="Times New Roman" w:hAnsi="Times New Roman" w:eastAsia="宋体" w:cs="Calibri"/>
                <w:bCs w:val="0"/>
                <w:color w:val="auto"/>
                <w:kern w:val="2"/>
              </w:rPr>
            </w:pPr>
          </w:p>
        </w:tc>
        <w:tc>
          <w:tcPr>
            <w:tcW w:w="1220" w:type="dxa"/>
            <w:vMerge w:val="continue"/>
            <w:vAlign w:val="center"/>
          </w:tcPr>
          <w:p w14:paraId="553B2C74">
            <w:pPr>
              <w:rPr>
                <w:rFonts w:ascii="Times New Roman" w:hAnsi="Times New Roman" w:eastAsia="宋体" w:cs="Calibri"/>
                <w:bCs w:val="0"/>
                <w:color w:val="auto"/>
                <w:kern w:val="2"/>
              </w:rPr>
            </w:pPr>
          </w:p>
        </w:tc>
        <w:tc>
          <w:tcPr>
            <w:tcW w:w="5040" w:type="dxa"/>
            <w:vAlign w:val="center"/>
          </w:tcPr>
          <w:p w14:paraId="1928ED2B">
            <w:pPr>
              <w:rPr>
                <w:rFonts w:ascii="Times New Roman" w:hAnsi="Times New Roman" w:eastAsia="宋体" w:cs="Calibri"/>
                <w:bCs w:val="0"/>
                <w:color w:val="auto"/>
                <w:kern w:val="2"/>
              </w:rPr>
            </w:pPr>
            <w:r>
              <w:rPr>
                <w:rFonts w:ascii="Times New Roman" w:hAnsi="Times New Roman" w:eastAsia="宋体" w:cs="Calibri"/>
                <w:bCs w:val="0"/>
                <w:color w:val="auto"/>
                <w:kern w:val="2"/>
              </w:rPr>
              <w:t>加油机、储油罐</w:t>
            </w:r>
          </w:p>
        </w:tc>
        <w:tc>
          <w:tcPr>
            <w:tcW w:w="2434" w:type="dxa"/>
            <w:vMerge w:val="continue"/>
            <w:vAlign w:val="center"/>
          </w:tcPr>
          <w:p w14:paraId="3E1A7589">
            <w:pPr>
              <w:rPr>
                <w:rFonts w:ascii="Times New Roman" w:hAnsi="Times New Roman" w:eastAsia="宋体" w:cs="Calibri"/>
                <w:bCs w:val="0"/>
                <w:color w:val="auto"/>
                <w:kern w:val="2"/>
              </w:rPr>
            </w:pPr>
          </w:p>
        </w:tc>
      </w:tr>
      <w:tr w14:paraId="540BE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F331E2E">
            <w:pPr>
              <w:rPr>
                <w:rFonts w:ascii="Times New Roman" w:hAnsi="Times New Roman" w:eastAsia="宋体" w:cs="Calibri"/>
                <w:bCs w:val="0"/>
                <w:color w:val="auto"/>
                <w:kern w:val="2"/>
              </w:rPr>
            </w:pPr>
            <w:r>
              <w:rPr>
                <w:rFonts w:ascii="Times New Roman" w:hAnsi="Times New Roman" w:eastAsia="宋体" w:cs="Calibri"/>
                <w:bCs w:val="0"/>
                <w:color w:val="auto"/>
                <w:kern w:val="2"/>
              </w:rPr>
              <w:t>4</w:t>
            </w:r>
          </w:p>
        </w:tc>
        <w:tc>
          <w:tcPr>
            <w:tcW w:w="1220" w:type="dxa"/>
            <w:vAlign w:val="center"/>
          </w:tcPr>
          <w:p w14:paraId="40526E61">
            <w:pPr>
              <w:rPr>
                <w:rFonts w:ascii="Times New Roman" w:hAnsi="Times New Roman" w:eastAsia="宋体" w:cs="Calibri"/>
                <w:bCs w:val="0"/>
                <w:color w:val="auto"/>
                <w:kern w:val="2"/>
              </w:rPr>
            </w:pPr>
            <w:r>
              <w:rPr>
                <w:rFonts w:ascii="Times New Roman" w:hAnsi="Times New Roman" w:eastAsia="宋体" w:cs="Calibri"/>
                <w:bCs w:val="0"/>
                <w:color w:val="auto"/>
                <w:kern w:val="2"/>
              </w:rPr>
              <w:t>安全管理单元</w:t>
            </w:r>
          </w:p>
        </w:tc>
        <w:tc>
          <w:tcPr>
            <w:tcW w:w="5040" w:type="dxa"/>
            <w:vAlign w:val="center"/>
          </w:tcPr>
          <w:p w14:paraId="79B04EA8">
            <w:pPr>
              <w:rPr>
                <w:rFonts w:ascii="Times New Roman" w:hAnsi="Times New Roman" w:eastAsia="宋体" w:cs="Calibri"/>
                <w:bCs w:val="0"/>
                <w:color w:val="auto"/>
                <w:kern w:val="2"/>
              </w:rPr>
            </w:pPr>
            <w:r>
              <w:rPr>
                <w:rFonts w:ascii="Times New Roman" w:hAnsi="Times New Roman" w:eastAsia="宋体" w:cs="Calibri"/>
                <w:bCs w:val="0"/>
                <w:color w:val="auto"/>
                <w:kern w:val="2"/>
              </w:rPr>
              <w:t>安全管理组织机构、安全</w:t>
            </w:r>
            <w:r>
              <w:rPr>
                <w:rFonts w:hint="eastAsia" w:ascii="Times New Roman" w:hAnsi="Times New Roman" w:eastAsia="宋体" w:cs="Calibri"/>
                <w:bCs w:val="0"/>
                <w:color w:val="auto"/>
                <w:kern w:val="2"/>
              </w:rPr>
              <w:t>生产</w:t>
            </w:r>
            <w:r>
              <w:rPr>
                <w:rFonts w:ascii="Times New Roman" w:hAnsi="Times New Roman" w:eastAsia="宋体" w:cs="Calibri"/>
                <w:bCs w:val="0"/>
                <w:color w:val="auto"/>
                <w:kern w:val="2"/>
              </w:rPr>
              <w:t>责任制</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安全操作规程</w:t>
            </w:r>
            <w:r>
              <w:rPr>
                <w:rFonts w:hint="eastAsia" w:ascii="Times New Roman" w:hAnsi="Times New Roman" w:eastAsia="宋体" w:cs="Calibri"/>
                <w:bCs w:val="0"/>
                <w:color w:val="auto"/>
                <w:kern w:val="2"/>
              </w:rPr>
              <w:t>、其他安全管理</w:t>
            </w:r>
          </w:p>
        </w:tc>
        <w:tc>
          <w:tcPr>
            <w:tcW w:w="2434" w:type="dxa"/>
            <w:vAlign w:val="center"/>
          </w:tcPr>
          <w:p w14:paraId="751C20C6">
            <w:pPr>
              <w:rPr>
                <w:rFonts w:ascii="Times New Roman" w:hAnsi="Times New Roman" w:eastAsia="宋体" w:cs="Calibri"/>
                <w:bCs w:val="0"/>
                <w:color w:val="auto"/>
                <w:kern w:val="2"/>
              </w:rPr>
            </w:pPr>
            <w:r>
              <w:rPr>
                <w:rFonts w:ascii="Times New Roman" w:hAnsi="Times New Roman" w:eastAsia="宋体" w:cs="Calibri"/>
                <w:bCs w:val="0"/>
                <w:color w:val="auto"/>
                <w:kern w:val="2"/>
              </w:rPr>
              <w:t>安全检查表法</w:t>
            </w:r>
          </w:p>
        </w:tc>
      </w:tr>
    </w:tbl>
    <w:p w14:paraId="6CD97985">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11" w:name="_Toc90566110"/>
      <w:bookmarkStart w:id="112" w:name="_Toc92712581"/>
      <w:bookmarkStart w:id="113" w:name="_Toc12230"/>
      <w:bookmarkStart w:id="114" w:name="_Toc24868"/>
      <w:r>
        <w:rPr>
          <w:rFonts w:ascii="Times New Roman" w:hAnsi="Times New Roman" w:eastAsia="宋体" w:cs="Times New Roman"/>
          <w:b/>
          <w:bCs/>
          <w:color w:val="auto"/>
          <w:kern w:val="0"/>
          <w:sz w:val="30"/>
          <w:szCs w:val="30"/>
          <w:lang w:val="en-US" w:eastAsia="zh-CN" w:bidi="ar-SA"/>
        </w:rPr>
        <w:t>4.</w:t>
      </w:r>
      <w:r>
        <w:rPr>
          <w:rFonts w:hint="eastAsia" w:ascii="Times New Roman" w:hAnsi="Times New Roman" w:eastAsia="宋体" w:cs="Times New Roman"/>
          <w:b/>
          <w:bCs/>
          <w:color w:val="auto"/>
          <w:kern w:val="0"/>
          <w:sz w:val="30"/>
          <w:szCs w:val="30"/>
          <w:lang w:val="en-US" w:eastAsia="zh-CN" w:bidi="ar-SA"/>
        </w:rPr>
        <w:t>2</w:t>
      </w:r>
      <w:bookmarkEnd w:id="111"/>
      <w:bookmarkStart w:id="115" w:name="_Toc90566111"/>
      <w:r>
        <w:rPr>
          <w:rFonts w:hint="eastAsia" w:ascii="Times New Roman" w:hAnsi="Times New Roman" w:eastAsia="宋体" w:cs="Times New Roman"/>
          <w:b/>
          <w:bCs/>
          <w:color w:val="auto"/>
          <w:kern w:val="0"/>
          <w:sz w:val="30"/>
          <w:szCs w:val="30"/>
          <w:lang w:val="en-US" w:eastAsia="zh-CN" w:bidi="ar-SA"/>
        </w:rPr>
        <w:t xml:space="preserve"> 评价方法简介</w:t>
      </w:r>
      <w:bookmarkEnd w:id="112"/>
      <w:bookmarkEnd w:id="113"/>
      <w:bookmarkEnd w:id="114"/>
      <w:bookmarkEnd w:id="115"/>
    </w:p>
    <w:p w14:paraId="31E3F98C">
      <w:pPr>
        <w:spacing w:line="600" w:lineRule="exact"/>
        <w:rPr>
          <w:rFonts w:ascii="Times New Roman" w:hAnsi="Times New Roman" w:eastAsia="宋体" w:cs="Calibri"/>
          <w:b/>
          <w:bCs/>
          <w:color w:val="auto"/>
          <w:kern w:val="2"/>
          <w:sz w:val="28"/>
          <w:szCs w:val="28"/>
        </w:rPr>
      </w:pPr>
      <w:bookmarkStart w:id="116" w:name="_Toc68180459"/>
      <w:bookmarkStart w:id="117" w:name="_Toc92712582"/>
      <w:bookmarkStart w:id="118" w:name="_Toc13417"/>
      <w:bookmarkStart w:id="119" w:name="_Toc28161"/>
      <w:bookmarkStart w:id="120" w:name="_Toc25391"/>
      <w:bookmarkStart w:id="121" w:name="_Toc20468420"/>
      <w:r>
        <w:rPr>
          <w:rFonts w:ascii="Times New Roman" w:hAnsi="Times New Roman" w:eastAsia="宋体" w:cs="Calibri"/>
          <w:b/>
          <w:bCs/>
          <w:color w:val="auto"/>
          <w:kern w:val="2"/>
          <w:sz w:val="28"/>
          <w:szCs w:val="28"/>
        </w:rPr>
        <w:t>4.2.1</w:t>
      </w:r>
      <w:r>
        <w:rPr>
          <w:rFonts w:hint="eastAsia" w:ascii="Times New Roman" w:hAnsi="Times New Roman" w:eastAsia="宋体" w:cs="Calibri"/>
          <w:b/>
          <w:bCs/>
          <w:color w:val="auto"/>
          <w:kern w:val="2"/>
          <w:sz w:val="28"/>
          <w:szCs w:val="28"/>
        </w:rPr>
        <w:t xml:space="preserve"> </w:t>
      </w:r>
      <w:r>
        <w:rPr>
          <w:rFonts w:ascii="Times New Roman" w:hAnsi="Times New Roman" w:eastAsia="宋体" w:cs="Calibri"/>
          <w:b/>
          <w:bCs/>
          <w:color w:val="auto"/>
          <w:kern w:val="2"/>
          <w:sz w:val="28"/>
          <w:szCs w:val="28"/>
        </w:rPr>
        <w:t>安全检查表法</w:t>
      </w:r>
      <w:bookmarkEnd w:id="116"/>
      <w:bookmarkEnd w:id="117"/>
      <w:bookmarkEnd w:id="118"/>
    </w:p>
    <w:p w14:paraId="79DB68ED">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spacing w:val="-6"/>
          <w:kern w:val="2"/>
          <w:sz w:val="28"/>
          <w:szCs w:val="28"/>
        </w:rPr>
        <w:t>安全检查表法是系统安全工程的一种最基础、最简便、广泛应用的系统危险性评价方法，是一种定性分析方法。本评价选择安全检查表法主要用于各单元的定性评价，其目的是检查安全经营条件现状与相关国家规范和标准之间的异同，从而作出相应的评价结论；其方法是对工程中应完成或应关注的有关项目、要求、标准等逐一列出，以帮助企业负责人和安全管理人员识别工程的主要危险危害性，避免工作漏项；同时通过安全检查表检查，便于发现潜在危险及时制定措施加以整改，可以有效控制事故的发生。</w:t>
      </w:r>
    </w:p>
    <w:p w14:paraId="4F1BB757">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该法以国家安全卫生法律法规、标准规范和企业内部安全卫生管理制度、操作规程等为依据，参考国内外的事故案例、本单位的经验教训以及利用其他安全分析方法分析获得的结果，在熟悉系统及系统各单元、收集各方面资料的基础上，编制符合客观实际、尽可能全面识别分析系统危险性的安全检查表。</w:t>
      </w:r>
    </w:p>
    <w:p w14:paraId="1BED472B">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安全检查表分析包括三个步骤：</w:t>
      </w:r>
    </w:p>
    <w:p w14:paraId="182AB01A">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①</w:t>
      </w:r>
      <w:r>
        <w:rPr>
          <w:rFonts w:ascii="Times New Roman" w:hAnsi="Times New Roman" w:eastAsia="宋体" w:cs="Calibri"/>
          <w:bCs w:val="0"/>
          <w:color w:val="auto"/>
          <w:kern w:val="2"/>
          <w:sz w:val="28"/>
          <w:szCs w:val="28"/>
        </w:rPr>
        <w:t>选择或拟定合适的安全检查表；</w:t>
      </w:r>
    </w:p>
    <w:p w14:paraId="701D7995">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②</w:t>
      </w:r>
      <w:r>
        <w:rPr>
          <w:rFonts w:ascii="Times New Roman" w:hAnsi="Times New Roman" w:eastAsia="宋体" w:cs="Calibri"/>
          <w:bCs w:val="0"/>
          <w:color w:val="auto"/>
          <w:kern w:val="2"/>
          <w:sz w:val="28"/>
          <w:szCs w:val="28"/>
        </w:rPr>
        <w:t>完成分析；</w:t>
      </w:r>
    </w:p>
    <w:p w14:paraId="5742978D">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③</w:t>
      </w:r>
      <w:r>
        <w:rPr>
          <w:rFonts w:ascii="Times New Roman" w:hAnsi="Times New Roman" w:eastAsia="宋体" w:cs="Calibri"/>
          <w:bCs w:val="0"/>
          <w:color w:val="auto"/>
          <w:kern w:val="2"/>
          <w:sz w:val="28"/>
          <w:szCs w:val="28"/>
        </w:rPr>
        <w:t>编制分析结果文件。</w:t>
      </w:r>
    </w:p>
    <w:p w14:paraId="164D0C93">
      <w:pPr>
        <w:spacing w:line="600" w:lineRule="exact"/>
        <w:rPr>
          <w:rFonts w:ascii="Times New Roman" w:hAnsi="Times New Roman" w:eastAsia="宋体" w:cs="Calibri"/>
          <w:b/>
          <w:bCs/>
          <w:color w:val="auto"/>
          <w:kern w:val="2"/>
          <w:sz w:val="28"/>
          <w:szCs w:val="28"/>
        </w:rPr>
      </w:pPr>
      <w:bookmarkStart w:id="122" w:name="_Toc92712583"/>
      <w:bookmarkStart w:id="123" w:name="_Toc28176"/>
      <w:r>
        <w:rPr>
          <w:rFonts w:ascii="Times New Roman" w:hAnsi="Times New Roman" w:eastAsia="宋体" w:cs="Calibri"/>
          <w:b/>
          <w:bCs/>
          <w:color w:val="auto"/>
          <w:kern w:val="2"/>
          <w:sz w:val="28"/>
          <w:szCs w:val="28"/>
        </w:rPr>
        <w:t>4.2.2</w:t>
      </w:r>
      <w:r>
        <w:rPr>
          <w:rFonts w:hint="eastAsia" w:ascii="Times New Roman" w:hAnsi="Times New Roman" w:eastAsia="宋体" w:cs="Calibri"/>
          <w:b/>
          <w:bCs/>
          <w:color w:val="auto"/>
          <w:kern w:val="2"/>
          <w:sz w:val="28"/>
          <w:szCs w:val="28"/>
        </w:rPr>
        <w:t xml:space="preserve"> </w:t>
      </w:r>
      <w:r>
        <w:rPr>
          <w:rFonts w:ascii="Times New Roman" w:hAnsi="Times New Roman" w:eastAsia="宋体" w:cs="Calibri"/>
          <w:b/>
          <w:bCs/>
          <w:color w:val="auto"/>
          <w:kern w:val="2"/>
          <w:sz w:val="28"/>
          <w:szCs w:val="28"/>
        </w:rPr>
        <w:t>作业条件危险性评价法</w:t>
      </w:r>
      <w:bookmarkEnd w:id="119"/>
      <w:bookmarkEnd w:id="120"/>
      <w:bookmarkEnd w:id="121"/>
      <w:bookmarkEnd w:id="122"/>
      <w:bookmarkEnd w:id="123"/>
    </w:p>
    <w:p w14:paraId="5CE660BF">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评价方法简介</w:t>
      </w:r>
    </w:p>
    <w:p w14:paraId="02C2E217">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作业条件危险性评价法是一种简单易行的评价操作人员在具有潜在危险性环境中作业时的危险性的半定量评价方法。</w:t>
      </w:r>
    </w:p>
    <w:p w14:paraId="76D661FF">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作业条件危险性评价法用与系统风险有关的三种因素指标值之积来评价操作人员伤亡风险大小，这三种因素是：L</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事故发生的可能性；E</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人员暴露于危险环境中的频繁程度；C</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一旦发生事故可能造成的后果。给三种因素的不同等级分别确定不同的分值，再以三个分值的乘积D来评价作业条件危险性的大小。即：D＝L×E×C。</w:t>
      </w:r>
    </w:p>
    <w:p w14:paraId="760AD87A">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（2）</w:t>
      </w:r>
      <w:r>
        <w:rPr>
          <w:rFonts w:ascii="Times New Roman" w:hAnsi="Times New Roman" w:eastAsia="宋体" w:cs="Calibri"/>
          <w:bCs w:val="0"/>
          <w:color w:val="auto"/>
          <w:kern w:val="2"/>
          <w:sz w:val="28"/>
          <w:szCs w:val="28"/>
        </w:rPr>
        <w:t>评价步骤</w:t>
      </w:r>
    </w:p>
    <w:p w14:paraId="25C2B915">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评价步骤为：</w:t>
      </w:r>
    </w:p>
    <w:p w14:paraId="72DD0F6C">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①</w:t>
      </w:r>
      <w:r>
        <w:rPr>
          <w:rFonts w:ascii="Times New Roman" w:hAnsi="Times New Roman" w:eastAsia="宋体" w:cs="Calibri"/>
          <w:bCs w:val="0"/>
          <w:color w:val="auto"/>
          <w:kern w:val="2"/>
          <w:sz w:val="28"/>
          <w:szCs w:val="28"/>
        </w:rPr>
        <w:t>以类比作业条件比较为基础，由熟悉作业条件的人员组成评价小组；</w:t>
      </w:r>
    </w:p>
    <w:p w14:paraId="5502B09C">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spacing w:val="-6"/>
          <w:kern w:val="2"/>
          <w:sz w:val="28"/>
          <w:szCs w:val="28"/>
        </w:rPr>
        <w:t>②</w:t>
      </w:r>
      <w:r>
        <w:rPr>
          <w:rFonts w:ascii="Times New Roman" w:hAnsi="Times New Roman" w:eastAsia="宋体" w:cs="Calibri"/>
          <w:bCs w:val="0"/>
          <w:color w:val="auto"/>
          <w:spacing w:val="-6"/>
          <w:kern w:val="2"/>
          <w:sz w:val="28"/>
          <w:szCs w:val="28"/>
        </w:rPr>
        <w:t>由评价小组成员按照标准给L、E、C分别打分，取各组的平均值作为L、E、C的计算分值，用计算的危险性分值D来评价作业条件的危险性等级。</w:t>
      </w:r>
    </w:p>
    <w:p w14:paraId="6E7CD2EA">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（3）</w:t>
      </w:r>
      <w:r>
        <w:rPr>
          <w:rFonts w:ascii="Times New Roman" w:hAnsi="Times New Roman" w:eastAsia="宋体" w:cs="Calibri"/>
          <w:bCs w:val="0"/>
          <w:color w:val="auto"/>
          <w:kern w:val="2"/>
          <w:sz w:val="28"/>
          <w:szCs w:val="28"/>
        </w:rPr>
        <w:t>赋分标准</w:t>
      </w:r>
    </w:p>
    <w:p w14:paraId="4FA9BC0C">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①</w:t>
      </w:r>
      <w:r>
        <w:rPr>
          <w:rFonts w:ascii="Times New Roman" w:hAnsi="Times New Roman" w:eastAsia="宋体" w:cs="Calibri"/>
          <w:bCs w:val="0"/>
          <w:color w:val="auto"/>
          <w:kern w:val="2"/>
          <w:sz w:val="28"/>
          <w:szCs w:val="28"/>
        </w:rPr>
        <w:t>事故发生的可能性（L）</w:t>
      </w:r>
    </w:p>
    <w:p w14:paraId="50764157">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表4</w:t>
      </w:r>
      <w:r>
        <w:rPr>
          <w:rFonts w:hint="eastAsia" w:ascii="Times New Roman" w:hAnsi="Times New Roman" w:eastAsia="宋体" w:cs="Calibri"/>
          <w:bCs w:val="0"/>
          <w:color w:val="auto"/>
          <w:kern w:val="2"/>
          <w:sz w:val="28"/>
          <w:szCs w:val="28"/>
        </w:rPr>
        <w:t>.2-1</w:t>
      </w:r>
      <w:r>
        <w:rPr>
          <w:rFonts w:ascii="Times New Roman" w:hAnsi="Times New Roman" w:eastAsia="宋体" w:cs="Calibri"/>
          <w:bCs w:val="0"/>
          <w:color w:val="auto"/>
          <w:kern w:val="2"/>
          <w:sz w:val="28"/>
          <w:szCs w:val="28"/>
        </w:rPr>
        <w:t>。</w:t>
      </w:r>
    </w:p>
    <w:p w14:paraId="5DD29656">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表4</w:t>
      </w:r>
      <w:r>
        <w:rPr>
          <w:rFonts w:hint="eastAsia" w:ascii="Times New Roman" w:hAnsi="Times New Roman" w:eastAsia="宋体" w:cs="Calibri"/>
          <w:bCs w:val="0"/>
          <w:color w:val="auto"/>
          <w:kern w:val="2"/>
          <w:sz w:val="28"/>
          <w:szCs w:val="28"/>
        </w:rPr>
        <w:t>.2</w:t>
      </w:r>
      <w:r>
        <w:rPr>
          <w:rFonts w:ascii="Times New Roman" w:hAnsi="Times New Roman" w:eastAsia="宋体" w:cs="Calibri"/>
          <w:bCs w:val="0"/>
          <w:color w:val="auto"/>
          <w:kern w:val="2"/>
          <w:sz w:val="28"/>
          <w:szCs w:val="28"/>
        </w:rPr>
        <w:t>-</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 xml:space="preserve">  事故发生的可能性（L）</w:t>
      </w:r>
    </w:p>
    <w:tbl>
      <w:tblPr>
        <w:tblStyle w:val="7"/>
        <w:tblW w:w="506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51"/>
        <w:gridCol w:w="3355"/>
        <w:gridCol w:w="1353"/>
        <w:gridCol w:w="3357"/>
      </w:tblGrid>
      <w:tr w14:paraId="28DB3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tblHeader/>
          <w:jc w:val="center"/>
        </w:trPr>
        <w:tc>
          <w:tcPr>
            <w:tcW w:w="717" w:type="pct"/>
            <w:vAlign w:val="center"/>
          </w:tcPr>
          <w:p w14:paraId="479AB8D7">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分数值</w:t>
            </w:r>
          </w:p>
        </w:tc>
        <w:tc>
          <w:tcPr>
            <w:tcW w:w="1781" w:type="pct"/>
            <w:tcBorders>
              <w:top w:val="single" w:color="auto" w:sz="12" w:space="0"/>
              <w:bottom w:val="single" w:color="auto" w:sz="6" w:space="0"/>
              <w:right w:val="double" w:color="auto" w:sz="4" w:space="0"/>
            </w:tcBorders>
            <w:vAlign w:val="center"/>
          </w:tcPr>
          <w:p w14:paraId="3581A28A">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事故发生的可能性</w:t>
            </w:r>
          </w:p>
        </w:tc>
        <w:tc>
          <w:tcPr>
            <w:tcW w:w="718" w:type="pct"/>
            <w:tcBorders>
              <w:top w:val="single" w:color="auto" w:sz="12" w:space="0"/>
              <w:left w:val="double" w:color="auto" w:sz="4" w:space="0"/>
              <w:bottom w:val="single" w:color="auto" w:sz="6" w:space="0"/>
            </w:tcBorders>
            <w:vAlign w:val="center"/>
          </w:tcPr>
          <w:p w14:paraId="19AEFE9F">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分数值</w:t>
            </w:r>
          </w:p>
        </w:tc>
        <w:tc>
          <w:tcPr>
            <w:tcW w:w="1782" w:type="pct"/>
            <w:vAlign w:val="center"/>
          </w:tcPr>
          <w:p w14:paraId="55818C19">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事故发生的可能性</w:t>
            </w:r>
          </w:p>
        </w:tc>
      </w:tr>
      <w:tr w14:paraId="3E06A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7F3092EF">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10</w:t>
            </w:r>
          </w:p>
        </w:tc>
        <w:tc>
          <w:tcPr>
            <w:tcW w:w="1781" w:type="pct"/>
            <w:tcBorders>
              <w:top w:val="single" w:color="auto" w:sz="6" w:space="0"/>
              <w:bottom w:val="single" w:color="auto" w:sz="6" w:space="0"/>
              <w:right w:val="double" w:color="auto" w:sz="4" w:space="0"/>
            </w:tcBorders>
            <w:vAlign w:val="center"/>
          </w:tcPr>
          <w:p w14:paraId="64E4EC03">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完全可以预料到</w:t>
            </w:r>
          </w:p>
        </w:tc>
        <w:tc>
          <w:tcPr>
            <w:tcW w:w="718" w:type="pct"/>
            <w:tcBorders>
              <w:top w:val="single" w:color="auto" w:sz="6" w:space="0"/>
              <w:left w:val="double" w:color="auto" w:sz="4" w:space="0"/>
              <w:bottom w:val="single" w:color="auto" w:sz="6" w:space="0"/>
            </w:tcBorders>
            <w:vAlign w:val="center"/>
          </w:tcPr>
          <w:p w14:paraId="46E79F1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0.5</w:t>
            </w:r>
          </w:p>
        </w:tc>
        <w:tc>
          <w:tcPr>
            <w:tcW w:w="1782" w:type="pct"/>
            <w:vAlign w:val="center"/>
          </w:tcPr>
          <w:p w14:paraId="3A6A686C">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极不可能，可以设想</w:t>
            </w:r>
          </w:p>
        </w:tc>
      </w:tr>
      <w:tr w14:paraId="4B17F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2E870A3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5</w:t>
            </w:r>
          </w:p>
        </w:tc>
        <w:tc>
          <w:tcPr>
            <w:tcW w:w="1781" w:type="pct"/>
            <w:tcBorders>
              <w:top w:val="single" w:color="auto" w:sz="6" w:space="0"/>
              <w:bottom w:val="single" w:color="auto" w:sz="6" w:space="0"/>
              <w:right w:val="double" w:color="auto" w:sz="4" w:space="0"/>
            </w:tcBorders>
            <w:vAlign w:val="center"/>
          </w:tcPr>
          <w:p w14:paraId="378CA28C">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相当可能</w:t>
            </w:r>
          </w:p>
        </w:tc>
        <w:tc>
          <w:tcPr>
            <w:tcW w:w="718" w:type="pct"/>
            <w:tcBorders>
              <w:top w:val="single" w:color="auto" w:sz="6" w:space="0"/>
              <w:left w:val="double" w:color="auto" w:sz="4" w:space="0"/>
              <w:bottom w:val="single" w:color="auto" w:sz="6" w:space="0"/>
            </w:tcBorders>
            <w:vAlign w:val="center"/>
          </w:tcPr>
          <w:p w14:paraId="59D6408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0.2</w:t>
            </w:r>
          </w:p>
        </w:tc>
        <w:tc>
          <w:tcPr>
            <w:tcW w:w="1782" w:type="pct"/>
            <w:vAlign w:val="center"/>
          </w:tcPr>
          <w:p w14:paraId="651499D4">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极不可能</w:t>
            </w:r>
          </w:p>
        </w:tc>
      </w:tr>
      <w:tr w14:paraId="5F0CA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410364C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1781" w:type="pct"/>
            <w:tcBorders>
              <w:top w:val="single" w:color="auto" w:sz="6" w:space="0"/>
              <w:bottom w:val="single" w:color="auto" w:sz="6" w:space="0"/>
              <w:right w:val="double" w:color="auto" w:sz="4" w:space="0"/>
            </w:tcBorders>
            <w:vAlign w:val="center"/>
          </w:tcPr>
          <w:p w14:paraId="56AA45EE">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可能，但不经常</w:t>
            </w:r>
          </w:p>
        </w:tc>
        <w:tc>
          <w:tcPr>
            <w:tcW w:w="718" w:type="pct"/>
            <w:tcBorders>
              <w:top w:val="single" w:color="auto" w:sz="6" w:space="0"/>
              <w:left w:val="double" w:color="auto" w:sz="4" w:space="0"/>
              <w:bottom w:val="single" w:color="auto" w:sz="6" w:space="0"/>
            </w:tcBorders>
            <w:vAlign w:val="center"/>
          </w:tcPr>
          <w:p w14:paraId="05FC59C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0.1</w:t>
            </w:r>
          </w:p>
        </w:tc>
        <w:tc>
          <w:tcPr>
            <w:tcW w:w="1782" w:type="pct"/>
            <w:vAlign w:val="center"/>
          </w:tcPr>
          <w:p w14:paraId="538B99D5">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实际不可能</w:t>
            </w:r>
          </w:p>
        </w:tc>
      </w:tr>
      <w:tr w14:paraId="3F20B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8" w:hRule="exact"/>
          <w:jc w:val="center"/>
        </w:trPr>
        <w:tc>
          <w:tcPr>
            <w:tcW w:w="717" w:type="pct"/>
            <w:vAlign w:val="center"/>
          </w:tcPr>
          <w:p w14:paraId="08E973D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781" w:type="pct"/>
            <w:tcBorders>
              <w:top w:val="single" w:color="auto" w:sz="6" w:space="0"/>
              <w:bottom w:val="single" w:color="auto" w:sz="12" w:space="0"/>
              <w:right w:val="double" w:color="auto" w:sz="4" w:space="0"/>
            </w:tcBorders>
            <w:vAlign w:val="center"/>
          </w:tcPr>
          <w:p w14:paraId="79BA6EA5">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可能性小，完全意外</w:t>
            </w:r>
          </w:p>
        </w:tc>
        <w:tc>
          <w:tcPr>
            <w:tcW w:w="718" w:type="pct"/>
            <w:tcBorders>
              <w:top w:val="single" w:color="auto" w:sz="6" w:space="0"/>
              <w:left w:val="double" w:color="auto" w:sz="4" w:space="0"/>
              <w:bottom w:val="single" w:color="auto" w:sz="12" w:space="0"/>
            </w:tcBorders>
            <w:vAlign w:val="center"/>
          </w:tcPr>
          <w:p w14:paraId="1C02B2EE">
            <w:pPr>
              <w:jc w:val="center"/>
              <w:rPr>
                <w:rFonts w:ascii="Times New Roman" w:hAnsi="Times New Roman" w:eastAsia="宋体" w:cs="Calibri"/>
                <w:bCs w:val="0"/>
                <w:color w:val="auto"/>
                <w:kern w:val="2"/>
              </w:rPr>
            </w:pPr>
          </w:p>
        </w:tc>
        <w:tc>
          <w:tcPr>
            <w:tcW w:w="1782" w:type="pct"/>
            <w:vAlign w:val="center"/>
          </w:tcPr>
          <w:p w14:paraId="3A4E58B7">
            <w:pPr>
              <w:rPr>
                <w:rFonts w:ascii="Times New Roman" w:hAnsi="Times New Roman" w:eastAsia="宋体" w:cs="Calibri"/>
                <w:bCs w:val="0"/>
                <w:color w:val="auto"/>
                <w:kern w:val="2"/>
              </w:rPr>
            </w:pPr>
          </w:p>
        </w:tc>
      </w:tr>
    </w:tbl>
    <w:p w14:paraId="20EABE7F">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②</w:t>
      </w:r>
      <w:r>
        <w:rPr>
          <w:rFonts w:ascii="Times New Roman" w:hAnsi="Times New Roman" w:eastAsia="宋体" w:cs="Calibri"/>
          <w:bCs w:val="0"/>
          <w:color w:val="auto"/>
          <w:kern w:val="2"/>
          <w:sz w:val="28"/>
          <w:szCs w:val="28"/>
        </w:rPr>
        <w:t>人员暴露于危险环境的频繁程度（E）</w:t>
      </w:r>
    </w:p>
    <w:p w14:paraId="41EA4402">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4</w:t>
      </w:r>
      <w:r>
        <w:rPr>
          <w:rFonts w:hint="eastAsia" w:ascii="Times New Roman" w:hAnsi="Times New Roman" w:eastAsia="宋体" w:cs="Calibri"/>
          <w:bCs w:val="0"/>
          <w:color w:val="auto"/>
          <w:kern w:val="2"/>
          <w:sz w:val="28"/>
          <w:szCs w:val="28"/>
        </w:rPr>
        <w:t>.2-2</w:t>
      </w:r>
      <w:r>
        <w:rPr>
          <w:rFonts w:ascii="Times New Roman" w:hAnsi="Times New Roman" w:eastAsia="宋体" w:cs="Calibri"/>
          <w:bCs w:val="0"/>
          <w:color w:val="auto"/>
          <w:kern w:val="2"/>
          <w:sz w:val="28"/>
          <w:szCs w:val="28"/>
        </w:rPr>
        <w:t>。</w:t>
      </w:r>
    </w:p>
    <w:p w14:paraId="3B6EB7E7">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表4</w:t>
      </w:r>
      <w:r>
        <w:rPr>
          <w:rFonts w:hint="eastAsia" w:ascii="Times New Roman" w:hAnsi="Times New Roman" w:eastAsia="宋体" w:cs="Calibri"/>
          <w:bCs w:val="0"/>
          <w:color w:val="auto"/>
          <w:kern w:val="2"/>
          <w:sz w:val="28"/>
          <w:szCs w:val="28"/>
        </w:rPr>
        <w:t>.2-2</w:t>
      </w:r>
      <w:r>
        <w:rPr>
          <w:rFonts w:ascii="Times New Roman" w:hAnsi="Times New Roman" w:eastAsia="宋体" w:cs="Calibri"/>
          <w:bCs w:val="0"/>
          <w:color w:val="auto"/>
          <w:kern w:val="2"/>
          <w:sz w:val="28"/>
          <w:szCs w:val="28"/>
        </w:rPr>
        <w:t xml:space="preserve">  人员暴露于危险环境的频繁程度（E）</w:t>
      </w:r>
    </w:p>
    <w:tbl>
      <w:tblPr>
        <w:tblStyle w:val="7"/>
        <w:tblW w:w="498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5"/>
        <w:gridCol w:w="3652"/>
        <w:gridCol w:w="976"/>
        <w:gridCol w:w="3652"/>
      </w:tblGrid>
      <w:tr w14:paraId="17A5C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tblHeader/>
          <w:jc w:val="center"/>
        </w:trPr>
        <w:tc>
          <w:tcPr>
            <w:tcW w:w="527" w:type="pct"/>
            <w:vAlign w:val="center"/>
          </w:tcPr>
          <w:p w14:paraId="1E673C65">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分数值</w:t>
            </w:r>
          </w:p>
        </w:tc>
        <w:tc>
          <w:tcPr>
            <w:tcW w:w="1972" w:type="pct"/>
            <w:tcBorders>
              <w:top w:val="single" w:color="auto" w:sz="12" w:space="0"/>
              <w:bottom w:val="single" w:color="auto" w:sz="6" w:space="0"/>
              <w:right w:val="double" w:color="auto" w:sz="4" w:space="0"/>
            </w:tcBorders>
            <w:vAlign w:val="center"/>
          </w:tcPr>
          <w:p w14:paraId="3A6CCD45">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人员暴露于危险环境的频繁程度</w:t>
            </w:r>
          </w:p>
        </w:tc>
        <w:tc>
          <w:tcPr>
            <w:tcW w:w="527" w:type="pct"/>
            <w:tcBorders>
              <w:top w:val="single" w:color="auto" w:sz="12" w:space="0"/>
              <w:left w:val="double" w:color="auto" w:sz="4" w:space="0"/>
              <w:bottom w:val="single" w:color="auto" w:sz="6" w:space="0"/>
            </w:tcBorders>
            <w:vAlign w:val="center"/>
          </w:tcPr>
          <w:p w14:paraId="2A011FD4">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分数值</w:t>
            </w:r>
          </w:p>
        </w:tc>
        <w:tc>
          <w:tcPr>
            <w:tcW w:w="1972" w:type="pct"/>
            <w:vAlign w:val="center"/>
          </w:tcPr>
          <w:p w14:paraId="08348435">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人员暴露于危险环境的频繁程度</w:t>
            </w:r>
          </w:p>
        </w:tc>
      </w:tr>
      <w:tr w14:paraId="3EA386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450448F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10</w:t>
            </w:r>
          </w:p>
        </w:tc>
        <w:tc>
          <w:tcPr>
            <w:tcW w:w="1972" w:type="pct"/>
            <w:tcBorders>
              <w:top w:val="single" w:color="auto" w:sz="6" w:space="0"/>
              <w:bottom w:val="single" w:color="auto" w:sz="6" w:space="0"/>
              <w:right w:val="double" w:color="auto" w:sz="4" w:space="0"/>
            </w:tcBorders>
            <w:vAlign w:val="center"/>
          </w:tcPr>
          <w:p w14:paraId="540C1ACF">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连续暴露</w:t>
            </w:r>
          </w:p>
        </w:tc>
        <w:tc>
          <w:tcPr>
            <w:tcW w:w="527" w:type="pct"/>
            <w:tcBorders>
              <w:top w:val="single" w:color="auto" w:sz="6" w:space="0"/>
              <w:left w:val="double" w:color="auto" w:sz="4" w:space="0"/>
              <w:bottom w:val="single" w:color="auto" w:sz="6" w:space="0"/>
            </w:tcBorders>
            <w:vAlign w:val="center"/>
          </w:tcPr>
          <w:p w14:paraId="610A7256">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w:t>
            </w:r>
          </w:p>
        </w:tc>
        <w:tc>
          <w:tcPr>
            <w:tcW w:w="1972" w:type="pct"/>
            <w:vAlign w:val="center"/>
          </w:tcPr>
          <w:p w14:paraId="3315D425">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每月一次暴露</w:t>
            </w:r>
          </w:p>
        </w:tc>
      </w:tr>
      <w:tr w14:paraId="707DD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38E960D0">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1972" w:type="pct"/>
            <w:tcBorders>
              <w:top w:val="single" w:color="auto" w:sz="6" w:space="0"/>
              <w:bottom w:val="single" w:color="auto" w:sz="6" w:space="0"/>
              <w:right w:val="double" w:color="auto" w:sz="4" w:space="0"/>
            </w:tcBorders>
            <w:vAlign w:val="center"/>
          </w:tcPr>
          <w:p w14:paraId="1C33FCE0">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每天工作时间暴露</w:t>
            </w:r>
          </w:p>
        </w:tc>
        <w:tc>
          <w:tcPr>
            <w:tcW w:w="527" w:type="pct"/>
            <w:tcBorders>
              <w:top w:val="single" w:color="auto" w:sz="6" w:space="0"/>
              <w:left w:val="double" w:color="auto" w:sz="4" w:space="0"/>
              <w:bottom w:val="single" w:color="auto" w:sz="6" w:space="0"/>
            </w:tcBorders>
            <w:vAlign w:val="center"/>
          </w:tcPr>
          <w:p w14:paraId="1BF2404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972" w:type="pct"/>
            <w:vAlign w:val="center"/>
          </w:tcPr>
          <w:p w14:paraId="784F19ED">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每年几次暴露</w:t>
            </w:r>
          </w:p>
        </w:tc>
      </w:tr>
      <w:tr w14:paraId="44708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527" w:type="pct"/>
            <w:vAlign w:val="center"/>
          </w:tcPr>
          <w:p w14:paraId="70BD3437">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1972" w:type="pct"/>
            <w:tcBorders>
              <w:top w:val="single" w:color="auto" w:sz="6" w:space="0"/>
              <w:bottom w:val="single" w:color="auto" w:sz="12" w:space="0"/>
              <w:right w:val="double" w:color="auto" w:sz="4" w:space="0"/>
            </w:tcBorders>
            <w:vAlign w:val="center"/>
          </w:tcPr>
          <w:p w14:paraId="56EAF35D">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每周一次，或偶然暴露</w:t>
            </w:r>
          </w:p>
        </w:tc>
        <w:tc>
          <w:tcPr>
            <w:tcW w:w="527" w:type="pct"/>
            <w:tcBorders>
              <w:top w:val="single" w:color="auto" w:sz="6" w:space="0"/>
              <w:left w:val="double" w:color="auto" w:sz="4" w:space="0"/>
              <w:bottom w:val="single" w:color="auto" w:sz="12" w:space="0"/>
            </w:tcBorders>
            <w:vAlign w:val="center"/>
          </w:tcPr>
          <w:p w14:paraId="7CD0F941">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0.5</w:t>
            </w:r>
          </w:p>
        </w:tc>
        <w:tc>
          <w:tcPr>
            <w:tcW w:w="1972" w:type="pct"/>
            <w:vAlign w:val="center"/>
          </w:tcPr>
          <w:p w14:paraId="08F3BCB2">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非常罕见的暴露</w:t>
            </w:r>
          </w:p>
        </w:tc>
      </w:tr>
    </w:tbl>
    <w:p w14:paraId="6502B333">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③</w:t>
      </w:r>
      <w:r>
        <w:rPr>
          <w:rFonts w:ascii="Times New Roman" w:hAnsi="Times New Roman" w:eastAsia="宋体" w:cs="Calibri"/>
          <w:bCs w:val="0"/>
          <w:color w:val="auto"/>
          <w:kern w:val="2"/>
          <w:sz w:val="28"/>
          <w:szCs w:val="28"/>
        </w:rPr>
        <w:t>发生事故可能造成的后果（C）</w:t>
      </w:r>
    </w:p>
    <w:p w14:paraId="5DAE1F4F">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事故造成的人员伤亡和财产损失的范围变化很大，所以规定分数值为1</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100。把需要治疗的轻微伤害或较小财产损失的分数值规定为1，造成多人死亡或重大财产损失的分数值规定为100，介于两者之间的情况规定若干个中间值。见表4</w:t>
      </w:r>
      <w:r>
        <w:rPr>
          <w:rFonts w:hint="eastAsia" w:ascii="Times New Roman" w:hAnsi="Times New Roman" w:eastAsia="宋体" w:cs="Calibri"/>
          <w:bCs w:val="0"/>
          <w:color w:val="auto"/>
          <w:kern w:val="2"/>
          <w:sz w:val="28"/>
          <w:szCs w:val="28"/>
        </w:rPr>
        <w:t>.2-3</w:t>
      </w:r>
      <w:r>
        <w:rPr>
          <w:rFonts w:ascii="Times New Roman" w:hAnsi="Times New Roman" w:eastAsia="宋体" w:cs="Calibri"/>
          <w:bCs w:val="0"/>
          <w:color w:val="auto"/>
          <w:kern w:val="2"/>
          <w:sz w:val="28"/>
          <w:szCs w:val="28"/>
        </w:rPr>
        <w:t>。</w:t>
      </w:r>
    </w:p>
    <w:p w14:paraId="6356276A">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表4</w:t>
      </w:r>
      <w:r>
        <w:rPr>
          <w:rFonts w:hint="eastAsia" w:ascii="Times New Roman" w:hAnsi="Times New Roman" w:eastAsia="宋体" w:cs="Calibri"/>
          <w:bCs w:val="0"/>
          <w:color w:val="auto"/>
          <w:kern w:val="2"/>
          <w:sz w:val="28"/>
          <w:szCs w:val="28"/>
        </w:rPr>
        <w:t>.2-3</w:t>
      </w:r>
      <w:r>
        <w:rPr>
          <w:rFonts w:ascii="Times New Roman" w:hAnsi="Times New Roman" w:eastAsia="宋体" w:cs="Calibri"/>
          <w:bCs w:val="0"/>
          <w:color w:val="auto"/>
          <w:kern w:val="2"/>
          <w:sz w:val="28"/>
          <w:szCs w:val="28"/>
        </w:rPr>
        <w:t xml:space="preserve">  发生事故可能造成的后果（C）</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1"/>
        <w:gridCol w:w="3632"/>
        <w:gridCol w:w="857"/>
        <w:gridCol w:w="3609"/>
      </w:tblGrid>
      <w:tr w14:paraId="3157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tblHeader/>
          <w:jc w:val="center"/>
        </w:trPr>
        <w:tc>
          <w:tcPr>
            <w:tcW w:w="881" w:type="dxa"/>
            <w:vAlign w:val="center"/>
          </w:tcPr>
          <w:p w14:paraId="22E42498">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分数值</w:t>
            </w:r>
          </w:p>
        </w:tc>
        <w:tc>
          <w:tcPr>
            <w:tcW w:w="3632" w:type="dxa"/>
            <w:tcBorders>
              <w:top w:val="single" w:color="auto" w:sz="12" w:space="0"/>
              <w:bottom w:val="single" w:color="auto" w:sz="6" w:space="0"/>
              <w:right w:val="double" w:color="auto" w:sz="4" w:space="0"/>
            </w:tcBorders>
            <w:vAlign w:val="center"/>
          </w:tcPr>
          <w:p w14:paraId="318DEED7">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发生事故可能造成的后果</w:t>
            </w:r>
          </w:p>
        </w:tc>
        <w:tc>
          <w:tcPr>
            <w:tcW w:w="857" w:type="dxa"/>
            <w:tcBorders>
              <w:top w:val="single" w:color="auto" w:sz="12" w:space="0"/>
              <w:left w:val="double" w:color="auto" w:sz="4" w:space="0"/>
              <w:bottom w:val="single" w:color="auto" w:sz="6" w:space="0"/>
            </w:tcBorders>
            <w:vAlign w:val="center"/>
          </w:tcPr>
          <w:p w14:paraId="4C910099">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分数值</w:t>
            </w:r>
          </w:p>
        </w:tc>
        <w:tc>
          <w:tcPr>
            <w:tcW w:w="3609" w:type="dxa"/>
            <w:vAlign w:val="center"/>
          </w:tcPr>
          <w:p w14:paraId="7FA30817">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发生事故可能造成的后果</w:t>
            </w:r>
          </w:p>
        </w:tc>
      </w:tr>
      <w:tr w14:paraId="4C2E2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881" w:type="dxa"/>
            <w:vAlign w:val="center"/>
          </w:tcPr>
          <w:p w14:paraId="17CF6CC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100</w:t>
            </w:r>
          </w:p>
        </w:tc>
        <w:tc>
          <w:tcPr>
            <w:tcW w:w="3632" w:type="dxa"/>
            <w:tcBorders>
              <w:top w:val="single" w:color="auto" w:sz="6" w:space="0"/>
              <w:bottom w:val="single" w:color="auto" w:sz="6" w:space="0"/>
              <w:right w:val="double" w:color="auto" w:sz="4" w:space="0"/>
            </w:tcBorders>
            <w:vAlign w:val="center"/>
          </w:tcPr>
          <w:p w14:paraId="22042561">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大灾难，多人死亡或重大财产损失</w:t>
            </w:r>
          </w:p>
        </w:tc>
        <w:tc>
          <w:tcPr>
            <w:tcW w:w="857" w:type="dxa"/>
            <w:tcBorders>
              <w:top w:val="single" w:color="auto" w:sz="6" w:space="0"/>
              <w:left w:val="double" w:color="auto" w:sz="4" w:space="0"/>
              <w:bottom w:val="single" w:color="auto" w:sz="6" w:space="0"/>
            </w:tcBorders>
            <w:vAlign w:val="center"/>
          </w:tcPr>
          <w:p w14:paraId="75CF41D0">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w:t>
            </w:r>
          </w:p>
        </w:tc>
        <w:tc>
          <w:tcPr>
            <w:tcW w:w="3609" w:type="dxa"/>
            <w:vAlign w:val="center"/>
          </w:tcPr>
          <w:p w14:paraId="6C4EB762">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严重，重伤或较小的财产损失</w:t>
            </w:r>
          </w:p>
        </w:tc>
      </w:tr>
      <w:tr w14:paraId="1989A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881" w:type="dxa"/>
            <w:vAlign w:val="center"/>
          </w:tcPr>
          <w:p w14:paraId="45979B93">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40</w:t>
            </w:r>
          </w:p>
        </w:tc>
        <w:tc>
          <w:tcPr>
            <w:tcW w:w="3632" w:type="dxa"/>
            <w:tcBorders>
              <w:top w:val="single" w:color="auto" w:sz="6" w:space="0"/>
              <w:bottom w:val="single" w:color="auto" w:sz="6" w:space="0"/>
              <w:right w:val="double" w:color="auto" w:sz="4" w:space="0"/>
            </w:tcBorders>
            <w:vAlign w:val="center"/>
          </w:tcPr>
          <w:p w14:paraId="3829F992">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灾难，数人死亡或很大财产损失</w:t>
            </w:r>
          </w:p>
        </w:tc>
        <w:tc>
          <w:tcPr>
            <w:tcW w:w="857" w:type="dxa"/>
            <w:tcBorders>
              <w:top w:val="single" w:color="auto" w:sz="6" w:space="0"/>
              <w:left w:val="double" w:color="auto" w:sz="4" w:space="0"/>
              <w:bottom w:val="single" w:color="auto" w:sz="6" w:space="0"/>
            </w:tcBorders>
            <w:vAlign w:val="center"/>
          </w:tcPr>
          <w:p w14:paraId="6540A09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609" w:type="dxa"/>
            <w:vAlign w:val="center"/>
          </w:tcPr>
          <w:p w14:paraId="22218CF3">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重大，致残或很小的财产损失</w:t>
            </w:r>
          </w:p>
        </w:tc>
      </w:tr>
      <w:tr w14:paraId="37DB1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2" w:hRule="atLeast"/>
          <w:jc w:val="center"/>
        </w:trPr>
        <w:tc>
          <w:tcPr>
            <w:tcW w:w="881" w:type="dxa"/>
            <w:vAlign w:val="center"/>
          </w:tcPr>
          <w:p w14:paraId="2BF3E93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15</w:t>
            </w:r>
          </w:p>
        </w:tc>
        <w:tc>
          <w:tcPr>
            <w:tcW w:w="3632" w:type="dxa"/>
            <w:tcBorders>
              <w:top w:val="single" w:color="auto" w:sz="6" w:space="0"/>
              <w:bottom w:val="single" w:color="auto" w:sz="12" w:space="0"/>
              <w:right w:val="double" w:color="auto" w:sz="4" w:space="0"/>
            </w:tcBorders>
            <w:vAlign w:val="center"/>
          </w:tcPr>
          <w:p w14:paraId="631CDA4E">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非常严重，一人死亡或一定的财产损失</w:t>
            </w:r>
          </w:p>
        </w:tc>
        <w:tc>
          <w:tcPr>
            <w:tcW w:w="857" w:type="dxa"/>
            <w:tcBorders>
              <w:top w:val="single" w:color="auto" w:sz="6" w:space="0"/>
              <w:left w:val="double" w:color="auto" w:sz="4" w:space="0"/>
              <w:bottom w:val="single" w:color="auto" w:sz="12" w:space="0"/>
            </w:tcBorders>
            <w:vAlign w:val="center"/>
          </w:tcPr>
          <w:p w14:paraId="58CB697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3609" w:type="dxa"/>
            <w:vAlign w:val="center"/>
          </w:tcPr>
          <w:p w14:paraId="4F72527B">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引人注目，不利于基本的安全卫生要求</w:t>
            </w:r>
          </w:p>
        </w:tc>
      </w:tr>
    </w:tbl>
    <w:p w14:paraId="4B02EF7E">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（4）</w:t>
      </w:r>
      <w:r>
        <w:rPr>
          <w:rFonts w:ascii="Times New Roman" w:hAnsi="Times New Roman" w:eastAsia="宋体" w:cs="Calibri"/>
          <w:bCs w:val="0"/>
          <w:color w:val="auto"/>
          <w:kern w:val="2"/>
          <w:sz w:val="28"/>
          <w:szCs w:val="28"/>
        </w:rPr>
        <w:t>危险等级划分标准</w:t>
      </w:r>
    </w:p>
    <w:p w14:paraId="4AC701E2">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根据经验，危险性分值在20分以下为低危险性，这样的危险比日常生活中骑自行车去上班还要安全些；如果危险性分值在20</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70之间，为</w:t>
      </w:r>
      <w:r>
        <w:rPr>
          <w:rFonts w:hint="eastAsia" w:ascii="Times New Roman" w:hAnsi="Times New Roman" w:eastAsia="宋体" w:cs="Calibri"/>
          <w:bCs w:val="0"/>
          <w:color w:val="auto"/>
          <w:kern w:val="2"/>
          <w:sz w:val="28"/>
          <w:szCs w:val="28"/>
          <w:lang w:eastAsia="zh-CN"/>
        </w:rPr>
        <w:t>一般</w:t>
      </w:r>
      <w:r>
        <w:rPr>
          <w:rFonts w:ascii="Times New Roman" w:hAnsi="Times New Roman" w:eastAsia="宋体" w:cs="Calibri"/>
          <w:bCs w:val="0"/>
          <w:color w:val="auto"/>
          <w:kern w:val="2"/>
          <w:sz w:val="28"/>
          <w:szCs w:val="28"/>
        </w:rPr>
        <w:t>危险，需要注意；如果危险性分值在70</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160之间，有显著的危险性，需要采取措施整改；如果危险性分值在160</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320之间，有高度危险性，必须立即整改；如果危险性分值大于320，极度危险，应立即停止作业，彻底整改。按危险性分值划分危险性等级的标准见表4</w:t>
      </w:r>
      <w:r>
        <w:rPr>
          <w:rFonts w:hint="eastAsia" w:ascii="Times New Roman" w:hAnsi="Times New Roman" w:eastAsia="宋体" w:cs="Calibri"/>
          <w:bCs w:val="0"/>
          <w:color w:val="auto"/>
          <w:kern w:val="2"/>
          <w:sz w:val="28"/>
          <w:szCs w:val="28"/>
        </w:rPr>
        <w:t>.2-4</w:t>
      </w:r>
      <w:r>
        <w:rPr>
          <w:rFonts w:ascii="Times New Roman" w:hAnsi="Times New Roman" w:eastAsia="宋体" w:cs="Calibri"/>
          <w:bCs w:val="0"/>
          <w:color w:val="auto"/>
          <w:kern w:val="2"/>
          <w:sz w:val="28"/>
          <w:szCs w:val="28"/>
        </w:rPr>
        <w:t>。</w:t>
      </w:r>
    </w:p>
    <w:p w14:paraId="32801227">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表4</w:t>
      </w:r>
      <w:r>
        <w:rPr>
          <w:rFonts w:hint="eastAsia" w:ascii="Times New Roman" w:hAnsi="Times New Roman" w:eastAsia="宋体" w:cs="Calibri"/>
          <w:bCs w:val="0"/>
          <w:color w:val="auto"/>
          <w:kern w:val="2"/>
          <w:sz w:val="28"/>
          <w:szCs w:val="28"/>
        </w:rPr>
        <w:t>.2-4</w:t>
      </w:r>
      <w:r>
        <w:rPr>
          <w:rFonts w:ascii="Times New Roman" w:hAnsi="Times New Roman" w:eastAsia="宋体" w:cs="Calibri"/>
          <w:bCs w:val="0"/>
          <w:color w:val="auto"/>
          <w:kern w:val="2"/>
          <w:sz w:val="28"/>
          <w:szCs w:val="28"/>
        </w:rPr>
        <w:t xml:space="preserve">  危险性等级划分标准</w:t>
      </w:r>
    </w:p>
    <w:tbl>
      <w:tblPr>
        <w:tblStyle w:val="7"/>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3506"/>
        <w:gridCol w:w="1269"/>
        <w:gridCol w:w="2921"/>
      </w:tblGrid>
      <w:tr w14:paraId="6061B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0" w:hRule="atLeast"/>
          <w:tblHeader/>
          <w:jc w:val="center"/>
        </w:trPr>
        <w:tc>
          <w:tcPr>
            <w:tcW w:w="843" w:type="pct"/>
            <w:vAlign w:val="center"/>
          </w:tcPr>
          <w:p w14:paraId="75696A42">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D</w:t>
            </w:r>
            <w:r>
              <w:rPr>
                <w:rFonts w:hint="eastAsia" w:ascii="Times New Roman" w:hAnsi="Times New Roman" w:eastAsia="宋体" w:cs="Calibri"/>
                <w:b/>
                <w:bCs w:val="0"/>
                <w:color w:val="auto"/>
                <w:kern w:val="2"/>
              </w:rPr>
              <w:t>值</w:t>
            </w:r>
          </w:p>
        </w:tc>
        <w:tc>
          <w:tcPr>
            <w:tcW w:w="1893" w:type="pct"/>
            <w:tcBorders>
              <w:top w:val="single" w:color="auto" w:sz="12" w:space="0"/>
              <w:bottom w:val="single" w:color="auto" w:sz="6" w:space="0"/>
              <w:right w:val="double" w:color="auto" w:sz="4" w:space="0"/>
            </w:tcBorders>
            <w:vAlign w:val="center"/>
          </w:tcPr>
          <w:p w14:paraId="34300B90">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危险程度</w:t>
            </w:r>
          </w:p>
        </w:tc>
        <w:tc>
          <w:tcPr>
            <w:tcW w:w="685" w:type="pct"/>
            <w:tcBorders>
              <w:top w:val="single" w:color="auto" w:sz="12" w:space="0"/>
              <w:left w:val="double" w:color="auto" w:sz="4" w:space="0"/>
              <w:bottom w:val="single" w:color="auto" w:sz="6" w:space="0"/>
            </w:tcBorders>
            <w:vAlign w:val="center"/>
          </w:tcPr>
          <w:p w14:paraId="681A623C">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D</w:t>
            </w:r>
            <w:r>
              <w:rPr>
                <w:rFonts w:hint="eastAsia" w:ascii="Times New Roman" w:hAnsi="Times New Roman" w:eastAsia="宋体" w:cs="Calibri"/>
                <w:b/>
                <w:bCs w:val="0"/>
                <w:color w:val="auto"/>
                <w:kern w:val="2"/>
              </w:rPr>
              <w:t>值</w:t>
            </w:r>
          </w:p>
        </w:tc>
        <w:tc>
          <w:tcPr>
            <w:tcW w:w="1577" w:type="pct"/>
            <w:vAlign w:val="center"/>
          </w:tcPr>
          <w:p w14:paraId="354CE328">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危险程度</w:t>
            </w:r>
          </w:p>
        </w:tc>
      </w:tr>
      <w:tr w14:paraId="7EA9F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0D3F1F21">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＞320</w:t>
            </w:r>
          </w:p>
        </w:tc>
        <w:tc>
          <w:tcPr>
            <w:tcW w:w="1893" w:type="pct"/>
            <w:tcBorders>
              <w:top w:val="single" w:color="auto" w:sz="6" w:space="0"/>
              <w:bottom w:val="single" w:color="auto" w:sz="6" w:space="0"/>
              <w:right w:val="double" w:color="auto" w:sz="4" w:space="0"/>
            </w:tcBorders>
            <w:vAlign w:val="center"/>
          </w:tcPr>
          <w:p w14:paraId="7F2C2A1C">
            <w:pPr>
              <w:rPr>
                <w:rFonts w:ascii="Times New Roman" w:hAnsi="Times New Roman" w:eastAsia="宋体" w:cs="Calibri"/>
                <w:bCs w:val="0"/>
                <w:color w:val="auto"/>
                <w:kern w:val="2"/>
              </w:rPr>
            </w:pPr>
            <w:r>
              <w:rPr>
                <w:rFonts w:ascii="Times New Roman" w:hAnsi="Times New Roman" w:eastAsia="宋体" w:cs="Calibri"/>
                <w:bCs w:val="0"/>
                <w:color w:val="auto"/>
                <w:kern w:val="2"/>
              </w:rPr>
              <w:t>极其危险，不能继续作业</w:t>
            </w:r>
          </w:p>
        </w:tc>
        <w:tc>
          <w:tcPr>
            <w:tcW w:w="685" w:type="pct"/>
            <w:tcBorders>
              <w:top w:val="single" w:color="auto" w:sz="6" w:space="0"/>
              <w:left w:val="double" w:color="auto" w:sz="4" w:space="0"/>
              <w:bottom w:val="single" w:color="auto" w:sz="6" w:space="0"/>
            </w:tcBorders>
            <w:vAlign w:val="center"/>
          </w:tcPr>
          <w:p w14:paraId="5D90B4B3">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20</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70</w:t>
            </w:r>
          </w:p>
        </w:tc>
        <w:tc>
          <w:tcPr>
            <w:tcW w:w="1577" w:type="pct"/>
            <w:vAlign w:val="center"/>
          </w:tcPr>
          <w:p w14:paraId="2BEAEDFA">
            <w:pPr>
              <w:rPr>
                <w:rFonts w:ascii="Times New Roman" w:hAnsi="Times New Roman" w:eastAsia="宋体" w:cs="Calibri"/>
                <w:bCs w:val="0"/>
                <w:color w:val="auto"/>
                <w:kern w:val="2"/>
              </w:rPr>
            </w:pPr>
            <w:r>
              <w:rPr>
                <w:rFonts w:ascii="Times New Roman" w:hAnsi="Times New Roman" w:eastAsia="宋体" w:cs="Calibri"/>
                <w:bCs w:val="0"/>
                <w:color w:val="auto"/>
                <w:kern w:val="2"/>
              </w:rPr>
              <w:t>一般危险，需要注意</w:t>
            </w:r>
          </w:p>
        </w:tc>
      </w:tr>
      <w:tr w14:paraId="532BA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17635BD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160</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320</w:t>
            </w:r>
          </w:p>
        </w:tc>
        <w:tc>
          <w:tcPr>
            <w:tcW w:w="1893" w:type="pct"/>
            <w:tcBorders>
              <w:top w:val="single" w:color="auto" w:sz="6" w:space="0"/>
              <w:bottom w:val="single" w:color="auto" w:sz="6" w:space="0"/>
              <w:right w:val="double" w:color="auto" w:sz="4" w:space="0"/>
            </w:tcBorders>
            <w:vAlign w:val="center"/>
          </w:tcPr>
          <w:p w14:paraId="3466869F">
            <w:pPr>
              <w:rPr>
                <w:rFonts w:ascii="Times New Roman" w:hAnsi="Times New Roman" w:eastAsia="宋体" w:cs="Calibri"/>
                <w:bCs w:val="0"/>
                <w:color w:val="auto"/>
                <w:kern w:val="2"/>
              </w:rPr>
            </w:pPr>
            <w:r>
              <w:rPr>
                <w:rFonts w:ascii="Times New Roman" w:hAnsi="Times New Roman" w:eastAsia="宋体" w:cs="Calibri"/>
                <w:bCs w:val="0"/>
                <w:color w:val="auto"/>
                <w:kern w:val="2"/>
              </w:rPr>
              <w:t>高度危险，需立即整改</w:t>
            </w:r>
          </w:p>
        </w:tc>
        <w:tc>
          <w:tcPr>
            <w:tcW w:w="685" w:type="pct"/>
            <w:tcBorders>
              <w:top w:val="single" w:color="auto" w:sz="6" w:space="0"/>
              <w:left w:val="double" w:color="auto" w:sz="4" w:space="0"/>
              <w:bottom w:val="single" w:color="auto" w:sz="6" w:space="0"/>
            </w:tcBorders>
            <w:vAlign w:val="center"/>
          </w:tcPr>
          <w:p w14:paraId="6AE26E63">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＜20</w:t>
            </w:r>
          </w:p>
        </w:tc>
        <w:tc>
          <w:tcPr>
            <w:tcW w:w="1577" w:type="pct"/>
            <w:vAlign w:val="center"/>
          </w:tcPr>
          <w:p w14:paraId="2BF96613">
            <w:pP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稍有危险，可以接受</w:t>
            </w:r>
          </w:p>
        </w:tc>
      </w:tr>
      <w:tr w14:paraId="021058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843" w:type="pct"/>
            <w:vAlign w:val="center"/>
          </w:tcPr>
          <w:p w14:paraId="338122C1">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70</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160</w:t>
            </w:r>
          </w:p>
        </w:tc>
        <w:tc>
          <w:tcPr>
            <w:tcW w:w="1893" w:type="pct"/>
            <w:tcBorders>
              <w:top w:val="single" w:color="auto" w:sz="6" w:space="0"/>
              <w:bottom w:val="single" w:color="auto" w:sz="12" w:space="0"/>
              <w:right w:val="double" w:color="auto" w:sz="4" w:space="0"/>
            </w:tcBorders>
            <w:vAlign w:val="center"/>
          </w:tcPr>
          <w:p w14:paraId="07F8BBC6">
            <w:pPr>
              <w:rPr>
                <w:rFonts w:ascii="Times New Roman" w:hAnsi="Times New Roman" w:eastAsia="宋体" w:cs="Calibri"/>
                <w:bCs w:val="0"/>
                <w:color w:val="auto"/>
                <w:kern w:val="2"/>
              </w:rPr>
            </w:pPr>
            <w:r>
              <w:rPr>
                <w:rFonts w:ascii="Times New Roman" w:hAnsi="Times New Roman" w:eastAsia="宋体" w:cs="Calibri"/>
                <w:bCs w:val="0"/>
                <w:color w:val="auto"/>
                <w:kern w:val="2"/>
              </w:rPr>
              <w:t>显著危险，需要整改</w:t>
            </w:r>
          </w:p>
        </w:tc>
        <w:tc>
          <w:tcPr>
            <w:tcW w:w="685" w:type="pct"/>
            <w:tcBorders>
              <w:top w:val="single" w:color="auto" w:sz="6" w:space="0"/>
              <w:left w:val="double" w:color="auto" w:sz="4" w:space="0"/>
              <w:bottom w:val="single" w:color="auto" w:sz="12" w:space="0"/>
            </w:tcBorders>
            <w:vAlign w:val="center"/>
          </w:tcPr>
          <w:p w14:paraId="18E5EC57">
            <w:pPr>
              <w:jc w:val="center"/>
              <w:rPr>
                <w:rFonts w:ascii="Times New Roman" w:hAnsi="Times New Roman" w:eastAsia="宋体" w:cs="Calibri"/>
                <w:bCs w:val="0"/>
                <w:color w:val="auto"/>
                <w:kern w:val="2"/>
              </w:rPr>
            </w:pPr>
          </w:p>
        </w:tc>
        <w:tc>
          <w:tcPr>
            <w:tcW w:w="1577" w:type="pct"/>
            <w:vAlign w:val="center"/>
          </w:tcPr>
          <w:p w14:paraId="5C0C5C87">
            <w:pPr>
              <w:rPr>
                <w:rFonts w:ascii="Times New Roman" w:hAnsi="Times New Roman" w:eastAsia="宋体" w:cs="Calibri"/>
                <w:bCs w:val="0"/>
                <w:color w:val="auto"/>
                <w:kern w:val="2"/>
              </w:rPr>
            </w:pPr>
          </w:p>
        </w:tc>
      </w:tr>
    </w:tbl>
    <w:p w14:paraId="54A2394F">
      <w:pPr>
        <w:spacing w:line="600" w:lineRule="exact"/>
        <w:rPr>
          <w:rFonts w:ascii="Times New Roman" w:hAnsi="Times New Roman" w:eastAsia="宋体" w:cs="Calibri"/>
          <w:b/>
          <w:bCs/>
          <w:color w:val="auto"/>
          <w:kern w:val="2"/>
          <w:sz w:val="28"/>
          <w:szCs w:val="28"/>
        </w:rPr>
      </w:pPr>
      <w:bookmarkStart w:id="124" w:name="_Toc7145"/>
      <w:bookmarkStart w:id="125" w:name="_Toc92712584"/>
      <w:bookmarkStart w:id="126" w:name="_Toc5789"/>
      <w:bookmarkStart w:id="127" w:name="_Toc22797"/>
      <w:bookmarkStart w:id="128" w:name="_Toc20468421"/>
      <w:r>
        <w:rPr>
          <w:rFonts w:ascii="Times New Roman" w:hAnsi="Times New Roman" w:eastAsia="宋体" w:cs="Calibri"/>
          <w:b/>
          <w:bCs/>
          <w:color w:val="auto"/>
          <w:kern w:val="2"/>
          <w:sz w:val="28"/>
          <w:szCs w:val="28"/>
        </w:rPr>
        <w:t>4.2.3 危险度评价法</w:t>
      </w:r>
      <w:bookmarkEnd w:id="124"/>
      <w:bookmarkEnd w:id="125"/>
      <w:bookmarkEnd w:id="126"/>
      <w:bookmarkEnd w:id="127"/>
      <w:bookmarkEnd w:id="128"/>
    </w:p>
    <w:p w14:paraId="2BB55B09">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危险度评价法是根据日本劳动省“六阶段法”的定量评价表，结合我国《石油化工企业设计防火规范</w:t>
      </w:r>
      <w:r>
        <w:rPr>
          <w:rFonts w:hint="eastAsia" w:ascii="Times New Roman" w:hAnsi="Times New Roman" w:eastAsia="宋体" w:cs="Calibri"/>
          <w:bCs w:val="0"/>
          <w:color w:val="auto"/>
          <w:kern w:val="2"/>
          <w:sz w:val="28"/>
          <w:szCs w:val="28"/>
        </w:rPr>
        <w:t>（2018年版）</w:t>
      </w:r>
      <w:r>
        <w:rPr>
          <w:rFonts w:ascii="Times New Roman" w:hAnsi="Times New Roman" w:eastAsia="宋体" w:cs="Calibri"/>
          <w:bCs w:val="0"/>
          <w:color w:val="auto"/>
          <w:kern w:val="2"/>
          <w:sz w:val="28"/>
          <w:szCs w:val="28"/>
        </w:rPr>
        <w:t>》（GB</w:t>
      </w:r>
      <w:r>
        <w:rPr>
          <w:rFonts w:hint="eastAsia" w:ascii="Times New Roman" w:hAnsi="Times New Roman" w:eastAsia="宋体" w:cs="Calibri"/>
          <w:bCs w:val="0"/>
          <w:color w:val="auto"/>
          <w:kern w:val="2"/>
          <w:sz w:val="28"/>
          <w:szCs w:val="28"/>
        </w:rPr>
        <w:t xml:space="preserve"> </w:t>
      </w:r>
      <w:r>
        <w:rPr>
          <w:rFonts w:ascii="Times New Roman" w:hAnsi="Times New Roman" w:eastAsia="宋体" w:cs="Calibri"/>
          <w:bCs w:val="0"/>
          <w:color w:val="auto"/>
          <w:kern w:val="2"/>
          <w:sz w:val="28"/>
          <w:szCs w:val="28"/>
        </w:rPr>
        <w:t>50160-2008）等有关标准、规程，编制了“危险度评价取值表”。规定单元危险度由物质、容量、温度、压力和操作5个项目共同确定。其危险性分别按A=10分，B=5分，C=2分，D=0分赋值计分，由累计分值确定单元危险度。危险度评价取值表见表4</w:t>
      </w:r>
      <w:r>
        <w:rPr>
          <w:rFonts w:hint="eastAsia" w:ascii="Times New Roman" w:hAnsi="Times New Roman" w:eastAsia="宋体" w:cs="Calibri"/>
          <w:bCs w:val="0"/>
          <w:color w:val="auto"/>
          <w:kern w:val="2"/>
          <w:sz w:val="28"/>
          <w:szCs w:val="28"/>
        </w:rPr>
        <w:t>.2-5</w:t>
      </w:r>
      <w:r>
        <w:rPr>
          <w:rFonts w:ascii="Times New Roman" w:hAnsi="Times New Roman" w:eastAsia="宋体" w:cs="Calibri"/>
          <w:bCs w:val="0"/>
          <w:color w:val="auto"/>
          <w:kern w:val="2"/>
          <w:sz w:val="28"/>
          <w:szCs w:val="28"/>
        </w:rPr>
        <w:t>。</w:t>
      </w:r>
    </w:p>
    <w:p w14:paraId="2980E5D3">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表4</w:t>
      </w:r>
      <w:r>
        <w:rPr>
          <w:rFonts w:hint="eastAsia" w:ascii="Times New Roman" w:hAnsi="Times New Roman" w:eastAsia="宋体" w:cs="Calibri"/>
          <w:bCs w:val="0"/>
          <w:color w:val="auto"/>
          <w:kern w:val="2"/>
          <w:sz w:val="28"/>
          <w:szCs w:val="28"/>
        </w:rPr>
        <w:t>.2</w:t>
      </w:r>
      <w:r>
        <w:rPr>
          <w:rFonts w:ascii="Times New Roman" w:hAnsi="Times New Roman" w:eastAsia="宋体" w:cs="Calibri"/>
          <w:bCs w:val="0"/>
          <w:color w:val="auto"/>
          <w:kern w:val="2"/>
          <w:sz w:val="28"/>
          <w:szCs w:val="28"/>
        </w:rPr>
        <w:t>-</w:t>
      </w:r>
      <w:r>
        <w:rPr>
          <w:rFonts w:hint="eastAsia" w:ascii="Times New Roman" w:hAnsi="Times New Roman" w:eastAsia="宋体" w:cs="Calibri"/>
          <w:bCs w:val="0"/>
          <w:color w:val="auto"/>
          <w:kern w:val="2"/>
          <w:sz w:val="28"/>
          <w:szCs w:val="28"/>
        </w:rPr>
        <w:t>5</w:t>
      </w:r>
      <w:r>
        <w:rPr>
          <w:rFonts w:ascii="Times New Roman" w:hAnsi="Times New Roman" w:eastAsia="宋体" w:cs="Calibri"/>
          <w:bCs w:val="0"/>
          <w:color w:val="auto"/>
          <w:kern w:val="2"/>
          <w:sz w:val="28"/>
          <w:szCs w:val="28"/>
        </w:rPr>
        <w:t xml:space="preserve">  危险度评价取值表</w:t>
      </w:r>
    </w:p>
    <w:tbl>
      <w:tblPr>
        <w:tblStyle w:val="7"/>
        <w:tblW w:w="4993"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96"/>
        <w:gridCol w:w="2352"/>
        <w:gridCol w:w="2352"/>
        <w:gridCol w:w="1958"/>
        <w:gridCol w:w="1517"/>
      </w:tblGrid>
      <w:tr w14:paraId="493E1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blHeader/>
        </w:trPr>
        <w:tc>
          <w:tcPr>
            <w:tcW w:w="591" w:type="pct"/>
            <w:tcBorders>
              <w:tl2br w:val="single" w:color="auto" w:sz="12" w:space="0"/>
            </w:tcBorders>
            <w:vAlign w:val="center"/>
          </w:tcPr>
          <w:p w14:paraId="108AB8DA">
            <w:pPr>
              <w:jc w:val="right"/>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分值</w:t>
            </w:r>
          </w:p>
          <w:p w14:paraId="5E10EE36">
            <w:pP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项目</w:t>
            </w:r>
          </w:p>
        </w:tc>
        <w:tc>
          <w:tcPr>
            <w:tcW w:w="1267" w:type="pct"/>
            <w:vAlign w:val="center"/>
          </w:tcPr>
          <w:p w14:paraId="515B9C74">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A（10分）</w:t>
            </w:r>
          </w:p>
        </w:tc>
        <w:tc>
          <w:tcPr>
            <w:tcW w:w="1267" w:type="pct"/>
            <w:vAlign w:val="center"/>
          </w:tcPr>
          <w:p w14:paraId="70B0CC2D">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B（5分）</w:t>
            </w:r>
          </w:p>
        </w:tc>
        <w:tc>
          <w:tcPr>
            <w:tcW w:w="1055" w:type="pct"/>
            <w:vAlign w:val="center"/>
          </w:tcPr>
          <w:p w14:paraId="7B8987D5">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C（2分）</w:t>
            </w:r>
          </w:p>
        </w:tc>
        <w:tc>
          <w:tcPr>
            <w:tcW w:w="817" w:type="pct"/>
            <w:vAlign w:val="center"/>
          </w:tcPr>
          <w:p w14:paraId="5F8FC175">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D（0分）</w:t>
            </w:r>
          </w:p>
        </w:tc>
      </w:tr>
      <w:tr w14:paraId="56E99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1" w:hRule="atLeast"/>
        </w:trPr>
        <w:tc>
          <w:tcPr>
            <w:tcW w:w="591" w:type="pct"/>
            <w:vAlign w:val="center"/>
          </w:tcPr>
          <w:p w14:paraId="2B7D1EF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物质</w:t>
            </w:r>
          </w:p>
        </w:tc>
        <w:tc>
          <w:tcPr>
            <w:tcW w:w="1267" w:type="pct"/>
            <w:vAlign w:val="center"/>
          </w:tcPr>
          <w:p w14:paraId="5838A262">
            <w:pPr>
              <w:rPr>
                <w:rFonts w:ascii="Times New Roman" w:hAnsi="Times New Roman" w:eastAsia="宋体" w:cs="Calibri"/>
                <w:bCs w:val="0"/>
                <w:color w:val="auto"/>
                <w:kern w:val="2"/>
              </w:rPr>
            </w:pPr>
            <w:r>
              <w:rPr>
                <w:rFonts w:ascii="Times New Roman" w:hAnsi="Times New Roman" w:eastAsia="宋体" w:cs="Calibri"/>
                <w:bCs w:val="0"/>
                <w:color w:val="auto"/>
                <w:kern w:val="2"/>
              </w:rPr>
              <w:t>甲类可燃气体；</w:t>
            </w:r>
          </w:p>
          <w:p w14:paraId="7FF047CE">
            <w:pPr>
              <w:rPr>
                <w:rFonts w:ascii="Times New Roman" w:hAnsi="Times New Roman" w:eastAsia="宋体" w:cs="Calibri"/>
                <w:bCs w:val="0"/>
                <w:color w:val="auto"/>
                <w:kern w:val="2"/>
              </w:rPr>
            </w:pPr>
            <w:r>
              <w:rPr>
                <w:rFonts w:ascii="Times New Roman" w:hAnsi="Times New Roman" w:eastAsia="宋体" w:cs="Calibri"/>
                <w:bCs w:val="0"/>
                <w:color w:val="auto"/>
                <w:kern w:val="2"/>
              </w:rPr>
              <w:t>甲</w:t>
            </w:r>
            <w:r>
              <w:rPr>
                <w:rFonts w:ascii="Times New Roman" w:hAnsi="Times New Roman" w:eastAsia="宋体" w:cs="Calibri"/>
                <w:bCs w:val="0"/>
                <w:color w:val="auto"/>
                <w:kern w:val="2"/>
                <w:vertAlign w:val="subscript"/>
              </w:rPr>
              <w:t>A</w:t>
            </w:r>
            <w:r>
              <w:rPr>
                <w:rFonts w:ascii="Times New Roman" w:hAnsi="Times New Roman" w:eastAsia="宋体" w:cs="Calibri"/>
                <w:bCs w:val="0"/>
                <w:color w:val="auto"/>
                <w:kern w:val="2"/>
              </w:rPr>
              <w:t>类物质及液态烃类；</w:t>
            </w:r>
          </w:p>
          <w:p w14:paraId="2DCD6250">
            <w:pPr>
              <w:rPr>
                <w:rFonts w:ascii="Times New Roman" w:hAnsi="Times New Roman" w:eastAsia="宋体" w:cs="Calibri"/>
                <w:bCs w:val="0"/>
                <w:color w:val="auto"/>
                <w:kern w:val="2"/>
              </w:rPr>
            </w:pPr>
            <w:r>
              <w:rPr>
                <w:rFonts w:ascii="Times New Roman" w:hAnsi="Times New Roman" w:eastAsia="宋体" w:cs="Calibri"/>
                <w:bCs w:val="0"/>
                <w:color w:val="auto"/>
                <w:kern w:val="2"/>
              </w:rPr>
              <w:t>甲类固体；</w:t>
            </w:r>
          </w:p>
          <w:p w14:paraId="20750FEF">
            <w:pPr>
              <w:rPr>
                <w:rFonts w:ascii="Times New Roman" w:hAnsi="Times New Roman" w:eastAsia="宋体" w:cs="Calibri"/>
                <w:bCs w:val="0"/>
                <w:color w:val="auto"/>
                <w:kern w:val="2"/>
              </w:rPr>
            </w:pPr>
            <w:r>
              <w:rPr>
                <w:rFonts w:ascii="Times New Roman" w:hAnsi="Times New Roman" w:eastAsia="宋体" w:cs="Calibri"/>
                <w:bCs w:val="0"/>
                <w:color w:val="auto"/>
                <w:kern w:val="2"/>
              </w:rPr>
              <w:t>极度危害介质</w:t>
            </w:r>
          </w:p>
        </w:tc>
        <w:tc>
          <w:tcPr>
            <w:tcW w:w="1267" w:type="pct"/>
            <w:vAlign w:val="center"/>
          </w:tcPr>
          <w:p w14:paraId="29C75739">
            <w:pPr>
              <w:rPr>
                <w:rFonts w:ascii="Times New Roman" w:hAnsi="Times New Roman" w:eastAsia="宋体" w:cs="Calibri"/>
                <w:bCs w:val="0"/>
                <w:color w:val="auto"/>
                <w:kern w:val="2"/>
              </w:rPr>
            </w:pPr>
            <w:r>
              <w:rPr>
                <w:rFonts w:ascii="Times New Roman" w:hAnsi="Times New Roman" w:eastAsia="宋体" w:cs="Calibri"/>
                <w:bCs w:val="0"/>
                <w:color w:val="auto"/>
                <w:kern w:val="2"/>
              </w:rPr>
              <w:t>乙类气体；</w:t>
            </w:r>
          </w:p>
          <w:p w14:paraId="775C98A8">
            <w:pPr>
              <w:rPr>
                <w:rFonts w:ascii="Times New Roman" w:hAnsi="Times New Roman" w:eastAsia="宋体" w:cs="Calibri"/>
                <w:bCs w:val="0"/>
                <w:color w:val="auto"/>
                <w:kern w:val="2"/>
              </w:rPr>
            </w:pPr>
            <w:r>
              <w:rPr>
                <w:rFonts w:ascii="Times New Roman" w:hAnsi="Times New Roman" w:eastAsia="宋体" w:cs="Calibri"/>
                <w:bCs w:val="0"/>
                <w:color w:val="auto"/>
                <w:kern w:val="2"/>
              </w:rPr>
              <w:t>甲</w:t>
            </w:r>
            <w:r>
              <w:rPr>
                <w:rFonts w:ascii="Times New Roman" w:hAnsi="Times New Roman" w:eastAsia="宋体" w:cs="Calibri"/>
                <w:bCs w:val="0"/>
                <w:color w:val="auto"/>
                <w:kern w:val="2"/>
                <w:vertAlign w:val="subscript"/>
              </w:rPr>
              <w:t>B</w:t>
            </w:r>
            <w:r>
              <w:rPr>
                <w:rFonts w:ascii="Times New Roman" w:hAnsi="Times New Roman" w:eastAsia="宋体" w:cs="Calibri"/>
                <w:bCs w:val="0"/>
                <w:color w:val="auto"/>
                <w:kern w:val="2"/>
              </w:rPr>
              <w:t>、乙</w:t>
            </w:r>
            <w:r>
              <w:rPr>
                <w:rFonts w:ascii="Times New Roman" w:hAnsi="Times New Roman" w:eastAsia="宋体" w:cs="Calibri"/>
                <w:bCs w:val="0"/>
                <w:color w:val="auto"/>
                <w:kern w:val="2"/>
                <w:vertAlign w:val="subscript"/>
              </w:rPr>
              <w:t>A</w:t>
            </w:r>
            <w:r>
              <w:rPr>
                <w:rFonts w:ascii="Times New Roman" w:hAnsi="Times New Roman" w:eastAsia="宋体" w:cs="Calibri"/>
                <w:bCs w:val="0"/>
                <w:color w:val="auto"/>
                <w:kern w:val="2"/>
              </w:rPr>
              <w:t>类可燃液体；</w:t>
            </w:r>
          </w:p>
          <w:p w14:paraId="6A7F6255">
            <w:pPr>
              <w:rPr>
                <w:rFonts w:ascii="Times New Roman" w:hAnsi="Times New Roman" w:eastAsia="宋体" w:cs="Calibri"/>
                <w:bCs w:val="0"/>
                <w:color w:val="auto"/>
                <w:kern w:val="2"/>
              </w:rPr>
            </w:pPr>
            <w:r>
              <w:rPr>
                <w:rFonts w:ascii="Times New Roman" w:hAnsi="Times New Roman" w:eastAsia="宋体" w:cs="Calibri"/>
                <w:bCs w:val="0"/>
                <w:color w:val="auto"/>
                <w:kern w:val="2"/>
              </w:rPr>
              <w:t>乙类固体</w:t>
            </w:r>
            <w:r>
              <w:rPr>
                <w:rFonts w:hint="eastAsia" w:ascii="Times New Roman" w:hAnsi="Times New Roman" w:eastAsia="宋体" w:cs="Calibri"/>
                <w:bCs w:val="0"/>
                <w:color w:val="auto"/>
                <w:kern w:val="2"/>
                <w:lang w:eastAsia="zh-CN"/>
              </w:rPr>
              <w:t>；</w:t>
            </w:r>
          </w:p>
          <w:p w14:paraId="536F3095">
            <w:pPr>
              <w:rPr>
                <w:rFonts w:ascii="Times New Roman" w:hAnsi="Times New Roman" w:eastAsia="宋体" w:cs="Calibri"/>
                <w:bCs w:val="0"/>
                <w:color w:val="auto"/>
                <w:kern w:val="2"/>
              </w:rPr>
            </w:pPr>
            <w:r>
              <w:rPr>
                <w:rFonts w:ascii="Times New Roman" w:hAnsi="Times New Roman" w:eastAsia="宋体" w:cs="Calibri"/>
                <w:bCs w:val="0"/>
                <w:color w:val="auto"/>
                <w:kern w:val="2"/>
              </w:rPr>
              <w:t>高度危害介质</w:t>
            </w:r>
          </w:p>
        </w:tc>
        <w:tc>
          <w:tcPr>
            <w:tcW w:w="1055" w:type="pct"/>
            <w:vAlign w:val="center"/>
          </w:tcPr>
          <w:p w14:paraId="777D7BB4">
            <w:pPr>
              <w:rPr>
                <w:rFonts w:ascii="Times New Roman" w:hAnsi="Times New Roman" w:eastAsia="宋体" w:cs="Calibri"/>
                <w:bCs w:val="0"/>
                <w:color w:val="auto"/>
                <w:kern w:val="2"/>
              </w:rPr>
            </w:pPr>
            <w:r>
              <w:rPr>
                <w:rFonts w:ascii="Times New Roman" w:hAnsi="Times New Roman" w:eastAsia="宋体" w:cs="Calibri"/>
                <w:bCs w:val="0"/>
                <w:color w:val="auto"/>
                <w:kern w:val="2"/>
              </w:rPr>
              <w:t>乙</w:t>
            </w:r>
            <w:r>
              <w:rPr>
                <w:rFonts w:ascii="Times New Roman" w:hAnsi="Times New Roman" w:eastAsia="宋体" w:cs="Calibri"/>
                <w:bCs w:val="0"/>
                <w:color w:val="auto"/>
                <w:kern w:val="2"/>
                <w:vertAlign w:val="subscript"/>
              </w:rPr>
              <w:t>B</w:t>
            </w:r>
            <w:r>
              <w:rPr>
                <w:rFonts w:ascii="Times New Roman" w:hAnsi="Times New Roman" w:eastAsia="宋体" w:cs="Calibri"/>
                <w:bCs w:val="0"/>
                <w:color w:val="auto"/>
                <w:kern w:val="2"/>
              </w:rPr>
              <w:t>、丙</w:t>
            </w:r>
            <w:r>
              <w:rPr>
                <w:rFonts w:ascii="Times New Roman" w:hAnsi="Times New Roman" w:eastAsia="宋体" w:cs="Calibri"/>
                <w:bCs w:val="0"/>
                <w:color w:val="auto"/>
                <w:kern w:val="2"/>
                <w:vertAlign w:val="subscript"/>
              </w:rPr>
              <w:t>A</w:t>
            </w:r>
            <w:r>
              <w:rPr>
                <w:rFonts w:ascii="Times New Roman" w:hAnsi="Times New Roman" w:eastAsia="宋体" w:cs="Calibri"/>
                <w:bCs w:val="0"/>
                <w:color w:val="auto"/>
                <w:kern w:val="2"/>
              </w:rPr>
              <w:t>、丙</w:t>
            </w:r>
            <w:r>
              <w:rPr>
                <w:rFonts w:ascii="Times New Roman" w:hAnsi="Times New Roman" w:eastAsia="宋体" w:cs="Calibri"/>
                <w:bCs w:val="0"/>
                <w:color w:val="auto"/>
                <w:kern w:val="2"/>
                <w:vertAlign w:val="subscript"/>
              </w:rPr>
              <w:t>B</w:t>
            </w:r>
            <w:r>
              <w:rPr>
                <w:rFonts w:ascii="Times New Roman" w:hAnsi="Times New Roman" w:eastAsia="宋体" w:cs="Calibri"/>
                <w:bCs w:val="0"/>
                <w:color w:val="auto"/>
                <w:kern w:val="2"/>
              </w:rPr>
              <w:t>类可燃液体；</w:t>
            </w:r>
          </w:p>
          <w:p w14:paraId="4ED6D23A">
            <w:pPr>
              <w:rPr>
                <w:rFonts w:ascii="Times New Roman" w:hAnsi="Times New Roman" w:eastAsia="宋体" w:cs="Calibri"/>
                <w:bCs w:val="0"/>
                <w:color w:val="auto"/>
                <w:kern w:val="2"/>
              </w:rPr>
            </w:pPr>
            <w:r>
              <w:rPr>
                <w:rFonts w:ascii="Times New Roman" w:hAnsi="Times New Roman" w:eastAsia="宋体" w:cs="Calibri"/>
                <w:bCs w:val="0"/>
                <w:color w:val="auto"/>
                <w:kern w:val="2"/>
              </w:rPr>
              <w:t>丙类固体；</w:t>
            </w:r>
          </w:p>
          <w:p w14:paraId="647B4FC3">
            <w:pPr>
              <w:rPr>
                <w:rFonts w:ascii="Times New Roman" w:hAnsi="Times New Roman" w:eastAsia="宋体" w:cs="Calibri"/>
                <w:bCs w:val="0"/>
                <w:color w:val="auto"/>
                <w:kern w:val="2"/>
              </w:rPr>
            </w:pPr>
            <w:r>
              <w:rPr>
                <w:rFonts w:ascii="Times New Roman" w:hAnsi="Times New Roman" w:eastAsia="宋体" w:cs="Calibri"/>
                <w:bCs w:val="0"/>
                <w:color w:val="auto"/>
                <w:kern w:val="2"/>
              </w:rPr>
              <w:t>中、轻度危害介质</w:t>
            </w:r>
          </w:p>
        </w:tc>
        <w:tc>
          <w:tcPr>
            <w:tcW w:w="817" w:type="pct"/>
            <w:vAlign w:val="center"/>
          </w:tcPr>
          <w:p w14:paraId="3089920B">
            <w:pPr>
              <w:rPr>
                <w:rFonts w:ascii="Times New Roman" w:hAnsi="Times New Roman" w:eastAsia="宋体" w:cs="Calibri"/>
                <w:bCs w:val="0"/>
                <w:color w:val="auto"/>
                <w:kern w:val="2"/>
              </w:rPr>
            </w:pPr>
            <w:r>
              <w:rPr>
                <w:rFonts w:ascii="Times New Roman" w:hAnsi="Times New Roman" w:eastAsia="宋体" w:cs="Calibri"/>
                <w:bCs w:val="0"/>
                <w:color w:val="auto"/>
                <w:kern w:val="2"/>
              </w:rPr>
              <w:t>不属A、B、C项之物质</w:t>
            </w:r>
          </w:p>
        </w:tc>
      </w:tr>
      <w:tr w14:paraId="742D98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4" w:hRule="atLeast"/>
        </w:trPr>
        <w:tc>
          <w:tcPr>
            <w:tcW w:w="591" w:type="pct"/>
            <w:vAlign w:val="center"/>
          </w:tcPr>
          <w:p w14:paraId="356074B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容量</w:t>
            </w:r>
          </w:p>
        </w:tc>
        <w:tc>
          <w:tcPr>
            <w:tcW w:w="1267" w:type="pct"/>
            <w:vAlign w:val="center"/>
          </w:tcPr>
          <w:p w14:paraId="60A0947B">
            <w:pPr>
              <w:rPr>
                <w:rFonts w:ascii="Times New Roman" w:hAnsi="Times New Roman" w:eastAsia="宋体" w:cs="Calibri"/>
                <w:bCs w:val="0"/>
                <w:color w:val="auto"/>
                <w:kern w:val="2"/>
              </w:rPr>
            </w:pPr>
            <w:r>
              <w:rPr>
                <w:rFonts w:ascii="Times New Roman" w:hAnsi="Times New Roman" w:eastAsia="宋体" w:cs="Calibri"/>
                <w:bCs w:val="0"/>
                <w:color w:val="auto"/>
                <w:kern w:val="2"/>
              </w:rPr>
              <w:t>气体1000m</w:t>
            </w:r>
            <w:r>
              <w:rPr>
                <w:rFonts w:ascii="Times New Roman" w:hAnsi="Times New Roman" w:eastAsia="宋体" w:cs="Calibri"/>
                <w:bCs w:val="0"/>
                <w:color w:val="auto"/>
                <w:kern w:val="2"/>
                <w:vertAlign w:val="superscript"/>
              </w:rPr>
              <w:t>3</w:t>
            </w:r>
            <w:r>
              <w:rPr>
                <w:rFonts w:ascii="Times New Roman" w:hAnsi="Times New Roman" w:eastAsia="宋体" w:cs="Calibri"/>
                <w:bCs w:val="0"/>
                <w:color w:val="auto"/>
                <w:kern w:val="2"/>
              </w:rPr>
              <w:t>以上</w:t>
            </w:r>
          </w:p>
          <w:p w14:paraId="3DCE545F">
            <w:pPr>
              <w:rPr>
                <w:rFonts w:ascii="Times New Roman" w:hAnsi="Times New Roman" w:eastAsia="宋体" w:cs="Calibri"/>
                <w:bCs w:val="0"/>
                <w:color w:val="auto"/>
                <w:kern w:val="2"/>
              </w:rPr>
            </w:pPr>
            <w:r>
              <w:rPr>
                <w:rFonts w:ascii="Times New Roman" w:hAnsi="Times New Roman" w:eastAsia="宋体" w:cs="Calibri"/>
                <w:bCs w:val="0"/>
                <w:color w:val="auto"/>
                <w:kern w:val="2"/>
              </w:rPr>
              <w:t>液体100m</w:t>
            </w:r>
            <w:r>
              <w:rPr>
                <w:rFonts w:ascii="Times New Roman" w:hAnsi="Times New Roman" w:eastAsia="宋体" w:cs="Calibri"/>
                <w:bCs w:val="0"/>
                <w:color w:val="auto"/>
                <w:kern w:val="2"/>
                <w:vertAlign w:val="superscript"/>
              </w:rPr>
              <w:t>3</w:t>
            </w:r>
            <w:r>
              <w:rPr>
                <w:rFonts w:ascii="Times New Roman" w:hAnsi="Times New Roman" w:eastAsia="宋体" w:cs="Calibri"/>
                <w:bCs w:val="0"/>
                <w:color w:val="auto"/>
                <w:kern w:val="2"/>
              </w:rPr>
              <w:t>以上</w:t>
            </w:r>
          </w:p>
        </w:tc>
        <w:tc>
          <w:tcPr>
            <w:tcW w:w="1267" w:type="pct"/>
            <w:vAlign w:val="center"/>
          </w:tcPr>
          <w:p w14:paraId="3EC06C9C">
            <w:pPr>
              <w:rPr>
                <w:rFonts w:ascii="Times New Roman" w:hAnsi="Times New Roman" w:eastAsia="宋体" w:cs="Calibri"/>
                <w:bCs w:val="0"/>
                <w:color w:val="auto"/>
                <w:kern w:val="2"/>
              </w:rPr>
            </w:pPr>
            <w:r>
              <w:rPr>
                <w:rFonts w:ascii="Times New Roman" w:hAnsi="Times New Roman" w:eastAsia="宋体" w:cs="Calibri"/>
                <w:bCs w:val="0"/>
                <w:color w:val="auto"/>
                <w:kern w:val="2"/>
              </w:rPr>
              <w:t>气体500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1000m</w:t>
            </w:r>
            <w:r>
              <w:rPr>
                <w:rFonts w:ascii="Times New Roman" w:hAnsi="Times New Roman" w:eastAsia="宋体" w:cs="Calibri"/>
                <w:bCs w:val="0"/>
                <w:color w:val="auto"/>
                <w:kern w:val="2"/>
                <w:vertAlign w:val="superscript"/>
              </w:rPr>
              <w:t>3</w:t>
            </w:r>
          </w:p>
          <w:p w14:paraId="03671E80">
            <w:pPr>
              <w:rPr>
                <w:rFonts w:ascii="Times New Roman" w:hAnsi="Times New Roman" w:eastAsia="宋体" w:cs="Calibri"/>
                <w:bCs w:val="0"/>
                <w:color w:val="auto"/>
                <w:kern w:val="2"/>
              </w:rPr>
            </w:pPr>
            <w:r>
              <w:rPr>
                <w:rFonts w:ascii="Times New Roman" w:hAnsi="Times New Roman" w:eastAsia="宋体" w:cs="Calibri"/>
                <w:bCs w:val="0"/>
                <w:color w:val="auto"/>
                <w:kern w:val="2"/>
              </w:rPr>
              <w:t>液体50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100m</w:t>
            </w:r>
            <w:r>
              <w:rPr>
                <w:rFonts w:ascii="Times New Roman" w:hAnsi="Times New Roman" w:eastAsia="宋体" w:cs="Calibri"/>
                <w:bCs w:val="0"/>
                <w:color w:val="auto"/>
                <w:kern w:val="2"/>
                <w:vertAlign w:val="superscript"/>
              </w:rPr>
              <w:t>3</w:t>
            </w:r>
          </w:p>
        </w:tc>
        <w:tc>
          <w:tcPr>
            <w:tcW w:w="1055" w:type="pct"/>
            <w:vAlign w:val="center"/>
          </w:tcPr>
          <w:p w14:paraId="609F8723">
            <w:pPr>
              <w:rPr>
                <w:rFonts w:ascii="Times New Roman" w:hAnsi="Times New Roman" w:eastAsia="宋体" w:cs="Calibri"/>
                <w:bCs w:val="0"/>
                <w:color w:val="auto"/>
                <w:kern w:val="2"/>
              </w:rPr>
            </w:pPr>
            <w:r>
              <w:rPr>
                <w:rFonts w:ascii="Times New Roman" w:hAnsi="Times New Roman" w:eastAsia="宋体" w:cs="Calibri"/>
                <w:bCs w:val="0"/>
                <w:color w:val="auto"/>
                <w:kern w:val="2"/>
              </w:rPr>
              <w:t>气体100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500m</w:t>
            </w:r>
            <w:r>
              <w:rPr>
                <w:rFonts w:ascii="Times New Roman" w:hAnsi="Times New Roman" w:eastAsia="宋体" w:cs="Calibri"/>
                <w:bCs w:val="0"/>
                <w:color w:val="auto"/>
                <w:kern w:val="2"/>
                <w:vertAlign w:val="superscript"/>
              </w:rPr>
              <w:t>3</w:t>
            </w:r>
          </w:p>
          <w:p w14:paraId="03960FD6">
            <w:pPr>
              <w:rPr>
                <w:rFonts w:ascii="Times New Roman" w:hAnsi="Times New Roman" w:eastAsia="宋体" w:cs="Calibri"/>
                <w:bCs w:val="0"/>
                <w:color w:val="auto"/>
                <w:kern w:val="2"/>
              </w:rPr>
            </w:pPr>
            <w:r>
              <w:rPr>
                <w:rFonts w:ascii="Times New Roman" w:hAnsi="Times New Roman" w:eastAsia="宋体" w:cs="Calibri"/>
                <w:bCs w:val="0"/>
                <w:color w:val="auto"/>
                <w:kern w:val="2"/>
              </w:rPr>
              <w:t>液体10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50m</w:t>
            </w:r>
            <w:r>
              <w:rPr>
                <w:rFonts w:ascii="Times New Roman" w:hAnsi="Times New Roman" w:eastAsia="宋体" w:cs="Calibri"/>
                <w:bCs w:val="0"/>
                <w:color w:val="auto"/>
                <w:kern w:val="2"/>
                <w:vertAlign w:val="superscript"/>
              </w:rPr>
              <w:t>3</w:t>
            </w:r>
          </w:p>
        </w:tc>
        <w:tc>
          <w:tcPr>
            <w:tcW w:w="817" w:type="pct"/>
            <w:vAlign w:val="center"/>
          </w:tcPr>
          <w:p w14:paraId="453AFF65">
            <w:pPr>
              <w:rPr>
                <w:rFonts w:ascii="Times New Roman" w:hAnsi="Times New Roman" w:eastAsia="宋体" w:cs="Calibri"/>
                <w:bCs w:val="0"/>
                <w:color w:val="auto"/>
                <w:kern w:val="2"/>
              </w:rPr>
            </w:pPr>
            <w:r>
              <w:rPr>
                <w:rFonts w:ascii="Times New Roman" w:hAnsi="Times New Roman" w:eastAsia="宋体" w:cs="Calibri"/>
                <w:bCs w:val="0"/>
                <w:color w:val="auto"/>
                <w:kern w:val="2"/>
              </w:rPr>
              <w:t>气体＜100m</w:t>
            </w:r>
            <w:r>
              <w:rPr>
                <w:rFonts w:ascii="Times New Roman" w:hAnsi="Times New Roman" w:eastAsia="宋体" w:cs="Calibri"/>
                <w:bCs w:val="0"/>
                <w:color w:val="auto"/>
                <w:kern w:val="2"/>
                <w:vertAlign w:val="superscript"/>
              </w:rPr>
              <w:t>3</w:t>
            </w:r>
          </w:p>
          <w:p w14:paraId="155D5D3A">
            <w:pPr>
              <w:rPr>
                <w:rFonts w:ascii="Times New Roman" w:hAnsi="Times New Roman" w:eastAsia="宋体" w:cs="Calibri"/>
                <w:bCs w:val="0"/>
                <w:color w:val="auto"/>
                <w:kern w:val="2"/>
              </w:rPr>
            </w:pPr>
            <w:r>
              <w:rPr>
                <w:rFonts w:ascii="Times New Roman" w:hAnsi="Times New Roman" w:eastAsia="宋体" w:cs="Calibri"/>
                <w:bCs w:val="0"/>
                <w:color w:val="auto"/>
                <w:kern w:val="2"/>
              </w:rPr>
              <w:t>液体＜10m</w:t>
            </w:r>
            <w:r>
              <w:rPr>
                <w:rFonts w:ascii="Times New Roman" w:hAnsi="Times New Roman" w:eastAsia="宋体" w:cs="Calibri"/>
                <w:bCs w:val="0"/>
                <w:color w:val="auto"/>
                <w:kern w:val="2"/>
                <w:vertAlign w:val="superscript"/>
              </w:rPr>
              <w:t>3</w:t>
            </w:r>
          </w:p>
        </w:tc>
      </w:tr>
      <w:tr w14:paraId="74965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9" w:hRule="atLeast"/>
        </w:trPr>
        <w:tc>
          <w:tcPr>
            <w:tcW w:w="591" w:type="pct"/>
            <w:vAlign w:val="center"/>
          </w:tcPr>
          <w:p w14:paraId="1017ADF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温度</w:t>
            </w:r>
          </w:p>
        </w:tc>
        <w:tc>
          <w:tcPr>
            <w:tcW w:w="1267" w:type="pct"/>
            <w:vAlign w:val="center"/>
          </w:tcPr>
          <w:p w14:paraId="074820EF">
            <w:pPr>
              <w:rPr>
                <w:rFonts w:ascii="Times New Roman" w:hAnsi="Times New Roman" w:eastAsia="宋体" w:cs="Calibri"/>
                <w:bCs w:val="0"/>
                <w:color w:val="auto"/>
                <w:kern w:val="2"/>
              </w:rPr>
            </w:pPr>
            <w:r>
              <w:rPr>
                <w:rFonts w:ascii="Times New Roman" w:hAnsi="Times New Roman" w:eastAsia="宋体" w:cs="Calibri"/>
                <w:bCs w:val="0"/>
                <w:color w:val="auto"/>
                <w:kern w:val="2"/>
              </w:rPr>
              <w:t>1000℃以上使用，其操作温度在燃点以上</w:t>
            </w:r>
          </w:p>
        </w:tc>
        <w:tc>
          <w:tcPr>
            <w:tcW w:w="1267" w:type="pct"/>
            <w:vAlign w:val="center"/>
          </w:tcPr>
          <w:p w14:paraId="02F60CCE">
            <w:pPr>
              <w:rPr>
                <w:rFonts w:ascii="Times New Roman" w:hAnsi="Times New Roman" w:eastAsia="宋体" w:cs="Calibri"/>
                <w:bCs w:val="0"/>
                <w:color w:val="auto"/>
                <w:kern w:val="2"/>
              </w:rPr>
            </w:pPr>
            <w:r>
              <w:rPr>
                <w:rFonts w:ascii="Times New Roman" w:hAnsi="Times New Roman" w:eastAsia="宋体" w:cs="Calibri"/>
                <w:bCs w:val="0"/>
                <w:color w:val="auto"/>
                <w:kern w:val="2"/>
              </w:rPr>
              <w:t>1000℃以上使用，但操作温度在燃点以下；</w:t>
            </w:r>
          </w:p>
          <w:p w14:paraId="172D6032">
            <w:pPr>
              <w:rPr>
                <w:rFonts w:ascii="Times New Roman" w:hAnsi="Times New Roman" w:eastAsia="宋体" w:cs="Calibri"/>
                <w:bCs w:val="0"/>
                <w:color w:val="auto"/>
                <w:kern w:val="2"/>
              </w:rPr>
            </w:pPr>
            <w:r>
              <w:rPr>
                <w:rFonts w:ascii="Times New Roman" w:hAnsi="Times New Roman" w:eastAsia="宋体" w:cs="Calibri"/>
                <w:bCs w:val="0"/>
                <w:color w:val="auto"/>
                <w:kern w:val="2"/>
              </w:rPr>
              <w:t>在250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1000℃使用，其操作温度在燃点以上</w:t>
            </w:r>
          </w:p>
        </w:tc>
        <w:tc>
          <w:tcPr>
            <w:tcW w:w="1055" w:type="pct"/>
            <w:vAlign w:val="center"/>
          </w:tcPr>
          <w:p w14:paraId="76F8950B">
            <w:pPr>
              <w:rPr>
                <w:rFonts w:ascii="Times New Roman" w:hAnsi="Times New Roman" w:eastAsia="宋体" w:cs="Calibri"/>
                <w:bCs w:val="0"/>
                <w:color w:val="auto"/>
                <w:kern w:val="2"/>
              </w:rPr>
            </w:pPr>
            <w:r>
              <w:rPr>
                <w:rFonts w:ascii="Times New Roman" w:hAnsi="Times New Roman" w:eastAsia="宋体" w:cs="Calibri"/>
                <w:bCs w:val="0"/>
                <w:color w:val="auto"/>
                <w:kern w:val="2"/>
              </w:rPr>
              <w:t>在250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1000℃使用，但操作温度在燃点以下；</w:t>
            </w:r>
          </w:p>
          <w:p w14:paraId="235A5B63">
            <w:pPr>
              <w:rPr>
                <w:rFonts w:ascii="Times New Roman" w:hAnsi="Times New Roman" w:eastAsia="宋体" w:cs="Calibri"/>
                <w:bCs w:val="0"/>
                <w:color w:val="auto"/>
                <w:kern w:val="2"/>
              </w:rPr>
            </w:pPr>
            <w:r>
              <w:rPr>
                <w:rFonts w:ascii="Times New Roman" w:hAnsi="Times New Roman" w:eastAsia="宋体" w:cs="Calibri"/>
                <w:bCs w:val="0"/>
                <w:color w:val="auto"/>
                <w:kern w:val="2"/>
              </w:rPr>
              <w:t>在</w:t>
            </w:r>
            <w:r>
              <w:rPr>
                <w:rFonts w:hint="eastAsia" w:ascii="Times New Roman" w:hAnsi="Times New Roman" w:eastAsia="宋体" w:cs="Calibri"/>
                <w:bCs w:val="0"/>
                <w:color w:val="auto"/>
                <w:kern w:val="2"/>
                <w:lang w:eastAsia="zh-CN"/>
              </w:rPr>
              <w:t>低于</w:t>
            </w:r>
            <w:r>
              <w:rPr>
                <w:rFonts w:ascii="Times New Roman" w:hAnsi="Times New Roman" w:eastAsia="宋体" w:cs="Calibri"/>
                <w:bCs w:val="0"/>
                <w:color w:val="auto"/>
                <w:kern w:val="2"/>
              </w:rPr>
              <w:t>250℃使用，其操作温度在燃点以上</w:t>
            </w:r>
          </w:p>
        </w:tc>
        <w:tc>
          <w:tcPr>
            <w:tcW w:w="817" w:type="pct"/>
            <w:vAlign w:val="center"/>
          </w:tcPr>
          <w:p w14:paraId="432222FF">
            <w:pPr>
              <w:rPr>
                <w:rFonts w:ascii="Times New Roman" w:hAnsi="Times New Roman" w:eastAsia="宋体" w:cs="Calibri"/>
                <w:bCs w:val="0"/>
                <w:color w:val="auto"/>
                <w:kern w:val="2"/>
              </w:rPr>
            </w:pPr>
            <w:r>
              <w:rPr>
                <w:rFonts w:ascii="Times New Roman" w:hAnsi="Times New Roman" w:eastAsia="宋体" w:cs="Calibri"/>
                <w:bCs w:val="0"/>
                <w:color w:val="auto"/>
                <w:kern w:val="2"/>
              </w:rPr>
              <w:t>在</w:t>
            </w:r>
            <w:r>
              <w:rPr>
                <w:rFonts w:hint="eastAsia" w:ascii="Times New Roman" w:hAnsi="Times New Roman" w:eastAsia="宋体" w:cs="Calibri"/>
                <w:bCs w:val="0"/>
                <w:color w:val="auto"/>
                <w:kern w:val="2"/>
                <w:lang w:eastAsia="zh-CN"/>
              </w:rPr>
              <w:t>低于</w:t>
            </w:r>
            <w:r>
              <w:rPr>
                <w:rFonts w:ascii="Times New Roman" w:hAnsi="Times New Roman" w:eastAsia="宋体" w:cs="Calibri"/>
                <w:bCs w:val="0"/>
                <w:color w:val="auto"/>
                <w:kern w:val="2"/>
              </w:rPr>
              <w:t>250℃使用，其操作温度在燃点以下</w:t>
            </w:r>
          </w:p>
        </w:tc>
      </w:tr>
      <w:tr w14:paraId="668EC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91" w:type="pct"/>
            <w:vAlign w:val="center"/>
          </w:tcPr>
          <w:p w14:paraId="76F4196D">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压力</w:t>
            </w:r>
          </w:p>
        </w:tc>
        <w:tc>
          <w:tcPr>
            <w:tcW w:w="1267" w:type="pct"/>
            <w:vAlign w:val="center"/>
          </w:tcPr>
          <w:p w14:paraId="76CA8DAC">
            <w:pPr>
              <w:rPr>
                <w:rFonts w:ascii="Times New Roman" w:hAnsi="Times New Roman" w:eastAsia="宋体" w:cs="Calibri"/>
                <w:bCs w:val="0"/>
                <w:color w:val="auto"/>
                <w:kern w:val="2"/>
              </w:rPr>
            </w:pPr>
            <w:r>
              <w:rPr>
                <w:rFonts w:ascii="Times New Roman" w:hAnsi="Times New Roman" w:eastAsia="宋体" w:cs="Calibri"/>
                <w:bCs w:val="0"/>
                <w:color w:val="auto"/>
                <w:kern w:val="2"/>
              </w:rPr>
              <w:t>100MPa</w:t>
            </w:r>
          </w:p>
        </w:tc>
        <w:tc>
          <w:tcPr>
            <w:tcW w:w="1267" w:type="pct"/>
            <w:vAlign w:val="center"/>
          </w:tcPr>
          <w:p w14:paraId="5507D94E">
            <w:pPr>
              <w:rPr>
                <w:rFonts w:ascii="Times New Roman" w:hAnsi="Times New Roman" w:eastAsia="宋体" w:cs="Calibri"/>
                <w:bCs w:val="0"/>
                <w:color w:val="auto"/>
                <w:kern w:val="2"/>
              </w:rPr>
            </w:pPr>
            <w:r>
              <w:rPr>
                <w:rFonts w:ascii="Times New Roman" w:hAnsi="Times New Roman" w:eastAsia="宋体" w:cs="Calibri"/>
                <w:bCs w:val="0"/>
                <w:color w:val="auto"/>
                <w:kern w:val="2"/>
              </w:rPr>
              <w:t>20</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100MPa</w:t>
            </w:r>
          </w:p>
        </w:tc>
        <w:tc>
          <w:tcPr>
            <w:tcW w:w="1055" w:type="pct"/>
            <w:vAlign w:val="center"/>
          </w:tcPr>
          <w:p w14:paraId="76CEFB1D">
            <w:pPr>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20MPa</w:t>
            </w:r>
          </w:p>
        </w:tc>
        <w:tc>
          <w:tcPr>
            <w:tcW w:w="817" w:type="pct"/>
            <w:vAlign w:val="center"/>
          </w:tcPr>
          <w:p w14:paraId="0C8BFF72">
            <w:pPr>
              <w:rPr>
                <w:rFonts w:ascii="Times New Roman" w:hAnsi="Times New Roman" w:eastAsia="宋体" w:cs="Calibri"/>
                <w:bCs w:val="0"/>
                <w:color w:val="auto"/>
                <w:kern w:val="2"/>
              </w:rPr>
            </w:pPr>
            <w:r>
              <w:rPr>
                <w:rFonts w:ascii="Times New Roman" w:hAnsi="Times New Roman" w:eastAsia="宋体" w:cs="Calibri"/>
                <w:bCs w:val="0"/>
                <w:color w:val="auto"/>
                <w:kern w:val="2"/>
              </w:rPr>
              <w:t>1M</w:t>
            </w:r>
            <w:r>
              <w:rPr>
                <w:rFonts w:hint="eastAsia" w:ascii="Times New Roman" w:hAnsi="Times New Roman" w:eastAsia="宋体" w:cs="Calibri"/>
                <w:bCs w:val="0"/>
                <w:color w:val="auto"/>
                <w:kern w:val="2"/>
              </w:rPr>
              <w:t>P</w:t>
            </w:r>
            <w:r>
              <w:rPr>
                <w:rFonts w:ascii="Times New Roman" w:hAnsi="Times New Roman" w:eastAsia="宋体" w:cs="Calibri"/>
                <w:bCs w:val="0"/>
                <w:color w:val="auto"/>
                <w:kern w:val="2"/>
              </w:rPr>
              <w:t>a以下</w:t>
            </w:r>
          </w:p>
        </w:tc>
      </w:tr>
      <w:tr w14:paraId="5E3D9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59" w:hRule="atLeast"/>
        </w:trPr>
        <w:tc>
          <w:tcPr>
            <w:tcW w:w="591" w:type="pct"/>
            <w:vAlign w:val="center"/>
          </w:tcPr>
          <w:p w14:paraId="47B0B9D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操作</w:t>
            </w:r>
          </w:p>
        </w:tc>
        <w:tc>
          <w:tcPr>
            <w:tcW w:w="1267" w:type="pct"/>
            <w:vAlign w:val="center"/>
          </w:tcPr>
          <w:p w14:paraId="552D0AA1">
            <w:pPr>
              <w:rPr>
                <w:rFonts w:ascii="Times New Roman" w:hAnsi="Times New Roman" w:eastAsia="宋体" w:cs="Calibri"/>
                <w:bCs w:val="0"/>
                <w:color w:val="auto"/>
                <w:kern w:val="2"/>
              </w:rPr>
            </w:pPr>
            <w:r>
              <w:rPr>
                <w:rFonts w:ascii="Times New Roman" w:hAnsi="Times New Roman" w:eastAsia="宋体" w:cs="Calibri"/>
                <w:bCs w:val="0"/>
                <w:color w:val="auto"/>
                <w:kern w:val="2"/>
              </w:rPr>
              <w:t>临界放热和特别剧烈的反应操作</w:t>
            </w:r>
          </w:p>
          <w:p w14:paraId="4751549B">
            <w:pPr>
              <w:rPr>
                <w:rFonts w:ascii="Times New Roman" w:hAnsi="Times New Roman" w:eastAsia="宋体" w:cs="Calibri"/>
                <w:bCs w:val="0"/>
                <w:color w:val="auto"/>
                <w:kern w:val="2"/>
              </w:rPr>
            </w:pPr>
            <w:r>
              <w:rPr>
                <w:rFonts w:ascii="Times New Roman" w:hAnsi="Times New Roman" w:eastAsia="宋体" w:cs="Calibri"/>
                <w:bCs w:val="0"/>
                <w:color w:val="auto"/>
                <w:kern w:val="2"/>
              </w:rPr>
              <w:t>在爆炸极限范围内或其附近操作</w:t>
            </w:r>
          </w:p>
        </w:tc>
        <w:tc>
          <w:tcPr>
            <w:tcW w:w="1267" w:type="pct"/>
            <w:vAlign w:val="center"/>
          </w:tcPr>
          <w:p w14:paraId="1434A3B6">
            <w:pPr>
              <w:rPr>
                <w:rFonts w:ascii="Times New Roman" w:hAnsi="Times New Roman" w:eastAsia="宋体" w:cs="Calibri"/>
                <w:bCs w:val="0"/>
                <w:color w:val="auto"/>
                <w:kern w:val="2"/>
              </w:rPr>
            </w:pPr>
            <w:r>
              <w:rPr>
                <w:rFonts w:ascii="Times New Roman" w:hAnsi="Times New Roman" w:eastAsia="宋体" w:cs="Calibri"/>
                <w:bCs w:val="0"/>
                <w:color w:val="auto"/>
                <w:kern w:val="2"/>
              </w:rPr>
              <w:t>中等放热反应；</w:t>
            </w:r>
          </w:p>
          <w:p w14:paraId="12284B46">
            <w:pPr>
              <w:rPr>
                <w:rFonts w:ascii="Times New Roman" w:hAnsi="Times New Roman" w:eastAsia="宋体" w:cs="Calibri"/>
                <w:bCs w:val="0"/>
                <w:color w:val="auto"/>
                <w:kern w:val="2"/>
              </w:rPr>
            </w:pPr>
            <w:r>
              <w:rPr>
                <w:rFonts w:ascii="Times New Roman" w:hAnsi="Times New Roman" w:eastAsia="宋体" w:cs="Calibri"/>
                <w:bCs w:val="0"/>
                <w:color w:val="auto"/>
                <w:kern w:val="2"/>
              </w:rPr>
              <w:t>系统进入空气或不纯物质，可能发生危险的操作；</w:t>
            </w:r>
          </w:p>
          <w:p w14:paraId="26B3DAB4">
            <w:pPr>
              <w:rPr>
                <w:rFonts w:ascii="Times New Roman" w:hAnsi="Times New Roman" w:eastAsia="宋体" w:cs="Calibri"/>
                <w:bCs w:val="0"/>
                <w:color w:val="auto"/>
                <w:kern w:val="2"/>
              </w:rPr>
            </w:pPr>
            <w:r>
              <w:rPr>
                <w:rFonts w:ascii="Times New Roman" w:hAnsi="Times New Roman" w:eastAsia="宋体" w:cs="Calibri"/>
                <w:bCs w:val="0"/>
                <w:color w:val="auto"/>
                <w:kern w:val="2"/>
              </w:rPr>
              <w:t>使用粉状或雾状物质，有可能发生粉尘爆炸的操作</w:t>
            </w:r>
          </w:p>
          <w:p w14:paraId="5DFA9F50">
            <w:pPr>
              <w:rPr>
                <w:rFonts w:ascii="Times New Roman" w:hAnsi="Times New Roman" w:eastAsia="宋体" w:cs="Calibri"/>
                <w:bCs w:val="0"/>
                <w:color w:val="auto"/>
                <w:kern w:val="2"/>
              </w:rPr>
            </w:pPr>
            <w:r>
              <w:rPr>
                <w:rFonts w:ascii="Times New Roman" w:hAnsi="Times New Roman" w:eastAsia="宋体" w:cs="Calibri"/>
                <w:bCs w:val="0"/>
                <w:color w:val="auto"/>
                <w:kern w:val="2"/>
              </w:rPr>
              <w:t>单批式操作</w:t>
            </w:r>
          </w:p>
        </w:tc>
        <w:tc>
          <w:tcPr>
            <w:tcW w:w="1055" w:type="pct"/>
            <w:vAlign w:val="center"/>
          </w:tcPr>
          <w:p w14:paraId="67F722ED">
            <w:pPr>
              <w:rPr>
                <w:rFonts w:ascii="Times New Roman" w:hAnsi="Times New Roman" w:eastAsia="宋体" w:cs="Calibri"/>
                <w:bCs w:val="0"/>
                <w:color w:val="auto"/>
                <w:kern w:val="2"/>
              </w:rPr>
            </w:pPr>
            <w:r>
              <w:rPr>
                <w:rFonts w:ascii="Times New Roman" w:hAnsi="Times New Roman" w:eastAsia="宋体" w:cs="Calibri"/>
                <w:bCs w:val="0"/>
                <w:color w:val="auto"/>
                <w:kern w:val="2"/>
              </w:rPr>
              <w:t>轻微放热反应；</w:t>
            </w:r>
          </w:p>
          <w:p w14:paraId="046F4DF4">
            <w:pPr>
              <w:rPr>
                <w:rFonts w:ascii="Times New Roman" w:hAnsi="Times New Roman" w:eastAsia="宋体" w:cs="Calibri"/>
                <w:bCs w:val="0"/>
                <w:color w:val="auto"/>
                <w:kern w:val="2"/>
              </w:rPr>
            </w:pPr>
            <w:r>
              <w:rPr>
                <w:rFonts w:ascii="Times New Roman" w:hAnsi="Times New Roman" w:eastAsia="宋体" w:cs="Calibri"/>
                <w:bCs w:val="0"/>
                <w:color w:val="auto"/>
                <w:kern w:val="2"/>
              </w:rPr>
              <w:t>在精制过程中伴有化学反应；</w:t>
            </w:r>
          </w:p>
          <w:p w14:paraId="3B40DF67">
            <w:pPr>
              <w:rPr>
                <w:rFonts w:ascii="Times New Roman" w:hAnsi="Times New Roman" w:eastAsia="宋体" w:cs="Calibri"/>
                <w:bCs w:val="0"/>
                <w:color w:val="auto"/>
                <w:kern w:val="2"/>
              </w:rPr>
            </w:pPr>
            <w:r>
              <w:rPr>
                <w:rFonts w:ascii="Times New Roman" w:hAnsi="Times New Roman" w:eastAsia="宋体" w:cs="Calibri"/>
                <w:bCs w:val="0"/>
                <w:color w:val="auto"/>
                <w:kern w:val="2"/>
              </w:rPr>
              <w:t>单批式操作，但开始使用机械进行程序操作；</w:t>
            </w:r>
          </w:p>
          <w:p w14:paraId="6DFBE3F2">
            <w:pPr>
              <w:rPr>
                <w:rFonts w:ascii="Times New Roman" w:hAnsi="Times New Roman" w:eastAsia="宋体" w:cs="Calibri"/>
                <w:bCs w:val="0"/>
                <w:color w:val="auto"/>
                <w:kern w:val="2"/>
              </w:rPr>
            </w:pPr>
            <w:r>
              <w:rPr>
                <w:rFonts w:ascii="Times New Roman" w:hAnsi="Times New Roman" w:eastAsia="宋体" w:cs="Calibri"/>
                <w:bCs w:val="0"/>
                <w:color w:val="auto"/>
                <w:kern w:val="2"/>
              </w:rPr>
              <w:t>有一定危险的操作</w:t>
            </w:r>
          </w:p>
        </w:tc>
        <w:tc>
          <w:tcPr>
            <w:tcW w:w="817" w:type="pct"/>
            <w:vAlign w:val="center"/>
          </w:tcPr>
          <w:p w14:paraId="08D8DCCC">
            <w:pPr>
              <w:rPr>
                <w:rFonts w:ascii="Times New Roman" w:hAnsi="Times New Roman" w:eastAsia="宋体" w:cs="Calibri"/>
                <w:bCs w:val="0"/>
                <w:color w:val="auto"/>
                <w:kern w:val="2"/>
              </w:rPr>
            </w:pPr>
            <w:r>
              <w:rPr>
                <w:rFonts w:ascii="Times New Roman" w:hAnsi="Times New Roman" w:eastAsia="宋体" w:cs="Calibri"/>
                <w:bCs w:val="0"/>
                <w:color w:val="auto"/>
                <w:kern w:val="2"/>
              </w:rPr>
              <w:t>无危险的操作</w:t>
            </w:r>
          </w:p>
        </w:tc>
      </w:tr>
    </w:tbl>
    <w:p w14:paraId="598762AF">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危险度分级见表</w:t>
      </w:r>
      <w:r>
        <w:rPr>
          <w:rFonts w:hint="eastAsia" w:ascii="Times New Roman" w:hAnsi="Times New Roman" w:eastAsia="宋体" w:cs="Calibri"/>
          <w:bCs w:val="0"/>
          <w:color w:val="auto"/>
          <w:kern w:val="2"/>
          <w:sz w:val="28"/>
          <w:szCs w:val="28"/>
        </w:rPr>
        <w:t>4.2-6</w:t>
      </w:r>
      <w:r>
        <w:rPr>
          <w:rFonts w:ascii="Times New Roman" w:hAnsi="Times New Roman" w:eastAsia="宋体" w:cs="Calibri"/>
          <w:bCs w:val="0"/>
          <w:color w:val="auto"/>
          <w:kern w:val="2"/>
          <w:sz w:val="28"/>
          <w:szCs w:val="28"/>
        </w:rPr>
        <w:t>。</w:t>
      </w:r>
    </w:p>
    <w:p w14:paraId="644E6571">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w:t>
      </w:r>
      <w:r>
        <w:rPr>
          <w:rFonts w:hint="eastAsia" w:ascii="Times New Roman" w:hAnsi="Times New Roman" w:eastAsia="宋体" w:cs="Calibri"/>
          <w:bCs w:val="0"/>
          <w:color w:val="auto"/>
          <w:kern w:val="2"/>
          <w:sz w:val="28"/>
          <w:szCs w:val="28"/>
        </w:rPr>
        <w:t>4.2-6</w:t>
      </w:r>
      <w:r>
        <w:rPr>
          <w:rFonts w:ascii="Times New Roman" w:hAnsi="Times New Roman" w:eastAsia="宋体" w:cs="Calibri"/>
          <w:bCs w:val="0"/>
          <w:color w:val="auto"/>
          <w:kern w:val="2"/>
          <w:sz w:val="28"/>
          <w:szCs w:val="28"/>
        </w:rPr>
        <w:t xml:space="preserve">  危险度分级表</w:t>
      </w:r>
    </w:p>
    <w:tbl>
      <w:tblPr>
        <w:tblStyle w:val="7"/>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95"/>
        <w:gridCol w:w="2289"/>
        <w:gridCol w:w="2404"/>
        <w:gridCol w:w="2289"/>
      </w:tblGrid>
      <w:tr w14:paraId="3813A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37" w:type="pct"/>
            <w:vAlign w:val="center"/>
          </w:tcPr>
          <w:p w14:paraId="2D93DC1D">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总分值</w:t>
            </w:r>
          </w:p>
        </w:tc>
        <w:tc>
          <w:tcPr>
            <w:tcW w:w="1233" w:type="pct"/>
            <w:tcBorders>
              <w:top w:val="single" w:color="auto" w:sz="12" w:space="0"/>
              <w:bottom w:val="single" w:color="auto" w:sz="6" w:space="0"/>
              <w:right w:val="nil"/>
            </w:tcBorders>
            <w:vAlign w:val="center"/>
          </w:tcPr>
          <w:p w14:paraId="667D47FD">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≥16分</w:t>
            </w:r>
          </w:p>
        </w:tc>
        <w:tc>
          <w:tcPr>
            <w:tcW w:w="1295" w:type="pct"/>
            <w:tcBorders>
              <w:top w:val="single" w:color="auto" w:sz="12" w:space="0"/>
              <w:left w:val="nil"/>
              <w:bottom w:val="single" w:color="auto" w:sz="6" w:space="0"/>
            </w:tcBorders>
            <w:vAlign w:val="center"/>
          </w:tcPr>
          <w:p w14:paraId="3340675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15分</w:t>
            </w:r>
          </w:p>
        </w:tc>
        <w:tc>
          <w:tcPr>
            <w:tcW w:w="1233" w:type="pct"/>
            <w:vAlign w:val="center"/>
          </w:tcPr>
          <w:p w14:paraId="02D84777">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≤10分</w:t>
            </w:r>
          </w:p>
        </w:tc>
      </w:tr>
      <w:tr w14:paraId="7D3ED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1237" w:type="pct"/>
            <w:vAlign w:val="center"/>
          </w:tcPr>
          <w:p w14:paraId="19A4CA3B">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等级</w:t>
            </w:r>
          </w:p>
        </w:tc>
        <w:tc>
          <w:tcPr>
            <w:tcW w:w="1233" w:type="pct"/>
            <w:tcBorders>
              <w:top w:val="single" w:color="auto" w:sz="6" w:space="0"/>
              <w:bottom w:val="single" w:color="auto" w:sz="6" w:space="0"/>
              <w:right w:val="nil"/>
            </w:tcBorders>
            <w:vAlign w:val="center"/>
          </w:tcPr>
          <w:p w14:paraId="054B578F">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Ⅰ</w:t>
            </w:r>
          </w:p>
        </w:tc>
        <w:tc>
          <w:tcPr>
            <w:tcW w:w="1295" w:type="pct"/>
            <w:tcBorders>
              <w:top w:val="single" w:color="auto" w:sz="6" w:space="0"/>
              <w:left w:val="nil"/>
              <w:bottom w:val="single" w:color="auto" w:sz="6" w:space="0"/>
            </w:tcBorders>
            <w:vAlign w:val="center"/>
          </w:tcPr>
          <w:p w14:paraId="05CADED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Ⅱ</w:t>
            </w:r>
          </w:p>
        </w:tc>
        <w:tc>
          <w:tcPr>
            <w:tcW w:w="1233" w:type="pct"/>
            <w:vAlign w:val="center"/>
          </w:tcPr>
          <w:p w14:paraId="496FD122">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Ⅲ</w:t>
            </w:r>
          </w:p>
        </w:tc>
      </w:tr>
      <w:tr w14:paraId="03026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1237" w:type="pct"/>
            <w:vAlign w:val="center"/>
          </w:tcPr>
          <w:p w14:paraId="6FEBF544">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危险程度</w:t>
            </w:r>
          </w:p>
        </w:tc>
        <w:tc>
          <w:tcPr>
            <w:tcW w:w="1233" w:type="pct"/>
            <w:tcBorders>
              <w:top w:val="single" w:color="auto" w:sz="6" w:space="0"/>
              <w:bottom w:val="single" w:color="auto" w:sz="12" w:space="0"/>
              <w:right w:val="nil"/>
            </w:tcBorders>
            <w:vAlign w:val="center"/>
          </w:tcPr>
          <w:p w14:paraId="2A0B862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高度危险</w:t>
            </w:r>
          </w:p>
        </w:tc>
        <w:tc>
          <w:tcPr>
            <w:tcW w:w="1295" w:type="pct"/>
            <w:tcBorders>
              <w:top w:val="single" w:color="auto" w:sz="6" w:space="0"/>
              <w:left w:val="nil"/>
              <w:bottom w:val="single" w:color="auto" w:sz="12" w:space="0"/>
            </w:tcBorders>
            <w:vAlign w:val="center"/>
          </w:tcPr>
          <w:p w14:paraId="4BAA35E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中度危险</w:t>
            </w:r>
          </w:p>
        </w:tc>
        <w:tc>
          <w:tcPr>
            <w:tcW w:w="1233" w:type="pct"/>
            <w:vAlign w:val="center"/>
          </w:tcPr>
          <w:p w14:paraId="1B48046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低度危险</w:t>
            </w:r>
          </w:p>
        </w:tc>
      </w:tr>
    </w:tbl>
    <w:p w14:paraId="63795E42">
      <w:pPr>
        <w:rPr>
          <w:rFonts w:ascii="Times New Roman" w:hAnsi="Times New Roman" w:eastAsia="宋体" w:cs="Calibri"/>
          <w:bCs w:val="0"/>
          <w:color w:val="auto"/>
          <w:kern w:val="2"/>
        </w:rPr>
      </w:pPr>
    </w:p>
    <w:p w14:paraId="6290BBF2">
      <w:pPr>
        <w:rPr>
          <w:rFonts w:ascii="Times New Roman" w:hAnsi="Times New Roman" w:eastAsia="宋体"/>
          <w:color w:val="auto"/>
        </w:rPr>
        <w:sectPr>
          <w:pgSz w:w="11906" w:h="16838"/>
          <w:pgMar w:top="1417" w:right="1417" w:bottom="1417" w:left="1417" w:header="907" w:footer="907" w:gutter="0"/>
          <w:pgBorders>
            <w:top w:val="none" w:sz="0" w:space="0"/>
            <w:left w:val="none" w:sz="0" w:space="0"/>
            <w:bottom w:val="none" w:sz="0" w:space="0"/>
            <w:right w:val="none" w:sz="0" w:space="0"/>
          </w:pgBorders>
          <w:pgNumType w:start="1"/>
          <w:cols w:space="720" w:num="1"/>
          <w:docGrid w:type="lines" w:linePitch="312" w:charSpace="0"/>
        </w:sectPr>
      </w:pPr>
    </w:p>
    <w:p w14:paraId="55DFE6A1">
      <w:pPr>
        <w:widowControl/>
        <w:spacing w:line="600" w:lineRule="exact"/>
        <w:jc w:val="center"/>
        <w:outlineLvl w:val="0"/>
        <w:rPr>
          <w:rFonts w:ascii="Times New Roman" w:hAnsi="Times New Roman" w:eastAsia="宋体" w:cs="Times New Roman"/>
          <w:b/>
          <w:bCs/>
          <w:color w:val="auto"/>
          <w:kern w:val="36"/>
          <w:sz w:val="32"/>
          <w:szCs w:val="32"/>
          <w:lang w:val="en-US" w:eastAsia="zh-CN" w:bidi="ar-SA"/>
        </w:rPr>
      </w:pPr>
      <w:bookmarkStart w:id="129" w:name="_Toc10875"/>
      <w:bookmarkStart w:id="130" w:name="_Toc20468422"/>
      <w:bookmarkStart w:id="131" w:name="_Toc2095"/>
      <w:bookmarkStart w:id="132" w:name="_Toc92712585"/>
      <w:bookmarkStart w:id="133" w:name="_Toc90566112"/>
      <w:bookmarkStart w:id="134" w:name="_Toc2146"/>
      <w:r>
        <w:rPr>
          <w:rFonts w:ascii="Times New Roman" w:hAnsi="Times New Roman" w:eastAsia="宋体" w:cs="Times New Roman"/>
          <w:b/>
          <w:bCs/>
          <w:color w:val="auto"/>
          <w:kern w:val="36"/>
          <w:sz w:val="32"/>
          <w:szCs w:val="32"/>
          <w:lang w:val="en-US" w:eastAsia="zh-CN" w:bidi="ar-SA"/>
        </w:rPr>
        <w:t xml:space="preserve">5 </w:t>
      </w:r>
      <w:r>
        <w:rPr>
          <w:rFonts w:hint="eastAsia" w:ascii="Times New Roman" w:hAnsi="Times New Roman" w:eastAsia="宋体" w:cs="Times New Roman"/>
          <w:b/>
          <w:bCs/>
          <w:color w:val="auto"/>
          <w:kern w:val="36"/>
          <w:sz w:val="32"/>
          <w:szCs w:val="32"/>
          <w:lang w:val="en-US" w:eastAsia="zh-CN" w:bidi="ar-SA"/>
        </w:rPr>
        <w:t>定性、定量评价</w:t>
      </w:r>
      <w:bookmarkEnd w:id="129"/>
      <w:bookmarkEnd w:id="130"/>
      <w:bookmarkEnd w:id="131"/>
      <w:bookmarkEnd w:id="132"/>
      <w:bookmarkEnd w:id="133"/>
      <w:bookmarkEnd w:id="134"/>
    </w:p>
    <w:p w14:paraId="7CB541F5">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35" w:name="_Toc4733"/>
      <w:bookmarkStart w:id="136" w:name="_Toc25365"/>
      <w:bookmarkStart w:id="137" w:name="_Toc24115"/>
      <w:bookmarkStart w:id="138" w:name="_Toc20468423"/>
      <w:bookmarkStart w:id="139" w:name="_Toc3486"/>
      <w:bookmarkStart w:id="140" w:name="_Toc21479"/>
      <w:bookmarkStart w:id="141" w:name="_Toc343692262"/>
      <w:bookmarkStart w:id="142" w:name="_Toc92712586"/>
      <w:r>
        <w:rPr>
          <w:rFonts w:ascii="Times New Roman" w:hAnsi="Times New Roman" w:eastAsia="宋体" w:cs="Times New Roman"/>
          <w:b/>
          <w:bCs/>
          <w:color w:val="auto"/>
          <w:kern w:val="0"/>
          <w:sz w:val="30"/>
          <w:szCs w:val="30"/>
          <w:lang w:val="en-US" w:eastAsia="zh-CN" w:bidi="ar-SA"/>
        </w:rPr>
        <w:t>5.1 作业条件危险性评价法（</w:t>
      </w:r>
      <w:r>
        <w:rPr>
          <w:rFonts w:hint="eastAsia" w:ascii="Times New Roman" w:hAnsi="Times New Roman" w:eastAsia="宋体" w:cs="Times New Roman"/>
          <w:b/>
          <w:bCs/>
          <w:color w:val="auto"/>
          <w:kern w:val="0"/>
          <w:sz w:val="30"/>
          <w:szCs w:val="30"/>
          <w:lang w:val="en-US" w:eastAsia="zh-CN" w:bidi="ar-SA"/>
        </w:rPr>
        <w:t>D＝</w:t>
      </w:r>
      <w:r>
        <w:rPr>
          <w:rFonts w:ascii="Times New Roman" w:hAnsi="Times New Roman" w:eastAsia="宋体" w:cs="Times New Roman"/>
          <w:b/>
          <w:bCs/>
          <w:color w:val="auto"/>
          <w:kern w:val="0"/>
          <w:sz w:val="30"/>
          <w:szCs w:val="30"/>
          <w:lang w:val="en-US" w:eastAsia="zh-CN" w:bidi="ar-SA"/>
        </w:rPr>
        <w:t>LEC）</w:t>
      </w:r>
      <w:bookmarkEnd w:id="135"/>
      <w:bookmarkEnd w:id="136"/>
      <w:bookmarkEnd w:id="137"/>
      <w:bookmarkEnd w:id="138"/>
      <w:bookmarkEnd w:id="139"/>
      <w:bookmarkEnd w:id="140"/>
      <w:bookmarkEnd w:id="141"/>
      <w:bookmarkEnd w:id="142"/>
    </w:p>
    <w:p w14:paraId="0D207C57">
      <w:pPr>
        <w:spacing w:line="560" w:lineRule="exact"/>
        <w:rPr>
          <w:rFonts w:ascii="Times New Roman" w:hAnsi="Times New Roman" w:eastAsia="宋体" w:cs="Calibri"/>
          <w:b/>
          <w:bCs/>
          <w:color w:val="auto"/>
          <w:kern w:val="2"/>
          <w:sz w:val="30"/>
          <w:szCs w:val="30"/>
        </w:rPr>
      </w:pPr>
      <w:bookmarkStart w:id="143" w:name="_Toc22504"/>
      <w:bookmarkStart w:id="144" w:name="_Toc92712587"/>
      <w:bookmarkStart w:id="145" w:name="_Toc25880"/>
      <w:bookmarkStart w:id="146" w:name="_Toc20468424"/>
      <w:bookmarkStart w:id="147" w:name="_Toc4861"/>
      <w:r>
        <w:rPr>
          <w:rFonts w:ascii="Times New Roman" w:hAnsi="Times New Roman" w:eastAsia="宋体" w:cs="Calibri"/>
          <w:b/>
          <w:bCs/>
          <w:color w:val="auto"/>
          <w:kern w:val="2"/>
          <w:sz w:val="30"/>
          <w:szCs w:val="30"/>
        </w:rPr>
        <w:t>5.1.1</w:t>
      </w:r>
      <w:r>
        <w:rPr>
          <w:rFonts w:hint="eastAsia" w:ascii="Times New Roman" w:hAnsi="Times New Roman" w:eastAsia="宋体" w:cs="Calibri"/>
          <w:b/>
          <w:bCs/>
          <w:color w:val="auto"/>
          <w:kern w:val="2"/>
          <w:sz w:val="30"/>
          <w:szCs w:val="30"/>
        </w:rPr>
        <w:t xml:space="preserve"> </w:t>
      </w:r>
      <w:r>
        <w:rPr>
          <w:rFonts w:ascii="Times New Roman" w:hAnsi="Times New Roman" w:eastAsia="宋体" w:cs="Calibri"/>
          <w:b/>
          <w:bCs/>
          <w:color w:val="auto"/>
          <w:kern w:val="2"/>
          <w:sz w:val="30"/>
          <w:szCs w:val="30"/>
        </w:rPr>
        <w:t>评价单元</w:t>
      </w:r>
      <w:bookmarkEnd w:id="143"/>
      <w:bookmarkEnd w:id="144"/>
      <w:bookmarkEnd w:id="145"/>
      <w:bookmarkEnd w:id="146"/>
      <w:bookmarkEnd w:id="147"/>
    </w:p>
    <w:p w14:paraId="29A42390">
      <w:pPr>
        <w:spacing w:line="56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spacing w:val="-6"/>
          <w:kern w:val="2"/>
          <w:sz w:val="28"/>
          <w:szCs w:val="28"/>
        </w:rPr>
        <w:t>根据本项目经营过程及分析，确定评价单元为：油罐区卸油作业、加油区加油作业、加油站内车辆道路引导作业</w:t>
      </w:r>
      <w:r>
        <w:rPr>
          <w:rFonts w:hint="eastAsia" w:ascii="Times New Roman" w:hAnsi="Times New Roman" w:eastAsia="宋体" w:cs="Calibri"/>
          <w:bCs w:val="0"/>
          <w:color w:val="auto"/>
          <w:spacing w:val="-6"/>
          <w:kern w:val="2"/>
          <w:sz w:val="28"/>
          <w:szCs w:val="28"/>
        </w:rPr>
        <w:t>、配电间</w:t>
      </w:r>
      <w:r>
        <w:rPr>
          <w:rFonts w:ascii="Times New Roman" w:hAnsi="Times New Roman" w:eastAsia="宋体" w:cs="Calibri"/>
          <w:bCs w:val="0"/>
          <w:color w:val="auto"/>
          <w:spacing w:val="-6"/>
          <w:kern w:val="2"/>
          <w:sz w:val="28"/>
          <w:szCs w:val="28"/>
        </w:rPr>
        <w:t>作业等单元。</w:t>
      </w:r>
    </w:p>
    <w:p w14:paraId="068A3030">
      <w:pPr>
        <w:spacing w:line="560" w:lineRule="exact"/>
        <w:rPr>
          <w:rFonts w:ascii="Times New Roman" w:hAnsi="Times New Roman" w:eastAsia="宋体" w:cs="Calibri"/>
          <w:b/>
          <w:bCs/>
          <w:color w:val="auto"/>
          <w:kern w:val="2"/>
          <w:sz w:val="30"/>
          <w:szCs w:val="30"/>
        </w:rPr>
      </w:pPr>
      <w:bookmarkStart w:id="148" w:name="_Toc20468425"/>
      <w:bookmarkStart w:id="149" w:name="_Toc9784"/>
      <w:bookmarkStart w:id="150" w:name="_Toc32059"/>
      <w:bookmarkStart w:id="151" w:name="_Toc23097"/>
      <w:bookmarkStart w:id="152" w:name="_Toc92712588"/>
      <w:r>
        <w:rPr>
          <w:rFonts w:ascii="Times New Roman" w:hAnsi="Times New Roman" w:eastAsia="宋体" w:cs="Calibri"/>
          <w:b/>
          <w:bCs/>
          <w:color w:val="auto"/>
          <w:kern w:val="2"/>
          <w:sz w:val="30"/>
          <w:szCs w:val="30"/>
        </w:rPr>
        <w:t>5.1.2</w:t>
      </w:r>
      <w:r>
        <w:rPr>
          <w:rFonts w:hint="eastAsia" w:ascii="Times New Roman" w:hAnsi="Times New Roman" w:eastAsia="宋体" w:cs="Calibri"/>
          <w:b/>
          <w:bCs/>
          <w:color w:val="auto"/>
          <w:kern w:val="2"/>
          <w:sz w:val="30"/>
          <w:szCs w:val="30"/>
        </w:rPr>
        <w:t xml:space="preserve"> </w:t>
      </w:r>
      <w:r>
        <w:rPr>
          <w:rFonts w:ascii="Times New Roman" w:hAnsi="Times New Roman" w:eastAsia="宋体" w:cs="Calibri"/>
          <w:b/>
          <w:bCs/>
          <w:color w:val="auto"/>
          <w:kern w:val="2"/>
          <w:sz w:val="30"/>
          <w:szCs w:val="30"/>
        </w:rPr>
        <w:t>作业条件危险性评价法的计算结果</w:t>
      </w:r>
      <w:bookmarkEnd w:id="148"/>
      <w:bookmarkEnd w:id="149"/>
      <w:bookmarkEnd w:id="150"/>
      <w:bookmarkEnd w:id="151"/>
      <w:bookmarkEnd w:id="152"/>
    </w:p>
    <w:p w14:paraId="380A6771">
      <w:pPr>
        <w:spacing w:line="56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各单元计算结果及等级划分见表5</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-1。</w:t>
      </w:r>
    </w:p>
    <w:p w14:paraId="3C18F20A">
      <w:pPr>
        <w:spacing w:line="56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以</w:t>
      </w:r>
      <w:r>
        <w:rPr>
          <w:rFonts w:hint="eastAsia" w:ascii="Times New Roman" w:hAnsi="Times New Roman" w:eastAsia="宋体" w:cs="Calibri"/>
          <w:bCs w:val="0"/>
          <w:color w:val="auto"/>
          <w:kern w:val="2"/>
          <w:sz w:val="28"/>
          <w:szCs w:val="28"/>
        </w:rPr>
        <w:t>卸</w:t>
      </w:r>
      <w:r>
        <w:rPr>
          <w:rFonts w:ascii="Times New Roman" w:hAnsi="Times New Roman" w:eastAsia="宋体" w:cs="Calibri"/>
          <w:bCs w:val="0"/>
          <w:color w:val="auto"/>
          <w:kern w:val="2"/>
          <w:sz w:val="28"/>
          <w:szCs w:val="28"/>
        </w:rPr>
        <w:t>油作业单元为例说明LEC法的取值及计算过程。</w:t>
      </w:r>
    </w:p>
    <w:p w14:paraId="49C73E22">
      <w:pPr>
        <w:spacing w:line="56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①</w:t>
      </w:r>
      <w:r>
        <w:rPr>
          <w:rFonts w:ascii="Times New Roman" w:hAnsi="Times New Roman" w:eastAsia="宋体" w:cs="Calibri"/>
          <w:bCs w:val="0"/>
          <w:color w:val="auto"/>
          <w:kern w:val="2"/>
          <w:sz w:val="28"/>
          <w:szCs w:val="28"/>
        </w:rPr>
        <w:t>事故发生的可能性L：在接卸油品作业操作过程中，由于物质为易燃液体，遇到火源可能发生火灾、爆炸事故，</w:t>
      </w:r>
      <w:r>
        <w:rPr>
          <w:rFonts w:ascii="Times New Roman" w:hAnsi="Times New Roman" w:eastAsia="宋体" w:cs="Calibri"/>
          <w:bCs w:val="0"/>
          <w:color w:val="auto"/>
          <w:spacing w:val="-6"/>
          <w:kern w:val="2"/>
          <w:sz w:val="28"/>
          <w:szCs w:val="28"/>
        </w:rPr>
        <w:t>但在安全设施完备、严格按规程作业时一般不会发生事故，故属“</w:t>
      </w:r>
      <w:r>
        <w:rPr>
          <w:rFonts w:hint="eastAsia" w:ascii="Times New Roman" w:hAnsi="Times New Roman" w:eastAsia="宋体" w:cs="Calibri"/>
          <w:bCs w:val="0"/>
          <w:color w:val="auto"/>
          <w:spacing w:val="-6"/>
          <w:kern w:val="2"/>
          <w:sz w:val="28"/>
          <w:szCs w:val="28"/>
        </w:rPr>
        <w:t>可能性小，完全意外</w:t>
      </w:r>
      <w:r>
        <w:rPr>
          <w:rFonts w:ascii="Times New Roman" w:hAnsi="Times New Roman" w:eastAsia="宋体" w:cs="Calibri"/>
          <w:bCs w:val="0"/>
          <w:color w:val="auto"/>
          <w:spacing w:val="-6"/>
          <w:kern w:val="2"/>
          <w:sz w:val="28"/>
          <w:szCs w:val="28"/>
        </w:rPr>
        <w:t>”，故其分值L＝</w:t>
      </w:r>
      <w:r>
        <w:rPr>
          <w:rFonts w:hint="eastAsia" w:ascii="Times New Roman" w:hAnsi="Times New Roman" w:eastAsia="宋体" w:cs="Calibri"/>
          <w:bCs w:val="0"/>
          <w:color w:val="auto"/>
          <w:spacing w:val="-6"/>
          <w:kern w:val="2"/>
          <w:sz w:val="28"/>
          <w:szCs w:val="28"/>
        </w:rPr>
        <w:t>1</w:t>
      </w:r>
      <w:r>
        <w:rPr>
          <w:rFonts w:ascii="Times New Roman" w:hAnsi="Times New Roman" w:eastAsia="宋体" w:cs="Calibri"/>
          <w:bCs w:val="0"/>
          <w:color w:val="auto"/>
          <w:spacing w:val="-6"/>
          <w:kern w:val="2"/>
          <w:sz w:val="28"/>
          <w:szCs w:val="28"/>
        </w:rPr>
        <w:t>；</w:t>
      </w:r>
    </w:p>
    <w:p w14:paraId="2378D93E">
      <w:pPr>
        <w:spacing w:line="560" w:lineRule="exact"/>
        <w:ind w:firstLine="570"/>
        <w:rPr>
          <w:rFonts w:ascii="Times New Roman" w:hAnsi="Times New Roman" w:eastAsia="宋体" w:cs="Calibri"/>
          <w:bCs w:val="0"/>
          <w:color w:val="auto"/>
          <w:spacing w:val="-11"/>
          <w:kern w:val="2"/>
          <w:sz w:val="28"/>
          <w:szCs w:val="28"/>
        </w:rPr>
      </w:pPr>
      <w:r>
        <w:rPr>
          <w:rFonts w:hint="eastAsia" w:ascii="Times New Roman" w:hAnsi="Times New Roman" w:eastAsia="宋体" w:cs="Calibri"/>
          <w:bCs w:val="0"/>
          <w:color w:val="auto"/>
          <w:spacing w:val="-11"/>
          <w:kern w:val="2"/>
          <w:sz w:val="28"/>
          <w:szCs w:val="28"/>
        </w:rPr>
        <w:t>②</w:t>
      </w:r>
      <w:r>
        <w:rPr>
          <w:rFonts w:ascii="Times New Roman" w:hAnsi="Times New Roman" w:eastAsia="宋体" w:cs="Calibri"/>
          <w:bCs w:val="0"/>
          <w:color w:val="auto"/>
          <w:spacing w:val="-11"/>
          <w:kern w:val="2"/>
          <w:sz w:val="28"/>
          <w:szCs w:val="28"/>
        </w:rPr>
        <w:t>暴露于危险环境的频繁程度E：员工每周1次作业或偶然暴露，故取E＝3；</w:t>
      </w:r>
    </w:p>
    <w:p w14:paraId="2819792E">
      <w:pPr>
        <w:spacing w:line="56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③</w:t>
      </w:r>
      <w:r>
        <w:rPr>
          <w:rFonts w:ascii="Times New Roman" w:hAnsi="Times New Roman" w:eastAsia="宋体" w:cs="Calibri"/>
          <w:bCs w:val="0"/>
          <w:color w:val="auto"/>
          <w:kern w:val="2"/>
          <w:sz w:val="28"/>
          <w:szCs w:val="28"/>
        </w:rPr>
        <w:t>发生事故产生的后果C：发生火灾、爆炸事故，可能造成人员死亡或重大的财产损失。故取C＝15；D＝L×E×C＝</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×3×15＝</w:t>
      </w:r>
      <w:r>
        <w:rPr>
          <w:rFonts w:hint="eastAsia" w:ascii="Times New Roman" w:hAnsi="Times New Roman" w:eastAsia="宋体" w:cs="Calibri"/>
          <w:bCs w:val="0"/>
          <w:color w:val="auto"/>
          <w:kern w:val="2"/>
          <w:sz w:val="28"/>
          <w:szCs w:val="28"/>
        </w:rPr>
        <w:t>4</w:t>
      </w:r>
      <w:r>
        <w:rPr>
          <w:rFonts w:ascii="Times New Roman" w:hAnsi="Times New Roman" w:eastAsia="宋体" w:cs="Calibri"/>
          <w:bCs w:val="0"/>
          <w:color w:val="auto"/>
          <w:kern w:val="2"/>
          <w:sz w:val="28"/>
          <w:szCs w:val="28"/>
        </w:rPr>
        <w:t>5。</w:t>
      </w:r>
    </w:p>
    <w:p w14:paraId="7FC80F3C">
      <w:pPr>
        <w:spacing w:line="56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④</w:t>
      </w:r>
      <w:r>
        <w:rPr>
          <w:rFonts w:ascii="Times New Roman" w:hAnsi="Times New Roman" w:eastAsia="宋体" w:cs="Calibri"/>
          <w:bCs w:val="0"/>
          <w:color w:val="auto"/>
          <w:kern w:val="2"/>
          <w:sz w:val="28"/>
          <w:szCs w:val="28"/>
        </w:rPr>
        <w:t>结论：储罐区接卸油作业</w:t>
      </w:r>
      <w:r>
        <w:rPr>
          <w:rFonts w:hint="eastAsia" w:ascii="Times New Roman" w:hAnsi="Times New Roman" w:eastAsia="宋体" w:cs="Calibri"/>
          <w:bCs w:val="0"/>
          <w:color w:val="auto"/>
          <w:kern w:val="2"/>
          <w:sz w:val="28"/>
          <w:szCs w:val="28"/>
          <w:lang w:eastAsia="zh-CN"/>
        </w:rPr>
        <w:t>属于</w:t>
      </w:r>
      <w:r>
        <w:rPr>
          <w:rFonts w:ascii="Times New Roman" w:hAnsi="Times New Roman" w:eastAsia="宋体" w:cs="Calibri"/>
          <w:bCs w:val="0"/>
          <w:color w:val="auto"/>
          <w:kern w:val="2"/>
          <w:sz w:val="28"/>
          <w:szCs w:val="28"/>
        </w:rPr>
        <w:t>“一般危险”范围。</w:t>
      </w:r>
    </w:p>
    <w:p w14:paraId="10DEBA12">
      <w:pPr>
        <w:spacing w:line="56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表5</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-1  各单元危险评价表</w:t>
      </w:r>
    </w:p>
    <w:tbl>
      <w:tblPr>
        <w:tblStyle w:val="7"/>
        <w:tblW w:w="497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84"/>
        <w:gridCol w:w="2342"/>
        <w:gridCol w:w="2984"/>
        <w:gridCol w:w="573"/>
        <w:gridCol w:w="357"/>
        <w:gridCol w:w="453"/>
        <w:gridCol w:w="688"/>
        <w:gridCol w:w="1155"/>
      </w:tblGrid>
      <w:tr w14:paraId="2CC86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tblHeader/>
          <w:jc w:val="center"/>
        </w:trPr>
        <w:tc>
          <w:tcPr>
            <w:tcW w:w="370" w:type="pct"/>
            <w:vAlign w:val="center"/>
          </w:tcPr>
          <w:p w14:paraId="56E34399">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1267" w:type="pct"/>
            <w:vAlign w:val="center"/>
          </w:tcPr>
          <w:p w14:paraId="2E83A4E5">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评价单元</w:t>
            </w:r>
          </w:p>
        </w:tc>
        <w:tc>
          <w:tcPr>
            <w:tcW w:w="1614" w:type="pct"/>
            <w:vAlign w:val="center"/>
          </w:tcPr>
          <w:p w14:paraId="3F5E314C">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危险类别</w:t>
            </w:r>
          </w:p>
        </w:tc>
        <w:tc>
          <w:tcPr>
            <w:tcW w:w="310" w:type="pct"/>
            <w:vAlign w:val="center"/>
          </w:tcPr>
          <w:p w14:paraId="76CE2032">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L</w:t>
            </w:r>
          </w:p>
        </w:tc>
        <w:tc>
          <w:tcPr>
            <w:tcW w:w="193" w:type="pct"/>
            <w:vAlign w:val="center"/>
          </w:tcPr>
          <w:p w14:paraId="19DD42E5">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E</w:t>
            </w:r>
          </w:p>
        </w:tc>
        <w:tc>
          <w:tcPr>
            <w:tcW w:w="245" w:type="pct"/>
            <w:vAlign w:val="center"/>
          </w:tcPr>
          <w:p w14:paraId="47559C40">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C</w:t>
            </w:r>
          </w:p>
        </w:tc>
        <w:tc>
          <w:tcPr>
            <w:tcW w:w="372" w:type="pct"/>
            <w:vAlign w:val="center"/>
          </w:tcPr>
          <w:p w14:paraId="3F3DA766">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D</w:t>
            </w:r>
          </w:p>
        </w:tc>
        <w:tc>
          <w:tcPr>
            <w:tcW w:w="625" w:type="pct"/>
            <w:tcBorders>
              <w:bottom w:val="single" w:color="auto" w:sz="6" w:space="0"/>
            </w:tcBorders>
            <w:vAlign w:val="center"/>
          </w:tcPr>
          <w:p w14:paraId="02149214">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危险程度</w:t>
            </w:r>
          </w:p>
        </w:tc>
      </w:tr>
      <w:tr w14:paraId="06513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restart"/>
            <w:shd w:val="clear" w:color="auto" w:fill="auto"/>
            <w:vAlign w:val="center"/>
          </w:tcPr>
          <w:p w14:paraId="0398B8F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267" w:type="pct"/>
            <w:vMerge w:val="restart"/>
            <w:shd w:val="clear" w:color="auto" w:fill="auto"/>
            <w:vAlign w:val="center"/>
          </w:tcPr>
          <w:p w14:paraId="7F31441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油罐区卸油</w:t>
            </w:r>
            <w:r>
              <w:rPr>
                <w:rFonts w:hint="eastAsia" w:ascii="Times New Roman" w:hAnsi="Times New Roman" w:eastAsia="宋体" w:cs="Calibri"/>
                <w:bCs w:val="0"/>
                <w:color w:val="auto"/>
                <w:kern w:val="2"/>
              </w:rPr>
              <w:t>、巡检</w:t>
            </w:r>
            <w:r>
              <w:rPr>
                <w:rFonts w:ascii="Times New Roman" w:hAnsi="Times New Roman" w:eastAsia="宋体" w:cs="Calibri"/>
                <w:bCs w:val="0"/>
                <w:color w:val="auto"/>
                <w:kern w:val="2"/>
              </w:rPr>
              <w:t>作业</w:t>
            </w:r>
          </w:p>
        </w:tc>
        <w:tc>
          <w:tcPr>
            <w:tcW w:w="1614" w:type="pct"/>
            <w:shd w:val="clear" w:color="auto" w:fill="auto"/>
            <w:vAlign w:val="center"/>
          </w:tcPr>
          <w:p w14:paraId="3F8E542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火灾，爆炸</w:t>
            </w:r>
          </w:p>
        </w:tc>
        <w:tc>
          <w:tcPr>
            <w:tcW w:w="310" w:type="pct"/>
            <w:shd w:val="clear" w:color="auto" w:fill="auto"/>
            <w:vAlign w:val="center"/>
          </w:tcPr>
          <w:p w14:paraId="27A73469">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193" w:type="pct"/>
            <w:shd w:val="clear" w:color="auto" w:fill="auto"/>
            <w:vAlign w:val="center"/>
          </w:tcPr>
          <w:p w14:paraId="69B7FBA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245" w:type="pct"/>
            <w:shd w:val="clear" w:color="auto" w:fill="auto"/>
            <w:vAlign w:val="center"/>
          </w:tcPr>
          <w:p w14:paraId="309AFCEF">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15</w:t>
            </w:r>
          </w:p>
        </w:tc>
        <w:tc>
          <w:tcPr>
            <w:tcW w:w="372" w:type="pct"/>
            <w:shd w:val="clear" w:color="auto" w:fill="auto"/>
            <w:vAlign w:val="center"/>
          </w:tcPr>
          <w:p w14:paraId="3562C9D6">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w:t>
            </w:r>
            <w:r>
              <w:rPr>
                <w:rFonts w:ascii="Times New Roman" w:hAnsi="Times New Roman" w:eastAsia="宋体" w:cs="Calibri"/>
                <w:bCs w:val="0"/>
                <w:color w:val="auto"/>
                <w:kern w:val="2"/>
              </w:rPr>
              <w:t>5</w:t>
            </w:r>
          </w:p>
        </w:tc>
        <w:tc>
          <w:tcPr>
            <w:tcW w:w="625" w:type="pct"/>
            <w:tcBorders>
              <w:top w:val="single" w:color="auto" w:sz="6" w:space="0"/>
              <w:bottom w:val="single" w:color="auto" w:sz="6" w:space="0"/>
            </w:tcBorders>
            <w:shd w:val="clear" w:color="auto" w:fill="0000FF"/>
            <w:vAlign w:val="center"/>
          </w:tcPr>
          <w:p w14:paraId="4BBC320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一般危险</w:t>
            </w:r>
          </w:p>
        </w:tc>
      </w:tr>
      <w:tr w14:paraId="6CC66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continue"/>
            <w:shd w:val="clear" w:color="auto" w:fill="auto"/>
            <w:vAlign w:val="center"/>
          </w:tcPr>
          <w:p w14:paraId="3C8C0AF2">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78BAB5F5">
            <w:pPr>
              <w:jc w:val="center"/>
              <w:rPr>
                <w:rFonts w:ascii="Times New Roman" w:hAnsi="Times New Roman" w:eastAsia="宋体" w:cs="Calibri"/>
                <w:bCs w:val="0"/>
                <w:color w:val="auto"/>
                <w:kern w:val="2"/>
              </w:rPr>
            </w:pPr>
          </w:p>
        </w:tc>
        <w:tc>
          <w:tcPr>
            <w:tcW w:w="1614" w:type="pct"/>
            <w:shd w:val="clear" w:color="auto" w:fill="auto"/>
            <w:vAlign w:val="center"/>
          </w:tcPr>
          <w:p w14:paraId="1969DDBB">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厂(场)内车辆致害</w:t>
            </w:r>
          </w:p>
        </w:tc>
        <w:tc>
          <w:tcPr>
            <w:tcW w:w="310" w:type="pct"/>
            <w:shd w:val="clear" w:color="auto" w:fill="auto"/>
            <w:vAlign w:val="center"/>
          </w:tcPr>
          <w:p w14:paraId="6FE3D952">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0.5</w:t>
            </w:r>
          </w:p>
        </w:tc>
        <w:tc>
          <w:tcPr>
            <w:tcW w:w="193" w:type="pct"/>
            <w:shd w:val="clear" w:color="auto" w:fill="auto"/>
            <w:vAlign w:val="center"/>
          </w:tcPr>
          <w:p w14:paraId="2C661D5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245" w:type="pct"/>
            <w:shd w:val="clear" w:color="auto" w:fill="auto"/>
            <w:vAlign w:val="center"/>
          </w:tcPr>
          <w:p w14:paraId="0BE67AD6">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15</w:t>
            </w:r>
          </w:p>
        </w:tc>
        <w:tc>
          <w:tcPr>
            <w:tcW w:w="372" w:type="pct"/>
            <w:shd w:val="clear" w:color="auto" w:fill="auto"/>
            <w:vAlign w:val="center"/>
          </w:tcPr>
          <w:p w14:paraId="46BA0418">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22.</w:t>
            </w:r>
            <w:r>
              <w:rPr>
                <w:rFonts w:ascii="Times New Roman" w:hAnsi="Times New Roman" w:eastAsia="宋体" w:cs="Calibri"/>
                <w:bCs w:val="0"/>
                <w:color w:val="auto"/>
                <w:kern w:val="2"/>
              </w:rPr>
              <w:t>5</w:t>
            </w:r>
          </w:p>
        </w:tc>
        <w:tc>
          <w:tcPr>
            <w:tcW w:w="625" w:type="pct"/>
            <w:tcBorders>
              <w:top w:val="single" w:color="auto" w:sz="6" w:space="0"/>
              <w:bottom w:val="single" w:color="auto" w:sz="12" w:space="0"/>
            </w:tcBorders>
            <w:shd w:val="clear" w:color="auto" w:fill="0000FF"/>
            <w:vAlign w:val="center"/>
          </w:tcPr>
          <w:p w14:paraId="19D6E48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一般危险</w:t>
            </w:r>
          </w:p>
        </w:tc>
      </w:tr>
      <w:tr w14:paraId="55580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jc w:val="center"/>
        </w:trPr>
        <w:tc>
          <w:tcPr>
            <w:tcW w:w="370" w:type="pct"/>
            <w:vMerge w:val="continue"/>
            <w:shd w:val="clear" w:color="auto" w:fill="auto"/>
            <w:vAlign w:val="center"/>
          </w:tcPr>
          <w:p w14:paraId="3FCDA9C4">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0165DE72">
            <w:pPr>
              <w:jc w:val="center"/>
              <w:rPr>
                <w:rFonts w:ascii="Times New Roman" w:hAnsi="Times New Roman" w:eastAsia="宋体" w:cs="Calibri"/>
                <w:bCs w:val="0"/>
                <w:color w:val="auto"/>
                <w:kern w:val="2"/>
              </w:rPr>
            </w:pPr>
          </w:p>
        </w:tc>
        <w:tc>
          <w:tcPr>
            <w:tcW w:w="1614" w:type="pct"/>
            <w:shd w:val="clear" w:color="auto" w:fill="auto"/>
            <w:vAlign w:val="center"/>
          </w:tcPr>
          <w:p w14:paraId="2AD5A4F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中毒</w:t>
            </w:r>
          </w:p>
        </w:tc>
        <w:tc>
          <w:tcPr>
            <w:tcW w:w="310" w:type="pct"/>
            <w:shd w:val="clear" w:color="auto" w:fill="auto"/>
            <w:vAlign w:val="center"/>
          </w:tcPr>
          <w:p w14:paraId="5AAA972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0.5</w:t>
            </w:r>
          </w:p>
        </w:tc>
        <w:tc>
          <w:tcPr>
            <w:tcW w:w="193" w:type="pct"/>
            <w:shd w:val="clear" w:color="auto" w:fill="auto"/>
            <w:vAlign w:val="center"/>
          </w:tcPr>
          <w:p w14:paraId="3026C3C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245" w:type="pct"/>
            <w:shd w:val="clear" w:color="auto" w:fill="auto"/>
            <w:vAlign w:val="center"/>
          </w:tcPr>
          <w:p w14:paraId="5ADC274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w:t>
            </w:r>
          </w:p>
        </w:tc>
        <w:tc>
          <w:tcPr>
            <w:tcW w:w="372" w:type="pct"/>
            <w:shd w:val="clear" w:color="auto" w:fill="auto"/>
            <w:vAlign w:val="center"/>
          </w:tcPr>
          <w:p w14:paraId="00567F22">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10.5</w:t>
            </w:r>
          </w:p>
        </w:tc>
        <w:tc>
          <w:tcPr>
            <w:tcW w:w="625" w:type="pct"/>
            <w:tcBorders>
              <w:top w:val="single" w:color="auto" w:sz="12" w:space="0"/>
              <w:bottom w:val="single" w:color="auto" w:sz="6" w:space="0"/>
            </w:tcBorders>
            <w:shd w:val="clear" w:color="auto" w:fill="99CCFF"/>
            <w:vAlign w:val="center"/>
          </w:tcPr>
          <w:p w14:paraId="5EE2A32D">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w:t>
            </w:r>
          </w:p>
        </w:tc>
      </w:tr>
      <w:tr w14:paraId="224E7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continue"/>
            <w:shd w:val="clear" w:color="auto" w:fill="auto"/>
            <w:vAlign w:val="center"/>
          </w:tcPr>
          <w:p w14:paraId="4C92DDB8">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7E24B7B5">
            <w:pPr>
              <w:jc w:val="center"/>
              <w:rPr>
                <w:rFonts w:ascii="Times New Roman" w:hAnsi="Times New Roman" w:eastAsia="宋体" w:cs="Calibri"/>
                <w:bCs w:val="0"/>
                <w:color w:val="auto"/>
                <w:kern w:val="2"/>
              </w:rPr>
            </w:pPr>
          </w:p>
        </w:tc>
        <w:tc>
          <w:tcPr>
            <w:tcW w:w="1614" w:type="pct"/>
            <w:shd w:val="clear" w:color="auto" w:fill="auto"/>
            <w:vAlign w:val="center"/>
          </w:tcPr>
          <w:p w14:paraId="7E165CB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物体打击</w:t>
            </w:r>
          </w:p>
        </w:tc>
        <w:tc>
          <w:tcPr>
            <w:tcW w:w="310" w:type="pct"/>
            <w:shd w:val="clear" w:color="auto" w:fill="auto"/>
            <w:vAlign w:val="center"/>
          </w:tcPr>
          <w:p w14:paraId="3CE3692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0.5</w:t>
            </w:r>
          </w:p>
        </w:tc>
        <w:tc>
          <w:tcPr>
            <w:tcW w:w="193" w:type="pct"/>
            <w:shd w:val="clear" w:color="auto" w:fill="auto"/>
            <w:vAlign w:val="center"/>
          </w:tcPr>
          <w:p w14:paraId="0F2A87B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245" w:type="pct"/>
            <w:shd w:val="clear" w:color="auto" w:fill="auto"/>
            <w:vAlign w:val="center"/>
          </w:tcPr>
          <w:p w14:paraId="68EBBB87">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72" w:type="pct"/>
            <w:shd w:val="clear" w:color="auto" w:fill="auto"/>
            <w:vAlign w:val="center"/>
          </w:tcPr>
          <w:p w14:paraId="32232FD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4.5</w:t>
            </w:r>
          </w:p>
        </w:tc>
        <w:tc>
          <w:tcPr>
            <w:tcW w:w="625" w:type="pct"/>
            <w:tcBorders>
              <w:top w:val="single" w:color="auto" w:sz="6" w:space="0"/>
              <w:bottom w:val="single" w:color="auto" w:sz="6" w:space="0"/>
            </w:tcBorders>
            <w:shd w:val="clear" w:color="auto" w:fill="99CCFF"/>
            <w:vAlign w:val="center"/>
          </w:tcPr>
          <w:p w14:paraId="67AA307D">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w:t>
            </w:r>
          </w:p>
        </w:tc>
      </w:tr>
      <w:tr w14:paraId="60101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restart"/>
            <w:shd w:val="clear" w:color="auto" w:fill="auto"/>
            <w:vAlign w:val="center"/>
          </w:tcPr>
          <w:p w14:paraId="04D61D92">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w:t>
            </w:r>
          </w:p>
        </w:tc>
        <w:tc>
          <w:tcPr>
            <w:tcW w:w="1267" w:type="pct"/>
            <w:vMerge w:val="restart"/>
            <w:shd w:val="clear" w:color="auto" w:fill="auto"/>
            <w:vAlign w:val="center"/>
          </w:tcPr>
          <w:p w14:paraId="582F6F8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加油区加油作业</w:t>
            </w:r>
          </w:p>
        </w:tc>
        <w:tc>
          <w:tcPr>
            <w:tcW w:w="1614" w:type="pct"/>
            <w:shd w:val="clear" w:color="auto" w:fill="auto"/>
            <w:vAlign w:val="center"/>
          </w:tcPr>
          <w:p w14:paraId="03BBCA0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火灾，爆炸</w:t>
            </w:r>
          </w:p>
        </w:tc>
        <w:tc>
          <w:tcPr>
            <w:tcW w:w="310" w:type="pct"/>
            <w:shd w:val="clear" w:color="auto" w:fill="auto"/>
            <w:vAlign w:val="center"/>
          </w:tcPr>
          <w:p w14:paraId="5CB52648">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193" w:type="pct"/>
            <w:shd w:val="clear" w:color="auto" w:fill="auto"/>
            <w:vAlign w:val="center"/>
          </w:tcPr>
          <w:p w14:paraId="6AE98BD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0167CF0D">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7</w:t>
            </w:r>
          </w:p>
        </w:tc>
        <w:tc>
          <w:tcPr>
            <w:tcW w:w="372" w:type="pct"/>
            <w:shd w:val="clear" w:color="auto" w:fill="auto"/>
            <w:vAlign w:val="center"/>
          </w:tcPr>
          <w:p w14:paraId="520D7024">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42</w:t>
            </w:r>
          </w:p>
        </w:tc>
        <w:tc>
          <w:tcPr>
            <w:tcW w:w="625" w:type="pct"/>
            <w:tcBorders>
              <w:top w:val="single" w:color="auto" w:sz="6" w:space="0"/>
              <w:bottom w:val="single" w:color="auto" w:sz="12" w:space="0"/>
            </w:tcBorders>
            <w:shd w:val="clear" w:color="auto" w:fill="0000FF"/>
            <w:vAlign w:val="center"/>
          </w:tcPr>
          <w:p w14:paraId="67EE912F">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一般危险</w:t>
            </w:r>
          </w:p>
        </w:tc>
      </w:tr>
      <w:tr w14:paraId="73D23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jc w:val="center"/>
        </w:trPr>
        <w:tc>
          <w:tcPr>
            <w:tcW w:w="370" w:type="pct"/>
            <w:vMerge w:val="continue"/>
            <w:shd w:val="clear" w:color="auto" w:fill="auto"/>
            <w:vAlign w:val="center"/>
          </w:tcPr>
          <w:p w14:paraId="253EEEF6">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23F2B14C">
            <w:pPr>
              <w:jc w:val="center"/>
              <w:rPr>
                <w:rFonts w:ascii="Times New Roman" w:hAnsi="Times New Roman" w:eastAsia="宋体" w:cs="Calibri"/>
                <w:bCs w:val="0"/>
                <w:color w:val="auto"/>
                <w:kern w:val="2"/>
              </w:rPr>
            </w:pPr>
          </w:p>
        </w:tc>
        <w:tc>
          <w:tcPr>
            <w:tcW w:w="1614" w:type="pct"/>
            <w:shd w:val="clear" w:color="auto" w:fill="auto"/>
            <w:vAlign w:val="center"/>
          </w:tcPr>
          <w:p w14:paraId="62967B1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中毒</w:t>
            </w:r>
          </w:p>
        </w:tc>
        <w:tc>
          <w:tcPr>
            <w:tcW w:w="310" w:type="pct"/>
            <w:shd w:val="clear" w:color="auto" w:fill="auto"/>
            <w:vAlign w:val="center"/>
          </w:tcPr>
          <w:p w14:paraId="6439C60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0.5</w:t>
            </w:r>
          </w:p>
        </w:tc>
        <w:tc>
          <w:tcPr>
            <w:tcW w:w="193" w:type="pct"/>
            <w:shd w:val="clear" w:color="auto" w:fill="auto"/>
            <w:vAlign w:val="center"/>
          </w:tcPr>
          <w:p w14:paraId="0676542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5EE4951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72" w:type="pct"/>
            <w:shd w:val="clear" w:color="auto" w:fill="auto"/>
            <w:vAlign w:val="center"/>
          </w:tcPr>
          <w:p w14:paraId="14E3E682">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9</w:t>
            </w:r>
          </w:p>
        </w:tc>
        <w:tc>
          <w:tcPr>
            <w:tcW w:w="625" w:type="pct"/>
            <w:tcBorders>
              <w:top w:val="single" w:color="auto" w:sz="12" w:space="0"/>
              <w:bottom w:val="single" w:color="auto" w:sz="6" w:space="0"/>
            </w:tcBorders>
            <w:shd w:val="clear" w:color="auto" w:fill="99CCFF"/>
            <w:vAlign w:val="center"/>
          </w:tcPr>
          <w:p w14:paraId="75AD35C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w:t>
            </w:r>
          </w:p>
        </w:tc>
      </w:tr>
      <w:tr w14:paraId="3BF46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continue"/>
            <w:shd w:val="clear" w:color="auto" w:fill="auto"/>
            <w:vAlign w:val="center"/>
          </w:tcPr>
          <w:p w14:paraId="20947851">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299C8414">
            <w:pPr>
              <w:jc w:val="center"/>
              <w:rPr>
                <w:rFonts w:ascii="Times New Roman" w:hAnsi="Times New Roman" w:eastAsia="宋体" w:cs="Calibri"/>
                <w:bCs w:val="0"/>
                <w:color w:val="auto"/>
                <w:kern w:val="2"/>
              </w:rPr>
            </w:pPr>
          </w:p>
        </w:tc>
        <w:tc>
          <w:tcPr>
            <w:tcW w:w="1614" w:type="pct"/>
            <w:shd w:val="clear" w:color="auto" w:fill="auto"/>
            <w:vAlign w:val="center"/>
          </w:tcPr>
          <w:p w14:paraId="21220DF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物体打击</w:t>
            </w:r>
          </w:p>
        </w:tc>
        <w:tc>
          <w:tcPr>
            <w:tcW w:w="310" w:type="pct"/>
            <w:shd w:val="clear" w:color="auto" w:fill="auto"/>
            <w:vAlign w:val="center"/>
          </w:tcPr>
          <w:p w14:paraId="23CCB6E8">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0.5</w:t>
            </w:r>
          </w:p>
        </w:tc>
        <w:tc>
          <w:tcPr>
            <w:tcW w:w="193" w:type="pct"/>
            <w:shd w:val="clear" w:color="auto" w:fill="auto"/>
            <w:vAlign w:val="center"/>
          </w:tcPr>
          <w:p w14:paraId="7C045D95">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53CC749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72" w:type="pct"/>
            <w:shd w:val="clear" w:color="auto" w:fill="auto"/>
            <w:vAlign w:val="center"/>
          </w:tcPr>
          <w:p w14:paraId="0F40F842">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9</w:t>
            </w:r>
          </w:p>
        </w:tc>
        <w:tc>
          <w:tcPr>
            <w:tcW w:w="625" w:type="pct"/>
            <w:tcBorders>
              <w:top w:val="single" w:color="auto" w:sz="6" w:space="0"/>
              <w:bottom w:val="single" w:color="auto" w:sz="6" w:space="0"/>
            </w:tcBorders>
            <w:shd w:val="clear" w:color="auto" w:fill="99CCFF"/>
            <w:vAlign w:val="center"/>
          </w:tcPr>
          <w:p w14:paraId="5E3E6EA1">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w:t>
            </w:r>
          </w:p>
        </w:tc>
      </w:tr>
      <w:tr w14:paraId="38474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continue"/>
            <w:shd w:val="clear" w:color="auto" w:fill="auto"/>
            <w:vAlign w:val="center"/>
          </w:tcPr>
          <w:p w14:paraId="5EC0ABBA">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72E43FA2">
            <w:pPr>
              <w:jc w:val="center"/>
              <w:rPr>
                <w:rFonts w:ascii="Times New Roman" w:hAnsi="Times New Roman" w:eastAsia="宋体" w:cs="Calibri"/>
                <w:bCs w:val="0"/>
                <w:color w:val="auto"/>
                <w:kern w:val="2"/>
              </w:rPr>
            </w:pPr>
          </w:p>
        </w:tc>
        <w:tc>
          <w:tcPr>
            <w:tcW w:w="1614" w:type="pct"/>
            <w:shd w:val="clear" w:color="auto" w:fill="auto"/>
            <w:vAlign w:val="center"/>
          </w:tcPr>
          <w:p w14:paraId="2E4D949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噪声</w:t>
            </w:r>
          </w:p>
        </w:tc>
        <w:tc>
          <w:tcPr>
            <w:tcW w:w="310" w:type="pct"/>
            <w:shd w:val="clear" w:color="auto" w:fill="auto"/>
            <w:vAlign w:val="center"/>
          </w:tcPr>
          <w:p w14:paraId="17F8F04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93" w:type="pct"/>
            <w:shd w:val="clear" w:color="auto" w:fill="auto"/>
            <w:vAlign w:val="center"/>
          </w:tcPr>
          <w:p w14:paraId="34D38D2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7302A29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72" w:type="pct"/>
            <w:shd w:val="clear" w:color="auto" w:fill="auto"/>
            <w:vAlign w:val="center"/>
          </w:tcPr>
          <w:p w14:paraId="4D51BB91">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18</w:t>
            </w:r>
          </w:p>
        </w:tc>
        <w:tc>
          <w:tcPr>
            <w:tcW w:w="625" w:type="pct"/>
            <w:tcBorders>
              <w:top w:val="single" w:color="auto" w:sz="6" w:space="0"/>
              <w:bottom w:val="single" w:color="auto" w:sz="6" w:space="0"/>
            </w:tcBorders>
            <w:shd w:val="clear" w:color="auto" w:fill="99CCFF"/>
            <w:vAlign w:val="center"/>
          </w:tcPr>
          <w:p w14:paraId="2C103F93">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w:t>
            </w:r>
          </w:p>
        </w:tc>
      </w:tr>
      <w:tr w14:paraId="65A4D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continue"/>
            <w:shd w:val="clear" w:color="auto" w:fill="auto"/>
            <w:vAlign w:val="center"/>
          </w:tcPr>
          <w:p w14:paraId="4FEDA828">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3D2859D5">
            <w:pPr>
              <w:jc w:val="center"/>
              <w:rPr>
                <w:rFonts w:ascii="Times New Roman" w:hAnsi="Times New Roman" w:eastAsia="宋体" w:cs="Calibri"/>
                <w:bCs w:val="0"/>
                <w:color w:val="auto"/>
                <w:kern w:val="2"/>
              </w:rPr>
            </w:pPr>
          </w:p>
        </w:tc>
        <w:tc>
          <w:tcPr>
            <w:tcW w:w="1614" w:type="pct"/>
            <w:shd w:val="clear" w:color="auto" w:fill="auto"/>
            <w:vAlign w:val="center"/>
          </w:tcPr>
          <w:p w14:paraId="035FD3A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寒冷、高温气候环境</w:t>
            </w:r>
          </w:p>
        </w:tc>
        <w:tc>
          <w:tcPr>
            <w:tcW w:w="310" w:type="pct"/>
            <w:shd w:val="clear" w:color="auto" w:fill="auto"/>
            <w:vAlign w:val="center"/>
          </w:tcPr>
          <w:p w14:paraId="54EF657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93" w:type="pct"/>
            <w:shd w:val="clear" w:color="auto" w:fill="auto"/>
            <w:vAlign w:val="center"/>
          </w:tcPr>
          <w:p w14:paraId="5C2C676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23475EB2">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372" w:type="pct"/>
            <w:shd w:val="clear" w:color="auto" w:fill="auto"/>
            <w:vAlign w:val="center"/>
          </w:tcPr>
          <w:p w14:paraId="7B6693EC">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625" w:type="pct"/>
            <w:tcBorders>
              <w:top w:val="single" w:color="auto" w:sz="6" w:space="0"/>
              <w:bottom w:val="single" w:color="auto" w:sz="6" w:space="0"/>
            </w:tcBorders>
            <w:shd w:val="clear" w:color="auto" w:fill="99CCFF"/>
            <w:vAlign w:val="center"/>
          </w:tcPr>
          <w:p w14:paraId="4DFBEC64">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稍有危险</w:t>
            </w:r>
          </w:p>
        </w:tc>
      </w:tr>
      <w:tr w14:paraId="1B67A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restart"/>
            <w:shd w:val="clear" w:color="auto" w:fill="auto"/>
            <w:vAlign w:val="center"/>
          </w:tcPr>
          <w:p w14:paraId="144D4C23">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1267" w:type="pct"/>
            <w:vMerge w:val="restart"/>
            <w:shd w:val="clear" w:color="auto" w:fill="auto"/>
            <w:vAlign w:val="center"/>
          </w:tcPr>
          <w:p w14:paraId="1147D991">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加油站内车辆道路引导作业</w:t>
            </w:r>
          </w:p>
        </w:tc>
        <w:tc>
          <w:tcPr>
            <w:tcW w:w="1614" w:type="pct"/>
            <w:shd w:val="clear" w:color="auto" w:fill="auto"/>
            <w:vAlign w:val="center"/>
          </w:tcPr>
          <w:p w14:paraId="50773026">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火灾，爆炸</w:t>
            </w:r>
          </w:p>
        </w:tc>
        <w:tc>
          <w:tcPr>
            <w:tcW w:w="310" w:type="pct"/>
            <w:shd w:val="clear" w:color="auto" w:fill="auto"/>
            <w:vAlign w:val="center"/>
          </w:tcPr>
          <w:p w14:paraId="0FBD671D">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0.5</w:t>
            </w:r>
          </w:p>
        </w:tc>
        <w:tc>
          <w:tcPr>
            <w:tcW w:w="193" w:type="pct"/>
            <w:shd w:val="clear" w:color="auto" w:fill="auto"/>
            <w:vAlign w:val="center"/>
          </w:tcPr>
          <w:p w14:paraId="5922D52E">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17FBEDC3">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w:t>
            </w:r>
          </w:p>
        </w:tc>
        <w:tc>
          <w:tcPr>
            <w:tcW w:w="372" w:type="pct"/>
            <w:shd w:val="clear" w:color="auto" w:fill="auto"/>
            <w:vAlign w:val="center"/>
          </w:tcPr>
          <w:p w14:paraId="4505CE33">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21</w:t>
            </w:r>
          </w:p>
        </w:tc>
        <w:tc>
          <w:tcPr>
            <w:tcW w:w="625" w:type="pct"/>
            <w:tcBorders>
              <w:top w:val="single" w:color="auto" w:sz="6" w:space="0"/>
              <w:bottom w:val="single" w:color="auto" w:sz="6" w:space="0"/>
            </w:tcBorders>
            <w:shd w:val="clear" w:color="auto" w:fill="0000FF"/>
            <w:vAlign w:val="center"/>
          </w:tcPr>
          <w:p w14:paraId="2BC5AC12">
            <w:pPr>
              <w:jc w:val="center"/>
              <w:rPr>
                <w:rFonts w:ascii="Times New Roman" w:hAnsi="Times New Roman" w:eastAsia="宋体" w:cs="Calibri"/>
                <w:b/>
                <w:bCs/>
                <w:color w:val="auto"/>
                <w:kern w:val="2"/>
              </w:rPr>
            </w:pPr>
            <w:r>
              <w:rPr>
                <w:rFonts w:ascii="Times New Roman" w:hAnsi="Times New Roman" w:eastAsia="宋体" w:cs="Calibri"/>
                <w:bCs w:val="0"/>
                <w:color w:val="auto"/>
                <w:kern w:val="2"/>
              </w:rPr>
              <w:t>一般危险</w:t>
            </w:r>
          </w:p>
        </w:tc>
      </w:tr>
      <w:tr w14:paraId="4835F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370" w:type="pct"/>
            <w:vMerge w:val="continue"/>
            <w:shd w:val="clear" w:color="auto" w:fill="auto"/>
            <w:vAlign w:val="center"/>
          </w:tcPr>
          <w:p w14:paraId="4DC3717D">
            <w:pPr>
              <w:jc w:val="center"/>
              <w:rPr>
                <w:rFonts w:ascii="Times New Roman" w:hAnsi="Times New Roman" w:eastAsia="宋体" w:cs="Calibri"/>
                <w:bCs w:val="0"/>
                <w:color w:val="auto"/>
                <w:kern w:val="2"/>
              </w:rPr>
            </w:pPr>
          </w:p>
        </w:tc>
        <w:tc>
          <w:tcPr>
            <w:tcW w:w="1267" w:type="pct"/>
            <w:vMerge w:val="continue"/>
            <w:shd w:val="clear" w:color="auto" w:fill="auto"/>
            <w:vAlign w:val="center"/>
          </w:tcPr>
          <w:p w14:paraId="031C303E">
            <w:pPr>
              <w:jc w:val="center"/>
              <w:rPr>
                <w:rFonts w:ascii="Times New Roman" w:hAnsi="Times New Roman" w:eastAsia="宋体" w:cs="Calibri"/>
                <w:bCs w:val="0"/>
                <w:color w:val="auto"/>
                <w:kern w:val="2"/>
              </w:rPr>
            </w:pPr>
          </w:p>
        </w:tc>
        <w:tc>
          <w:tcPr>
            <w:tcW w:w="1614" w:type="pct"/>
            <w:shd w:val="clear" w:color="auto" w:fill="auto"/>
            <w:vAlign w:val="center"/>
          </w:tcPr>
          <w:p w14:paraId="49A1C951">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厂(场)内车辆致害</w:t>
            </w:r>
          </w:p>
        </w:tc>
        <w:tc>
          <w:tcPr>
            <w:tcW w:w="310" w:type="pct"/>
            <w:shd w:val="clear" w:color="auto" w:fill="auto"/>
            <w:vAlign w:val="center"/>
          </w:tcPr>
          <w:p w14:paraId="2E1F6426">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93" w:type="pct"/>
            <w:shd w:val="clear" w:color="auto" w:fill="auto"/>
            <w:vAlign w:val="center"/>
          </w:tcPr>
          <w:p w14:paraId="3CEEE20B">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245" w:type="pct"/>
            <w:shd w:val="clear" w:color="auto" w:fill="auto"/>
            <w:vAlign w:val="center"/>
          </w:tcPr>
          <w:p w14:paraId="5E55D55A">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w:t>
            </w:r>
          </w:p>
        </w:tc>
        <w:tc>
          <w:tcPr>
            <w:tcW w:w="372" w:type="pct"/>
            <w:shd w:val="clear" w:color="auto" w:fill="auto"/>
            <w:vAlign w:val="center"/>
          </w:tcPr>
          <w:p w14:paraId="423117E9">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42</w:t>
            </w:r>
          </w:p>
        </w:tc>
        <w:tc>
          <w:tcPr>
            <w:tcW w:w="625" w:type="pct"/>
            <w:tcBorders>
              <w:top w:val="single" w:color="auto" w:sz="6" w:space="0"/>
              <w:bottom w:val="single" w:color="auto" w:sz="6" w:space="0"/>
            </w:tcBorders>
            <w:shd w:val="clear" w:color="auto" w:fill="0000FF"/>
            <w:vAlign w:val="center"/>
          </w:tcPr>
          <w:p w14:paraId="6C571213">
            <w:pPr>
              <w:jc w:val="center"/>
              <w:rPr>
                <w:rFonts w:ascii="Times New Roman" w:hAnsi="Times New Roman" w:eastAsia="宋体" w:cs="Calibri"/>
                <w:b/>
                <w:bCs/>
                <w:color w:val="auto"/>
                <w:kern w:val="2"/>
              </w:rPr>
            </w:pPr>
            <w:r>
              <w:rPr>
                <w:rFonts w:ascii="Times New Roman" w:hAnsi="Times New Roman" w:eastAsia="宋体" w:cs="Calibri"/>
                <w:bCs w:val="0"/>
                <w:color w:val="auto"/>
                <w:kern w:val="2"/>
              </w:rPr>
              <w:t>一般危险</w:t>
            </w:r>
          </w:p>
        </w:tc>
      </w:tr>
      <w:tr w14:paraId="2335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370" w:type="pct"/>
            <w:shd w:val="clear" w:color="auto" w:fill="auto"/>
            <w:vAlign w:val="center"/>
          </w:tcPr>
          <w:p w14:paraId="1921B1FF">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4</w:t>
            </w:r>
          </w:p>
        </w:tc>
        <w:tc>
          <w:tcPr>
            <w:tcW w:w="1267" w:type="pct"/>
            <w:shd w:val="clear" w:color="auto" w:fill="auto"/>
            <w:vAlign w:val="center"/>
          </w:tcPr>
          <w:p w14:paraId="3CA59BD0">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配电间</w:t>
            </w:r>
            <w:r>
              <w:rPr>
                <w:rFonts w:ascii="Times New Roman" w:hAnsi="Times New Roman" w:eastAsia="宋体" w:cs="Calibri"/>
                <w:bCs w:val="0"/>
                <w:color w:val="auto"/>
                <w:kern w:val="2"/>
              </w:rPr>
              <w:t>作业</w:t>
            </w:r>
          </w:p>
        </w:tc>
        <w:tc>
          <w:tcPr>
            <w:tcW w:w="1614" w:type="pct"/>
            <w:shd w:val="clear" w:color="auto" w:fill="auto"/>
            <w:vAlign w:val="center"/>
          </w:tcPr>
          <w:p w14:paraId="7E997DDD">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火灾、触电</w:t>
            </w:r>
            <w:r>
              <w:rPr>
                <w:rFonts w:hint="eastAsia" w:ascii="Times New Roman" w:hAnsi="Times New Roman" w:eastAsia="宋体" w:cs="Calibri"/>
                <w:bCs w:val="0"/>
                <w:color w:val="auto"/>
                <w:kern w:val="2"/>
              </w:rPr>
              <w:t>、灼烫、机械伤害</w:t>
            </w:r>
          </w:p>
        </w:tc>
        <w:tc>
          <w:tcPr>
            <w:tcW w:w="310" w:type="pct"/>
            <w:shd w:val="clear" w:color="auto" w:fill="auto"/>
            <w:vAlign w:val="center"/>
          </w:tcPr>
          <w:p w14:paraId="5D422290">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193" w:type="pct"/>
            <w:shd w:val="clear" w:color="auto" w:fill="auto"/>
            <w:vAlign w:val="center"/>
          </w:tcPr>
          <w:p w14:paraId="456EC342">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245" w:type="pct"/>
            <w:shd w:val="clear" w:color="auto" w:fill="auto"/>
            <w:vAlign w:val="center"/>
          </w:tcPr>
          <w:p w14:paraId="10579A88">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w:t>
            </w:r>
          </w:p>
        </w:tc>
        <w:tc>
          <w:tcPr>
            <w:tcW w:w="372" w:type="pct"/>
            <w:shd w:val="clear" w:color="auto" w:fill="auto"/>
            <w:vAlign w:val="center"/>
          </w:tcPr>
          <w:p w14:paraId="69F589A7">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21</w:t>
            </w:r>
          </w:p>
        </w:tc>
        <w:tc>
          <w:tcPr>
            <w:tcW w:w="625" w:type="pct"/>
            <w:tcBorders>
              <w:top w:val="single" w:color="auto" w:sz="6" w:space="0"/>
              <w:bottom w:val="single" w:color="auto" w:sz="6" w:space="0"/>
            </w:tcBorders>
            <w:shd w:val="clear" w:color="auto" w:fill="0000FF"/>
            <w:vAlign w:val="center"/>
          </w:tcPr>
          <w:p w14:paraId="2D724DAB">
            <w:pPr>
              <w:jc w:val="center"/>
              <w:rPr>
                <w:rFonts w:ascii="Times New Roman" w:hAnsi="Times New Roman" w:eastAsia="宋体" w:cs="Calibri"/>
                <w:b/>
                <w:bCs/>
                <w:color w:val="auto"/>
                <w:kern w:val="2"/>
              </w:rPr>
            </w:pPr>
            <w:r>
              <w:rPr>
                <w:rFonts w:ascii="Times New Roman" w:hAnsi="Times New Roman" w:eastAsia="宋体" w:cs="Calibri"/>
                <w:bCs w:val="0"/>
                <w:color w:val="auto"/>
                <w:kern w:val="2"/>
              </w:rPr>
              <w:t>一般危险</w:t>
            </w:r>
          </w:p>
        </w:tc>
      </w:tr>
    </w:tbl>
    <w:p w14:paraId="2C2C54C6">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由表5</w:t>
      </w:r>
      <w:r>
        <w:rPr>
          <w:rFonts w:hint="eastAsia" w:ascii="Times New Roman" w:hAnsi="Times New Roman" w:eastAsia="宋体" w:cs="Calibri"/>
          <w:bCs w:val="0"/>
          <w:color w:val="auto"/>
          <w:kern w:val="2"/>
          <w:sz w:val="28"/>
          <w:szCs w:val="28"/>
        </w:rPr>
        <w:t>.1</w:t>
      </w:r>
      <w:r>
        <w:rPr>
          <w:rFonts w:ascii="Times New Roman" w:hAnsi="Times New Roman" w:eastAsia="宋体" w:cs="Calibri"/>
          <w:bCs w:val="0"/>
          <w:color w:val="auto"/>
          <w:kern w:val="2"/>
          <w:sz w:val="28"/>
          <w:szCs w:val="28"/>
        </w:rPr>
        <w:t>-1的评价结果可以看出，该项目的作业条件相对比较安全。选定的评价单元中的作业均为一般危险或稍有危险，作业条件相对安全。平时作业过程中应当注意以下问题：</w:t>
      </w:r>
    </w:p>
    <w:p w14:paraId="29BB9516">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安全经营运行首先应重点加强对油品储罐区、加油区的汽、柴油危险物质的严格控制，注重日常安全管理，加强输送</w:t>
      </w:r>
      <w:r>
        <w:rPr>
          <w:rFonts w:hint="eastAsia" w:ascii="Times New Roman" w:hAnsi="Times New Roman" w:eastAsia="宋体" w:cs="Calibri"/>
          <w:bCs w:val="0"/>
          <w:color w:val="auto"/>
          <w:kern w:val="2"/>
          <w:sz w:val="28"/>
          <w:szCs w:val="28"/>
        </w:rPr>
        <w:t>易燃</w:t>
      </w:r>
      <w:r>
        <w:rPr>
          <w:rFonts w:ascii="Times New Roman" w:hAnsi="Times New Roman" w:eastAsia="宋体" w:cs="Calibri"/>
          <w:bCs w:val="0"/>
          <w:color w:val="auto"/>
          <w:kern w:val="2"/>
          <w:sz w:val="28"/>
          <w:szCs w:val="28"/>
        </w:rPr>
        <w:t>液体管线的安全管理，加</w:t>
      </w:r>
      <w:r>
        <w:rPr>
          <w:rFonts w:hint="eastAsia" w:ascii="Times New Roman" w:hAnsi="Times New Roman" w:eastAsia="宋体" w:cs="Calibri"/>
          <w:bCs w:val="0"/>
          <w:color w:val="auto"/>
          <w:kern w:val="2"/>
          <w:sz w:val="28"/>
          <w:szCs w:val="28"/>
          <w:lang w:eastAsia="zh-CN"/>
        </w:rPr>
        <w:t>强对</w:t>
      </w:r>
      <w:r>
        <w:rPr>
          <w:rFonts w:ascii="Times New Roman" w:hAnsi="Times New Roman" w:eastAsia="宋体" w:cs="Calibri"/>
          <w:bCs w:val="0"/>
          <w:color w:val="auto"/>
          <w:kern w:val="2"/>
          <w:sz w:val="28"/>
          <w:szCs w:val="28"/>
        </w:rPr>
        <w:t>加油车辆的引导及相关人员的安全教育，严格控制其在建设项目区域拨打电话、吸烟和携带火种等；</w:t>
      </w:r>
    </w:p>
    <w:p w14:paraId="6E5B3705">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其次要建立健全完善的安全生产责任制、安全管理制度、安全操作规程、技术操作规程并确保其贯彻落实；</w:t>
      </w:r>
    </w:p>
    <w:p w14:paraId="560DB5BB">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要认真抓好加油站操作及管理人员的安全知识和操作技能的培训，确保人员具有与建设项目所需知识水平相适应的技术素质和安全素质，保证加油站安全作业。</w:t>
      </w:r>
    </w:p>
    <w:p w14:paraId="74A60162">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53" w:name="_Toc25652"/>
      <w:bookmarkStart w:id="154" w:name="_Toc92712589"/>
      <w:bookmarkStart w:id="155" w:name="_Toc26056"/>
      <w:bookmarkStart w:id="156" w:name="_Toc2584"/>
      <w:r>
        <w:rPr>
          <w:rFonts w:ascii="Times New Roman" w:hAnsi="Times New Roman" w:eastAsia="宋体" w:cs="Times New Roman"/>
          <w:b/>
          <w:bCs/>
          <w:color w:val="auto"/>
          <w:kern w:val="0"/>
          <w:sz w:val="30"/>
          <w:szCs w:val="30"/>
          <w:lang w:val="en-US" w:eastAsia="zh-CN" w:bidi="ar-SA"/>
        </w:rPr>
        <w:t xml:space="preserve">5.2 </w:t>
      </w:r>
      <w:r>
        <w:rPr>
          <w:rFonts w:hint="eastAsia" w:ascii="Times New Roman" w:hAnsi="Times New Roman" w:eastAsia="宋体" w:cs="Times New Roman"/>
          <w:b/>
          <w:bCs/>
          <w:color w:val="auto"/>
          <w:kern w:val="0"/>
          <w:sz w:val="30"/>
          <w:szCs w:val="30"/>
          <w:lang w:val="en-US" w:eastAsia="zh-CN" w:bidi="ar-SA"/>
        </w:rPr>
        <w:t>危险度评价</w:t>
      </w:r>
      <w:bookmarkEnd w:id="153"/>
      <w:bookmarkEnd w:id="154"/>
      <w:bookmarkEnd w:id="155"/>
      <w:bookmarkEnd w:id="156"/>
    </w:p>
    <w:p w14:paraId="21175109">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油</w:t>
      </w:r>
      <w:r>
        <w:rPr>
          <w:rFonts w:hint="eastAsia" w:ascii="Times New Roman" w:hAnsi="Times New Roman" w:eastAsia="宋体" w:cs="Calibri"/>
          <w:bCs w:val="0"/>
          <w:color w:val="auto"/>
          <w:kern w:val="2"/>
          <w:sz w:val="28"/>
          <w:szCs w:val="28"/>
        </w:rPr>
        <w:t>品</w:t>
      </w:r>
      <w:r>
        <w:rPr>
          <w:rFonts w:ascii="Times New Roman" w:hAnsi="Times New Roman" w:eastAsia="宋体" w:cs="Calibri"/>
          <w:bCs w:val="0"/>
          <w:color w:val="auto"/>
          <w:kern w:val="2"/>
          <w:sz w:val="28"/>
          <w:szCs w:val="28"/>
        </w:rPr>
        <w:t>储罐区</w:t>
      </w:r>
      <w:r>
        <w:rPr>
          <w:rFonts w:hint="eastAsia" w:ascii="Times New Roman" w:hAnsi="Times New Roman" w:eastAsia="宋体" w:cs="Calibri"/>
          <w:bCs w:val="0"/>
          <w:color w:val="auto"/>
          <w:kern w:val="2"/>
          <w:sz w:val="28"/>
          <w:szCs w:val="28"/>
        </w:rPr>
        <w:t>采用危险度评价法</w:t>
      </w:r>
      <w:r>
        <w:rPr>
          <w:rFonts w:ascii="Times New Roman" w:hAnsi="Times New Roman" w:eastAsia="宋体" w:cs="Calibri"/>
          <w:bCs w:val="0"/>
          <w:color w:val="auto"/>
          <w:kern w:val="2"/>
          <w:sz w:val="28"/>
          <w:szCs w:val="28"/>
        </w:rPr>
        <w:t>。</w:t>
      </w:r>
    </w:p>
    <w:p w14:paraId="539AF97A">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油</w:t>
      </w:r>
      <w:r>
        <w:rPr>
          <w:rFonts w:hint="eastAsia" w:ascii="Times New Roman" w:hAnsi="Times New Roman" w:eastAsia="宋体" w:cs="Calibri"/>
          <w:bCs w:val="0"/>
          <w:color w:val="auto"/>
          <w:kern w:val="2"/>
          <w:sz w:val="28"/>
          <w:szCs w:val="28"/>
        </w:rPr>
        <w:t>品</w:t>
      </w:r>
      <w:r>
        <w:rPr>
          <w:rFonts w:ascii="Times New Roman" w:hAnsi="Times New Roman" w:eastAsia="宋体" w:cs="Calibri"/>
          <w:bCs w:val="0"/>
          <w:color w:val="auto"/>
          <w:kern w:val="2"/>
          <w:sz w:val="28"/>
          <w:szCs w:val="28"/>
        </w:rPr>
        <w:t>储罐区主要危险物质为汽油、</w:t>
      </w:r>
      <w:r>
        <w:rPr>
          <w:rFonts w:hint="eastAsia" w:ascii="Times New Roman" w:hAnsi="Times New Roman" w:eastAsia="宋体" w:cs="Calibri"/>
          <w:bCs w:val="0"/>
          <w:color w:val="auto"/>
          <w:kern w:val="2"/>
          <w:sz w:val="28"/>
          <w:szCs w:val="28"/>
        </w:rPr>
        <w:t>0</w:t>
      </w:r>
      <w:r>
        <w:rPr>
          <w:rFonts w:hint="eastAsia" w:ascii="Times New Roman" w:hAnsi="Times New Roman" w:eastAsia="宋体" w:cs="Calibri"/>
          <w:bCs w:val="0"/>
          <w:color w:val="auto"/>
          <w:kern w:val="2"/>
          <w:sz w:val="28"/>
          <w:szCs w:val="28"/>
          <w:vertAlign w:val="superscript"/>
        </w:rPr>
        <w:t>#</w:t>
      </w:r>
      <w:r>
        <w:rPr>
          <w:rFonts w:ascii="Times New Roman" w:hAnsi="Times New Roman" w:eastAsia="宋体" w:cs="Calibri"/>
          <w:bCs w:val="0"/>
          <w:color w:val="auto"/>
          <w:kern w:val="2"/>
          <w:sz w:val="28"/>
          <w:szCs w:val="28"/>
        </w:rPr>
        <w:t>柴油</w:t>
      </w:r>
      <w:r>
        <w:rPr>
          <w:rFonts w:hint="eastAsia" w:ascii="Times New Roman" w:hAnsi="Times New Roman" w:eastAsia="宋体" w:cs="Calibri"/>
          <w:bCs w:val="0"/>
          <w:color w:val="auto"/>
          <w:kern w:val="2"/>
          <w:sz w:val="28"/>
          <w:szCs w:val="28"/>
        </w:rPr>
        <w:t>，按照《石油化工企业设计防火标准</w:t>
      </w:r>
      <w:r>
        <w:rPr>
          <w:rFonts w:hint="eastAsia" w:ascii="Times New Roman" w:hAnsi="Times New Roman" w:eastAsia="宋体" w:cs="Calibri"/>
          <w:bCs w:val="0"/>
          <w:color w:val="auto"/>
          <w:kern w:val="2"/>
          <w:sz w:val="28"/>
          <w:szCs w:val="28"/>
          <w:lang w:eastAsia="zh-CN"/>
        </w:rPr>
        <w:t>（</w:t>
      </w:r>
      <w:r>
        <w:rPr>
          <w:rFonts w:hint="eastAsia" w:ascii="Times New Roman" w:hAnsi="Times New Roman" w:eastAsia="宋体" w:cs="Calibri"/>
          <w:bCs w:val="0"/>
          <w:color w:val="auto"/>
          <w:kern w:val="2"/>
          <w:sz w:val="28"/>
          <w:szCs w:val="28"/>
        </w:rPr>
        <w:t>2018年版</w:t>
      </w:r>
      <w:r>
        <w:rPr>
          <w:rFonts w:hint="eastAsia" w:ascii="Times New Roman" w:hAnsi="Times New Roman" w:eastAsia="宋体" w:cs="Calibri"/>
          <w:bCs w:val="0"/>
          <w:color w:val="auto"/>
          <w:kern w:val="2"/>
          <w:sz w:val="28"/>
          <w:szCs w:val="28"/>
          <w:lang w:eastAsia="zh-CN"/>
        </w:rPr>
        <w:t>）</w:t>
      </w:r>
      <w:r>
        <w:rPr>
          <w:rFonts w:hint="eastAsia" w:ascii="Times New Roman" w:hAnsi="Times New Roman" w:eastAsia="宋体" w:cs="Calibri"/>
          <w:bCs w:val="0"/>
          <w:color w:val="auto"/>
          <w:kern w:val="2"/>
          <w:sz w:val="28"/>
          <w:szCs w:val="28"/>
        </w:rPr>
        <w:t>》（GB 50160-2008），</w:t>
      </w:r>
      <w:r>
        <w:rPr>
          <w:rFonts w:ascii="Times New Roman" w:hAnsi="Times New Roman" w:eastAsia="宋体" w:cs="Calibri"/>
          <w:bCs w:val="0"/>
          <w:color w:val="auto"/>
          <w:kern w:val="2"/>
          <w:sz w:val="28"/>
          <w:szCs w:val="28"/>
        </w:rPr>
        <w:t>汽油</w:t>
      </w:r>
      <w:r>
        <w:rPr>
          <w:rFonts w:hint="eastAsia" w:ascii="Times New Roman" w:hAnsi="Times New Roman" w:eastAsia="宋体" w:cs="Calibri"/>
          <w:bCs w:val="0"/>
          <w:color w:val="auto"/>
          <w:kern w:val="2"/>
          <w:sz w:val="28"/>
          <w:szCs w:val="28"/>
        </w:rPr>
        <w:t>属</w:t>
      </w:r>
      <w:r>
        <w:rPr>
          <w:rFonts w:ascii="Times New Roman" w:hAnsi="Times New Roman" w:eastAsia="宋体" w:cs="Calibri"/>
          <w:bCs w:val="0"/>
          <w:color w:val="auto"/>
          <w:kern w:val="2"/>
          <w:sz w:val="28"/>
          <w:szCs w:val="28"/>
        </w:rPr>
        <w:t>甲</w:t>
      </w:r>
      <w:r>
        <w:rPr>
          <w:rFonts w:ascii="Times New Roman" w:hAnsi="Times New Roman" w:eastAsia="宋体" w:cs="Calibri"/>
          <w:bCs w:val="0"/>
          <w:color w:val="auto"/>
          <w:kern w:val="2"/>
          <w:sz w:val="28"/>
          <w:szCs w:val="28"/>
          <w:vertAlign w:val="subscript"/>
        </w:rPr>
        <w:t>B</w:t>
      </w:r>
      <w:r>
        <w:rPr>
          <w:rFonts w:ascii="Times New Roman" w:hAnsi="Times New Roman" w:eastAsia="宋体" w:cs="Calibri"/>
          <w:bCs w:val="0"/>
          <w:color w:val="auto"/>
          <w:kern w:val="2"/>
          <w:sz w:val="28"/>
          <w:szCs w:val="28"/>
        </w:rPr>
        <w:t>类</w:t>
      </w:r>
      <w:r>
        <w:rPr>
          <w:rFonts w:hint="eastAsia" w:ascii="Times New Roman" w:hAnsi="Times New Roman" w:eastAsia="宋体" w:cs="Calibri"/>
          <w:bCs w:val="0"/>
          <w:color w:val="auto"/>
          <w:kern w:val="2"/>
          <w:sz w:val="28"/>
          <w:szCs w:val="28"/>
        </w:rPr>
        <w:t>、0</w:t>
      </w:r>
      <w:r>
        <w:rPr>
          <w:rFonts w:hint="eastAsia" w:ascii="Times New Roman" w:hAnsi="Times New Roman" w:eastAsia="宋体" w:cs="Calibri"/>
          <w:bCs w:val="0"/>
          <w:color w:val="auto"/>
          <w:kern w:val="2"/>
          <w:sz w:val="28"/>
          <w:szCs w:val="28"/>
          <w:vertAlign w:val="superscript"/>
        </w:rPr>
        <w:t>#</w:t>
      </w:r>
      <w:r>
        <w:rPr>
          <w:rFonts w:hint="eastAsia" w:ascii="Times New Roman" w:hAnsi="Times New Roman" w:eastAsia="宋体" w:cs="Calibri"/>
          <w:bCs w:val="0"/>
          <w:color w:val="auto"/>
          <w:kern w:val="2"/>
          <w:sz w:val="28"/>
          <w:szCs w:val="28"/>
        </w:rPr>
        <w:t>柴油属丙</w:t>
      </w:r>
      <w:r>
        <w:rPr>
          <w:rFonts w:hint="eastAsia" w:ascii="Times New Roman" w:hAnsi="Times New Roman" w:eastAsia="宋体" w:cs="Calibri"/>
          <w:bCs w:val="0"/>
          <w:color w:val="auto"/>
          <w:kern w:val="2"/>
          <w:sz w:val="28"/>
          <w:szCs w:val="28"/>
          <w:vertAlign w:val="subscript"/>
        </w:rPr>
        <w:t>A</w:t>
      </w:r>
      <w:r>
        <w:rPr>
          <w:rFonts w:ascii="Times New Roman" w:hAnsi="Times New Roman" w:eastAsia="宋体" w:cs="Calibri"/>
          <w:bCs w:val="0"/>
          <w:color w:val="auto"/>
          <w:kern w:val="2"/>
          <w:sz w:val="28"/>
          <w:szCs w:val="28"/>
        </w:rPr>
        <w:t>类</w:t>
      </w:r>
      <w:r>
        <w:rPr>
          <w:rFonts w:hint="eastAsia" w:ascii="Times New Roman" w:hAnsi="Times New Roman" w:eastAsia="宋体" w:cs="Calibri"/>
          <w:bCs w:val="0"/>
          <w:color w:val="auto"/>
          <w:kern w:val="2"/>
          <w:sz w:val="28"/>
          <w:szCs w:val="28"/>
        </w:rPr>
        <w:t>，汽油最危险</w:t>
      </w:r>
      <w:r>
        <w:rPr>
          <w:rFonts w:ascii="Times New Roman" w:hAnsi="Times New Roman" w:eastAsia="宋体" w:cs="Calibri"/>
          <w:bCs w:val="0"/>
          <w:color w:val="auto"/>
          <w:kern w:val="2"/>
          <w:sz w:val="28"/>
          <w:szCs w:val="28"/>
        </w:rPr>
        <w:t>。</w:t>
      </w:r>
    </w:p>
    <w:p w14:paraId="18FD7FD2">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 xml:space="preserve">表5.2-1  </w:t>
      </w:r>
      <w:r>
        <w:rPr>
          <w:rFonts w:ascii="Times New Roman" w:hAnsi="Times New Roman" w:eastAsia="宋体" w:cs="Calibri"/>
          <w:bCs w:val="0"/>
          <w:color w:val="auto"/>
          <w:kern w:val="2"/>
          <w:sz w:val="28"/>
          <w:szCs w:val="28"/>
        </w:rPr>
        <w:t>油</w:t>
      </w:r>
      <w:r>
        <w:rPr>
          <w:rFonts w:hint="eastAsia" w:ascii="Times New Roman" w:hAnsi="Times New Roman" w:eastAsia="宋体" w:cs="Calibri"/>
          <w:bCs w:val="0"/>
          <w:color w:val="auto"/>
          <w:kern w:val="2"/>
          <w:sz w:val="28"/>
          <w:szCs w:val="28"/>
        </w:rPr>
        <w:t>品</w:t>
      </w:r>
      <w:r>
        <w:rPr>
          <w:rFonts w:ascii="Times New Roman" w:hAnsi="Times New Roman" w:eastAsia="宋体" w:cs="Calibri"/>
          <w:bCs w:val="0"/>
          <w:color w:val="auto"/>
          <w:kern w:val="2"/>
          <w:sz w:val="28"/>
          <w:szCs w:val="28"/>
        </w:rPr>
        <w:t>储罐区</w:t>
      </w:r>
      <w:r>
        <w:rPr>
          <w:rFonts w:hint="eastAsia" w:ascii="Times New Roman" w:hAnsi="Times New Roman" w:eastAsia="宋体" w:cs="Calibri"/>
          <w:bCs w:val="0"/>
          <w:color w:val="auto"/>
          <w:kern w:val="2"/>
          <w:sz w:val="28"/>
          <w:szCs w:val="28"/>
        </w:rPr>
        <w:t>危险度评价表</w:t>
      </w:r>
    </w:p>
    <w:tbl>
      <w:tblPr>
        <w:tblStyle w:val="7"/>
        <w:tblW w:w="92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Layout w:type="autofit"/>
        <w:tblCellMar>
          <w:top w:w="0" w:type="dxa"/>
          <w:left w:w="108" w:type="dxa"/>
          <w:bottom w:w="0" w:type="dxa"/>
          <w:right w:w="108" w:type="dxa"/>
        </w:tblCellMar>
      </w:tblPr>
      <w:tblGrid>
        <w:gridCol w:w="1747"/>
        <w:gridCol w:w="1803"/>
        <w:gridCol w:w="1215"/>
        <w:gridCol w:w="1122"/>
        <w:gridCol w:w="1145"/>
        <w:gridCol w:w="2203"/>
      </w:tblGrid>
      <w:tr w14:paraId="7BAF3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747" w:type="dxa"/>
            <w:vMerge w:val="restart"/>
            <w:shd w:val="clear" w:color="auto" w:fill="FFFFFF"/>
            <w:vAlign w:val="center"/>
          </w:tcPr>
          <w:p w14:paraId="3FAC9E1E">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项目</w:t>
            </w:r>
          </w:p>
        </w:tc>
        <w:tc>
          <w:tcPr>
            <w:tcW w:w="1803" w:type="dxa"/>
            <w:shd w:val="clear" w:color="auto" w:fill="FFFFFF"/>
            <w:vAlign w:val="center"/>
          </w:tcPr>
          <w:p w14:paraId="53E2F06B">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物质</w:t>
            </w:r>
          </w:p>
        </w:tc>
        <w:tc>
          <w:tcPr>
            <w:tcW w:w="1215" w:type="dxa"/>
            <w:shd w:val="clear" w:color="auto" w:fill="FFFFFF"/>
            <w:vAlign w:val="center"/>
          </w:tcPr>
          <w:p w14:paraId="1BB855CE">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容量</w:t>
            </w:r>
          </w:p>
        </w:tc>
        <w:tc>
          <w:tcPr>
            <w:tcW w:w="1122" w:type="dxa"/>
            <w:shd w:val="clear" w:color="auto" w:fill="FFFFFF"/>
            <w:vAlign w:val="center"/>
          </w:tcPr>
          <w:p w14:paraId="59FBDA0A">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温度</w:t>
            </w:r>
          </w:p>
        </w:tc>
        <w:tc>
          <w:tcPr>
            <w:tcW w:w="1145" w:type="dxa"/>
            <w:shd w:val="clear" w:color="auto" w:fill="FFFFFF"/>
            <w:vAlign w:val="center"/>
          </w:tcPr>
          <w:p w14:paraId="7BC0F5B4">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压力</w:t>
            </w:r>
          </w:p>
        </w:tc>
        <w:tc>
          <w:tcPr>
            <w:tcW w:w="2203" w:type="dxa"/>
            <w:shd w:val="clear" w:color="auto" w:fill="FFFFFF"/>
            <w:vAlign w:val="center"/>
          </w:tcPr>
          <w:p w14:paraId="1C9837BD">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操作</w:t>
            </w:r>
          </w:p>
        </w:tc>
      </w:tr>
      <w:tr w14:paraId="2F87E2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454" w:hRule="atLeast"/>
          <w:tblHeader/>
          <w:jc w:val="center"/>
        </w:trPr>
        <w:tc>
          <w:tcPr>
            <w:tcW w:w="1747" w:type="dxa"/>
            <w:vMerge w:val="continue"/>
            <w:shd w:val="clear" w:color="auto" w:fill="FFFFFF"/>
            <w:vAlign w:val="center"/>
          </w:tcPr>
          <w:p w14:paraId="10BE7341">
            <w:pPr>
              <w:snapToGrid w:val="0"/>
              <w:ind w:left="0" w:leftChars="0" w:right="0" w:rightChars="0" w:firstLine="0" w:firstLineChars="0"/>
              <w:jc w:val="center"/>
              <w:rPr>
                <w:rFonts w:ascii="Times New Roman" w:hAnsi="Times New Roman" w:eastAsia="宋体" w:cs="Calibri"/>
                <w:b/>
                <w:bCs w:val="0"/>
                <w:color w:val="auto"/>
                <w:kern w:val="2"/>
              </w:rPr>
            </w:pPr>
          </w:p>
        </w:tc>
        <w:tc>
          <w:tcPr>
            <w:tcW w:w="1803" w:type="dxa"/>
            <w:shd w:val="clear" w:color="auto" w:fill="FFFFFF"/>
            <w:vAlign w:val="center"/>
          </w:tcPr>
          <w:p w14:paraId="4F091CA3">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汽油（</w:t>
            </w:r>
            <w:r>
              <w:rPr>
                <w:rFonts w:ascii="Times New Roman" w:hAnsi="Times New Roman" w:eastAsia="宋体" w:cs="Calibri"/>
                <w:b/>
                <w:bCs w:val="0"/>
                <w:color w:val="auto"/>
                <w:kern w:val="2"/>
              </w:rPr>
              <w:t>甲</w:t>
            </w:r>
            <w:r>
              <w:rPr>
                <w:rFonts w:ascii="Times New Roman" w:hAnsi="Times New Roman" w:eastAsia="宋体" w:cs="Calibri"/>
                <w:b/>
                <w:bCs w:val="0"/>
                <w:color w:val="auto"/>
                <w:kern w:val="2"/>
                <w:vertAlign w:val="subscript"/>
              </w:rPr>
              <w:t>B</w:t>
            </w:r>
            <w:r>
              <w:rPr>
                <w:rFonts w:ascii="Times New Roman" w:hAnsi="Times New Roman" w:eastAsia="宋体" w:cs="Calibri"/>
                <w:b/>
                <w:bCs w:val="0"/>
                <w:color w:val="auto"/>
                <w:kern w:val="2"/>
              </w:rPr>
              <w:t>类</w:t>
            </w:r>
            <w:r>
              <w:rPr>
                <w:rFonts w:hint="eastAsia" w:ascii="Times New Roman" w:hAnsi="Times New Roman" w:eastAsia="宋体" w:cs="Calibri"/>
                <w:b/>
                <w:bCs w:val="0"/>
                <w:color w:val="auto"/>
                <w:kern w:val="2"/>
              </w:rPr>
              <w:t>）</w:t>
            </w:r>
          </w:p>
        </w:tc>
        <w:tc>
          <w:tcPr>
            <w:tcW w:w="1215" w:type="dxa"/>
            <w:shd w:val="clear" w:color="auto" w:fill="FFFFFF"/>
            <w:vAlign w:val="center"/>
          </w:tcPr>
          <w:p w14:paraId="7681F657">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lang w:val="en-US" w:eastAsia="zh-CN"/>
              </w:rPr>
              <w:t>3</w:t>
            </w:r>
            <w:r>
              <w:rPr>
                <w:rFonts w:hint="eastAsia" w:ascii="Times New Roman" w:hAnsi="Times New Roman" w:eastAsia="宋体" w:cs="Calibri"/>
                <w:b/>
                <w:bCs w:val="0"/>
                <w:color w:val="auto"/>
                <w:kern w:val="2"/>
              </w:rPr>
              <w:t>0</w:t>
            </w:r>
            <w:r>
              <w:rPr>
                <w:rFonts w:ascii="Times New Roman" w:hAnsi="Times New Roman" w:eastAsia="宋体" w:cs="Calibri"/>
                <w:b/>
                <w:bCs w:val="0"/>
                <w:color w:val="auto"/>
                <w:kern w:val="2"/>
              </w:rPr>
              <w:t>m</w:t>
            </w:r>
            <w:r>
              <w:rPr>
                <w:rFonts w:ascii="Times New Roman" w:hAnsi="Times New Roman" w:eastAsia="宋体" w:cs="Calibri"/>
                <w:b/>
                <w:bCs w:val="0"/>
                <w:color w:val="auto"/>
                <w:kern w:val="2"/>
                <w:vertAlign w:val="superscript"/>
              </w:rPr>
              <w:t>3</w:t>
            </w:r>
          </w:p>
        </w:tc>
        <w:tc>
          <w:tcPr>
            <w:tcW w:w="1122" w:type="dxa"/>
            <w:shd w:val="clear" w:color="auto" w:fill="FFFFFF"/>
            <w:vAlign w:val="center"/>
          </w:tcPr>
          <w:p w14:paraId="4AB21B8E">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常温</w:t>
            </w:r>
          </w:p>
        </w:tc>
        <w:tc>
          <w:tcPr>
            <w:tcW w:w="1145" w:type="dxa"/>
            <w:shd w:val="clear" w:color="auto" w:fill="FFFFFF"/>
            <w:vAlign w:val="center"/>
          </w:tcPr>
          <w:p w14:paraId="6FBE8E36">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常压</w:t>
            </w:r>
          </w:p>
        </w:tc>
        <w:tc>
          <w:tcPr>
            <w:tcW w:w="2203" w:type="dxa"/>
            <w:shd w:val="clear" w:color="auto" w:fill="FFFFFF"/>
            <w:vAlign w:val="center"/>
          </w:tcPr>
          <w:p w14:paraId="2204E4A6">
            <w:pPr>
              <w:snapToGrid w:val="0"/>
              <w:ind w:left="0" w:leftChars="0" w:right="0" w:rightChars="0" w:firstLine="0" w:firstLineChars="0"/>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有一定危险的操作</w:t>
            </w:r>
          </w:p>
        </w:tc>
      </w:tr>
      <w:tr w14:paraId="45DFC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47" w:type="dxa"/>
            <w:shd w:val="clear" w:color="auto" w:fill="FFFFFF"/>
            <w:vAlign w:val="center"/>
          </w:tcPr>
          <w:p w14:paraId="42475600">
            <w:pPr>
              <w:snapToGrid w:val="0"/>
              <w:ind w:left="0" w:leftChars="0" w:right="0" w:rightChars="0" w:firstLine="0" w:firstLineChars="0"/>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取值</w:t>
            </w:r>
          </w:p>
        </w:tc>
        <w:tc>
          <w:tcPr>
            <w:tcW w:w="1803" w:type="dxa"/>
            <w:shd w:val="clear" w:color="auto" w:fill="FFFFFF"/>
            <w:vAlign w:val="center"/>
          </w:tcPr>
          <w:p w14:paraId="6A3A9D66">
            <w:pPr>
              <w:snapToGrid w:val="0"/>
              <w:ind w:left="0" w:leftChars="0" w:right="0" w:rightChars="0" w:firstLine="0" w:firstLineChars="0"/>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w:t>
            </w:r>
          </w:p>
        </w:tc>
        <w:tc>
          <w:tcPr>
            <w:tcW w:w="1215" w:type="dxa"/>
            <w:shd w:val="clear" w:color="auto" w:fill="FFFFFF"/>
            <w:vAlign w:val="center"/>
          </w:tcPr>
          <w:p w14:paraId="40C72F46">
            <w:pPr>
              <w:snapToGrid w:val="0"/>
              <w:ind w:left="0" w:leftChars="0" w:right="0" w:rightChars="0" w:firstLine="0" w:firstLineChars="0"/>
              <w:jc w:val="center"/>
              <w:rPr>
                <w:rFonts w:hint="default"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lang w:val="en-US" w:eastAsia="zh-CN"/>
              </w:rPr>
              <w:t>2</w:t>
            </w:r>
          </w:p>
        </w:tc>
        <w:tc>
          <w:tcPr>
            <w:tcW w:w="1122" w:type="dxa"/>
            <w:shd w:val="clear" w:color="auto" w:fill="FFFFFF"/>
            <w:vAlign w:val="center"/>
          </w:tcPr>
          <w:p w14:paraId="31D6AA1B">
            <w:pPr>
              <w:snapToGrid w:val="0"/>
              <w:ind w:left="0" w:leftChars="0" w:right="0" w:rightChars="0" w:firstLine="0" w:firstLineChars="0"/>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0</w:t>
            </w:r>
          </w:p>
        </w:tc>
        <w:tc>
          <w:tcPr>
            <w:tcW w:w="1145" w:type="dxa"/>
            <w:shd w:val="clear" w:color="auto" w:fill="FFFFFF"/>
            <w:vAlign w:val="center"/>
          </w:tcPr>
          <w:p w14:paraId="6869D300">
            <w:pPr>
              <w:snapToGrid w:val="0"/>
              <w:ind w:left="0" w:leftChars="0" w:right="0" w:rightChars="0" w:firstLine="0" w:firstLineChars="0"/>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0</w:t>
            </w:r>
          </w:p>
        </w:tc>
        <w:tc>
          <w:tcPr>
            <w:tcW w:w="2203" w:type="dxa"/>
            <w:shd w:val="clear" w:color="auto" w:fill="FFFFFF"/>
            <w:vAlign w:val="center"/>
          </w:tcPr>
          <w:p w14:paraId="0C73B422">
            <w:pPr>
              <w:snapToGrid w:val="0"/>
              <w:ind w:left="0" w:leftChars="0" w:right="0" w:rightChars="0" w:firstLine="0" w:firstLineChars="0"/>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p>
        </w:tc>
      </w:tr>
      <w:tr w14:paraId="1C8CA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454" w:hRule="atLeast"/>
          <w:jc w:val="center"/>
        </w:trPr>
        <w:tc>
          <w:tcPr>
            <w:tcW w:w="1747" w:type="dxa"/>
            <w:shd w:val="clear" w:color="auto" w:fill="FFFFFF"/>
            <w:vAlign w:val="center"/>
          </w:tcPr>
          <w:p w14:paraId="0F91E550">
            <w:pPr>
              <w:snapToGrid w:val="0"/>
              <w:ind w:left="0" w:leftChars="0" w:right="0" w:rightChars="0" w:firstLine="0" w:firstLineChars="0"/>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总分值</w:t>
            </w:r>
          </w:p>
        </w:tc>
        <w:tc>
          <w:tcPr>
            <w:tcW w:w="7488" w:type="dxa"/>
            <w:gridSpan w:val="5"/>
            <w:tcBorders>
              <w:bottom w:val="single" w:color="auto" w:sz="6" w:space="0"/>
            </w:tcBorders>
            <w:shd w:val="clear" w:color="auto" w:fill="FFFFFF"/>
            <w:vAlign w:val="center"/>
          </w:tcPr>
          <w:p w14:paraId="1EFF97D3">
            <w:pPr>
              <w:snapToGrid w:val="0"/>
              <w:ind w:left="0" w:leftChars="0" w:right="0" w:rightChars="0" w:firstLine="0" w:firstLineChars="0"/>
              <w:jc w:val="center"/>
              <w:rPr>
                <w:rFonts w:hint="default" w:ascii="Times New Roman" w:hAnsi="Times New Roman" w:eastAsia="宋体" w:cs="Calibri"/>
                <w:b/>
                <w:bCs w:val="0"/>
                <w:color w:val="auto"/>
                <w:kern w:val="2"/>
                <w:lang w:val="en-US" w:eastAsia="zh-CN"/>
              </w:rPr>
            </w:pPr>
            <w:r>
              <w:rPr>
                <w:rFonts w:hint="eastAsia" w:ascii="Times New Roman" w:hAnsi="Times New Roman" w:eastAsia="宋体" w:cs="Calibri"/>
                <w:b/>
                <w:bCs w:val="0"/>
                <w:color w:val="auto"/>
                <w:kern w:val="2"/>
                <w:lang w:val="en-US" w:eastAsia="zh-CN"/>
              </w:rPr>
              <w:t>9</w:t>
            </w:r>
          </w:p>
        </w:tc>
      </w:tr>
      <w:tr w14:paraId="58AF1D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47" w:type="dxa"/>
            <w:shd w:val="clear" w:color="auto" w:fill="FFFFFF"/>
            <w:vAlign w:val="center"/>
          </w:tcPr>
          <w:p w14:paraId="212E8911">
            <w:pPr>
              <w:snapToGrid w:val="0"/>
              <w:ind w:left="0" w:leftChars="0" w:right="0" w:rightChars="0" w:firstLine="0" w:firstLineChars="0"/>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危险度分级</w:t>
            </w:r>
          </w:p>
        </w:tc>
        <w:tc>
          <w:tcPr>
            <w:tcW w:w="7488" w:type="dxa"/>
            <w:gridSpan w:val="5"/>
            <w:tcBorders>
              <w:top w:val="single" w:color="auto" w:sz="6" w:space="0"/>
              <w:bottom w:val="single" w:color="auto" w:sz="12" w:space="0"/>
            </w:tcBorders>
            <w:shd w:val="clear" w:color="auto" w:fill="FFFFFF"/>
            <w:vAlign w:val="center"/>
          </w:tcPr>
          <w:p w14:paraId="286D20C5">
            <w:pPr>
              <w:snapToGrid w:val="0"/>
              <w:ind w:left="0" w:leftChars="0" w:right="0" w:rightChars="0" w:firstLine="0" w:firstLineChars="0"/>
              <w:jc w:val="center"/>
              <w:rPr>
                <w:rFonts w:hint="eastAsia" w:ascii="Times New Roman" w:hAnsi="Times New Roman" w:eastAsia="宋体" w:cs="宋体"/>
                <w:bCs w:val="0"/>
                <w:color w:val="auto"/>
                <w:kern w:val="2"/>
                <w:lang w:eastAsia="zh-CN"/>
              </w:rPr>
            </w:pPr>
            <w:r>
              <w:rPr>
                <w:rFonts w:hint="default" w:ascii="Times New Roman" w:hAnsi="Times New Roman" w:eastAsia="宋体" w:cs="Times New Roman"/>
                <w:bCs w:val="0"/>
                <w:color w:val="auto"/>
                <w:kern w:val="2"/>
                <w:lang w:val="en-US" w:eastAsia="zh-CN"/>
              </w:rPr>
              <w:t>Ⅲ</w:t>
            </w:r>
          </w:p>
        </w:tc>
      </w:tr>
    </w:tbl>
    <w:p w14:paraId="0DB34F07">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所</w:t>
      </w:r>
      <w:r>
        <w:rPr>
          <w:rFonts w:hint="eastAsia" w:ascii="Times New Roman" w:hAnsi="Times New Roman" w:eastAsia="宋体" w:cs="Calibri"/>
          <w:bCs w:val="0"/>
          <w:color w:val="auto"/>
          <w:kern w:val="2"/>
          <w:sz w:val="28"/>
          <w:szCs w:val="28"/>
        </w:rPr>
        <w:t>以</w:t>
      </w:r>
      <w:r>
        <w:rPr>
          <w:rFonts w:ascii="Times New Roman" w:hAnsi="Times New Roman" w:eastAsia="宋体" w:cs="Calibri"/>
          <w:bCs w:val="0"/>
          <w:color w:val="auto"/>
          <w:kern w:val="2"/>
          <w:sz w:val="28"/>
          <w:szCs w:val="28"/>
        </w:rPr>
        <w:t>，油</w:t>
      </w:r>
      <w:r>
        <w:rPr>
          <w:rFonts w:hint="eastAsia" w:ascii="Times New Roman" w:hAnsi="Times New Roman" w:eastAsia="宋体" w:cs="Calibri"/>
          <w:bCs w:val="0"/>
          <w:color w:val="auto"/>
          <w:kern w:val="2"/>
          <w:sz w:val="28"/>
          <w:szCs w:val="28"/>
        </w:rPr>
        <w:t>品</w:t>
      </w:r>
      <w:r>
        <w:rPr>
          <w:rFonts w:ascii="Times New Roman" w:hAnsi="Times New Roman" w:eastAsia="宋体" w:cs="Calibri"/>
          <w:bCs w:val="0"/>
          <w:color w:val="auto"/>
          <w:kern w:val="2"/>
          <w:sz w:val="28"/>
          <w:szCs w:val="28"/>
        </w:rPr>
        <w:t>储罐区得分为</w:t>
      </w:r>
      <w:r>
        <w:rPr>
          <w:rFonts w:hint="eastAsia" w:ascii="Times New Roman" w:hAnsi="Times New Roman" w:eastAsia="宋体" w:cs="Calibri"/>
          <w:bCs w:val="0"/>
          <w:color w:val="auto"/>
          <w:kern w:val="2"/>
          <w:sz w:val="28"/>
          <w:szCs w:val="28"/>
          <w:lang w:val="en-US" w:eastAsia="zh-CN"/>
        </w:rPr>
        <w:t>9</w:t>
      </w:r>
      <w:r>
        <w:rPr>
          <w:rFonts w:ascii="Times New Roman" w:hAnsi="Times New Roman" w:eastAsia="宋体" w:cs="Calibri"/>
          <w:bCs w:val="0"/>
          <w:color w:val="auto"/>
          <w:kern w:val="2"/>
          <w:sz w:val="28"/>
          <w:szCs w:val="28"/>
        </w:rPr>
        <w:t>分，为</w:t>
      </w:r>
      <w:r>
        <w:rPr>
          <w:rFonts w:hint="eastAsia" w:ascii="Times New Roman" w:hAnsi="Times New Roman" w:eastAsia="宋体" w:cs="Times New Roman"/>
          <w:bCs w:val="0"/>
          <w:color w:val="auto"/>
          <w:kern w:val="2"/>
          <w:sz w:val="28"/>
          <w:szCs w:val="28"/>
          <w:lang w:val="en-US" w:eastAsia="zh-CN"/>
        </w:rPr>
        <w:t>Ⅲ</w:t>
      </w:r>
      <w:r>
        <w:rPr>
          <w:rFonts w:hint="eastAsia" w:ascii="Times New Roman" w:hAnsi="Times New Roman" w:eastAsia="宋体" w:cs="Times New Roman"/>
          <w:bCs w:val="0"/>
          <w:color w:val="auto"/>
          <w:kern w:val="2"/>
          <w:sz w:val="28"/>
          <w:szCs w:val="28"/>
        </w:rPr>
        <w:t>级</w:t>
      </w:r>
      <w:r>
        <w:rPr>
          <w:rFonts w:ascii="Times New Roman" w:hAnsi="Times New Roman" w:eastAsia="宋体" w:cs="Calibri"/>
          <w:bCs w:val="0"/>
          <w:color w:val="auto"/>
          <w:kern w:val="2"/>
          <w:sz w:val="28"/>
          <w:szCs w:val="28"/>
        </w:rPr>
        <w:t>，属</w:t>
      </w:r>
      <w:r>
        <w:rPr>
          <w:rFonts w:hint="eastAsia" w:ascii="Times New Roman" w:hAnsi="Times New Roman" w:eastAsia="宋体" w:cs="Calibri"/>
          <w:bCs w:val="0"/>
          <w:color w:val="auto"/>
          <w:kern w:val="2"/>
          <w:sz w:val="28"/>
          <w:szCs w:val="28"/>
          <w:lang w:val="en-US" w:eastAsia="zh-CN"/>
        </w:rPr>
        <w:t>低度</w:t>
      </w:r>
      <w:r>
        <w:rPr>
          <w:rFonts w:ascii="Times New Roman" w:hAnsi="Times New Roman" w:eastAsia="宋体" w:cs="Calibri"/>
          <w:bCs w:val="0"/>
          <w:color w:val="auto"/>
          <w:kern w:val="2"/>
          <w:sz w:val="28"/>
          <w:szCs w:val="28"/>
        </w:rPr>
        <w:t>危险。</w:t>
      </w:r>
    </w:p>
    <w:p w14:paraId="79FC2007">
      <w:pPr>
        <w:shd w:val="clea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该站采用</w:t>
      </w:r>
      <w:r>
        <w:rPr>
          <w:rFonts w:hint="eastAsia" w:ascii="Times New Roman" w:hAnsi="Times New Roman" w:eastAsia="宋体" w:cs="Calibri"/>
          <w:bCs w:val="0"/>
          <w:color w:val="auto"/>
          <w:kern w:val="2"/>
          <w:sz w:val="28"/>
          <w:szCs w:val="28"/>
          <w:lang w:val="en-US" w:eastAsia="zh-CN"/>
        </w:rPr>
        <w:t>双层</w:t>
      </w:r>
      <w:r>
        <w:rPr>
          <w:rFonts w:hint="eastAsia" w:ascii="Times New Roman" w:hAnsi="Times New Roman" w:eastAsia="宋体" w:cs="Calibri"/>
          <w:bCs w:val="0"/>
          <w:color w:val="auto"/>
          <w:kern w:val="2"/>
          <w:sz w:val="28"/>
          <w:szCs w:val="28"/>
        </w:rPr>
        <w:t>卧式储罐，密闭卸油，设置了液位、温度监测报警和切断设施，设置了油气泄漏检测报警设施，设置了符合标准要求的通气管，卸油作业设置了防拉脱措施，站区有防流散的环保沟，储油罐按二类防雷设防，卸油管、通气管等静电跨接完善并有定期防雷检测报告（报告结论为符合），有完善的安全管理制度和安全操作规程，员工经培训合格上岗，其风险得到了有效控制。</w:t>
      </w:r>
    </w:p>
    <w:p w14:paraId="381B9C30">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57" w:name="_Toc4183"/>
      <w:bookmarkStart w:id="158" w:name="_Toc19007"/>
      <w:bookmarkStart w:id="159" w:name="_Toc10888"/>
      <w:bookmarkStart w:id="160" w:name="_Toc92712590"/>
      <w:bookmarkStart w:id="161" w:name="_Toc9240"/>
      <w:bookmarkStart w:id="162" w:name="_Toc3721"/>
      <w:bookmarkStart w:id="163" w:name="_Toc92712591"/>
      <w:bookmarkStart w:id="164" w:name="_Toc30385"/>
      <w:bookmarkStart w:id="165" w:name="_Toc92712592"/>
      <w:r>
        <w:rPr>
          <w:rFonts w:hint="eastAsia" w:ascii="Times New Roman" w:hAnsi="Times New Roman" w:eastAsia="宋体" w:cs="Times New Roman"/>
          <w:b/>
          <w:bCs/>
          <w:color w:val="auto"/>
          <w:kern w:val="0"/>
          <w:sz w:val="30"/>
          <w:szCs w:val="30"/>
          <w:lang w:val="en-US" w:eastAsia="zh-CN" w:bidi="ar-SA"/>
        </w:rPr>
        <w:t xml:space="preserve">5.3 </w:t>
      </w:r>
      <w:bookmarkEnd w:id="157"/>
      <w:bookmarkEnd w:id="158"/>
      <w:bookmarkEnd w:id="159"/>
      <w:bookmarkEnd w:id="160"/>
      <w:r>
        <w:rPr>
          <w:rFonts w:ascii="Times New Roman" w:hAnsi="Times New Roman" w:eastAsia="宋体" w:cs="Times New Roman"/>
          <w:b/>
          <w:bCs/>
          <w:color w:val="auto"/>
          <w:kern w:val="0"/>
          <w:sz w:val="30"/>
          <w:szCs w:val="30"/>
          <w:lang w:val="en-US" w:eastAsia="zh-CN" w:bidi="ar-SA"/>
        </w:rPr>
        <w:t>安全管理</w:t>
      </w:r>
      <w:bookmarkEnd w:id="161"/>
    </w:p>
    <w:p w14:paraId="12A5E6D9">
      <w:pPr>
        <w:spacing w:line="600" w:lineRule="exact"/>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检查表依据《安全生产法</w:t>
      </w:r>
      <w:r>
        <w:rPr>
          <w:rFonts w:hint="eastAsia" w:ascii="Times New Roman" w:hAnsi="Times New Roman" w:eastAsia="宋体" w:cs="Times New Roman"/>
          <w:bCs w:val="0"/>
          <w:color w:val="auto"/>
          <w:kern w:val="2"/>
          <w:sz w:val="28"/>
          <w:szCs w:val="28"/>
          <w:lang w:eastAsia="zh-CN"/>
        </w:rPr>
        <w:t>》《</w:t>
      </w:r>
      <w:r>
        <w:rPr>
          <w:rFonts w:ascii="Times New Roman" w:hAnsi="Times New Roman" w:eastAsia="宋体" w:cs="Times New Roman"/>
          <w:bCs w:val="0"/>
          <w:color w:val="auto"/>
          <w:kern w:val="2"/>
          <w:sz w:val="28"/>
          <w:szCs w:val="28"/>
        </w:rPr>
        <w:t>危险化学品经营许可证管理办法》等相关法规标准，对该加油站检查如下：</w:t>
      </w:r>
    </w:p>
    <w:p w14:paraId="1AFA7732">
      <w:pPr>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表5.3-1  加油站安全管理检查表</w:t>
      </w:r>
    </w:p>
    <w:tbl>
      <w:tblPr>
        <w:tblStyle w:val="7"/>
        <w:tblW w:w="88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75"/>
        <w:gridCol w:w="4613"/>
        <w:gridCol w:w="2697"/>
        <w:gridCol w:w="773"/>
      </w:tblGrid>
      <w:tr w14:paraId="6B1EB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7C3095DF">
            <w:pPr>
              <w:autoSpaceDE w:val="0"/>
              <w:autoSpaceDN w:val="0"/>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序号</w:t>
            </w:r>
          </w:p>
        </w:tc>
        <w:tc>
          <w:tcPr>
            <w:tcW w:w="4613" w:type="dxa"/>
            <w:vAlign w:val="center"/>
          </w:tcPr>
          <w:p w14:paraId="14187E1A">
            <w:pPr>
              <w:autoSpaceDE w:val="0"/>
              <w:autoSpaceDN w:val="0"/>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检查内容</w:t>
            </w:r>
          </w:p>
        </w:tc>
        <w:tc>
          <w:tcPr>
            <w:tcW w:w="2697" w:type="dxa"/>
            <w:vAlign w:val="center"/>
          </w:tcPr>
          <w:p w14:paraId="4807919C">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检查记录</w:t>
            </w:r>
          </w:p>
        </w:tc>
        <w:tc>
          <w:tcPr>
            <w:tcW w:w="773" w:type="dxa"/>
            <w:vAlign w:val="center"/>
          </w:tcPr>
          <w:p w14:paraId="6080E6F1">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结论</w:t>
            </w:r>
          </w:p>
        </w:tc>
      </w:tr>
      <w:tr w14:paraId="1A43A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58" w:type="dxa"/>
            <w:gridSpan w:val="4"/>
            <w:vAlign w:val="center"/>
          </w:tcPr>
          <w:p w14:paraId="2C583B29">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
                <w:bCs/>
                <w:color w:val="auto"/>
                <w:kern w:val="0"/>
              </w:rPr>
              <w:t>一、资质审查</w:t>
            </w:r>
          </w:p>
        </w:tc>
      </w:tr>
      <w:tr w14:paraId="47341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66CB52C9">
            <w:pPr>
              <w:spacing w:line="280" w:lineRule="exact"/>
              <w:jc w:val="center"/>
              <w:rPr>
                <w:rFonts w:ascii="Times New Roman" w:hAnsi="Times New Roman" w:eastAsia="宋体" w:cs="Times New Roman"/>
                <w:bCs/>
                <w:color w:val="auto"/>
                <w:kern w:val="2"/>
              </w:rPr>
            </w:pPr>
            <w:r>
              <w:rPr>
                <w:rFonts w:ascii="Times New Roman" w:hAnsi="Times New Roman" w:eastAsia="宋体" w:cs="Times New Roman"/>
                <w:bCs/>
                <w:color w:val="auto"/>
                <w:kern w:val="0"/>
              </w:rPr>
              <w:t>1</w:t>
            </w:r>
          </w:p>
        </w:tc>
        <w:tc>
          <w:tcPr>
            <w:tcW w:w="4613" w:type="dxa"/>
            <w:vAlign w:val="center"/>
          </w:tcPr>
          <w:p w14:paraId="6B94F13E">
            <w:pPr>
              <w:autoSpaceDE w:val="0"/>
              <w:autoSpaceDN w:val="0"/>
              <w:spacing w:line="280" w:lineRule="exact"/>
              <w:jc w:val="left"/>
              <w:rPr>
                <w:rFonts w:ascii="Times New Roman" w:hAnsi="Times New Roman" w:eastAsia="宋体" w:cs="Times New Roman"/>
                <w:bCs/>
                <w:color w:val="auto"/>
                <w:kern w:val="0"/>
              </w:rPr>
            </w:pPr>
            <w:r>
              <w:rPr>
                <w:rFonts w:ascii="Times New Roman" w:hAnsi="Times New Roman" w:eastAsia="宋体" w:cs="Times New Roman"/>
                <w:bCs/>
                <w:color w:val="auto"/>
                <w:kern w:val="0"/>
              </w:rPr>
              <w:t>原危险化学品经营许可证</w:t>
            </w:r>
          </w:p>
        </w:tc>
        <w:tc>
          <w:tcPr>
            <w:tcW w:w="2697" w:type="dxa"/>
            <w:vAlign w:val="center"/>
          </w:tcPr>
          <w:p w14:paraId="03164413">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val="0"/>
                <w:color w:val="auto"/>
                <w:kern w:val="2"/>
              </w:rPr>
              <w:t>有，</w:t>
            </w:r>
            <w:r>
              <w:rPr>
                <w:rFonts w:hint="eastAsia" w:ascii="Times New Roman" w:hAnsi="Times New Roman" w:eastAsia="宋体" w:cs="Times New Roman"/>
                <w:bCs w:val="0"/>
                <w:color w:val="auto"/>
                <w:kern w:val="2"/>
              </w:rPr>
              <w:t>详见附件</w:t>
            </w:r>
          </w:p>
        </w:tc>
        <w:tc>
          <w:tcPr>
            <w:tcW w:w="773" w:type="dxa"/>
            <w:vAlign w:val="center"/>
          </w:tcPr>
          <w:p w14:paraId="56698AF3">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3B05C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68F37657">
            <w:pPr>
              <w:spacing w:line="280" w:lineRule="exact"/>
              <w:jc w:val="center"/>
              <w:rPr>
                <w:rFonts w:ascii="Times New Roman" w:hAnsi="Times New Roman" w:eastAsia="宋体" w:cs="Times New Roman"/>
                <w:bCs/>
                <w:color w:val="auto"/>
                <w:kern w:val="2"/>
              </w:rPr>
            </w:pPr>
            <w:r>
              <w:rPr>
                <w:rFonts w:ascii="Times New Roman" w:hAnsi="Times New Roman" w:eastAsia="宋体" w:cs="Times New Roman"/>
                <w:bCs/>
                <w:color w:val="auto"/>
                <w:kern w:val="0"/>
              </w:rPr>
              <w:t>2</w:t>
            </w:r>
          </w:p>
        </w:tc>
        <w:tc>
          <w:tcPr>
            <w:tcW w:w="4613" w:type="dxa"/>
            <w:vAlign w:val="center"/>
          </w:tcPr>
          <w:p w14:paraId="784D36D6">
            <w:pPr>
              <w:autoSpaceDE w:val="0"/>
              <w:autoSpaceDN w:val="0"/>
              <w:spacing w:line="280" w:lineRule="exact"/>
              <w:jc w:val="left"/>
              <w:rPr>
                <w:rFonts w:ascii="Times New Roman" w:hAnsi="Times New Roman" w:eastAsia="宋体" w:cs="Times New Roman"/>
                <w:bCs/>
                <w:color w:val="auto"/>
                <w:kern w:val="0"/>
              </w:rPr>
            </w:pPr>
            <w:r>
              <w:rPr>
                <w:rFonts w:ascii="Times New Roman" w:hAnsi="Times New Roman" w:eastAsia="宋体" w:cs="Times New Roman"/>
                <w:bCs/>
                <w:color w:val="auto"/>
                <w:kern w:val="0"/>
              </w:rPr>
              <w:t>加油站成品油经营批准证书</w:t>
            </w:r>
          </w:p>
        </w:tc>
        <w:tc>
          <w:tcPr>
            <w:tcW w:w="2697" w:type="dxa"/>
            <w:vAlign w:val="center"/>
          </w:tcPr>
          <w:p w14:paraId="3AF5905A">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Cs/>
                <w:color w:val="auto"/>
                <w:kern w:val="0"/>
              </w:rPr>
              <w:t>有，详见附件</w:t>
            </w:r>
          </w:p>
        </w:tc>
        <w:tc>
          <w:tcPr>
            <w:tcW w:w="773" w:type="dxa"/>
            <w:vAlign w:val="center"/>
          </w:tcPr>
          <w:p w14:paraId="53F2FC64">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4B956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768C5ED2">
            <w:pPr>
              <w:spacing w:line="280" w:lineRule="exact"/>
              <w:jc w:val="center"/>
              <w:rPr>
                <w:rFonts w:ascii="Times New Roman" w:hAnsi="Times New Roman" w:eastAsia="宋体" w:cs="Times New Roman"/>
                <w:bCs/>
                <w:color w:val="auto"/>
                <w:kern w:val="2"/>
              </w:rPr>
            </w:pPr>
            <w:r>
              <w:rPr>
                <w:rFonts w:ascii="Times New Roman" w:hAnsi="Times New Roman" w:eastAsia="宋体" w:cs="Times New Roman"/>
                <w:bCs/>
                <w:color w:val="auto"/>
                <w:kern w:val="0"/>
              </w:rPr>
              <w:t>3</w:t>
            </w:r>
          </w:p>
        </w:tc>
        <w:tc>
          <w:tcPr>
            <w:tcW w:w="4613" w:type="dxa"/>
            <w:vAlign w:val="center"/>
          </w:tcPr>
          <w:p w14:paraId="36FC6D85">
            <w:pPr>
              <w:autoSpaceDE w:val="0"/>
              <w:autoSpaceDN w:val="0"/>
              <w:spacing w:line="280" w:lineRule="exact"/>
              <w:jc w:val="left"/>
              <w:rPr>
                <w:rFonts w:ascii="Times New Roman" w:hAnsi="Times New Roman" w:eastAsia="宋体" w:cs="Times New Roman"/>
                <w:bCs/>
                <w:color w:val="auto"/>
                <w:kern w:val="0"/>
              </w:rPr>
            </w:pPr>
            <w:r>
              <w:rPr>
                <w:rFonts w:ascii="Times New Roman" w:hAnsi="Times New Roman" w:eastAsia="宋体" w:cs="Times New Roman"/>
                <w:bCs/>
                <w:color w:val="auto"/>
                <w:kern w:val="0"/>
              </w:rPr>
              <w:t>加油站营业执照</w:t>
            </w:r>
          </w:p>
        </w:tc>
        <w:tc>
          <w:tcPr>
            <w:tcW w:w="2697" w:type="dxa"/>
            <w:vAlign w:val="center"/>
          </w:tcPr>
          <w:p w14:paraId="356565B4">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Cs/>
                <w:color w:val="auto"/>
                <w:kern w:val="0"/>
              </w:rPr>
              <w:t>有，详见附件</w:t>
            </w:r>
          </w:p>
        </w:tc>
        <w:tc>
          <w:tcPr>
            <w:tcW w:w="773" w:type="dxa"/>
            <w:vAlign w:val="center"/>
          </w:tcPr>
          <w:p w14:paraId="02595A46">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Cs/>
                <w:color w:val="auto"/>
                <w:kern w:val="0"/>
              </w:rPr>
              <w:t>合格</w:t>
            </w:r>
          </w:p>
        </w:tc>
      </w:tr>
      <w:tr w14:paraId="6DB34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2F80013D">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4</w:t>
            </w:r>
          </w:p>
        </w:tc>
        <w:tc>
          <w:tcPr>
            <w:tcW w:w="4613" w:type="dxa"/>
            <w:vAlign w:val="center"/>
          </w:tcPr>
          <w:p w14:paraId="3F9ED215">
            <w:pPr>
              <w:autoSpaceDE w:val="0"/>
              <w:autoSpaceDN w:val="0"/>
              <w:spacing w:line="280" w:lineRule="exact"/>
              <w:jc w:val="left"/>
              <w:rPr>
                <w:rFonts w:ascii="Times New Roman" w:hAnsi="Times New Roman" w:eastAsia="宋体" w:cs="Times New Roman"/>
                <w:bCs/>
                <w:color w:val="auto"/>
                <w:kern w:val="0"/>
              </w:rPr>
            </w:pPr>
            <w:r>
              <w:rPr>
                <w:rFonts w:ascii="Times New Roman" w:hAnsi="Times New Roman" w:eastAsia="宋体" w:cs="Times New Roman"/>
                <w:bCs/>
                <w:color w:val="auto"/>
                <w:kern w:val="0"/>
              </w:rPr>
              <w:t>加油站主要负责人、安全生产管理人员安全资格证书</w:t>
            </w:r>
          </w:p>
        </w:tc>
        <w:tc>
          <w:tcPr>
            <w:tcW w:w="2697" w:type="dxa"/>
            <w:vAlign w:val="center"/>
          </w:tcPr>
          <w:p w14:paraId="05801094">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有，详见表2.</w:t>
            </w:r>
            <w:r>
              <w:rPr>
                <w:rFonts w:hint="eastAsia" w:ascii="Times New Roman" w:hAnsi="Times New Roman" w:eastAsia="宋体" w:cs="Times New Roman"/>
                <w:bCs/>
                <w:color w:val="auto"/>
                <w:kern w:val="0"/>
                <w:lang w:val="en-US" w:eastAsia="zh-CN"/>
              </w:rPr>
              <w:t>5</w:t>
            </w:r>
            <w:r>
              <w:rPr>
                <w:rFonts w:ascii="Times New Roman" w:hAnsi="Times New Roman" w:eastAsia="宋体" w:cs="Times New Roman"/>
                <w:bCs/>
                <w:color w:val="auto"/>
                <w:kern w:val="0"/>
              </w:rPr>
              <w:t>-1</w:t>
            </w:r>
          </w:p>
        </w:tc>
        <w:tc>
          <w:tcPr>
            <w:tcW w:w="773" w:type="dxa"/>
            <w:vAlign w:val="center"/>
          </w:tcPr>
          <w:p w14:paraId="5B2D00D3">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115B5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75178FC9">
            <w:pPr>
              <w:spacing w:line="280" w:lineRule="exact"/>
              <w:jc w:val="center"/>
              <w:rPr>
                <w:rFonts w:ascii="Times New Roman" w:hAnsi="Times New Roman" w:eastAsia="宋体" w:cs="Times New Roman"/>
                <w:bCs/>
                <w:color w:val="auto"/>
                <w:kern w:val="2"/>
              </w:rPr>
            </w:pPr>
            <w:r>
              <w:rPr>
                <w:rFonts w:ascii="Times New Roman" w:hAnsi="Times New Roman" w:eastAsia="宋体" w:cs="Times New Roman"/>
                <w:bCs/>
                <w:color w:val="auto"/>
                <w:kern w:val="0"/>
              </w:rPr>
              <w:t>5</w:t>
            </w:r>
          </w:p>
        </w:tc>
        <w:tc>
          <w:tcPr>
            <w:tcW w:w="4613" w:type="dxa"/>
            <w:vAlign w:val="center"/>
          </w:tcPr>
          <w:p w14:paraId="37C422DC">
            <w:pPr>
              <w:autoSpaceDE w:val="0"/>
              <w:autoSpaceDN w:val="0"/>
              <w:spacing w:line="280" w:lineRule="exact"/>
              <w:jc w:val="left"/>
              <w:rPr>
                <w:rFonts w:ascii="Times New Roman" w:hAnsi="Times New Roman" w:eastAsia="宋体" w:cs="Times New Roman"/>
                <w:bCs/>
                <w:color w:val="auto"/>
                <w:kern w:val="0"/>
              </w:rPr>
            </w:pPr>
            <w:r>
              <w:rPr>
                <w:rFonts w:ascii="Times New Roman" w:hAnsi="Times New Roman" w:eastAsia="宋体" w:cs="Times New Roman"/>
                <w:bCs/>
                <w:color w:val="auto"/>
                <w:kern w:val="0"/>
              </w:rPr>
              <w:t>加油站防雷防静电检测报告</w:t>
            </w:r>
          </w:p>
        </w:tc>
        <w:tc>
          <w:tcPr>
            <w:tcW w:w="2697" w:type="dxa"/>
            <w:vAlign w:val="center"/>
          </w:tcPr>
          <w:p w14:paraId="5E4AA306">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Cs/>
                <w:color w:val="auto"/>
                <w:kern w:val="0"/>
              </w:rPr>
              <w:t>有，详见附件</w:t>
            </w:r>
          </w:p>
        </w:tc>
        <w:tc>
          <w:tcPr>
            <w:tcW w:w="773" w:type="dxa"/>
            <w:vAlign w:val="center"/>
          </w:tcPr>
          <w:p w14:paraId="29FB74CE">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Cs/>
                <w:color w:val="auto"/>
                <w:kern w:val="0"/>
              </w:rPr>
              <w:t>合格</w:t>
            </w:r>
          </w:p>
        </w:tc>
      </w:tr>
      <w:tr w14:paraId="4C719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0A0B68B1">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6</w:t>
            </w:r>
          </w:p>
        </w:tc>
        <w:tc>
          <w:tcPr>
            <w:tcW w:w="4613" w:type="dxa"/>
            <w:vAlign w:val="center"/>
          </w:tcPr>
          <w:p w14:paraId="4433C52E">
            <w:pPr>
              <w:autoSpaceDE w:val="0"/>
              <w:autoSpaceDN w:val="0"/>
              <w:spacing w:line="280" w:lineRule="exact"/>
              <w:jc w:val="left"/>
              <w:rPr>
                <w:rFonts w:ascii="Times New Roman" w:hAnsi="Times New Roman" w:eastAsia="宋体" w:cs="Times New Roman"/>
                <w:bCs/>
                <w:color w:val="auto"/>
                <w:kern w:val="0"/>
              </w:rPr>
            </w:pPr>
            <w:r>
              <w:rPr>
                <w:rFonts w:ascii="Times New Roman" w:hAnsi="Times New Roman" w:eastAsia="宋体" w:cs="Times New Roman"/>
                <w:bCs/>
                <w:color w:val="auto"/>
                <w:kern w:val="0"/>
              </w:rPr>
              <w:t>应急预案备案登记表</w:t>
            </w:r>
          </w:p>
        </w:tc>
        <w:tc>
          <w:tcPr>
            <w:tcW w:w="2697" w:type="dxa"/>
            <w:vAlign w:val="center"/>
          </w:tcPr>
          <w:p w14:paraId="201283A2">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有，详见附件</w:t>
            </w:r>
          </w:p>
        </w:tc>
        <w:tc>
          <w:tcPr>
            <w:tcW w:w="773" w:type="dxa"/>
            <w:vAlign w:val="center"/>
          </w:tcPr>
          <w:p w14:paraId="4E34A7B9">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6E307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58" w:type="dxa"/>
            <w:gridSpan w:val="4"/>
            <w:vAlign w:val="center"/>
          </w:tcPr>
          <w:p w14:paraId="53D18336">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二、安全管理制度</w:t>
            </w:r>
          </w:p>
        </w:tc>
      </w:tr>
      <w:tr w14:paraId="0BF9E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2D6E3B9F">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1</w:t>
            </w:r>
          </w:p>
        </w:tc>
        <w:tc>
          <w:tcPr>
            <w:tcW w:w="4613" w:type="dxa"/>
            <w:vAlign w:val="center"/>
          </w:tcPr>
          <w:p w14:paraId="7109C812">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有各级各类人员的安全管理责任制。</w:t>
            </w:r>
          </w:p>
        </w:tc>
        <w:tc>
          <w:tcPr>
            <w:tcW w:w="2697" w:type="dxa"/>
            <w:vAlign w:val="center"/>
          </w:tcPr>
          <w:p w14:paraId="6B2A468F">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color w:val="auto"/>
                <w:kern w:val="0"/>
              </w:rPr>
              <w:t>有各级各类人员的安全管理责任制</w:t>
            </w:r>
          </w:p>
        </w:tc>
        <w:tc>
          <w:tcPr>
            <w:tcW w:w="773" w:type="dxa"/>
            <w:vAlign w:val="center"/>
          </w:tcPr>
          <w:p w14:paraId="6F8AD33A">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color w:val="auto"/>
                <w:kern w:val="0"/>
              </w:rPr>
              <w:t>合格</w:t>
            </w:r>
          </w:p>
        </w:tc>
      </w:tr>
      <w:tr w14:paraId="1977C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498CDC72">
            <w:pPr>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2</w:t>
            </w:r>
          </w:p>
        </w:tc>
        <w:tc>
          <w:tcPr>
            <w:tcW w:w="4613" w:type="dxa"/>
            <w:vAlign w:val="center"/>
          </w:tcPr>
          <w:p w14:paraId="2FF75C25">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有健全的安全管理制度。</w:t>
            </w:r>
          </w:p>
        </w:tc>
        <w:tc>
          <w:tcPr>
            <w:tcW w:w="2697" w:type="dxa"/>
            <w:vAlign w:val="center"/>
          </w:tcPr>
          <w:p w14:paraId="64E02133">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有较健全的安全管理制度</w:t>
            </w:r>
          </w:p>
        </w:tc>
        <w:tc>
          <w:tcPr>
            <w:tcW w:w="773" w:type="dxa"/>
            <w:vAlign w:val="center"/>
          </w:tcPr>
          <w:p w14:paraId="03C9AA97">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color w:val="auto"/>
                <w:kern w:val="0"/>
              </w:rPr>
              <w:t>合格</w:t>
            </w:r>
          </w:p>
        </w:tc>
      </w:tr>
      <w:tr w14:paraId="3501F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72D1278F">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3</w:t>
            </w:r>
          </w:p>
        </w:tc>
        <w:tc>
          <w:tcPr>
            <w:tcW w:w="4613" w:type="dxa"/>
            <w:vAlign w:val="center"/>
          </w:tcPr>
          <w:p w14:paraId="6BF14DD8">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有各岗位操作规程，其中包括：卸油操作规程、加油操作规程等</w:t>
            </w:r>
          </w:p>
        </w:tc>
        <w:tc>
          <w:tcPr>
            <w:tcW w:w="2697" w:type="dxa"/>
            <w:vAlign w:val="center"/>
          </w:tcPr>
          <w:p w14:paraId="44F78E74">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有操作规程</w:t>
            </w:r>
          </w:p>
        </w:tc>
        <w:tc>
          <w:tcPr>
            <w:tcW w:w="773" w:type="dxa"/>
            <w:vAlign w:val="center"/>
          </w:tcPr>
          <w:p w14:paraId="1B13603F">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合格</w:t>
            </w:r>
          </w:p>
        </w:tc>
      </w:tr>
      <w:tr w14:paraId="219C5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00F7BE37">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4</w:t>
            </w:r>
          </w:p>
        </w:tc>
        <w:tc>
          <w:tcPr>
            <w:tcW w:w="4613" w:type="dxa"/>
            <w:vAlign w:val="center"/>
          </w:tcPr>
          <w:p w14:paraId="245CBA4F">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建立安全检查制度。</w:t>
            </w:r>
          </w:p>
        </w:tc>
        <w:tc>
          <w:tcPr>
            <w:tcW w:w="2697" w:type="dxa"/>
            <w:vAlign w:val="center"/>
          </w:tcPr>
          <w:p w14:paraId="2562CF36">
            <w:pPr>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color w:val="auto"/>
                <w:kern w:val="0"/>
              </w:rPr>
              <w:t>建立安全检查制度</w:t>
            </w:r>
          </w:p>
        </w:tc>
        <w:tc>
          <w:tcPr>
            <w:tcW w:w="773" w:type="dxa"/>
            <w:vAlign w:val="center"/>
          </w:tcPr>
          <w:p w14:paraId="1183C551">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57EAE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2A51844F">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5</w:t>
            </w:r>
          </w:p>
        </w:tc>
        <w:tc>
          <w:tcPr>
            <w:tcW w:w="4613" w:type="dxa"/>
            <w:vAlign w:val="center"/>
          </w:tcPr>
          <w:p w14:paraId="6F97E417">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有完善的事故应急救援预案，并要有演练记录。</w:t>
            </w:r>
          </w:p>
        </w:tc>
        <w:tc>
          <w:tcPr>
            <w:tcW w:w="2697" w:type="dxa"/>
            <w:vAlign w:val="center"/>
          </w:tcPr>
          <w:p w14:paraId="36987923">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color w:val="auto"/>
                <w:kern w:val="0"/>
              </w:rPr>
              <w:t>有事故应急救援预案，并有演练记录。</w:t>
            </w:r>
          </w:p>
        </w:tc>
        <w:tc>
          <w:tcPr>
            <w:tcW w:w="773" w:type="dxa"/>
            <w:vAlign w:val="center"/>
          </w:tcPr>
          <w:p w14:paraId="7B9E3F3A">
            <w:pPr>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color w:val="auto"/>
                <w:kern w:val="0"/>
              </w:rPr>
              <w:t>合格</w:t>
            </w:r>
          </w:p>
        </w:tc>
      </w:tr>
      <w:tr w14:paraId="637A1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58" w:type="dxa"/>
            <w:gridSpan w:val="4"/>
            <w:vAlign w:val="center"/>
          </w:tcPr>
          <w:p w14:paraId="1985FBF2">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三、安全管理组织</w:t>
            </w:r>
          </w:p>
        </w:tc>
      </w:tr>
      <w:tr w14:paraId="5CD0C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56B1F7AD">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1</w:t>
            </w:r>
          </w:p>
        </w:tc>
        <w:tc>
          <w:tcPr>
            <w:tcW w:w="4613" w:type="dxa"/>
            <w:vAlign w:val="center"/>
          </w:tcPr>
          <w:p w14:paraId="572A5393">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有安全管理领导小组，有专职或兼职安全人员。</w:t>
            </w:r>
          </w:p>
        </w:tc>
        <w:tc>
          <w:tcPr>
            <w:tcW w:w="2697" w:type="dxa"/>
            <w:vAlign w:val="center"/>
          </w:tcPr>
          <w:p w14:paraId="28AC2FF2">
            <w:pPr>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有安全生产领导小组，有安全管理人员</w:t>
            </w:r>
          </w:p>
        </w:tc>
        <w:tc>
          <w:tcPr>
            <w:tcW w:w="773" w:type="dxa"/>
            <w:vAlign w:val="center"/>
          </w:tcPr>
          <w:p w14:paraId="518C4B95">
            <w:pPr>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color w:val="auto"/>
                <w:kern w:val="0"/>
              </w:rPr>
              <w:t>合格</w:t>
            </w:r>
          </w:p>
        </w:tc>
      </w:tr>
      <w:tr w14:paraId="2BD8C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58" w:type="dxa"/>
            <w:gridSpan w:val="4"/>
            <w:vAlign w:val="center"/>
          </w:tcPr>
          <w:p w14:paraId="4C7DCE4C">
            <w:pPr>
              <w:spacing w:line="280" w:lineRule="exact"/>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四、从业人员状况</w:t>
            </w:r>
          </w:p>
        </w:tc>
      </w:tr>
      <w:tr w14:paraId="6B0B0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5D4575B1">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1</w:t>
            </w:r>
          </w:p>
        </w:tc>
        <w:tc>
          <w:tcPr>
            <w:tcW w:w="4613" w:type="dxa"/>
            <w:vAlign w:val="center"/>
          </w:tcPr>
          <w:p w14:paraId="0C6F100B">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单位主要负责人经安全生产监督管理部门和消防部门培训合格，取得上岗资格。</w:t>
            </w:r>
          </w:p>
        </w:tc>
        <w:tc>
          <w:tcPr>
            <w:tcW w:w="2697" w:type="dxa"/>
            <w:vAlign w:val="center"/>
          </w:tcPr>
          <w:p w14:paraId="18A9BE86">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培训合格，取得上岗资格</w:t>
            </w:r>
          </w:p>
        </w:tc>
        <w:tc>
          <w:tcPr>
            <w:tcW w:w="773" w:type="dxa"/>
            <w:vAlign w:val="center"/>
          </w:tcPr>
          <w:p w14:paraId="5967570B">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color w:val="auto"/>
                <w:kern w:val="0"/>
              </w:rPr>
              <w:t>合格</w:t>
            </w:r>
          </w:p>
        </w:tc>
      </w:tr>
      <w:tr w14:paraId="7B35D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7204EB22">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2</w:t>
            </w:r>
          </w:p>
        </w:tc>
        <w:tc>
          <w:tcPr>
            <w:tcW w:w="4613" w:type="dxa"/>
            <w:vAlign w:val="center"/>
          </w:tcPr>
          <w:p w14:paraId="363EE30A">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从业</w:t>
            </w:r>
            <w:r>
              <w:rPr>
                <w:rFonts w:ascii="Times New Roman" w:hAnsi="Times New Roman" w:eastAsia="宋体" w:cs="Times New Roman"/>
                <w:bCs/>
                <w:color w:val="auto"/>
                <w:kern w:val="0"/>
              </w:rPr>
              <w:t>人员经本单位专业培训合格，掌握相应的专业技</w:t>
            </w:r>
            <w:r>
              <w:rPr>
                <w:rFonts w:ascii="Times New Roman" w:hAnsi="Times New Roman" w:eastAsia="宋体" w:cs="Times New Roman"/>
                <w:bCs w:val="0"/>
                <w:color w:val="auto"/>
                <w:kern w:val="0"/>
              </w:rPr>
              <w:t>术知识，具备相应的安全生产知识和能力。有培训记录。</w:t>
            </w:r>
          </w:p>
        </w:tc>
        <w:tc>
          <w:tcPr>
            <w:tcW w:w="2697" w:type="dxa"/>
            <w:vAlign w:val="center"/>
          </w:tcPr>
          <w:p w14:paraId="6D8C0688">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从业人员经本单位专业培训合格后上岗，有培训记录。</w:t>
            </w:r>
          </w:p>
        </w:tc>
        <w:tc>
          <w:tcPr>
            <w:tcW w:w="773" w:type="dxa"/>
            <w:vAlign w:val="center"/>
          </w:tcPr>
          <w:p w14:paraId="36DFEDB0">
            <w:pPr>
              <w:spacing w:line="280" w:lineRule="exact"/>
              <w:jc w:val="center"/>
              <w:rPr>
                <w:rFonts w:ascii="Times New Roman" w:hAnsi="Times New Roman" w:eastAsia="宋体" w:cs="Times New Roman"/>
                <w:bCs w:val="0"/>
                <w:color w:val="auto"/>
                <w:kern w:val="2"/>
              </w:rPr>
            </w:pPr>
            <w:r>
              <w:rPr>
                <w:rFonts w:ascii="Times New Roman" w:hAnsi="Times New Roman" w:eastAsia="宋体" w:cs="Times New Roman"/>
                <w:bCs/>
                <w:color w:val="auto"/>
                <w:kern w:val="0"/>
              </w:rPr>
              <w:t>合格</w:t>
            </w:r>
          </w:p>
        </w:tc>
      </w:tr>
      <w:tr w14:paraId="6F9C5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58" w:type="dxa"/>
            <w:gridSpan w:val="4"/>
            <w:vAlign w:val="center"/>
          </w:tcPr>
          <w:p w14:paraId="73F0ECC5">
            <w:pPr>
              <w:spacing w:line="280" w:lineRule="exact"/>
              <w:jc w:val="center"/>
              <w:rPr>
                <w:rFonts w:ascii="Times New Roman" w:hAnsi="Times New Roman" w:eastAsia="宋体" w:cs="Times New Roman"/>
                <w:b/>
                <w:bCs w:val="0"/>
                <w:color w:val="auto"/>
                <w:kern w:val="0"/>
              </w:rPr>
            </w:pPr>
            <w:r>
              <w:rPr>
                <w:rFonts w:ascii="Times New Roman" w:hAnsi="Times New Roman" w:eastAsia="宋体" w:cs="Times New Roman"/>
                <w:b/>
                <w:bCs w:val="0"/>
                <w:color w:val="auto"/>
                <w:kern w:val="0"/>
              </w:rPr>
              <w:t>五、加油站作业安全</w:t>
            </w:r>
          </w:p>
        </w:tc>
      </w:tr>
      <w:tr w14:paraId="59EF5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1389A68D">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1</w:t>
            </w:r>
          </w:p>
        </w:tc>
        <w:tc>
          <w:tcPr>
            <w:tcW w:w="4613" w:type="dxa"/>
            <w:vAlign w:val="center"/>
          </w:tcPr>
          <w:p w14:paraId="1012CA1B">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作业人员应经安全生产教育和培训考试合格后方可上岗。特种作业人员应取得相应资格证书，持证上岗。</w:t>
            </w:r>
          </w:p>
        </w:tc>
        <w:tc>
          <w:tcPr>
            <w:tcW w:w="2697" w:type="dxa"/>
            <w:vAlign w:val="center"/>
          </w:tcPr>
          <w:p w14:paraId="2C4A6190">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站内作业人员经安全生产教育和培训考试合格后上岗。站内不涉及特种作业人员。</w:t>
            </w:r>
          </w:p>
        </w:tc>
        <w:tc>
          <w:tcPr>
            <w:tcW w:w="773" w:type="dxa"/>
            <w:vAlign w:val="center"/>
          </w:tcPr>
          <w:p w14:paraId="20C7EBEE">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5D81B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3C31AC34">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2</w:t>
            </w:r>
          </w:p>
        </w:tc>
        <w:tc>
          <w:tcPr>
            <w:tcW w:w="4613" w:type="dxa"/>
            <w:vAlign w:val="center"/>
          </w:tcPr>
          <w:p w14:paraId="0A5D5E5E">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作业区人员上岗时应穿防静电工作服、防静电工作鞋。不应在作业区穿脱及拍打衣服、帽子或类似物。</w:t>
            </w:r>
          </w:p>
        </w:tc>
        <w:tc>
          <w:tcPr>
            <w:tcW w:w="2697" w:type="dxa"/>
            <w:vAlign w:val="center"/>
          </w:tcPr>
          <w:p w14:paraId="72C9E783">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作业区人员上岗时穿防静电工作服、防静电工作鞋。</w:t>
            </w:r>
          </w:p>
        </w:tc>
        <w:tc>
          <w:tcPr>
            <w:tcW w:w="773" w:type="dxa"/>
            <w:vAlign w:val="center"/>
          </w:tcPr>
          <w:p w14:paraId="26CC25D8">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29AC1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0C68688F">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3</w:t>
            </w:r>
          </w:p>
        </w:tc>
        <w:tc>
          <w:tcPr>
            <w:tcW w:w="4613" w:type="dxa"/>
            <w:vAlign w:val="center"/>
          </w:tcPr>
          <w:p w14:paraId="2F9F6D17">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不应在加油站内吸烟。</w:t>
            </w:r>
          </w:p>
        </w:tc>
        <w:tc>
          <w:tcPr>
            <w:tcW w:w="2697" w:type="dxa"/>
            <w:vAlign w:val="center"/>
          </w:tcPr>
          <w:p w14:paraId="0E2C16C0">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站内严禁吸烟。</w:t>
            </w:r>
          </w:p>
        </w:tc>
        <w:tc>
          <w:tcPr>
            <w:tcW w:w="773" w:type="dxa"/>
            <w:vAlign w:val="center"/>
          </w:tcPr>
          <w:p w14:paraId="730BEB43">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7C7EB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21A269B4">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4</w:t>
            </w:r>
          </w:p>
        </w:tc>
        <w:tc>
          <w:tcPr>
            <w:tcW w:w="4613" w:type="dxa"/>
            <w:vAlign w:val="center"/>
          </w:tcPr>
          <w:p w14:paraId="6ADE6203">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作业区应按GB/T 2893.5，GB 2894，GB 13495.1，GB 15630的规定设置安全标志和安全色。</w:t>
            </w:r>
          </w:p>
        </w:tc>
        <w:tc>
          <w:tcPr>
            <w:tcW w:w="2697" w:type="dxa"/>
            <w:vAlign w:val="center"/>
          </w:tcPr>
          <w:p w14:paraId="1594EB4C">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作业区按规定设置安全标志和安全色。</w:t>
            </w:r>
          </w:p>
        </w:tc>
        <w:tc>
          <w:tcPr>
            <w:tcW w:w="773" w:type="dxa"/>
            <w:vAlign w:val="center"/>
          </w:tcPr>
          <w:p w14:paraId="06A4BB8B">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3310F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5A15EB69">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5</w:t>
            </w:r>
          </w:p>
        </w:tc>
        <w:tc>
          <w:tcPr>
            <w:tcW w:w="4613" w:type="dxa"/>
            <w:vAlign w:val="center"/>
          </w:tcPr>
          <w:p w14:paraId="264352E1">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加油站遇雷暴、龙卷风和台风等恶劣天气时应停止加油、卸油、取样和人工计量等作业。</w:t>
            </w:r>
          </w:p>
        </w:tc>
        <w:tc>
          <w:tcPr>
            <w:tcW w:w="2697" w:type="dxa"/>
            <w:vAlign w:val="center"/>
          </w:tcPr>
          <w:p w14:paraId="4011473F">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color w:val="auto"/>
                <w:kern w:val="0"/>
              </w:rPr>
              <w:t>加油、卸油操作规程有相关规定。</w:t>
            </w:r>
          </w:p>
        </w:tc>
        <w:tc>
          <w:tcPr>
            <w:tcW w:w="773" w:type="dxa"/>
            <w:vAlign w:val="center"/>
          </w:tcPr>
          <w:p w14:paraId="5B47C285">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25A7E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2CAE5D82">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6</w:t>
            </w:r>
          </w:p>
        </w:tc>
        <w:tc>
          <w:tcPr>
            <w:tcW w:w="4613" w:type="dxa"/>
            <w:vAlign w:val="center"/>
          </w:tcPr>
          <w:p w14:paraId="2116B335">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不应在作业区内抛掷、拖拉、滚动、敲打金属物品及进行易产生火花的作业。</w:t>
            </w:r>
          </w:p>
        </w:tc>
        <w:tc>
          <w:tcPr>
            <w:tcW w:w="2697" w:type="dxa"/>
            <w:vAlign w:val="center"/>
          </w:tcPr>
          <w:p w14:paraId="2DF7EB74">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不在作业区内进行易产生火花的作业。</w:t>
            </w:r>
          </w:p>
        </w:tc>
        <w:tc>
          <w:tcPr>
            <w:tcW w:w="773" w:type="dxa"/>
            <w:vAlign w:val="center"/>
          </w:tcPr>
          <w:p w14:paraId="630A1497">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0FF5F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3FD5EC65">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7</w:t>
            </w:r>
          </w:p>
        </w:tc>
        <w:tc>
          <w:tcPr>
            <w:tcW w:w="4613" w:type="dxa"/>
            <w:vAlign w:val="center"/>
          </w:tcPr>
          <w:p w14:paraId="55965C1D">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不应在作业区内进行车辆维修和洗车作业。</w:t>
            </w:r>
          </w:p>
        </w:tc>
        <w:tc>
          <w:tcPr>
            <w:tcW w:w="2697" w:type="dxa"/>
            <w:vAlign w:val="center"/>
          </w:tcPr>
          <w:p w14:paraId="6E202840">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不在作业区内进行车辆维修和洗车作业。</w:t>
            </w:r>
          </w:p>
        </w:tc>
        <w:tc>
          <w:tcPr>
            <w:tcW w:w="773" w:type="dxa"/>
            <w:vAlign w:val="center"/>
          </w:tcPr>
          <w:p w14:paraId="17AC269F">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r w14:paraId="2CA0F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75" w:type="dxa"/>
            <w:vAlign w:val="center"/>
          </w:tcPr>
          <w:p w14:paraId="0E04941D">
            <w:pPr>
              <w:autoSpaceDE w:val="0"/>
              <w:autoSpaceDN w:val="0"/>
              <w:spacing w:line="280" w:lineRule="exact"/>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8</w:t>
            </w:r>
          </w:p>
        </w:tc>
        <w:tc>
          <w:tcPr>
            <w:tcW w:w="4613" w:type="dxa"/>
            <w:vAlign w:val="center"/>
          </w:tcPr>
          <w:p w14:paraId="56620688">
            <w:pPr>
              <w:autoSpaceDE w:val="0"/>
              <w:autoSpaceDN w:val="0"/>
              <w:spacing w:line="280" w:lineRule="exact"/>
              <w:jc w:val="lef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不应使用汽油和易燃清洗剂做清洁工作。不应使用可能会产生静电或火花的清洁工具。</w:t>
            </w:r>
          </w:p>
        </w:tc>
        <w:tc>
          <w:tcPr>
            <w:tcW w:w="2697" w:type="dxa"/>
            <w:vAlign w:val="center"/>
          </w:tcPr>
          <w:p w14:paraId="13723969">
            <w:pPr>
              <w:spacing w:line="280" w:lineRule="exact"/>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不使用汽油和易燃清洗剂做清洁工作。不使用可能会产生静电或火花的清洁工具。</w:t>
            </w:r>
          </w:p>
        </w:tc>
        <w:tc>
          <w:tcPr>
            <w:tcW w:w="773" w:type="dxa"/>
            <w:vAlign w:val="center"/>
          </w:tcPr>
          <w:p w14:paraId="4FED642F">
            <w:pPr>
              <w:spacing w:line="280" w:lineRule="exact"/>
              <w:jc w:val="center"/>
              <w:rPr>
                <w:rFonts w:ascii="Times New Roman" w:hAnsi="Times New Roman" w:eastAsia="宋体" w:cs="Times New Roman"/>
                <w:bCs/>
                <w:color w:val="auto"/>
                <w:kern w:val="0"/>
              </w:rPr>
            </w:pPr>
            <w:r>
              <w:rPr>
                <w:rFonts w:ascii="Times New Roman" w:hAnsi="Times New Roman" w:eastAsia="宋体" w:cs="Times New Roman"/>
                <w:bCs/>
                <w:color w:val="auto"/>
                <w:kern w:val="0"/>
              </w:rPr>
              <w:t>合格</w:t>
            </w:r>
          </w:p>
        </w:tc>
      </w:tr>
    </w:tbl>
    <w:p w14:paraId="1906C7A8">
      <w:pPr>
        <w:ind w:firstLine="420"/>
        <w:rPr>
          <w:rFonts w:hint="eastAsia"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评价小结：</w:t>
      </w:r>
    </w:p>
    <w:p w14:paraId="2CCA40ED">
      <w:pPr>
        <w:ind w:firstLine="42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该加油站制定了各岗位安全生产职责，明确规定了各级领导和各岗位人员的安全生产职责和要求；制定了各种安全管理制度，制定了加油、卸油的安全操作技术规程。按规定为从业人员发放劳动保护用品。加油站制定了生产安全事故应急救援预案，并在当地县应急管理局备案。加油站定期进行预案演练，对演练进行了记录和总结。</w:t>
      </w:r>
    </w:p>
    <w:p w14:paraId="3BDD94E6">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66" w:name="_Toc29212"/>
      <w:r>
        <w:rPr>
          <w:rFonts w:hint="eastAsia" w:ascii="Times New Roman" w:hAnsi="Times New Roman" w:eastAsia="宋体" w:cs="Times New Roman"/>
          <w:b/>
          <w:bCs/>
          <w:color w:val="auto"/>
          <w:kern w:val="0"/>
          <w:sz w:val="30"/>
          <w:szCs w:val="30"/>
          <w:lang w:val="en-US" w:eastAsia="zh-CN" w:bidi="ar-SA"/>
        </w:rPr>
        <w:t>5.4 站址选择符合性评价</w:t>
      </w:r>
      <w:bookmarkEnd w:id="162"/>
      <w:bookmarkEnd w:id="163"/>
      <w:bookmarkEnd w:id="166"/>
    </w:p>
    <w:p w14:paraId="23B1DC9A">
      <w:pPr>
        <w:spacing w:line="56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检查表依据《汽车加油加气加氢站技术标准》</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GB</w:t>
      </w:r>
      <w:r>
        <w:rPr>
          <w:rFonts w:hint="eastAsia" w:ascii="Times New Roman" w:hAnsi="Times New Roman" w:eastAsia="宋体" w:cs="Calibri"/>
          <w:bCs w:val="0"/>
          <w:color w:val="auto"/>
          <w:kern w:val="2"/>
          <w:sz w:val="28"/>
          <w:szCs w:val="28"/>
        </w:rPr>
        <w:t xml:space="preserve"> </w:t>
      </w:r>
      <w:r>
        <w:rPr>
          <w:rFonts w:ascii="Times New Roman" w:hAnsi="Times New Roman" w:eastAsia="宋体" w:cs="Calibri"/>
          <w:bCs w:val="0"/>
          <w:color w:val="auto"/>
          <w:kern w:val="2"/>
          <w:sz w:val="28"/>
          <w:szCs w:val="28"/>
        </w:rPr>
        <w:t>50156-2021</w:t>
      </w:r>
      <w:r>
        <w:rPr>
          <w:rFonts w:hint="eastAsia" w:ascii="Times New Roman" w:hAnsi="Times New Roman" w:eastAsia="宋体" w:cs="Calibri"/>
          <w:bCs w:val="0"/>
          <w:color w:val="auto"/>
          <w:kern w:val="2"/>
          <w:sz w:val="28"/>
          <w:szCs w:val="28"/>
        </w:rPr>
        <w:t>）和本报告2.2节介绍</w:t>
      </w:r>
      <w:r>
        <w:rPr>
          <w:rFonts w:ascii="Times New Roman" w:hAnsi="Times New Roman" w:eastAsia="宋体" w:cs="Calibri"/>
          <w:bCs w:val="0"/>
          <w:color w:val="auto"/>
          <w:kern w:val="2"/>
          <w:sz w:val="28"/>
          <w:szCs w:val="28"/>
        </w:rPr>
        <w:t>，该加油站</w:t>
      </w:r>
      <w:r>
        <w:rPr>
          <w:rFonts w:hint="eastAsia" w:ascii="Times New Roman" w:hAnsi="Times New Roman" w:eastAsia="宋体" w:cs="Calibri"/>
          <w:bCs w:val="0"/>
          <w:color w:val="auto"/>
          <w:kern w:val="2"/>
          <w:sz w:val="28"/>
          <w:szCs w:val="28"/>
        </w:rPr>
        <w:t>站址</w:t>
      </w:r>
      <w:r>
        <w:rPr>
          <w:rFonts w:ascii="Times New Roman" w:hAnsi="Times New Roman" w:eastAsia="宋体" w:cs="Calibri"/>
          <w:bCs w:val="0"/>
          <w:color w:val="auto"/>
          <w:kern w:val="2"/>
          <w:sz w:val="28"/>
          <w:szCs w:val="28"/>
        </w:rPr>
        <w:t>检查如下</w:t>
      </w:r>
      <w:r>
        <w:rPr>
          <w:rFonts w:hint="eastAsia" w:ascii="Times New Roman" w:hAnsi="Times New Roman" w:eastAsia="宋体" w:cs="Calibri"/>
          <w:bCs w:val="0"/>
          <w:color w:val="auto"/>
          <w:kern w:val="2"/>
          <w:sz w:val="28"/>
          <w:szCs w:val="28"/>
        </w:rPr>
        <w:t>表5.4-1、5.4-2</w:t>
      </w:r>
      <w:r>
        <w:rPr>
          <w:rFonts w:ascii="Times New Roman" w:hAnsi="Times New Roman" w:eastAsia="宋体" w:cs="Calibri"/>
          <w:bCs w:val="0"/>
          <w:color w:val="auto"/>
          <w:kern w:val="2"/>
          <w:sz w:val="28"/>
          <w:szCs w:val="28"/>
        </w:rPr>
        <w:t>：</w:t>
      </w:r>
    </w:p>
    <w:p w14:paraId="1E1C9EF0">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表5.4-1  加油站站址选择安全检查表（依据《汽车加油加气加氢站技术标准》GB50156-2021）</w:t>
      </w:r>
    </w:p>
    <w:tbl>
      <w:tblPr>
        <w:tblStyle w:val="7"/>
        <w:tblW w:w="503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510"/>
        <w:gridCol w:w="5558"/>
        <w:gridCol w:w="2432"/>
        <w:gridCol w:w="658"/>
      </w:tblGrid>
      <w:tr w14:paraId="0C9AF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2" w:hRule="atLeast"/>
          <w:tblHeader/>
          <w:jc w:val="center"/>
        </w:trPr>
        <w:tc>
          <w:tcPr>
            <w:tcW w:w="279" w:type="pct"/>
            <w:tcBorders>
              <w:top w:val="single" w:color="auto" w:sz="12" w:space="0"/>
              <w:left w:val="single" w:color="auto" w:sz="12" w:space="0"/>
              <w:bottom w:val="single" w:color="auto" w:sz="6" w:space="0"/>
              <w:right w:val="single" w:color="auto" w:sz="6" w:space="0"/>
            </w:tcBorders>
            <w:vAlign w:val="center"/>
          </w:tcPr>
          <w:p w14:paraId="25EE699A">
            <w:pPr>
              <w:tabs>
                <w:tab w:val="left" w:pos="420"/>
              </w:tabs>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3033" w:type="pct"/>
            <w:tcBorders>
              <w:top w:val="single" w:color="auto" w:sz="12" w:space="0"/>
              <w:left w:val="single" w:color="auto" w:sz="6" w:space="0"/>
              <w:bottom w:val="single" w:color="auto" w:sz="6" w:space="0"/>
              <w:right w:val="single" w:color="auto" w:sz="6" w:space="0"/>
            </w:tcBorders>
            <w:vAlign w:val="center"/>
          </w:tcPr>
          <w:p w14:paraId="33BD4DC6">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1327" w:type="pct"/>
            <w:tcBorders>
              <w:top w:val="single" w:color="auto" w:sz="12" w:space="0"/>
              <w:left w:val="single" w:color="auto" w:sz="6" w:space="0"/>
              <w:bottom w:val="single" w:color="auto" w:sz="6" w:space="0"/>
              <w:right w:val="single" w:color="auto" w:sz="6" w:space="0"/>
            </w:tcBorders>
            <w:vAlign w:val="center"/>
          </w:tcPr>
          <w:p w14:paraId="13285F5D">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359" w:type="pct"/>
            <w:tcBorders>
              <w:top w:val="single" w:color="auto" w:sz="12" w:space="0"/>
              <w:left w:val="single" w:color="auto" w:sz="6" w:space="0"/>
              <w:bottom w:val="single" w:color="auto" w:sz="6" w:space="0"/>
              <w:right w:val="single" w:color="auto" w:sz="12" w:space="0"/>
            </w:tcBorders>
            <w:vAlign w:val="center"/>
          </w:tcPr>
          <w:p w14:paraId="248FB4C3">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03C9A4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79" w:type="pct"/>
            <w:vAlign w:val="center"/>
          </w:tcPr>
          <w:p w14:paraId="7D2F2EAC">
            <w:pPr>
              <w:numPr>
                <w:ilvl w:val="0"/>
                <w:numId w:val="6"/>
              </w:numPr>
              <w:jc w:val="center"/>
              <w:rPr>
                <w:rFonts w:ascii="Times New Roman" w:hAnsi="Times New Roman" w:eastAsia="宋体" w:cs="Calibri"/>
                <w:bCs w:val="0"/>
                <w:color w:val="auto"/>
                <w:kern w:val="2"/>
              </w:rPr>
            </w:pPr>
          </w:p>
        </w:tc>
        <w:tc>
          <w:tcPr>
            <w:tcW w:w="3033" w:type="pct"/>
            <w:vAlign w:val="center"/>
          </w:tcPr>
          <w:p w14:paraId="05464836">
            <w:pPr>
              <w:rPr>
                <w:rFonts w:ascii="Times New Roman" w:hAnsi="Times New Roman" w:eastAsia="宋体" w:cs="Calibri"/>
                <w:bCs w:val="0"/>
                <w:color w:val="auto"/>
                <w:kern w:val="2"/>
              </w:rPr>
            </w:pPr>
            <w:r>
              <w:rPr>
                <w:rFonts w:ascii="Times New Roman" w:hAnsi="Times New Roman" w:eastAsia="宋体" w:cs="Calibri"/>
                <w:bCs w:val="0"/>
                <w:color w:val="auto"/>
                <w:kern w:val="2"/>
              </w:rPr>
              <w:t>4.0.1汽车加油加气加氢站的站址选择应符合有关规划、环境保护和防火安全的要求，并应选在交通便利、用户使用方便的地点。</w:t>
            </w:r>
          </w:p>
        </w:tc>
        <w:tc>
          <w:tcPr>
            <w:tcW w:w="1327" w:type="pct"/>
            <w:vAlign w:val="center"/>
          </w:tcPr>
          <w:p w14:paraId="0060F07D">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该站选址符合规划、</w:t>
            </w:r>
            <w:r>
              <w:rPr>
                <w:rFonts w:hint="eastAsia" w:ascii="Times New Roman" w:hAnsi="Times New Roman" w:eastAsia="宋体" w:cs="Calibri"/>
                <w:bCs w:val="0"/>
                <w:color w:val="auto"/>
                <w:kern w:val="2"/>
                <w:lang w:val="en-US" w:eastAsia="zh-CN"/>
              </w:rPr>
              <w:t>相关</w:t>
            </w:r>
            <w:r>
              <w:rPr>
                <w:rFonts w:hint="eastAsia" w:ascii="Times New Roman" w:hAnsi="Times New Roman" w:eastAsia="宋体" w:cs="Calibri"/>
                <w:bCs w:val="0"/>
                <w:color w:val="auto"/>
                <w:kern w:val="2"/>
              </w:rPr>
              <w:t>要求，交通便利。</w:t>
            </w:r>
          </w:p>
        </w:tc>
        <w:tc>
          <w:tcPr>
            <w:tcW w:w="359" w:type="pct"/>
            <w:vAlign w:val="center"/>
          </w:tcPr>
          <w:p w14:paraId="31EFF39F">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5CB56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1" w:hRule="atLeast"/>
          <w:jc w:val="center"/>
        </w:trPr>
        <w:tc>
          <w:tcPr>
            <w:tcW w:w="279" w:type="pct"/>
            <w:vAlign w:val="center"/>
          </w:tcPr>
          <w:p w14:paraId="2061443F">
            <w:pPr>
              <w:numPr>
                <w:ilvl w:val="0"/>
                <w:numId w:val="6"/>
              </w:numPr>
              <w:jc w:val="center"/>
              <w:rPr>
                <w:rFonts w:ascii="Times New Roman" w:hAnsi="Times New Roman" w:eastAsia="宋体" w:cs="Calibri"/>
                <w:bCs w:val="0"/>
                <w:color w:val="auto"/>
                <w:kern w:val="2"/>
              </w:rPr>
            </w:pPr>
          </w:p>
        </w:tc>
        <w:tc>
          <w:tcPr>
            <w:tcW w:w="3033" w:type="pct"/>
            <w:vAlign w:val="center"/>
          </w:tcPr>
          <w:p w14:paraId="4BFDFC80">
            <w:pPr>
              <w:rPr>
                <w:rFonts w:ascii="Times New Roman" w:hAnsi="Times New Roman" w:eastAsia="宋体" w:cs="Calibri"/>
                <w:bCs w:val="0"/>
                <w:color w:val="auto"/>
                <w:kern w:val="2"/>
              </w:rPr>
            </w:pPr>
            <w:r>
              <w:rPr>
                <w:rFonts w:ascii="Times New Roman" w:hAnsi="Times New Roman" w:eastAsia="宋体" w:cs="Calibri"/>
                <w:bCs w:val="0"/>
                <w:color w:val="auto"/>
                <w:kern w:val="2"/>
              </w:rPr>
              <w:t>4.0.2在城市中心区不应建一级汽车加油加</w:t>
            </w:r>
            <w:r>
              <w:rPr>
                <w:rFonts w:hint="eastAsia" w:ascii="Times New Roman" w:hAnsi="Times New Roman" w:eastAsia="宋体" w:cs="Calibri"/>
                <w:bCs w:val="0"/>
                <w:color w:val="auto"/>
                <w:kern w:val="2"/>
              </w:rPr>
              <w:t>气</w:t>
            </w:r>
            <w:r>
              <w:rPr>
                <w:rFonts w:ascii="Times New Roman" w:hAnsi="Times New Roman" w:eastAsia="宋体" w:cs="Calibri"/>
                <w:bCs w:val="0"/>
                <w:color w:val="auto"/>
                <w:kern w:val="2"/>
              </w:rPr>
              <w:t>加氢站、CNG加气母站。</w:t>
            </w:r>
          </w:p>
        </w:tc>
        <w:tc>
          <w:tcPr>
            <w:tcW w:w="1327" w:type="pct"/>
            <w:vAlign w:val="center"/>
          </w:tcPr>
          <w:p w14:paraId="6E1F83C2">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lang w:val="en-US" w:eastAsia="zh-CN"/>
              </w:rPr>
              <w:t>三级站</w:t>
            </w:r>
          </w:p>
        </w:tc>
        <w:tc>
          <w:tcPr>
            <w:tcW w:w="359" w:type="pct"/>
            <w:vAlign w:val="center"/>
          </w:tcPr>
          <w:p w14:paraId="44DD7FB9">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DB37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79" w:type="pct"/>
            <w:vAlign w:val="center"/>
          </w:tcPr>
          <w:p w14:paraId="53E4075B">
            <w:pPr>
              <w:numPr>
                <w:ilvl w:val="0"/>
                <w:numId w:val="6"/>
              </w:numPr>
              <w:jc w:val="center"/>
              <w:rPr>
                <w:rFonts w:ascii="Times New Roman" w:hAnsi="Times New Roman" w:eastAsia="宋体" w:cs="Calibri"/>
                <w:bCs w:val="0"/>
                <w:color w:val="auto"/>
                <w:kern w:val="2"/>
              </w:rPr>
            </w:pPr>
          </w:p>
        </w:tc>
        <w:tc>
          <w:tcPr>
            <w:tcW w:w="3033" w:type="pct"/>
            <w:vAlign w:val="center"/>
          </w:tcPr>
          <w:p w14:paraId="1F73C32F">
            <w:pPr>
              <w:rPr>
                <w:rFonts w:ascii="Times New Roman" w:hAnsi="Times New Roman" w:eastAsia="宋体" w:cs="Calibri"/>
                <w:bCs w:val="0"/>
                <w:color w:val="auto"/>
                <w:kern w:val="2"/>
              </w:rPr>
            </w:pPr>
            <w:r>
              <w:rPr>
                <w:rFonts w:ascii="Times New Roman" w:hAnsi="Times New Roman" w:eastAsia="宋体" w:cs="Calibri"/>
                <w:bCs w:val="0"/>
                <w:color w:val="auto"/>
                <w:kern w:val="2"/>
              </w:rPr>
              <w:t>4.0.3城市建成区内的汽车加油加气加氢站宜靠近城市道路，但不宜选在城市干道的交叉路口附近。</w:t>
            </w:r>
          </w:p>
        </w:tc>
        <w:tc>
          <w:tcPr>
            <w:tcW w:w="1327" w:type="pct"/>
            <w:vAlign w:val="center"/>
          </w:tcPr>
          <w:p w14:paraId="51A70E24">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不处于</w:t>
            </w:r>
            <w:r>
              <w:rPr>
                <w:rFonts w:ascii="Times New Roman" w:hAnsi="Times New Roman" w:eastAsia="宋体" w:cs="Calibri"/>
                <w:bCs w:val="0"/>
                <w:color w:val="auto"/>
                <w:kern w:val="2"/>
              </w:rPr>
              <w:t>城市干道的交叉路口</w:t>
            </w:r>
          </w:p>
        </w:tc>
        <w:tc>
          <w:tcPr>
            <w:tcW w:w="359" w:type="pct"/>
            <w:vAlign w:val="center"/>
          </w:tcPr>
          <w:p w14:paraId="528D89BD">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E6C12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73" w:hRule="atLeast"/>
          <w:jc w:val="center"/>
        </w:trPr>
        <w:tc>
          <w:tcPr>
            <w:tcW w:w="279" w:type="pct"/>
            <w:vAlign w:val="center"/>
          </w:tcPr>
          <w:p w14:paraId="7747CC59">
            <w:pPr>
              <w:numPr>
                <w:ilvl w:val="0"/>
                <w:numId w:val="6"/>
              </w:numPr>
              <w:jc w:val="center"/>
              <w:rPr>
                <w:rFonts w:ascii="Times New Roman" w:hAnsi="Times New Roman" w:eastAsia="宋体" w:cs="Calibri"/>
                <w:bCs w:val="0"/>
                <w:color w:val="auto"/>
                <w:kern w:val="2"/>
              </w:rPr>
            </w:pPr>
          </w:p>
        </w:tc>
        <w:tc>
          <w:tcPr>
            <w:tcW w:w="3033" w:type="pct"/>
            <w:vAlign w:val="center"/>
          </w:tcPr>
          <w:p w14:paraId="5420D79A">
            <w:pPr>
              <w:rPr>
                <w:rFonts w:ascii="Times New Roman" w:hAnsi="Times New Roman" w:eastAsia="宋体" w:cs="Calibri"/>
                <w:bCs w:val="0"/>
                <w:color w:val="auto"/>
                <w:kern w:val="2"/>
              </w:rPr>
            </w:pPr>
            <w:r>
              <w:rPr>
                <w:rFonts w:ascii="Times New Roman" w:hAnsi="Times New Roman" w:eastAsia="宋体" w:cs="Arial"/>
                <w:b/>
                <w:bCs w:val="0"/>
                <w:color w:val="auto"/>
                <w:kern w:val="2"/>
                <w:shd w:val="clear" w:color="auto" w:fill="FFFFFF"/>
              </w:rPr>
              <w:t>4.0.4 加油站、各类合建站中的汽油、柴油工艺设备与站外建（构）筑物的安全间距，不应小于表4.0.4的规定。</w:t>
            </w:r>
          </w:p>
        </w:tc>
        <w:tc>
          <w:tcPr>
            <w:tcW w:w="1327" w:type="pct"/>
            <w:vAlign w:val="center"/>
          </w:tcPr>
          <w:p w14:paraId="2A4843EE">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详见表5.4-2</w:t>
            </w:r>
            <w:r>
              <w:rPr>
                <w:rFonts w:hint="eastAsia" w:ascii="Times New Roman" w:hAnsi="Times New Roman" w:eastAsia="宋体" w:cs="Times New Roman"/>
                <w:bCs w:val="0"/>
                <w:color w:val="auto"/>
                <w:kern w:val="2"/>
              </w:rPr>
              <w:t>加油站汽（柴）油设备与站外建（构）筑物的安全间距表</w:t>
            </w:r>
          </w:p>
        </w:tc>
        <w:tc>
          <w:tcPr>
            <w:tcW w:w="359" w:type="pct"/>
            <w:vAlign w:val="center"/>
          </w:tcPr>
          <w:p w14:paraId="623A82B2">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861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52" w:hRule="atLeast"/>
          <w:jc w:val="center"/>
        </w:trPr>
        <w:tc>
          <w:tcPr>
            <w:tcW w:w="279" w:type="pct"/>
            <w:vAlign w:val="center"/>
          </w:tcPr>
          <w:p w14:paraId="52AE660B">
            <w:pPr>
              <w:numPr>
                <w:ilvl w:val="0"/>
                <w:numId w:val="6"/>
              </w:numPr>
              <w:jc w:val="center"/>
              <w:rPr>
                <w:rFonts w:ascii="Times New Roman" w:hAnsi="Times New Roman" w:eastAsia="宋体" w:cs="Calibri"/>
                <w:bCs w:val="0"/>
                <w:color w:val="auto"/>
                <w:kern w:val="2"/>
              </w:rPr>
            </w:pPr>
          </w:p>
        </w:tc>
        <w:tc>
          <w:tcPr>
            <w:tcW w:w="3033" w:type="pct"/>
            <w:vAlign w:val="center"/>
          </w:tcPr>
          <w:p w14:paraId="300EE5CF">
            <w:pPr>
              <w:rPr>
                <w:rFonts w:ascii="Times New Roman" w:hAnsi="Times New Roman" w:eastAsia="宋体" w:cs="Calibri"/>
                <w:bCs w:val="0"/>
                <w:color w:val="auto"/>
                <w:kern w:val="2"/>
              </w:rPr>
            </w:pPr>
            <w:r>
              <w:rPr>
                <w:rFonts w:ascii="Times New Roman" w:hAnsi="Times New Roman" w:eastAsia="宋体" w:cs="Calibri"/>
                <w:bCs w:val="0"/>
                <w:color w:val="auto"/>
                <w:kern w:val="2"/>
              </w:rPr>
              <w:t>4.0.12架空电力线路不应跨越汽车加油加气加氢站的作业区。架空通信线路不应跨越加气站、加氢合建站中加氢设施的作业区。</w:t>
            </w:r>
          </w:p>
        </w:tc>
        <w:tc>
          <w:tcPr>
            <w:tcW w:w="1327" w:type="pct"/>
            <w:vAlign w:val="center"/>
          </w:tcPr>
          <w:p w14:paraId="510C133E">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无</w:t>
            </w:r>
            <w:r>
              <w:rPr>
                <w:rFonts w:ascii="Times New Roman" w:hAnsi="Times New Roman" w:eastAsia="宋体" w:cs="Calibri"/>
                <w:bCs w:val="0"/>
                <w:color w:val="auto"/>
                <w:kern w:val="2"/>
              </w:rPr>
              <w:t>架空电力线路应跨越作业区</w:t>
            </w:r>
          </w:p>
        </w:tc>
        <w:tc>
          <w:tcPr>
            <w:tcW w:w="359" w:type="pct"/>
            <w:vAlign w:val="center"/>
          </w:tcPr>
          <w:p w14:paraId="08408747">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E3FA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7" w:hRule="exact"/>
          <w:jc w:val="center"/>
        </w:trPr>
        <w:tc>
          <w:tcPr>
            <w:tcW w:w="279" w:type="pct"/>
            <w:vAlign w:val="center"/>
          </w:tcPr>
          <w:p w14:paraId="7430DA5E">
            <w:pPr>
              <w:numPr>
                <w:ilvl w:val="0"/>
                <w:numId w:val="6"/>
              </w:numPr>
              <w:jc w:val="center"/>
              <w:rPr>
                <w:rFonts w:ascii="Times New Roman" w:hAnsi="Times New Roman" w:eastAsia="宋体" w:cs="Calibri"/>
                <w:bCs w:val="0"/>
                <w:color w:val="auto"/>
                <w:kern w:val="2"/>
              </w:rPr>
            </w:pPr>
          </w:p>
        </w:tc>
        <w:tc>
          <w:tcPr>
            <w:tcW w:w="3033" w:type="pct"/>
            <w:vAlign w:val="center"/>
          </w:tcPr>
          <w:p w14:paraId="6A214366">
            <w:pPr>
              <w:rPr>
                <w:rFonts w:ascii="Times New Roman" w:hAnsi="Times New Roman" w:eastAsia="宋体" w:cs="Calibri"/>
                <w:bCs w:val="0"/>
                <w:color w:val="auto"/>
                <w:kern w:val="2"/>
              </w:rPr>
            </w:pPr>
            <w:r>
              <w:rPr>
                <w:rFonts w:ascii="Times New Roman" w:hAnsi="Times New Roman" w:eastAsia="宋体" w:cs="Calibri"/>
                <w:bCs w:val="0"/>
                <w:color w:val="auto"/>
                <w:kern w:val="2"/>
              </w:rPr>
              <w:t>4.0.13与汽车加油加气加氢站无关的可燃介质管道不应穿越汽车加油加气加氢站用地范围。</w:t>
            </w:r>
          </w:p>
        </w:tc>
        <w:tc>
          <w:tcPr>
            <w:tcW w:w="1327" w:type="pct"/>
            <w:vAlign w:val="center"/>
          </w:tcPr>
          <w:p w14:paraId="61A249D2">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59" w:type="pct"/>
            <w:vAlign w:val="center"/>
          </w:tcPr>
          <w:p w14:paraId="2276B252">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bl>
    <w:p w14:paraId="44A7CE38">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表5.4-2加油站汽（柴）油设备与站外建（构）筑物的安全间距（m）</w:t>
      </w:r>
    </w:p>
    <w:tbl>
      <w:tblPr>
        <w:tblStyle w:val="7"/>
        <w:tblW w:w="93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097"/>
        <w:gridCol w:w="2899"/>
        <w:gridCol w:w="1667"/>
        <w:gridCol w:w="1373"/>
        <w:gridCol w:w="1098"/>
      </w:tblGrid>
      <w:tr w14:paraId="17E737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221" w:type="dxa"/>
            <w:vAlign w:val="center"/>
          </w:tcPr>
          <w:p w14:paraId="2EFDCF29">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lang w:val="zh-CN"/>
              </w:rPr>
              <w:t>工艺装置</w:t>
            </w:r>
            <w:r>
              <w:rPr>
                <w:rFonts w:ascii="Times New Roman" w:hAnsi="Times New Roman" w:eastAsia="宋体" w:cs="Times New Roman"/>
                <w:b/>
                <w:bCs/>
                <w:color w:val="auto"/>
                <w:kern w:val="2"/>
                <w:szCs w:val="24"/>
              </w:rPr>
              <w:t>名称</w:t>
            </w:r>
          </w:p>
        </w:tc>
        <w:tc>
          <w:tcPr>
            <w:tcW w:w="1097" w:type="dxa"/>
            <w:vAlign w:val="center"/>
          </w:tcPr>
          <w:p w14:paraId="5F5FB867">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szCs w:val="24"/>
              </w:rPr>
              <w:t>相对位置</w:t>
            </w:r>
          </w:p>
        </w:tc>
        <w:tc>
          <w:tcPr>
            <w:tcW w:w="2899" w:type="dxa"/>
            <w:vAlign w:val="center"/>
          </w:tcPr>
          <w:p w14:paraId="75A96CA1">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szCs w:val="24"/>
              </w:rPr>
              <w:t>建（构）筑物名称</w:t>
            </w:r>
          </w:p>
        </w:tc>
        <w:tc>
          <w:tcPr>
            <w:tcW w:w="1667" w:type="dxa"/>
            <w:vAlign w:val="center"/>
          </w:tcPr>
          <w:p w14:paraId="55B85FD1">
            <w:pPr>
              <w:spacing w:line="240" w:lineRule="exact"/>
              <w:jc w:val="center"/>
              <w:rPr>
                <w:rFonts w:ascii="Times New Roman" w:hAnsi="Times New Roman" w:eastAsia="宋体" w:cs="Times New Roman"/>
                <w:b/>
                <w:bCs/>
                <w:color w:val="auto"/>
                <w:kern w:val="2"/>
                <w:szCs w:val="24"/>
              </w:rPr>
            </w:pPr>
            <w:r>
              <w:rPr>
                <w:rFonts w:ascii="Times New Roman" w:hAnsi="Times New Roman" w:eastAsia="宋体" w:cs="Times New Roman"/>
                <w:b/>
                <w:bCs/>
                <w:color w:val="auto"/>
                <w:kern w:val="2"/>
                <w:szCs w:val="24"/>
              </w:rPr>
              <w:t>防火间距（m）</w:t>
            </w:r>
          </w:p>
        </w:tc>
        <w:tc>
          <w:tcPr>
            <w:tcW w:w="1373" w:type="dxa"/>
            <w:vAlign w:val="center"/>
          </w:tcPr>
          <w:p w14:paraId="31D93105">
            <w:pPr>
              <w:spacing w:line="240" w:lineRule="exact"/>
              <w:jc w:val="center"/>
              <w:rPr>
                <w:rFonts w:ascii="Times New Roman" w:hAnsi="Times New Roman" w:eastAsia="宋体" w:cs="Times New Roman"/>
                <w:b/>
                <w:bCs/>
                <w:color w:val="auto"/>
                <w:kern w:val="2"/>
                <w:szCs w:val="24"/>
              </w:rPr>
            </w:pPr>
            <w:r>
              <w:rPr>
                <w:rFonts w:hint="eastAsia" w:ascii="Times New Roman" w:hAnsi="Times New Roman" w:eastAsia="宋体" w:cs="Times New Roman"/>
                <w:b/>
                <w:bCs/>
                <w:color w:val="auto"/>
                <w:kern w:val="2"/>
                <w:szCs w:val="24"/>
                <w:lang w:val="en-US" w:eastAsia="zh-CN"/>
              </w:rPr>
              <w:t>标准要求</w:t>
            </w:r>
          </w:p>
        </w:tc>
        <w:tc>
          <w:tcPr>
            <w:tcW w:w="1098" w:type="dxa"/>
            <w:vAlign w:val="center"/>
          </w:tcPr>
          <w:p w14:paraId="2269187E">
            <w:pPr>
              <w:spacing w:line="240" w:lineRule="exact"/>
              <w:jc w:val="center"/>
              <w:rPr>
                <w:rFonts w:ascii="Times New Roman" w:hAnsi="Times New Roman" w:eastAsia="宋体" w:cs="Times New Roman"/>
                <w:b/>
                <w:bCs/>
                <w:color w:val="auto"/>
                <w:kern w:val="2"/>
                <w:szCs w:val="24"/>
              </w:rPr>
            </w:pPr>
            <w:r>
              <w:rPr>
                <w:rFonts w:hint="eastAsia" w:ascii="Times New Roman" w:hAnsi="Times New Roman" w:eastAsia="宋体" w:cs="Times New Roman"/>
                <w:b/>
                <w:bCs/>
                <w:color w:val="auto"/>
                <w:kern w:val="2"/>
                <w:szCs w:val="24"/>
                <w:lang w:val="en-US" w:eastAsia="zh-CN"/>
              </w:rPr>
              <w:t>符合情况</w:t>
            </w:r>
          </w:p>
        </w:tc>
      </w:tr>
      <w:tr w14:paraId="114E56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restart"/>
            <w:vAlign w:val="center"/>
          </w:tcPr>
          <w:p w14:paraId="7E12EA8C">
            <w:pPr>
              <w:spacing w:line="240" w:lineRule="exact"/>
              <w:jc w:val="center"/>
              <w:rPr>
                <w:rFonts w:ascii="Times New Roman" w:hAnsi="Times New Roman" w:eastAsia="宋体" w:cs="Times New Roman"/>
                <w:bCs/>
                <w:color w:val="auto"/>
                <w:kern w:val="2"/>
                <w:szCs w:val="24"/>
              </w:rPr>
            </w:pPr>
            <w:r>
              <w:rPr>
                <w:rFonts w:ascii="Times New Roman" w:hAnsi="Times New Roman" w:eastAsia="宋体" w:cs="Times New Roman"/>
                <w:bCs/>
                <w:color w:val="auto"/>
                <w:kern w:val="2"/>
                <w:szCs w:val="24"/>
              </w:rPr>
              <w:t>汽油/柴油埋地油罐</w:t>
            </w:r>
          </w:p>
        </w:tc>
        <w:tc>
          <w:tcPr>
            <w:tcW w:w="1097" w:type="dxa"/>
            <w:shd w:val="clear" w:color="auto" w:fill="auto"/>
            <w:vAlign w:val="center"/>
          </w:tcPr>
          <w:p w14:paraId="525821C1">
            <w:pPr>
              <w:spacing w:line="240" w:lineRule="exact"/>
              <w:jc w:val="center"/>
              <w:rPr>
                <w:rFonts w:hint="eastAsia"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东北</w:t>
            </w:r>
            <w:r>
              <w:rPr>
                <w:rFonts w:hint="eastAsia" w:ascii="Times New Roman" w:hAnsi="Times New Roman" w:eastAsia="宋体" w:cs="Times New Roman"/>
                <w:bCs/>
                <w:color w:val="auto"/>
                <w:kern w:val="2"/>
                <w:szCs w:val="24"/>
              </w:rPr>
              <w:t>侧</w:t>
            </w:r>
          </w:p>
        </w:tc>
        <w:tc>
          <w:tcPr>
            <w:tcW w:w="2899" w:type="dxa"/>
            <w:shd w:val="clear" w:color="auto" w:fill="auto"/>
            <w:vAlign w:val="center"/>
          </w:tcPr>
          <w:p w14:paraId="5095E02C">
            <w:pPr>
              <w:spacing w:line="240" w:lineRule="exact"/>
              <w:jc w:val="center"/>
              <w:rPr>
                <w:rFonts w:hint="eastAsia"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架空通讯线（H=6m）</w:t>
            </w:r>
          </w:p>
        </w:tc>
        <w:tc>
          <w:tcPr>
            <w:tcW w:w="1667" w:type="dxa"/>
            <w:vAlign w:val="center"/>
          </w:tcPr>
          <w:p w14:paraId="4DC6824A">
            <w:pPr>
              <w:spacing w:line="240" w:lineRule="exact"/>
              <w:jc w:val="center"/>
              <w:rPr>
                <w:rFonts w:hint="default"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val="0"/>
                <w:color w:val="auto"/>
                <w:kern w:val="2"/>
                <w:lang w:val="en-US" w:eastAsia="zh-CN"/>
              </w:rPr>
              <w:t>17.0/21.0</w:t>
            </w:r>
          </w:p>
        </w:tc>
        <w:tc>
          <w:tcPr>
            <w:tcW w:w="1373" w:type="dxa"/>
            <w:vAlign w:val="center"/>
          </w:tcPr>
          <w:p w14:paraId="6602CA6C">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35CFBBDC">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0F06FE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6C36ACC1">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45449381">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东北侧</w:t>
            </w:r>
          </w:p>
        </w:tc>
        <w:tc>
          <w:tcPr>
            <w:tcW w:w="2899" w:type="dxa"/>
            <w:shd w:val="clear" w:color="auto" w:fill="auto"/>
            <w:vAlign w:val="center"/>
          </w:tcPr>
          <w:p w14:paraId="157EE1C2">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66099BDA">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24.6/28.4</w:t>
            </w:r>
          </w:p>
        </w:tc>
        <w:tc>
          <w:tcPr>
            <w:tcW w:w="1373" w:type="dxa"/>
            <w:vAlign w:val="center"/>
          </w:tcPr>
          <w:p w14:paraId="726A56E4">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6459EFEE">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24067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21" w:type="dxa"/>
            <w:vMerge w:val="continue"/>
            <w:vAlign w:val="center"/>
          </w:tcPr>
          <w:p w14:paraId="54E87452">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7F076F92">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东侧</w:t>
            </w:r>
          </w:p>
        </w:tc>
        <w:tc>
          <w:tcPr>
            <w:tcW w:w="2899" w:type="dxa"/>
            <w:shd w:val="clear" w:color="auto" w:fill="auto"/>
            <w:vAlign w:val="center"/>
          </w:tcPr>
          <w:p w14:paraId="080DC24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667" w:type="dxa"/>
            <w:vAlign w:val="center"/>
          </w:tcPr>
          <w:p w14:paraId="57FECF3F">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14.5/17.9</w:t>
            </w:r>
          </w:p>
        </w:tc>
        <w:tc>
          <w:tcPr>
            <w:tcW w:w="1373" w:type="dxa"/>
            <w:vAlign w:val="center"/>
          </w:tcPr>
          <w:p w14:paraId="0ED7F7AA">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6AC770B6">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4177E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21" w:type="dxa"/>
            <w:vMerge w:val="continue"/>
            <w:vAlign w:val="center"/>
          </w:tcPr>
          <w:p w14:paraId="7D445F49">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05247C2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南侧</w:t>
            </w:r>
          </w:p>
        </w:tc>
        <w:tc>
          <w:tcPr>
            <w:tcW w:w="2899" w:type="dxa"/>
            <w:shd w:val="clear" w:color="auto" w:fill="auto"/>
            <w:vAlign w:val="center"/>
          </w:tcPr>
          <w:p w14:paraId="0B231083">
            <w:pPr>
              <w:spacing w:line="240" w:lineRule="exact"/>
              <w:jc w:val="center"/>
              <w:rPr>
                <w:rFonts w:hint="eastAsia"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架空电力线（有绝缘层，H=7m）</w:t>
            </w:r>
          </w:p>
        </w:tc>
        <w:tc>
          <w:tcPr>
            <w:tcW w:w="1667" w:type="dxa"/>
            <w:vAlign w:val="center"/>
          </w:tcPr>
          <w:p w14:paraId="1EA6E7D5">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8.6/6.1</w:t>
            </w:r>
          </w:p>
        </w:tc>
        <w:tc>
          <w:tcPr>
            <w:tcW w:w="1373" w:type="dxa"/>
            <w:vAlign w:val="center"/>
          </w:tcPr>
          <w:p w14:paraId="249C5A85">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146D8712">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5E18E7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3B764600">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57FC8601">
            <w:pPr>
              <w:spacing w:line="240" w:lineRule="exact"/>
              <w:jc w:val="center"/>
              <w:rPr>
                <w:rFonts w:hint="default"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2899" w:type="dxa"/>
            <w:shd w:val="clear" w:color="auto" w:fill="auto"/>
            <w:vAlign w:val="center"/>
          </w:tcPr>
          <w:p w14:paraId="091873A9">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0903C0D4">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15.4/11.6</w:t>
            </w:r>
          </w:p>
        </w:tc>
        <w:tc>
          <w:tcPr>
            <w:tcW w:w="1373" w:type="dxa"/>
            <w:vAlign w:val="center"/>
          </w:tcPr>
          <w:p w14:paraId="0EFF6EBA">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07AC065D">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7EE11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49AB35CB">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1A7D1A8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2899" w:type="dxa"/>
            <w:shd w:val="clear" w:color="auto" w:fill="auto"/>
            <w:vAlign w:val="center"/>
          </w:tcPr>
          <w:p w14:paraId="190F90BD">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架空通讯线（H=6m）</w:t>
            </w:r>
          </w:p>
        </w:tc>
        <w:tc>
          <w:tcPr>
            <w:tcW w:w="1667" w:type="dxa"/>
            <w:vAlign w:val="center"/>
          </w:tcPr>
          <w:p w14:paraId="06DCB2C5">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12.8/9.5</w:t>
            </w:r>
          </w:p>
        </w:tc>
        <w:tc>
          <w:tcPr>
            <w:tcW w:w="1373" w:type="dxa"/>
            <w:vAlign w:val="center"/>
          </w:tcPr>
          <w:p w14:paraId="1605B4F5">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1B60191E">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78FCB7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5C6C4E02">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03BCD7F4">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5A5AB869">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X456县道</w:t>
            </w:r>
          </w:p>
        </w:tc>
        <w:tc>
          <w:tcPr>
            <w:tcW w:w="1667" w:type="dxa"/>
            <w:vAlign w:val="center"/>
          </w:tcPr>
          <w:p w14:paraId="073D0914">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11.5/11.5</w:t>
            </w:r>
          </w:p>
        </w:tc>
        <w:tc>
          <w:tcPr>
            <w:tcW w:w="1373" w:type="dxa"/>
            <w:vAlign w:val="center"/>
          </w:tcPr>
          <w:p w14:paraId="0C18839C">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5/3</w:t>
            </w:r>
          </w:p>
        </w:tc>
        <w:tc>
          <w:tcPr>
            <w:tcW w:w="1098" w:type="dxa"/>
            <w:vAlign w:val="center"/>
          </w:tcPr>
          <w:p w14:paraId="1BA693B9">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26DB0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7727AB3C">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02573F67">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7E753CC2">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架空通讯线（H=7m）</w:t>
            </w:r>
          </w:p>
        </w:tc>
        <w:tc>
          <w:tcPr>
            <w:tcW w:w="1667" w:type="dxa"/>
            <w:vAlign w:val="center"/>
          </w:tcPr>
          <w:p w14:paraId="427C8F31">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23.4/25.1</w:t>
            </w:r>
          </w:p>
        </w:tc>
        <w:tc>
          <w:tcPr>
            <w:tcW w:w="1373" w:type="dxa"/>
            <w:vAlign w:val="center"/>
          </w:tcPr>
          <w:p w14:paraId="12947183">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72B2671D">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2FFD2E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7BDF0AFC">
            <w:pPr>
              <w:spacing w:line="240" w:lineRule="exact"/>
              <w:jc w:val="center"/>
              <w:rPr>
                <w:rFonts w:ascii="Times New Roman" w:hAnsi="Times New Roman" w:eastAsia="宋体" w:cs="Times New Roman"/>
                <w:bCs/>
                <w:color w:val="auto"/>
                <w:kern w:val="2"/>
                <w:szCs w:val="24"/>
              </w:rPr>
            </w:pPr>
          </w:p>
        </w:tc>
        <w:tc>
          <w:tcPr>
            <w:tcW w:w="1097" w:type="dxa"/>
            <w:shd w:val="clear" w:color="auto" w:fill="auto"/>
            <w:vAlign w:val="center"/>
          </w:tcPr>
          <w:p w14:paraId="29238B38">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0A1A2BC7">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64801988">
            <w:pPr>
              <w:spacing w:line="240" w:lineRule="exact"/>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25.8/25.8</w:t>
            </w:r>
          </w:p>
        </w:tc>
        <w:tc>
          <w:tcPr>
            <w:tcW w:w="1373" w:type="dxa"/>
            <w:vAlign w:val="center"/>
          </w:tcPr>
          <w:p w14:paraId="19BE6143">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3082139D">
            <w:pPr>
              <w:spacing w:line="240" w:lineRule="exact"/>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7EE54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221" w:type="dxa"/>
            <w:vMerge w:val="restart"/>
            <w:vAlign w:val="center"/>
          </w:tcPr>
          <w:p w14:paraId="430C0E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r>
              <w:rPr>
                <w:rFonts w:ascii="Times New Roman" w:hAnsi="Times New Roman" w:eastAsia="宋体" w:cs="Times New Roman"/>
                <w:bCs/>
                <w:color w:val="auto"/>
                <w:kern w:val="2"/>
                <w:szCs w:val="24"/>
              </w:rPr>
              <w:t>汽油/柴油通气管</w:t>
            </w:r>
          </w:p>
        </w:tc>
        <w:tc>
          <w:tcPr>
            <w:tcW w:w="1097" w:type="dxa"/>
            <w:shd w:val="clear" w:color="auto" w:fill="auto"/>
            <w:vAlign w:val="center"/>
          </w:tcPr>
          <w:p w14:paraId="33F12AE9">
            <w:pPr>
              <w:spacing w:line="240" w:lineRule="exact"/>
              <w:jc w:val="center"/>
              <w:rPr>
                <w:rFonts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东北</w:t>
            </w:r>
            <w:r>
              <w:rPr>
                <w:rFonts w:hint="eastAsia" w:ascii="Times New Roman" w:hAnsi="Times New Roman" w:eastAsia="宋体" w:cs="Times New Roman"/>
                <w:bCs/>
                <w:color w:val="auto"/>
                <w:kern w:val="2"/>
                <w:szCs w:val="24"/>
              </w:rPr>
              <w:t>侧</w:t>
            </w:r>
          </w:p>
        </w:tc>
        <w:tc>
          <w:tcPr>
            <w:tcW w:w="2899" w:type="dxa"/>
            <w:shd w:val="clear" w:color="auto" w:fill="auto"/>
            <w:vAlign w:val="center"/>
          </w:tcPr>
          <w:p w14:paraId="13693620">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架空通讯线（H=6m）</w:t>
            </w:r>
          </w:p>
        </w:tc>
        <w:tc>
          <w:tcPr>
            <w:tcW w:w="1667" w:type="dxa"/>
            <w:vAlign w:val="center"/>
          </w:tcPr>
          <w:p w14:paraId="15B0B49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20.0/20.0</w:t>
            </w:r>
          </w:p>
        </w:tc>
        <w:tc>
          <w:tcPr>
            <w:tcW w:w="1373" w:type="dxa"/>
            <w:vAlign w:val="center"/>
          </w:tcPr>
          <w:p w14:paraId="00789A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1F16BB8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756EC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1A64CD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7B5005B2">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东北侧</w:t>
            </w:r>
          </w:p>
        </w:tc>
        <w:tc>
          <w:tcPr>
            <w:tcW w:w="2899" w:type="dxa"/>
            <w:shd w:val="clear" w:color="auto" w:fill="auto"/>
            <w:vAlign w:val="center"/>
          </w:tcPr>
          <w:p w14:paraId="3E0E09C3">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5A21C3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28.0/28.0</w:t>
            </w:r>
          </w:p>
        </w:tc>
        <w:tc>
          <w:tcPr>
            <w:tcW w:w="1373" w:type="dxa"/>
            <w:vAlign w:val="center"/>
          </w:tcPr>
          <w:p w14:paraId="52D3454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21A236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0649D2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21" w:type="dxa"/>
            <w:vMerge w:val="continue"/>
            <w:vAlign w:val="center"/>
          </w:tcPr>
          <w:p w14:paraId="4D47EB9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5F49C35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东侧</w:t>
            </w:r>
          </w:p>
        </w:tc>
        <w:tc>
          <w:tcPr>
            <w:tcW w:w="2899" w:type="dxa"/>
            <w:shd w:val="clear" w:color="auto" w:fill="auto"/>
            <w:vAlign w:val="center"/>
          </w:tcPr>
          <w:p w14:paraId="547462B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667" w:type="dxa"/>
            <w:vAlign w:val="center"/>
          </w:tcPr>
          <w:p w14:paraId="3604FC0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17.8/17.8</w:t>
            </w:r>
          </w:p>
        </w:tc>
        <w:tc>
          <w:tcPr>
            <w:tcW w:w="1373" w:type="dxa"/>
            <w:vAlign w:val="center"/>
          </w:tcPr>
          <w:p w14:paraId="263168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0F16C7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6CB13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21" w:type="dxa"/>
            <w:vMerge w:val="continue"/>
            <w:vAlign w:val="center"/>
          </w:tcPr>
          <w:p w14:paraId="34BA92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546E74AE">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南侧</w:t>
            </w:r>
          </w:p>
        </w:tc>
        <w:tc>
          <w:tcPr>
            <w:tcW w:w="2899" w:type="dxa"/>
            <w:shd w:val="clear" w:color="auto" w:fill="auto"/>
            <w:vAlign w:val="center"/>
          </w:tcPr>
          <w:p w14:paraId="646CC643">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667" w:type="dxa"/>
            <w:vAlign w:val="center"/>
          </w:tcPr>
          <w:p w14:paraId="0091C33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9.8/9.8</w:t>
            </w:r>
          </w:p>
        </w:tc>
        <w:tc>
          <w:tcPr>
            <w:tcW w:w="1373" w:type="dxa"/>
            <w:vAlign w:val="center"/>
          </w:tcPr>
          <w:p w14:paraId="1DF3D4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1F0D1C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751ED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5CC0DCF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393B2DBD">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2899" w:type="dxa"/>
            <w:shd w:val="clear" w:color="auto" w:fill="auto"/>
            <w:vAlign w:val="center"/>
          </w:tcPr>
          <w:p w14:paraId="372DE36D">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723ECC8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15.0/15.0</w:t>
            </w:r>
          </w:p>
        </w:tc>
        <w:tc>
          <w:tcPr>
            <w:tcW w:w="1373" w:type="dxa"/>
            <w:vAlign w:val="center"/>
          </w:tcPr>
          <w:p w14:paraId="641645E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3C7F1F2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46BBA2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71ACF1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67AA46B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2899" w:type="dxa"/>
            <w:shd w:val="clear" w:color="auto" w:fill="auto"/>
            <w:vAlign w:val="center"/>
          </w:tcPr>
          <w:p w14:paraId="17DFDEB8">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架空通讯线（H=6m）</w:t>
            </w:r>
          </w:p>
        </w:tc>
        <w:tc>
          <w:tcPr>
            <w:tcW w:w="1667" w:type="dxa"/>
            <w:vAlign w:val="center"/>
          </w:tcPr>
          <w:p w14:paraId="5F6790F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13.5/13.5</w:t>
            </w:r>
          </w:p>
        </w:tc>
        <w:tc>
          <w:tcPr>
            <w:tcW w:w="1373" w:type="dxa"/>
            <w:vAlign w:val="center"/>
          </w:tcPr>
          <w:p w14:paraId="1FBEB0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6A51258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665B94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117D542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3F783325">
            <w:pPr>
              <w:spacing w:line="240" w:lineRule="exact"/>
              <w:jc w:val="center"/>
              <w:rPr>
                <w:rFonts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79D46355">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X456县道</w:t>
            </w:r>
          </w:p>
        </w:tc>
        <w:tc>
          <w:tcPr>
            <w:tcW w:w="1667" w:type="dxa"/>
            <w:vAlign w:val="center"/>
          </w:tcPr>
          <w:p w14:paraId="5AD916C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15.1/15.1</w:t>
            </w:r>
          </w:p>
        </w:tc>
        <w:tc>
          <w:tcPr>
            <w:tcW w:w="1373" w:type="dxa"/>
            <w:vAlign w:val="center"/>
          </w:tcPr>
          <w:p w14:paraId="492A3E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5/3</w:t>
            </w:r>
          </w:p>
        </w:tc>
        <w:tc>
          <w:tcPr>
            <w:tcW w:w="1098" w:type="dxa"/>
            <w:vAlign w:val="center"/>
          </w:tcPr>
          <w:p w14:paraId="78D1205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1EA1E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5D960A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52332F00">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2FCC829D">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架空通讯线（H=7m）</w:t>
            </w:r>
          </w:p>
        </w:tc>
        <w:tc>
          <w:tcPr>
            <w:tcW w:w="1667" w:type="dxa"/>
            <w:vAlign w:val="center"/>
          </w:tcPr>
          <w:p w14:paraId="59C29B6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27.3/27.3</w:t>
            </w:r>
          </w:p>
        </w:tc>
        <w:tc>
          <w:tcPr>
            <w:tcW w:w="1373" w:type="dxa"/>
            <w:vAlign w:val="center"/>
          </w:tcPr>
          <w:p w14:paraId="2E9FFF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23F2770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10BC43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7A8638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5CFB35FA">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50246EF2">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35BC4E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29.5/29.5</w:t>
            </w:r>
          </w:p>
        </w:tc>
        <w:tc>
          <w:tcPr>
            <w:tcW w:w="1373" w:type="dxa"/>
            <w:vAlign w:val="center"/>
          </w:tcPr>
          <w:p w14:paraId="4F85753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7B9C292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277D9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restart"/>
            <w:vAlign w:val="center"/>
          </w:tcPr>
          <w:p w14:paraId="2B9123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r>
              <w:rPr>
                <w:rFonts w:ascii="Times New Roman" w:hAnsi="Times New Roman" w:eastAsia="宋体" w:cs="Times New Roman"/>
                <w:bCs w:val="0"/>
                <w:color w:val="auto"/>
                <w:kern w:val="2"/>
                <w:szCs w:val="24"/>
                <w:lang w:val="zh-CN"/>
              </w:rPr>
              <w:t>汽油</w:t>
            </w:r>
            <w:r>
              <w:rPr>
                <w:rFonts w:ascii="Times New Roman" w:hAnsi="Times New Roman" w:eastAsia="宋体" w:cs="Times New Roman"/>
                <w:bCs w:val="0"/>
                <w:color w:val="auto"/>
                <w:kern w:val="2"/>
                <w:szCs w:val="24"/>
              </w:rPr>
              <w:t>/柴油</w:t>
            </w:r>
            <w:r>
              <w:rPr>
                <w:rFonts w:ascii="Times New Roman" w:hAnsi="Times New Roman" w:eastAsia="宋体" w:cs="Times New Roman"/>
                <w:bCs w:val="0"/>
                <w:color w:val="auto"/>
                <w:kern w:val="2"/>
                <w:szCs w:val="24"/>
                <w:lang w:val="zh-CN"/>
              </w:rPr>
              <w:t>加油机</w:t>
            </w:r>
          </w:p>
        </w:tc>
        <w:tc>
          <w:tcPr>
            <w:tcW w:w="1097" w:type="dxa"/>
            <w:shd w:val="clear" w:color="auto" w:fill="auto"/>
            <w:vAlign w:val="center"/>
          </w:tcPr>
          <w:p w14:paraId="7F1FBC05">
            <w:pPr>
              <w:spacing w:line="240" w:lineRule="exact"/>
              <w:jc w:val="center"/>
              <w:rPr>
                <w:rFonts w:ascii="Times New Roman" w:hAnsi="Times New Roman" w:eastAsia="宋体" w:cs="Times New Roman"/>
                <w:bCs/>
                <w:color w:val="auto"/>
                <w:kern w:val="2"/>
                <w:szCs w:val="24"/>
              </w:rPr>
            </w:pPr>
            <w:r>
              <w:rPr>
                <w:rFonts w:hint="eastAsia" w:ascii="Times New Roman" w:hAnsi="Times New Roman" w:eastAsia="宋体" w:cs="Times New Roman"/>
                <w:bCs/>
                <w:color w:val="auto"/>
                <w:kern w:val="2"/>
                <w:szCs w:val="24"/>
                <w:lang w:val="en-US" w:eastAsia="zh-CN"/>
              </w:rPr>
              <w:t>东</w:t>
            </w:r>
            <w:r>
              <w:rPr>
                <w:rFonts w:hint="eastAsia" w:ascii="Times New Roman" w:hAnsi="Times New Roman" w:eastAsia="宋体" w:cs="Times New Roman"/>
                <w:bCs/>
                <w:color w:val="auto"/>
                <w:kern w:val="2"/>
                <w:szCs w:val="24"/>
              </w:rPr>
              <w:t>侧</w:t>
            </w:r>
          </w:p>
        </w:tc>
        <w:tc>
          <w:tcPr>
            <w:tcW w:w="2899" w:type="dxa"/>
            <w:shd w:val="clear" w:color="auto" w:fill="auto"/>
            <w:vAlign w:val="center"/>
          </w:tcPr>
          <w:p w14:paraId="3772CFC9">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架空通讯线（H=6m）</w:t>
            </w:r>
          </w:p>
        </w:tc>
        <w:tc>
          <w:tcPr>
            <w:tcW w:w="1667" w:type="dxa"/>
            <w:vAlign w:val="center"/>
          </w:tcPr>
          <w:p w14:paraId="4993C4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10.7/7.8</w:t>
            </w:r>
          </w:p>
        </w:tc>
        <w:tc>
          <w:tcPr>
            <w:tcW w:w="1373" w:type="dxa"/>
            <w:vAlign w:val="center"/>
          </w:tcPr>
          <w:p w14:paraId="3FF9DDA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33BD3E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3D9491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190B99F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097" w:type="dxa"/>
            <w:shd w:val="clear" w:color="auto" w:fill="auto"/>
            <w:vAlign w:val="center"/>
          </w:tcPr>
          <w:p w14:paraId="1D9901B0">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东侧</w:t>
            </w:r>
          </w:p>
        </w:tc>
        <w:tc>
          <w:tcPr>
            <w:tcW w:w="2899" w:type="dxa"/>
            <w:shd w:val="clear" w:color="auto" w:fill="auto"/>
            <w:vAlign w:val="center"/>
          </w:tcPr>
          <w:p w14:paraId="3E3E4C81">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6BCC67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16.4/12.9</w:t>
            </w:r>
          </w:p>
        </w:tc>
        <w:tc>
          <w:tcPr>
            <w:tcW w:w="1373" w:type="dxa"/>
            <w:vAlign w:val="center"/>
          </w:tcPr>
          <w:p w14:paraId="580DC2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4E7B679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5350A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21" w:type="dxa"/>
            <w:vMerge w:val="continue"/>
            <w:vAlign w:val="center"/>
          </w:tcPr>
          <w:p w14:paraId="1D8169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097" w:type="dxa"/>
            <w:shd w:val="clear" w:color="auto" w:fill="auto"/>
            <w:vAlign w:val="center"/>
          </w:tcPr>
          <w:p w14:paraId="12D4F5A6">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东侧</w:t>
            </w:r>
          </w:p>
        </w:tc>
        <w:tc>
          <w:tcPr>
            <w:tcW w:w="2899" w:type="dxa"/>
            <w:shd w:val="clear" w:color="auto" w:fill="auto"/>
            <w:vAlign w:val="center"/>
          </w:tcPr>
          <w:p w14:paraId="3427DEA4">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667" w:type="dxa"/>
            <w:vAlign w:val="center"/>
          </w:tcPr>
          <w:p w14:paraId="37BC4E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12.3/8.4</w:t>
            </w:r>
          </w:p>
        </w:tc>
        <w:tc>
          <w:tcPr>
            <w:tcW w:w="1373" w:type="dxa"/>
            <w:vAlign w:val="center"/>
          </w:tcPr>
          <w:p w14:paraId="0EF2630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48793D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1D983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21" w:type="dxa"/>
            <w:vMerge w:val="continue"/>
            <w:vAlign w:val="center"/>
          </w:tcPr>
          <w:p w14:paraId="32A2312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097" w:type="dxa"/>
            <w:shd w:val="clear" w:color="auto" w:fill="auto"/>
            <w:vAlign w:val="center"/>
          </w:tcPr>
          <w:p w14:paraId="6055B636">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南侧</w:t>
            </w:r>
          </w:p>
        </w:tc>
        <w:tc>
          <w:tcPr>
            <w:tcW w:w="2899" w:type="dxa"/>
            <w:shd w:val="clear" w:color="auto" w:fill="auto"/>
            <w:vAlign w:val="center"/>
          </w:tcPr>
          <w:p w14:paraId="08CF4E2A">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架空电力线（有绝缘层，H=7m）</w:t>
            </w:r>
          </w:p>
        </w:tc>
        <w:tc>
          <w:tcPr>
            <w:tcW w:w="1667" w:type="dxa"/>
            <w:vAlign w:val="center"/>
          </w:tcPr>
          <w:p w14:paraId="03733D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24.2/26.7</w:t>
            </w:r>
          </w:p>
        </w:tc>
        <w:tc>
          <w:tcPr>
            <w:tcW w:w="1373" w:type="dxa"/>
            <w:vAlign w:val="center"/>
          </w:tcPr>
          <w:p w14:paraId="7912BC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25B9DD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06174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421D9A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097" w:type="dxa"/>
            <w:shd w:val="clear" w:color="auto" w:fill="auto"/>
            <w:vAlign w:val="center"/>
          </w:tcPr>
          <w:p w14:paraId="2DF3132F">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西南侧</w:t>
            </w:r>
          </w:p>
        </w:tc>
        <w:tc>
          <w:tcPr>
            <w:tcW w:w="2899" w:type="dxa"/>
            <w:shd w:val="clear" w:color="auto" w:fill="auto"/>
            <w:vAlign w:val="center"/>
          </w:tcPr>
          <w:p w14:paraId="7371E1C8">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06BD311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23.7/28.3</w:t>
            </w:r>
          </w:p>
        </w:tc>
        <w:tc>
          <w:tcPr>
            <w:tcW w:w="1373" w:type="dxa"/>
            <w:vAlign w:val="center"/>
          </w:tcPr>
          <w:p w14:paraId="001D0D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383318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7D8C5B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1C3E991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val="0"/>
                <w:color w:val="auto"/>
                <w:kern w:val="2"/>
                <w:szCs w:val="24"/>
                <w:lang w:val="zh-CN"/>
              </w:rPr>
            </w:pPr>
          </w:p>
        </w:tc>
        <w:tc>
          <w:tcPr>
            <w:tcW w:w="1097" w:type="dxa"/>
            <w:shd w:val="clear" w:color="auto" w:fill="auto"/>
            <w:vAlign w:val="center"/>
          </w:tcPr>
          <w:p w14:paraId="49305F2A">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西侧</w:t>
            </w:r>
          </w:p>
        </w:tc>
        <w:tc>
          <w:tcPr>
            <w:tcW w:w="2899" w:type="dxa"/>
            <w:shd w:val="clear" w:color="auto" w:fill="auto"/>
            <w:vAlign w:val="center"/>
          </w:tcPr>
          <w:p w14:paraId="6648C8C1">
            <w:pPr>
              <w:spacing w:line="240" w:lineRule="exact"/>
              <w:jc w:val="center"/>
              <w:rPr>
                <w:rFonts w:hint="eastAsia" w:ascii="Times New Roman" w:hAnsi="Times New Roman" w:eastAsia="宋体" w:cs="Times New Roman"/>
                <w:bCs/>
                <w:color w:val="auto"/>
                <w:kern w:val="2"/>
                <w:szCs w:val="24"/>
                <w:lang w:val="en-US" w:eastAsia="zh-CN"/>
              </w:rPr>
            </w:pPr>
            <w:r>
              <w:rPr>
                <w:rFonts w:hint="eastAsia" w:ascii="Times New Roman" w:hAnsi="Times New Roman" w:eastAsia="宋体" w:cs="Times New Roman"/>
                <w:bCs/>
                <w:color w:val="auto"/>
                <w:kern w:val="2"/>
                <w:szCs w:val="24"/>
                <w:lang w:val="en-US" w:eastAsia="zh-CN"/>
              </w:rPr>
              <w:t>架空通讯线（H=6m）</w:t>
            </w:r>
          </w:p>
        </w:tc>
        <w:tc>
          <w:tcPr>
            <w:tcW w:w="1667" w:type="dxa"/>
            <w:vAlign w:val="center"/>
          </w:tcPr>
          <w:p w14:paraId="151D830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17.0/21.0</w:t>
            </w:r>
          </w:p>
        </w:tc>
        <w:tc>
          <w:tcPr>
            <w:tcW w:w="1373" w:type="dxa"/>
            <w:vAlign w:val="center"/>
          </w:tcPr>
          <w:p w14:paraId="22D0DF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5C68EE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5ED96C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3703B1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3772C414">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16B1CE1A">
            <w:pPr>
              <w:spacing w:line="240" w:lineRule="exact"/>
              <w:jc w:val="center"/>
              <w:rPr>
                <w:rFonts w:ascii="Times New Roman" w:hAnsi="Times New Roman" w:eastAsia="宋体" w:cs="Times New Roman"/>
                <w:bCs w:val="0"/>
                <w:color w:val="auto"/>
                <w:kern w:val="2"/>
              </w:rPr>
            </w:pPr>
            <w:r>
              <w:rPr>
                <w:rFonts w:hint="eastAsia" w:ascii="Times New Roman" w:hAnsi="Times New Roman" w:eastAsia="宋体" w:cs="Times New Roman"/>
                <w:bCs/>
                <w:color w:val="auto"/>
                <w:kern w:val="2"/>
                <w:szCs w:val="24"/>
                <w:lang w:val="en-US" w:eastAsia="zh-CN"/>
              </w:rPr>
              <w:t>X456县道</w:t>
            </w:r>
          </w:p>
        </w:tc>
        <w:tc>
          <w:tcPr>
            <w:tcW w:w="1667" w:type="dxa"/>
            <w:vAlign w:val="center"/>
          </w:tcPr>
          <w:p w14:paraId="658A48A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5.1/5.1</w:t>
            </w:r>
          </w:p>
        </w:tc>
        <w:tc>
          <w:tcPr>
            <w:tcW w:w="1373" w:type="dxa"/>
            <w:vAlign w:val="center"/>
          </w:tcPr>
          <w:p w14:paraId="3D604B5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5/3</w:t>
            </w:r>
          </w:p>
        </w:tc>
        <w:tc>
          <w:tcPr>
            <w:tcW w:w="1098" w:type="dxa"/>
            <w:vAlign w:val="center"/>
          </w:tcPr>
          <w:p w14:paraId="1CF3F71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31472A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1" w:type="dxa"/>
            <w:vMerge w:val="continue"/>
            <w:vAlign w:val="center"/>
          </w:tcPr>
          <w:p w14:paraId="1AF76C0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2D7A74E0">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北侧</w:t>
            </w:r>
          </w:p>
        </w:tc>
        <w:tc>
          <w:tcPr>
            <w:tcW w:w="2899" w:type="dxa"/>
            <w:shd w:val="clear" w:color="auto" w:fill="auto"/>
            <w:vAlign w:val="center"/>
          </w:tcPr>
          <w:p w14:paraId="31BFFD82">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架空通讯线（H=7m）</w:t>
            </w:r>
          </w:p>
        </w:tc>
        <w:tc>
          <w:tcPr>
            <w:tcW w:w="1667" w:type="dxa"/>
            <w:vAlign w:val="center"/>
          </w:tcPr>
          <w:p w14:paraId="30B6EF0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13.3/12.0</w:t>
            </w:r>
          </w:p>
        </w:tc>
        <w:tc>
          <w:tcPr>
            <w:tcW w:w="1373" w:type="dxa"/>
            <w:vAlign w:val="center"/>
          </w:tcPr>
          <w:p w14:paraId="48E0DE6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5/5</w:t>
            </w:r>
          </w:p>
        </w:tc>
        <w:tc>
          <w:tcPr>
            <w:tcW w:w="1098" w:type="dxa"/>
            <w:vAlign w:val="center"/>
          </w:tcPr>
          <w:p w14:paraId="50E8DE2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r w14:paraId="60BEB0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221" w:type="dxa"/>
            <w:vMerge w:val="continue"/>
            <w:vAlign w:val="center"/>
          </w:tcPr>
          <w:p w14:paraId="597C3F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Times New Roman"/>
                <w:bCs/>
                <w:color w:val="auto"/>
                <w:kern w:val="2"/>
                <w:szCs w:val="24"/>
              </w:rPr>
            </w:pPr>
          </w:p>
        </w:tc>
        <w:tc>
          <w:tcPr>
            <w:tcW w:w="1097" w:type="dxa"/>
            <w:shd w:val="clear" w:color="auto" w:fill="auto"/>
            <w:vAlign w:val="center"/>
          </w:tcPr>
          <w:p w14:paraId="160A8793">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西北侧</w:t>
            </w:r>
          </w:p>
        </w:tc>
        <w:tc>
          <w:tcPr>
            <w:tcW w:w="2899" w:type="dxa"/>
            <w:shd w:val="clear" w:color="auto" w:fill="auto"/>
            <w:vAlign w:val="center"/>
          </w:tcPr>
          <w:p w14:paraId="2E706A6C">
            <w:pPr>
              <w:spacing w:line="240" w:lineRule="exact"/>
              <w:jc w:val="center"/>
              <w:rPr>
                <w:rFonts w:hint="eastAsia" w:ascii="Times New Roman" w:hAnsi="Times New Roman" w:eastAsia="宋体" w:cs="Times New Roman"/>
                <w:bCs/>
                <w:color w:val="auto"/>
                <w:kern w:val="2"/>
                <w:sz w:val="21"/>
                <w:szCs w:val="24"/>
                <w:lang w:val="en-US" w:eastAsia="zh-CN" w:bidi="ar-SA"/>
              </w:rPr>
            </w:pPr>
            <w:r>
              <w:rPr>
                <w:rFonts w:hint="eastAsia" w:ascii="Times New Roman" w:hAnsi="Times New Roman" w:eastAsia="宋体" w:cs="Times New Roman"/>
                <w:bCs/>
                <w:color w:val="auto"/>
                <w:kern w:val="2"/>
                <w:szCs w:val="24"/>
                <w:lang w:val="en-US" w:eastAsia="zh-CN"/>
              </w:rPr>
              <w:t>民房（三类保护物）</w:t>
            </w:r>
          </w:p>
        </w:tc>
        <w:tc>
          <w:tcPr>
            <w:tcW w:w="1667" w:type="dxa"/>
            <w:vAlign w:val="center"/>
          </w:tcPr>
          <w:p w14:paraId="2E46AED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19.4/19.4</w:t>
            </w:r>
          </w:p>
        </w:tc>
        <w:tc>
          <w:tcPr>
            <w:tcW w:w="1373" w:type="dxa"/>
            <w:vAlign w:val="center"/>
          </w:tcPr>
          <w:p w14:paraId="75CB801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7/6</w:t>
            </w:r>
          </w:p>
        </w:tc>
        <w:tc>
          <w:tcPr>
            <w:tcW w:w="1098" w:type="dxa"/>
            <w:vAlign w:val="center"/>
          </w:tcPr>
          <w:p w14:paraId="017B010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符合</w:t>
            </w:r>
          </w:p>
        </w:tc>
      </w:tr>
    </w:tbl>
    <w:p w14:paraId="215B7171">
      <w:pPr>
        <w:spacing w:line="600" w:lineRule="exact"/>
        <w:ind w:firstLine="570"/>
        <w:rPr>
          <w:rFonts w:ascii="Times New Roman" w:hAnsi="Times New Roman" w:eastAsia="宋体" w:cs="Calibri"/>
          <w:bCs w:val="0"/>
          <w:color w:val="auto"/>
          <w:spacing w:val="-6"/>
          <w:kern w:val="2"/>
        </w:rPr>
      </w:pPr>
      <w:r>
        <w:rPr>
          <w:rFonts w:ascii="Times New Roman" w:hAnsi="Times New Roman" w:eastAsia="宋体" w:cs="Calibri"/>
          <w:bCs w:val="0"/>
          <w:color w:val="auto"/>
          <w:spacing w:val="-6"/>
          <w:kern w:val="2"/>
          <w:sz w:val="28"/>
          <w:szCs w:val="28"/>
        </w:rPr>
        <w:t>从表</w:t>
      </w:r>
      <w:r>
        <w:rPr>
          <w:rFonts w:hint="eastAsia" w:ascii="Times New Roman" w:hAnsi="Times New Roman" w:eastAsia="宋体" w:cs="Calibri"/>
          <w:bCs w:val="0"/>
          <w:color w:val="auto"/>
          <w:spacing w:val="-6"/>
          <w:kern w:val="2"/>
          <w:sz w:val="28"/>
          <w:szCs w:val="28"/>
        </w:rPr>
        <w:t>5.4-2</w:t>
      </w:r>
      <w:r>
        <w:rPr>
          <w:rFonts w:ascii="Times New Roman" w:hAnsi="Times New Roman" w:eastAsia="宋体" w:cs="Calibri"/>
          <w:bCs w:val="0"/>
          <w:color w:val="auto"/>
          <w:spacing w:val="-6"/>
          <w:kern w:val="2"/>
          <w:sz w:val="28"/>
          <w:szCs w:val="28"/>
        </w:rPr>
        <w:t>可以看出，</w:t>
      </w:r>
      <w:r>
        <w:rPr>
          <w:rFonts w:hint="eastAsia" w:ascii="Times New Roman" w:hAnsi="Times New Roman" w:eastAsia="宋体" w:cs="Calibri"/>
          <w:bCs w:val="0"/>
          <w:color w:val="auto"/>
          <w:spacing w:val="-6"/>
          <w:kern w:val="2"/>
          <w:sz w:val="28"/>
          <w:szCs w:val="28"/>
        </w:rPr>
        <w:t>该加油站的</w:t>
      </w:r>
      <w:r>
        <w:rPr>
          <w:rFonts w:ascii="Times New Roman" w:hAnsi="Times New Roman" w:eastAsia="宋体" w:cs="Calibri"/>
          <w:bCs w:val="0"/>
          <w:color w:val="auto"/>
          <w:spacing w:val="-6"/>
          <w:kern w:val="2"/>
          <w:sz w:val="28"/>
          <w:szCs w:val="28"/>
        </w:rPr>
        <w:t>油罐、加油机、通气管管口与站外建、构筑物的防火距离符合《汽车加油</w:t>
      </w:r>
      <w:r>
        <w:rPr>
          <w:rFonts w:hint="eastAsia" w:ascii="Times New Roman" w:hAnsi="Times New Roman" w:eastAsia="宋体" w:cs="Calibri"/>
          <w:bCs w:val="0"/>
          <w:color w:val="auto"/>
          <w:spacing w:val="-6"/>
          <w:kern w:val="2"/>
          <w:sz w:val="28"/>
          <w:szCs w:val="28"/>
          <w:lang w:eastAsia="zh-CN"/>
        </w:rPr>
        <w:t>加气</w:t>
      </w:r>
      <w:r>
        <w:rPr>
          <w:rFonts w:ascii="Times New Roman" w:hAnsi="Times New Roman" w:eastAsia="宋体" w:cs="Calibri"/>
          <w:bCs w:val="0"/>
          <w:color w:val="auto"/>
          <w:spacing w:val="-6"/>
          <w:kern w:val="2"/>
          <w:sz w:val="28"/>
          <w:szCs w:val="28"/>
        </w:rPr>
        <w:t>加氢站技术标准》（GB50156-2021）第4.0.4条。</w:t>
      </w:r>
    </w:p>
    <w:p w14:paraId="5FF2D53A">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评价结论：</w:t>
      </w:r>
      <w:r>
        <w:rPr>
          <w:rFonts w:hint="eastAsia" w:ascii="Times New Roman" w:hAnsi="Times New Roman" w:eastAsia="宋体" w:cs="Calibri"/>
          <w:bCs w:val="0"/>
          <w:color w:val="auto"/>
          <w:kern w:val="2"/>
          <w:sz w:val="28"/>
          <w:szCs w:val="28"/>
        </w:rPr>
        <w:t>该站平面布置符合相关标准要求，卸油口</w:t>
      </w:r>
      <w:r>
        <w:rPr>
          <w:rFonts w:hint="eastAsia" w:ascii="Times New Roman" w:hAnsi="Times New Roman" w:eastAsia="宋体" w:cs="Calibri"/>
          <w:bCs w:val="0"/>
          <w:color w:val="auto"/>
          <w:kern w:val="2"/>
          <w:sz w:val="28"/>
          <w:szCs w:val="28"/>
          <w:lang w:val="en-US" w:eastAsia="zh-CN"/>
        </w:rPr>
        <w:t>与道路</w:t>
      </w:r>
      <w:r>
        <w:rPr>
          <w:rFonts w:hint="eastAsia" w:ascii="Times New Roman" w:hAnsi="Times New Roman" w:eastAsia="宋体" w:cs="Calibri"/>
          <w:bCs w:val="0"/>
          <w:color w:val="auto"/>
          <w:kern w:val="2"/>
          <w:sz w:val="28"/>
          <w:szCs w:val="28"/>
        </w:rPr>
        <w:t>距离符合爆炸危险区域范围</w:t>
      </w:r>
      <w:r>
        <w:rPr>
          <w:rFonts w:ascii="Times New Roman" w:hAnsi="Times New Roman" w:eastAsia="宋体" w:cs="Calibri"/>
          <w:bCs w:val="0"/>
          <w:color w:val="auto"/>
          <w:kern w:val="2"/>
          <w:sz w:val="28"/>
          <w:szCs w:val="28"/>
        </w:rPr>
        <w:t>。</w:t>
      </w:r>
    </w:p>
    <w:p w14:paraId="4BF9AB14">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67" w:name="_Toc6308"/>
      <w:bookmarkStart w:id="168" w:name="_Toc6353"/>
      <w:r>
        <w:rPr>
          <w:rFonts w:hint="eastAsia" w:ascii="Times New Roman" w:hAnsi="Times New Roman" w:eastAsia="宋体" w:cs="Times New Roman"/>
          <w:b/>
          <w:bCs/>
          <w:color w:val="auto"/>
          <w:kern w:val="0"/>
          <w:sz w:val="30"/>
          <w:szCs w:val="30"/>
          <w:lang w:val="en-US" w:eastAsia="zh-CN" w:bidi="ar-SA"/>
        </w:rPr>
        <w:t>5.5 平面布置符合性评价</w:t>
      </w:r>
      <w:bookmarkEnd w:id="164"/>
      <w:bookmarkEnd w:id="165"/>
      <w:bookmarkEnd w:id="167"/>
      <w:bookmarkEnd w:id="168"/>
    </w:p>
    <w:p w14:paraId="71EDFE5F">
      <w:pPr>
        <w:spacing w:line="600" w:lineRule="exact"/>
        <w:ind w:firstLine="560" w:firstLineChars="20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检查表依据《汽车加油加气加氢站技术标准》</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GB</w:t>
      </w:r>
      <w:r>
        <w:rPr>
          <w:rFonts w:hint="eastAsia" w:ascii="Times New Roman" w:hAnsi="Times New Roman" w:eastAsia="宋体" w:cs="Calibri"/>
          <w:bCs w:val="0"/>
          <w:color w:val="auto"/>
          <w:kern w:val="2"/>
          <w:sz w:val="28"/>
          <w:szCs w:val="28"/>
        </w:rPr>
        <w:t xml:space="preserve"> </w:t>
      </w:r>
      <w:r>
        <w:rPr>
          <w:rFonts w:ascii="Times New Roman" w:hAnsi="Times New Roman" w:eastAsia="宋体" w:cs="Calibri"/>
          <w:bCs w:val="0"/>
          <w:color w:val="auto"/>
          <w:kern w:val="2"/>
          <w:sz w:val="28"/>
          <w:szCs w:val="28"/>
        </w:rPr>
        <w:t>50156-2021</w:t>
      </w:r>
      <w:r>
        <w:rPr>
          <w:rFonts w:hint="eastAsia" w:ascii="Times New Roman" w:hAnsi="Times New Roman" w:eastAsia="宋体" w:cs="Calibri"/>
          <w:bCs w:val="0"/>
          <w:color w:val="auto"/>
          <w:kern w:val="2"/>
          <w:sz w:val="28"/>
          <w:szCs w:val="28"/>
        </w:rPr>
        <w:t>）和本报告2.2节介绍</w:t>
      </w:r>
      <w:r>
        <w:rPr>
          <w:rFonts w:ascii="Times New Roman" w:hAnsi="Times New Roman" w:eastAsia="宋体" w:cs="Calibri"/>
          <w:bCs w:val="0"/>
          <w:color w:val="auto"/>
          <w:kern w:val="2"/>
          <w:sz w:val="28"/>
          <w:szCs w:val="28"/>
        </w:rPr>
        <w:t>，该加油站</w:t>
      </w:r>
      <w:r>
        <w:rPr>
          <w:rFonts w:hint="eastAsia" w:ascii="Times New Roman" w:hAnsi="Times New Roman" w:eastAsia="宋体" w:cs="Calibri"/>
          <w:bCs w:val="0"/>
          <w:color w:val="auto"/>
          <w:kern w:val="2"/>
          <w:sz w:val="28"/>
          <w:szCs w:val="28"/>
        </w:rPr>
        <w:t>平面布置</w:t>
      </w:r>
      <w:r>
        <w:rPr>
          <w:rFonts w:ascii="Times New Roman" w:hAnsi="Times New Roman" w:eastAsia="宋体" w:cs="Calibri"/>
          <w:bCs w:val="0"/>
          <w:color w:val="auto"/>
          <w:kern w:val="2"/>
          <w:sz w:val="28"/>
          <w:szCs w:val="28"/>
        </w:rPr>
        <w:t>检查如下</w:t>
      </w:r>
      <w:r>
        <w:rPr>
          <w:rFonts w:hint="eastAsia" w:ascii="Times New Roman" w:hAnsi="Times New Roman" w:eastAsia="宋体" w:cs="Calibri"/>
          <w:bCs w:val="0"/>
          <w:color w:val="auto"/>
          <w:kern w:val="2"/>
          <w:sz w:val="28"/>
          <w:szCs w:val="28"/>
        </w:rPr>
        <w:t>表5.5-1、5.5-2</w:t>
      </w:r>
      <w:r>
        <w:rPr>
          <w:rFonts w:ascii="Times New Roman" w:hAnsi="Times New Roman" w:eastAsia="宋体" w:cs="Calibri"/>
          <w:bCs w:val="0"/>
          <w:color w:val="auto"/>
          <w:kern w:val="2"/>
          <w:sz w:val="28"/>
          <w:szCs w:val="28"/>
        </w:rPr>
        <w:t>：</w:t>
      </w:r>
    </w:p>
    <w:p w14:paraId="25D941E6">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表5.5-1 加油站站内平面布置符合性评价表</w:t>
      </w:r>
    </w:p>
    <w:tbl>
      <w:tblPr>
        <w:tblStyle w:val="7"/>
        <w:tblW w:w="486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6"/>
        <w:gridCol w:w="5708"/>
        <w:gridCol w:w="694"/>
        <w:gridCol w:w="1671"/>
        <w:gridCol w:w="479"/>
      </w:tblGrid>
      <w:tr w14:paraId="60346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263" w:type="pct"/>
            <w:vAlign w:val="center"/>
          </w:tcPr>
          <w:p w14:paraId="3D129B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3161" w:type="pct"/>
            <w:vAlign w:val="center"/>
          </w:tcPr>
          <w:p w14:paraId="7D2A3C6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384" w:type="pct"/>
            <w:vAlign w:val="center"/>
          </w:tcPr>
          <w:p w14:paraId="2B21820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标准条款</w:t>
            </w:r>
          </w:p>
        </w:tc>
        <w:tc>
          <w:tcPr>
            <w:tcW w:w="925" w:type="pct"/>
            <w:vAlign w:val="center"/>
          </w:tcPr>
          <w:p w14:paraId="2ED5701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265" w:type="pct"/>
            <w:vAlign w:val="center"/>
          </w:tcPr>
          <w:p w14:paraId="62A019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0428EA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63" w:type="pct"/>
            <w:vAlign w:val="center"/>
          </w:tcPr>
          <w:p w14:paraId="5B080CCF">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7E4B78F5">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车辆入口和出口应分开设置</w:t>
            </w:r>
            <w:r>
              <w:rPr>
                <w:rFonts w:hint="eastAsia" w:ascii="Times New Roman" w:hAnsi="Times New Roman" w:eastAsia="宋体" w:cs="Calibri"/>
                <w:bCs w:val="0"/>
                <w:color w:val="auto"/>
                <w:kern w:val="2"/>
                <w:lang w:eastAsia="zh-CN"/>
              </w:rPr>
              <w:t>。</w:t>
            </w:r>
          </w:p>
        </w:tc>
        <w:tc>
          <w:tcPr>
            <w:tcW w:w="384" w:type="pct"/>
            <w:vAlign w:val="center"/>
          </w:tcPr>
          <w:p w14:paraId="72D32E0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ascii="Times New Roman" w:hAnsi="Times New Roman" w:eastAsia="宋体" w:cs="Times New Roman"/>
                <w:bCs w:val="0"/>
                <w:color w:val="auto"/>
                <w:kern w:val="2"/>
              </w:rPr>
              <w:t>5</w:t>
            </w:r>
            <w:r>
              <w:rPr>
                <w:rFonts w:ascii="Times New Roman" w:hAnsi="Times New Roman" w:eastAsia="宋体" w:cs="Calibri"/>
                <w:bCs w:val="0"/>
                <w:color w:val="auto"/>
                <w:kern w:val="2"/>
              </w:rPr>
              <w:t>.0.1</w:t>
            </w:r>
          </w:p>
        </w:tc>
        <w:tc>
          <w:tcPr>
            <w:tcW w:w="925" w:type="pct"/>
            <w:vAlign w:val="center"/>
          </w:tcPr>
          <w:p w14:paraId="4799CB60">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分开设置</w:t>
            </w:r>
          </w:p>
        </w:tc>
        <w:tc>
          <w:tcPr>
            <w:tcW w:w="265" w:type="pct"/>
            <w:vAlign w:val="center"/>
          </w:tcPr>
          <w:p w14:paraId="201840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2919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2" w:hRule="atLeast"/>
          <w:jc w:val="center"/>
        </w:trPr>
        <w:tc>
          <w:tcPr>
            <w:tcW w:w="263" w:type="pct"/>
            <w:vAlign w:val="center"/>
          </w:tcPr>
          <w:p w14:paraId="69438136">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5629E6E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站内车道或停车位宽度应按车辆类型确定。CNG加气母站内单车道或单车停车位宽度不应</w:t>
            </w:r>
            <w:r>
              <w:rPr>
                <w:rFonts w:hint="eastAsia" w:ascii="Times New Roman" w:hAnsi="Times New Roman" w:eastAsia="宋体" w:cs="Calibri"/>
                <w:bCs w:val="0"/>
                <w:color w:val="auto"/>
                <w:kern w:val="2"/>
                <w:lang w:eastAsia="zh-CN"/>
              </w:rPr>
              <w:t>小于</w:t>
            </w:r>
            <w:r>
              <w:rPr>
                <w:rFonts w:ascii="Times New Roman" w:hAnsi="Times New Roman" w:eastAsia="宋体" w:cs="Calibri"/>
                <w:bCs w:val="0"/>
                <w:color w:val="auto"/>
                <w:kern w:val="2"/>
              </w:rPr>
              <w:t>5m，双车道或双车停车位宽度不应小于9m；其他类型汽车加油加气加氢站的车道或停车位，单车道或单车停车位宽度不应小于4m，双车道或双车停车位宽度不应小于6m。</w:t>
            </w:r>
          </w:p>
        </w:tc>
        <w:tc>
          <w:tcPr>
            <w:tcW w:w="384" w:type="pct"/>
            <w:vMerge w:val="restart"/>
            <w:vAlign w:val="center"/>
          </w:tcPr>
          <w:p w14:paraId="43D121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5.0.2</w:t>
            </w:r>
          </w:p>
        </w:tc>
        <w:tc>
          <w:tcPr>
            <w:tcW w:w="925" w:type="pct"/>
            <w:vAlign w:val="center"/>
          </w:tcPr>
          <w:p w14:paraId="1B5C429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单车道宽度</w:t>
            </w:r>
            <w:r>
              <w:rPr>
                <w:rFonts w:hint="eastAsia" w:ascii="Times New Roman" w:hAnsi="Times New Roman" w:eastAsia="宋体" w:cs="Calibri"/>
                <w:bCs w:val="0"/>
                <w:color w:val="auto"/>
                <w:kern w:val="2"/>
              </w:rPr>
              <w:t>9</w:t>
            </w:r>
            <w:r>
              <w:rPr>
                <w:rFonts w:ascii="Times New Roman" w:hAnsi="Times New Roman" w:eastAsia="宋体" w:cs="Calibri"/>
                <w:bCs w:val="0"/>
                <w:color w:val="auto"/>
                <w:kern w:val="2"/>
              </w:rPr>
              <w:t>m</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双车道或双车停车位宽度</w:t>
            </w:r>
            <w:r>
              <w:rPr>
                <w:rFonts w:hint="eastAsia" w:ascii="Times New Roman" w:hAnsi="Times New Roman" w:eastAsia="宋体" w:cs="Calibri"/>
                <w:bCs w:val="0"/>
                <w:color w:val="auto"/>
                <w:kern w:val="2"/>
              </w:rPr>
              <w:t>9</w:t>
            </w:r>
            <w:r>
              <w:rPr>
                <w:rFonts w:ascii="Times New Roman" w:hAnsi="Times New Roman" w:eastAsia="宋体" w:cs="Calibri"/>
                <w:bCs w:val="0"/>
                <w:color w:val="auto"/>
                <w:kern w:val="2"/>
              </w:rPr>
              <w:t>m</w:t>
            </w:r>
          </w:p>
        </w:tc>
        <w:tc>
          <w:tcPr>
            <w:tcW w:w="265" w:type="pct"/>
            <w:vAlign w:val="center"/>
          </w:tcPr>
          <w:p w14:paraId="1F290A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B402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63" w:type="pct"/>
            <w:vAlign w:val="center"/>
          </w:tcPr>
          <w:p w14:paraId="5131BBA1">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02A827D7">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站内的道路转弯</w:t>
            </w:r>
            <w:r>
              <w:rPr>
                <w:rFonts w:hint="eastAsia" w:ascii="Times New Roman" w:hAnsi="Times New Roman" w:eastAsia="宋体" w:cs="Calibri"/>
                <w:bCs w:val="0"/>
                <w:color w:val="auto"/>
                <w:kern w:val="2"/>
              </w:rPr>
              <w:t>半</w:t>
            </w:r>
            <w:r>
              <w:rPr>
                <w:rFonts w:ascii="Times New Roman" w:hAnsi="Times New Roman" w:eastAsia="宋体" w:cs="Calibri"/>
                <w:bCs w:val="0"/>
                <w:color w:val="auto"/>
                <w:kern w:val="2"/>
              </w:rPr>
              <w:t>径应按行驶车型确定</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且不宜小于9m。</w:t>
            </w:r>
          </w:p>
        </w:tc>
        <w:tc>
          <w:tcPr>
            <w:tcW w:w="384" w:type="pct"/>
            <w:vMerge w:val="continue"/>
            <w:vAlign w:val="center"/>
          </w:tcPr>
          <w:p w14:paraId="070B14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p>
        </w:tc>
        <w:tc>
          <w:tcPr>
            <w:tcW w:w="925" w:type="pct"/>
            <w:vAlign w:val="center"/>
          </w:tcPr>
          <w:p w14:paraId="667879F4">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不小于9m</w:t>
            </w:r>
          </w:p>
        </w:tc>
        <w:tc>
          <w:tcPr>
            <w:tcW w:w="265" w:type="pct"/>
            <w:vAlign w:val="center"/>
          </w:tcPr>
          <w:p w14:paraId="5CD9FF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1512C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263" w:type="pct"/>
            <w:vAlign w:val="center"/>
          </w:tcPr>
          <w:p w14:paraId="792AB457">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79C54CA8">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站内停车位应为平坡，道路坡度不应大于8%，且宜坡向站外。</w:t>
            </w:r>
          </w:p>
        </w:tc>
        <w:tc>
          <w:tcPr>
            <w:tcW w:w="384" w:type="pct"/>
            <w:vMerge w:val="continue"/>
            <w:vAlign w:val="center"/>
          </w:tcPr>
          <w:p w14:paraId="7684B8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p>
        </w:tc>
        <w:tc>
          <w:tcPr>
            <w:tcW w:w="925" w:type="pct"/>
            <w:vAlign w:val="center"/>
          </w:tcPr>
          <w:p w14:paraId="57DDFC8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站内停车位为平坡，道路坡度不大于8%</w:t>
            </w:r>
          </w:p>
        </w:tc>
        <w:tc>
          <w:tcPr>
            <w:tcW w:w="265" w:type="pct"/>
            <w:vAlign w:val="center"/>
          </w:tcPr>
          <w:p w14:paraId="427113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77F4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63" w:type="pct"/>
            <w:vAlign w:val="center"/>
          </w:tcPr>
          <w:p w14:paraId="13B6ACC3">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47C32DF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作业区内的停车</w:t>
            </w:r>
            <w:r>
              <w:rPr>
                <w:rFonts w:hint="eastAsia" w:ascii="Times New Roman" w:hAnsi="Times New Roman" w:eastAsia="宋体" w:cs="Calibri"/>
                <w:bCs w:val="0"/>
                <w:color w:val="auto"/>
                <w:kern w:val="2"/>
              </w:rPr>
              <w:t>场</w:t>
            </w:r>
            <w:r>
              <w:rPr>
                <w:rFonts w:ascii="Times New Roman" w:hAnsi="Times New Roman" w:eastAsia="宋体" w:cs="Calibri"/>
                <w:bCs w:val="0"/>
                <w:color w:val="auto"/>
                <w:kern w:val="2"/>
              </w:rPr>
              <w:t>和道路路面不应采用沥青路面。</w:t>
            </w:r>
          </w:p>
        </w:tc>
        <w:tc>
          <w:tcPr>
            <w:tcW w:w="384" w:type="pct"/>
            <w:vMerge w:val="continue"/>
            <w:vAlign w:val="center"/>
          </w:tcPr>
          <w:p w14:paraId="1D1FE3A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p>
        </w:tc>
        <w:tc>
          <w:tcPr>
            <w:tcW w:w="925" w:type="pct"/>
            <w:vAlign w:val="center"/>
          </w:tcPr>
          <w:p w14:paraId="316B0359">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混凝土路面</w:t>
            </w:r>
          </w:p>
        </w:tc>
        <w:tc>
          <w:tcPr>
            <w:tcW w:w="265" w:type="pct"/>
            <w:vAlign w:val="center"/>
          </w:tcPr>
          <w:p w14:paraId="2F9953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1AFD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263" w:type="pct"/>
            <w:vAlign w:val="center"/>
          </w:tcPr>
          <w:p w14:paraId="43D7F492">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tcPr>
          <w:p w14:paraId="58C85DB1">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在加油加气、加油加氢合建站内，宜将柴油罐布置在储气设施或储氢设施与汽油罐之间。</w:t>
            </w:r>
          </w:p>
        </w:tc>
        <w:tc>
          <w:tcPr>
            <w:tcW w:w="384" w:type="pct"/>
            <w:vAlign w:val="center"/>
          </w:tcPr>
          <w:p w14:paraId="0D0570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5.0.</w:t>
            </w:r>
            <w:r>
              <w:rPr>
                <w:rFonts w:hint="eastAsia" w:ascii="Times New Roman" w:hAnsi="Times New Roman" w:eastAsia="宋体" w:cs="Calibri"/>
                <w:bCs w:val="0"/>
                <w:color w:val="auto"/>
                <w:kern w:val="2"/>
              </w:rPr>
              <w:t>4</w:t>
            </w:r>
          </w:p>
        </w:tc>
        <w:tc>
          <w:tcPr>
            <w:tcW w:w="925" w:type="pct"/>
            <w:vAlign w:val="center"/>
          </w:tcPr>
          <w:p w14:paraId="7F48BA5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265" w:type="pct"/>
            <w:vAlign w:val="center"/>
          </w:tcPr>
          <w:p w14:paraId="7EAE32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76CC4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63" w:type="pct"/>
            <w:vAlign w:val="center"/>
          </w:tcPr>
          <w:p w14:paraId="68E754EF">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tcPr>
          <w:p w14:paraId="79E94457">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加油加气加氢站作业区内，不得有“明火地点”或“散发火花地点”。</w:t>
            </w:r>
          </w:p>
        </w:tc>
        <w:tc>
          <w:tcPr>
            <w:tcW w:w="384" w:type="pct"/>
            <w:vAlign w:val="center"/>
          </w:tcPr>
          <w:p w14:paraId="5FE7F4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5.0.</w:t>
            </w:r>
            <w:r>
              <w:rPr>
                <w:rFonts w:hint="eastAsia" w:ascii="Times New Roman" w:hAnsi="Times New Roman" w:eastAsia="宋体" w:cs="Calibri"/>
                <w:bCs w:val="0"/>
                <w:color w:val="auto"/>
                <w:kern w:val="2"/>
              </w:rPr>
              <w:t>5</w:t>
            </w:r>
          </w:p>
        </w:tc>
        <w:tc>
          <w:tcPr>
            <w:tcW w:w="925" w:type="pct"/>
            <w:vAlign w:val="center"/>
          </w:tcPr>
          <w:p w14:paraId="53B75B5F">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无</w:t>
            </w:r>
            <w:r>
              <w:rPr>
                <w:rFonts w:ascii="Times New Roman" w:hAnsi="Times New Roman" w:eastAsia="宋体" w:cs="Calibri"/>
                <w:bCs w:val="0"/>
                <w:color w:val="auto"/>
                <w:kern w:val="2"/>
              </w:rPr>
              <w:t>“明火地点”或“散发火花地点”</w:t>
            </w:r>
          </w:p>
        </w:tc>
        <w:tc>
          <w:tcPr>
            <w:tcW w:w="265" w:type="pct"/>
            <w:vAlign w:val="center"/>
          </w:tcPr>
          <w:p w14:paraId="58C2CA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1419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33" w:hRule="atLeast"/>
          <w:jc w:val="center"/>
        </w:trPr>
        <w:tc>
          <w:tcPr>
            <w:tcW w:w="263" w:type="pct"/>
            <w:vAlign w:val="center"/>
          </w:tcPr>
          <w:p w14:paraId="52E3C85C">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tcPr>
          <w:p w14:paraId="6A4A8A15">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柴油尾气处理液加注设施的布置应符合下列规定：</w:t>
            </w:r>
          </w:p>
          <w:p w14:paraId="4DA6932B">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不符合防爆要求的设备应布置在爆炸危险区域之外，且与爆炸危险区域边界线的距离不应小于3m；</w:t>
            </w:r>
          </w:p>
          <w:p w14:paraId="030E5E18">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符合防爆要求的设备，在进行平面布置时可按柴油加油机对待；</w:t>
            </w:r>
          </w:p>
          <w:p w14:paraId="00DB9C5F">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当柴油尾气处理液的储液箱（罐）或橇装设备布置在加油岛上时，容量不得超过1.2</w:t>
            </w:r>
            <w:r>
              <w:rPr>
                <w:rFonts w:hint="eastAsia" w:ascii="Times New Roman" w:hAnsi="Times New Roman" w:eastAsia="宋体" w:cs="Calibri"/>
                <w:bCs w:val="0"/>
                <w:color w:val="auto"/>
                <w:kern w:val="2"/>
              </w:rPr>
              <w:t>m³</w:t>
            </w:r>
            <w:r>
              <w:rPr>
                <w:rFonts w:ascii="Times New Roman" w:hAnsi="Times New Roman" w:eastAsia="宋体" w:cs="Calibri"/>
                <w:bCs w:val="0"/>
                <w:color w:val="auto"/>
                <w:kern w:val="2"/>
              </w:rPr>
              <w:t>，且储液箱（罐）或橇装设备应在岛的两侧边缘100mm和岛端1.2m以内布置。</w:t>
            </w:r>
          </w:p>
        </w:tc>
        <w:tc>
          <w:tcPr>
            <w:tcW w:w="384" w:type="pct"/>
            <w:vAlign w:val="center"/>
          </w:tcPr>
          <w:p w14:paraId="3FC6E4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5.0.</w:t>
            </w:r>
            <w:r>
              <w:rPr>
                <w:rFonts w:hint="eastAsia" w:ascii="Times New Roman" w:hAnsi="Times New Roman" w:eastAsia="宋体" w:cs="Calibri"/>
                <w:bCs w:val="0"/>
                <w:color w:val="auto"/>
                <w:kern w:val="2"/>
              </w:rPr>
              <w:t>6</w:t>
            </w:r>
          </w:p>
        </w:tc>
        <w:tc>
          <w:tcPr>
            <w:tcW w:w="925" w:type="pct"/>
            <w:vAlign w:val="center"/>
          </w:tcPr>
          <w:p w14:paraId="5C3B7BF3">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265" w:type="pct"/>
            <w:vAlign w:val="center"/>
          </w:tcPr>
          <w:p w14:paraId="75FD1B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06AA4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263" w:type="pct"/>
            <w:vAlign w:val="center"/>
          </w:tcPr>
          <w:p w14:paraId="4388EA87">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7EF742F9">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电动汽车充电设施应布置在辅助服务区内</w:t>
            </w:r>
          </w:p>
        </w:tc>
        <w:tc>
          <w:tcPr>
            <w:tcW w:w="384" w:type="pct"/>
            <w:vAlign w:val="center"/>
          </w:tcPr>
          <w:p w14:paraId="40669D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5.0.7</w:t>
            </w:r>
          </w:p>
        </w:tc>
        <w:tc>
          <w:tcPr>
            <w:tcW w:w="925" w:type="pct"/>
            <w:vAlign w:val="center"/>
          </w:tcPr>
          <w:p w14:paraId="35DA90E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rPr>
              <w:t>不涉及</w:t>
            </w:r>
          </w:p>
        </w:tc>
        <w:tc>
          <w:tcPr>
            <w:tcW w:w="265" w:type="pct"/>
            <w:vAlign w:val="center"/>
          </w:tcPr>
          <w:p w14:paraId="14FC57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7D8CB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63" w:type="pct"/>
            <w:vAlign w:val="center"/>
          </w:tcPr>
          <w:p w14:paraId="6257342B">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73F418A2">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加油加气加氢站的变</w:t>
            </w:r>
            <w:r>
              <w:rPr>
                <w:rFonts w:hint="eastAsia" w:ascii="Times New Roman" w:hAnsi="Times New Roman" w:eastAsia="宋体" w:cs="Calibri"/>
                <w:bCs w:val="0"/>
                <w:color w:val="auto"/>
                <w:kern w:val="2"/>
              </w:rPr>
              <w:t>配发电间</w:t>
            </w:r>
            <w:r>
              <w:rPr>
                <w:rFonts w:ascii="Times New Roman" w:hAnsi="Times New Roman" w:eastAsia="宋体" w:cs="Calibri"/>
                <w:bCs w:val="0"/>
                <w:color w:val="auto"/>
                <w:kern w:val="2"/>
              </w:rPr>
              <w:t>或室外变压器应布置在作业区之外。变</w:t>
            </w:r>
            <w:r>
              <w:rPr>
                <w:rFonts w:hint="eastAsia" w:ascii="Times New Roman" w:hAnsi="Times New Roman" w:eastAsia="宋体" w:cs="Calibri"/>
                <w:bCs w:val="0"/>
                <w:color w:val="auto"/>
                <w:kern w:val="2"/>
              </w:rPr>
              <w:t>配发电间</w:t>
            </w:r>
            <w:r>
              <w:rPr>
                <w:rFonts w:ascii="Times New Roman" w:hAnsi="Times New Roman" w:eastAsia="宋体" w:cs="Calibri"/>
                <w:bCs w:val="0"/>
                <w:color w:val="auto"/>
                <w:kern w:val="2"/>
              </w:rPr>
              <w:t>的起算点应为门窗等洞口。</w:t>
            </w:r>
          </w:p>
        </w:tc>
        <w:tc>
          <w:tcPr>
            <w:tcW w:w="384" w:type="pct"/>
            <w:vAlign w:val="center"/>
          </w:tcPr>
          <w:p w14:paraId="1D320C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5.0.8</w:t>
            </w:r>
          </w:p>
        </w:tc>
        <w:tc>
          <w:tcPr>
            <w:tcW w:w="925" w:type="pct"/>
            <w:vAlign w:val="center"/>
          </w:tcPr>
          <w:p w14:paraId="5E3F0C7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配电间布置在作业区外</w:t>
            </w:r>
          </w:p>
        </w:tc>
        <w:tc>
          <w:tcPr>
            <w:tcW w:w="265" w:type="pct"/>
            <w:vAlign w:val="center"/>
          </w:tcPr>
          <w:p w14:paraId="246563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45A5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63" w:type="pct"/>
            <w:vAlign w:val="center"/>
          </w:tcPr>
          <w:p w14:paraId="0D693B51">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66021A7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站房不应布置在爆炸危险区域。站房部分位于作业区内时，建筑面积等应符合本标准第14.2.10条的规</w:t>
            </w:r>
          </w:p>
        </w:tc>
        <w:tc>
          <w:tcPr>
            <w:tcW w:w="384" w:type="pct"/>
            <w:vAlign w:val="center"/>
          </w:tcPr>
          <w:p w14:paraId="4E6BED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5.0.9</w:t>
            </w:r>
          </w:p>
        </w:tc>
        <w:tc>
          <w:tcPr>
            <w:tcW w:w="925" w:type="pct"/>
            <w:vAlign w:val="center"/>
          </w:tcPr>
          <w:p w14:paraId="47C1715F">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站房</w:t>
            </w:r>
            <w:r>
              <w:rPr>
                <w:rFonts w:hint="eastAsia" w:ascii="Times New Roman" w:hAnsi="Times New Roman" w:eastAsia="宋体" w:cs="Calibri"/>
                <w:bCs w:val="0"/>
                <w:color w:val="auto"/>
                <w:kern w:val="2"/>
              </w:rPr>
              <w:t>未</w:t>
            </w:r>
            <w:r>
              <w:rPr>
                <w:rFonts w:ascii="Times New Roman" w:hAnsi="Times New Roman" w:eastAsia="宋体" w:cs="Calibri"/>
                <w:bCs w:val="0"/>
                <w:color w:val="auto"/>
                <w:kern w:val="2"/>
              </w:rPr>
              <w:t>布置在爆炸危险区域</w:t>
            </w:r>
          </w:p>
        </w:tc>
        <w:tc>
          <w:tcPr>
            <w:tcW w:w="265" w:type="pct"/>
            <w:vAlign w:val="center"/>
          </w:tcPr>
          <w:p w14:paraId="427D9F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A6F2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2" w:hRule="atLeast"/>
          <w:jc w:val="center"/>
        </w:trPr>
        <w:tc>
          <w:tcPr>
            <w:tcW w:w="263" w:type="pct"/>
            <w:vAlign w:val="center"/>
          </w:tcPr>
          <w:p w14:paraId="5FE6C130">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16ADAE93">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spacing w:val="-6"/>
                <w:kern w:val="2"/>
              </w:rPr>
              <w:t>当汽车加油加气加氢站内设置非油品业务建筑物或设施时，不应布置在作业区内，与站内可燃液体或可燃气体设备的防火间距，应符合本标准第4.04条</w:t>
            </w:r>
            <w:r>
              <w:rPr>
                <w:rFonts w:hint="eastAsia" w:ascii="Times New Roman" w:hAnsi="Times New Roman" w:eastAsia="宋体" w:cs="Calibri"/>
                <w:bCs w:val="0"/>
                <w:color w:val="auto"/>
                <w:spacing w:val="-6"/>
                <w:kern w:val="2"/>
                <w:lang w:eastAsia="zh-CN"/>
              </w:rPr>
              <w:t>～</w:t>
            </w:r>
            <w:r>
              <w:rPr>
                <w:rFonts w:ascii="Times New Roman" w:hAnsi="Times New Roman" w:eastAsia="宋体" w:cs="Calibri"/>
                <w:bCs w:val="0"/>
                <w:color w:val="auto"/>
                <w:spacing w:val="-6"/>
                <w:kern w:val="2"/>
              </w:rPr>
              <w:t>第4.0.8条有关三类保护物的规定。当站内经营性餐饮、汽车服务、司机休息室等设施内设置明火设备时，应等同于“明火地点”或“散发火花地点”</w:t>
            </w:r>
            <w:r>
              <w:rPr>
                <w:rFonts w:ascii="Times New Roman" w:hAnsi="Times New Roman" w:eastAsia="宋体" w:cs="Calibri"/>
                <w:bCs w:val="0"/>
                <w:color w:val="auto"/>
                <w:kern w:val="2"/>
              </w:rPr>
              <w:t>。</w:t>
            </w:r>
          </w:p>
        </w:tc>
        <w:tc>
          <w:tcPr>
            <w:tcW w:w="384" w:type="pct"/>
            <w:vAlign w:val="center"/>
          </w:tcPr>
          <w:p w14:paraId="220AF7E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5.0.10</w:t>
            </w:r>
          </w:p>
        </w:tc>
        <w:tc>
          <w:tcPr>
            <w:tcW w:w="925" w:type="pct"/>
            <w:vAlign w:val="center"/>
          </w:tcPr>
          <w:p w14:paraId="43C3E7A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厕所等不在作业区内，</w:t>
            </w:r>
            <w:r>
              <w:rPr>
                <w:rFonts w:ascii="Times New Roman" w:hAnsi="Times New Roman" w:eastAsia="宋体" w:cs="Calibri"/>
                <w:bCs w:val="0"/>
                <w:color w:val="auto"/>
                <w:kern w:val="2"/>
              </w:rPr>
              <w:t>防火间距</w:t>
            </w:r>
            <w:r>
              <w:rPr>
                <w:rFonts w:hint="eastAsia" w:ascii="Times New Roman" w:hAnsi="Times New Roman" w:eastAsia="宋体" w:cs="Calibri"/>
                <w:bCs w:val="0"/>
                <w:color w:val="auto"/>
                <w:kern w:val="2"/>
              </w:rPr>
              <w:t>满足要求</w:t>
            </w:r>
          </w:p>
        </w:tc>
        <w:tc>
          <w:tcPr>
            <w:tcW w:w="265" w:type="pct"/>
            <w:vAlign w:val="center"/>
          </w:tcPr>
          <w:p w14:paraId="56DC304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B3C4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263" w:type="pct"/>
            <w:vAlign w:val="center"/>
          </w:tcPr>
          <w:p w14:paraId="7083017B">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7C8FEC70">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汽车加油加气加氢站内的爆炸危险区域，不应超出站区围墙和可用地界线</w:t>
            </w:r>
            <w:r>
              <w:rPr>
                <w:rFonts w:hint="eastAsia" w:ascii="Times New Roman" w:hAnsi="Times New Roman" w:eastAsia="宋体" w:cs="Calibri"/>
                <w:bCs w:val="0"/>
                <w:color w:val="auto"/>
                <w:kern w:val="2"/>
              </w:rPr>
              <w:t>。</w:t>
            </w:r>
          </w:p>
        </w:tc>
        <w:tc>
          <w:tcPr>
            <w:tcW w:w="384" w:type="pct"/>
            <w:vAlign w:val="center"/>
          </w:tcPr>
          <w:p w14:paraId="172407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5.0.11</w:t>
            </w:r>
          </w:p>
        </w:tc>
        <w:tc>
          <w:tcPr>
            <w:tcW w:w="925" w:type="pct"/>
            <w:vAlign w:val="center"/>
          </w:tcPr>
          <w:p w14:paraId="7086B42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spacing w:val="-11"/>
                <w:kern w:val="2"/>
              </w:rPr>
              <w:t>爆炸危险区域</w:t>
            </w:r>
            <w:r>
              <w:rPr>
                <w:rFonts w:hint="eastAsia" w:ascii="Times New Roman" w:hAnsi="Times New Roman" w:eastAsia="宋体" w:cs="Calibri"/>
                <w:bCs w:val="0"/>
                <w:color w:val="auto"/>
                <w:spacing w:val="-11"/>
                <w:kern w:val="2"/>
              </w:rPr>
              <w:t>未</w:t>
            </w:r>
            <w:r>
              <w:rPr>
                <w:rFonts w:ascii="Times New Roman" w:hAnsi="Times New Roman" w:eastAsia="宋体" w:cs="Calibri"/>
                <w:bCs w:val="0"/>
                <w:color w:val="auto"/>
                <w:spacing w:val="-11"/>
                <w:kern w:val="2"/>
              </w:rPr>
              <w:t>超出站区围墙和可用地界线</w:t>
            </w:r>
          </w:p>
        </w:tc>
        <w:tc>
          <w:tcPr>
            <w:tcW w:w="265" w:type="pct"/>
            <w:vAlign w:val="center"/>
          </w:tcPr>
          <w:p w14:paraId="2BAEDD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7C39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49" w:hRule="atLeast"/>
          <w:jc w:val="center"/>
        </w:trPr>
        <w:tc>
          <w:tcPr>
            <w:tcW w:w="263" w:type="pct"/>
            <w:vAlign w:val="center"/>
          </w:tcPr>
          <w:p w14:paraId="693653F9">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426CC00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汽车加油加气加氢站的工艺设备与站外建（构）筑物之间，</w:t>
            </w:r>
            <w:r>
              <w:rPr>
                <w:rFonts w:ascii="Times New Roman" w:hAnsi="Times New Roman" w:eastAsia="宋体" w:cs="Calibri"/>
                <w:bCs/>
                <w:color w:val="auto"/>
                <w:kern w:val="2"/>
              </w:rPr>
              <w:t>宜</w:t>
            </w:r>
            <w:r>
              <w:rPr>
                <w:rFonts w:ascii="Times New Roman" w:hAnsi="Times New Roman" w:eastAsia="宋体" w:cs="Calibri"/>
                <w:bCs w:val="0"/>
                <w:color w:val="auto"/>
                <w:kern w:val="2"/>
              </w:rPr>
              <w:t>设置不燃烧体实体围墙，围墙高度相对于站内和站外地坪均不宜低于2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2m。当汽车加油加气加氢站的工艺设备与站外建（构）筑物之间的距离大于本标准表4.0.4</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表4.0.8中安全间距的1.5倍，且大于25m时，可设置非实体围墙。面向车辆入口和出口道路的一侧可设非实体围墙或不设围墙。与站区</w:t>
            </w:r>
            <w:r>
              <w:rPr>
                <w:rFonts w:hint="eastAsia" w:ascii="Times New Roman" w:hAnsi="Times New Roman" w:eastAsia="宋体" w:cs="Calibri"/>
                <w:bCs w:val="0"/>
                <w:color w:val="auto"/>
                <w:kern w:val="2"/>
              </w:rPr>
              <w:t>相</w:t>
            </w:r>
            <w:r>
              <w:rPr>
                <w:rFonts w:ascii="Times New Roman" w:hAnsi="Times New Roman" w:eastAsia="宋体" w:cs="Calibri"/>
                <w:bCs w:val="0"/>
                <w:color w:val="auto"/>
                <w:kern w:val="2"/>
              </w:rPr>
              <w:t>毗邻的一、二级耐火等级的站外建（构）筑物，其面向加油加气加氢站侧无门、窗、孔洞的外墙，可视为站区实体围墙的一部分，但站内工艺设备与其的安全距离应符合本标准表4.0.4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表4.0.8的相关规定。</w:t>
            </w:r>
          </w:p>
        </w:tc>
        <w:tc>
          <w:tcPr>
            <w:tcW w:w="384" w:type="pct"/>
            <w:vAlign w:val="center"/>
          </w:tcPr>
          <w:p w14:paraId="779B4E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5.0.12</w:t>
            </w:r>
          </w:p>
        </w:tc>
        <w:tc>
          <w:tcPr>
            <w:tcW w:w="925" w:type="pct"/>
            <w:vAlign w:val="center"/>
          </w:tcPr>
          <w:p w14:paraId="541E5C8A">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与站外建（构）筑物之间</w:t>
            </w:r>
            <w:r>
              <w:rPr>
                <w:rFonts w:hint="eastAsia" w:ascii="Times New Roman" w:hAnsi="Times New Roman" w:eastAsia="宋体" w:cs="Calibri"/>
                <w:bCs w:val="0"/>
                <w:color w:val="auto"/>
                <w:kern w:val="2"/>
              </w:rPr>
              <w:t>建有</w:t>
            </w:r>
            <w:r>
              <w:rPr>
                <w:rFonts w:ascii="Times New Roman" w:hAnsi="Times New Roman" w:eastAsia="宋体" w:cs="Calibri"/>
                <w:bCs w:val="0"/>
                <w:color w:val="auto"/>
                <w:kern w:val="2"/>
              </w:rPr>
              <w:t>不燃烧体实体围墙</w:t>
            </w:r>
          </w:p>
        </w:tc>
        <w:tc>
          <w:tcPr>
            <w:tcW w:w="265" w:type="pct"/>
            <w:vAlign w:val="center"/>
          </w:tcPr>
          <w:p w14:paraId="454AF8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DE87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263" w:type="pct"/>
            <w:vAlign w:val="center"/>
          </w:tcPr>
          <w:p w14:paraId="30623320">
            <w:pPr>
              <w:keepNext w:val="0"/>
              <w:keepLines w:val="0"/>
              <w:pageBreakBefore w:val="0"/>
              <w:widowControl w:val="0"/>
              <w:numPr>
                <w:ilvl w:val="0"/>
                <w:numId w:val="7"/>
              </w:numPr>
              <w:kinsoku/>
              <w:wordWrap/>
              <w:overflowPunct/>
              <w:topLinePunct w:val="0"/>
              <w:autoSpaceDE/>
              <w:autoSpaceDN/>
              <w:bidi w:val="0"/>
              <w:adjustRightInd/>
              <w:snapToGrid/>
              <w:spacing w:line="280" w:lineRule="exact"/>
              <w:ind w:left="425" w:leftChars="0" w:hanging="425" w:firstLineChars="0"/>
              <w:textAlignment w:val="auto"/>
              <w:rPr>
                <w:rFonts w:ascii="Times New Roman" w:hAnsi="Times New Roman" w:eastAsia="宋体" w:cs="Calibri"/>
                <w:bCs w:val="0"/>
                <w:color w:val="auto"/>
                <w:kern w:val="2"/>
              </w:rPr>
            </w:pPr>
          </w:p>
        </w:tc>
        <w:tc>
          <w:tcPr>
            <w:tcW w:w="3161" w:type="pct"/>
            <w:vAlign w:val="center"/>
          </w:tcPr>
          <w:p w14:paraId="2C9A59E4">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ascii="Times New Roman" w:hAnsi="Times New Roman" w:eastAsia="宋体" w:cs="Arial"/>
                <w:b/>
                <w:bCs w:val="0"/>
                <w:color w:val="auto"/>
                <w:kern w:val="2"/>
                <w:shd w:val="clear" w:color="auto" w:fill="FFFFFF"/>
              </w:rPr>
              <w:t>加油加气站站内设施的防火间距不应小于表5.0.13-1和表5.0.13-2的规定。</w:t>
            </w:r>
          </w:p>
        </w:tc>
        <w:tc>
          <w:tcPr>
            <w:tcW w:w="384" w:type="pct"/>
            <w:vAlign w:val="center"/>
          </w:tcPr>
          <w:p w14:paraId="2483F4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5.0.13</w:t>
            </w:r>
          </w:p>
        </w:tc>
        <w:tc>
          <w:tcPr>
            <w:tcW w:w="925" w:type="pct"/>
            <w:vAlign w:val="center"/>
          </w:tcPr>
          <w:p w14:paraId="585FA78F">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详见表5.5-2站内设施之间的防火间距表</w:t>
            </w:r>
          </w:p>
        </w:tc>
        <w:tc>
          <w:tcPr>
            <w:tcW w:w="265" w:type="pct"/>
            <w:vAlign w:val="center"/>
          </w:tcPr>
          <w:p w14:paraId="5BCE2E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bl>
    <w:p w14:paraId="559BAD67">
      <w:pPr>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表5.5-2 站内设施之间的防火距离（m）</w:t>
      </w:r>
    </w:p>
    <w:tbl>
      <w:tblPr>
        <w:tblStyle w:val="7"/>
        <w:tblW w:w="499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609"/>
        <w:gridCol w:w="2169"/>
        <w:gridCol w:w="1644"/>
        <w:gridCol w:w="1962"/>
        <w:gridCol w:w="1617"/>
        <w:gridCol w:w="1086"/>
      </w:tblGrid>
      <w:tr w14:paraId="6C778B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35" w:type="pct"/>
            <w:vAlign w:val="center"/>
          </w:tcPr>
          <w:p w14:paraId="1988BFFB">
            <w:pPr>
              <w:autoSpaceDE w:val="0"/>
              <w:autoSpaceDN w:val="0"/>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序号</w:t>
            </w:r>
          </w:p>
        </w:tc>
        <w:tc>
          <w:tcPr>
            <w:tcW w:w="1193" w:type="pct"/>
            <w:vAlign w:val="center"/>
          </w:tcPr>
          <w:p w14:paraId="7F9E4177">
            <w:pPr>
              <w:autoSpaceDE w:val="0"/>
              <w:autoSpaceDN w:val="0"/>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设施名称</w:t>
            </w:r>
          </w:p>
        </w:tc>
        <w:tc>
          <w:tcPr>
            <w:tcW w:w="904" w:type="pct"/>
            <w:vAlign w:val="center"/>
          </w:tcPr>
          <w:p w14:paraId="3BC37773">
            <w:pPr>
              <w:autoSpaceDE w:val="0"/>
              <w:autoSpaceDN w:val="0"/>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相邻设施</w:t>
            </w:r>
          </w:p>
        </w:tc>
        <w:tc>
          <w:tcPr>
            <w:tcW w:w="1079" w:type="pct"/>
            <w:vAlign w:val="center"/>
          </w:tcPr>
          <w:p w14:paraId="6002CD98">
            <w:pPr>
              <w:jc w:val="center"/>
              <w:rPr>
                <w:rFonts w:ascii="Times New Roman" w:hAnsi="Times New Roman" w:eastAsia="宋体" w:cs="Times New Roman"/>
                <w:b/>
                <w:bCs/>
                <w:color w:val="auto"/>
                <w:kern w:val="2"/>
              </w:rPr>
            </w:pPr>
            <w:r>
              <w:rPr>
                <w:rFonts w:ascii="Times New Roman" w:hAnsi="Times New Roman" w:eastAsia="宋体" w:cs="Times New Roman"/>
                <w:b/>
                <w:bCs/>
                <w:color w:val="auto"/>
                <w:kern w:val="2"/>
              </w:rPr>
              <w:t>标准要求（m）</w:t>
            </w:r>
          </w:p>
        </w:tc>
        <w:tc>
          <w:tcPr>
            <w:tcW w:w="889" w:type="pct"/>
            <w:vAlign w:val="center"/>
          </w:tcPr>
          <w:p w14:paraId="0A8D938B">
            <w:pPr>
              <w:jc w:val="center"/>
              <w:rPr>
                <w:rFonts w:ascii="Times New Roman" w:hAnsi="Times New Roman" w:eastAsia="宋体" w:cs="Times New Roman"/>
                <w:b/>
                <w:bCs/>
                <w:color w:val="auto"/>
                <w:kern w:val="0"/>
              </w:rPr>
            </w:pPr>
            <w:r>
              <w:rPr>
                <w:rFonts w:ascii="Times New Roman" w:hAnsi="Times New Roman" w:eastAsia="宋体" w:cs="Times New Roman"/>
                <w:b/>
                <w:bCs/>
                <w:color w:val="auto"/>
                <w:kern w:val="0"/>
              </w:rPr>
              <w:t>检查记录（m）</w:t>
            </w:r>
          </w:p>
        </w:tc>
        <w:tc>
          <w:tcPr>
            <w:tcW w:w="597" w:type="pct"/>
            <w:vAlign w:val="center"/>
          </w:tcPr>
          <w:p w14:paraId="3C97813F">
            <w:pPr>
              <w:jc w:val="center"/>
              <w:rPr>
                <w:rFonts w:ascii="Times New Roman" w:hAnsi="Times New Roman" w:eastAsia="宋体" w:cs="Times New Roman"/>
                <w:b/>
                <w:bCs/>
                <w:color w:val="auto"/>
                <w:kern w:val="0"/>
              </w:rPr>
            </w:pPr>
            <w:r>
              <w:rPr>
                <w:rFonts w:hint="eastAsia" w:ascii="Times New Roman" w:hAnsi="Times New Roman" w:eastAsia="宋体" w:cs="Times New Roman"/>
                <w:b/>
                <w:bCs/>
                <w:color w:val="auto"/>
                <w:kern w:val="0"/>
                <w:lang w:val="en-US" w:eastAsia="zh-CN"/>
              </w:rPr>
              <w:t>符合情况</w:t>
            </w:r>
          </w:p>
        </w:tc>
      </w:tr>
      <w:tr w14:paraId="448F25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103D8950">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7B3C13F1">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埋地油罐</w:t>
            </w:r>
          </w:p>
        </w:tc>
        <w:tc>
          <w:tcPr>
            <w:tcW w:w="904" w:type="pct"/>
            <w:vAlign w:val="center"/>
          </w:tcPr>
          <w:p w14:paraId="2C5FD11D">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埋地油罐</w:t>
            </w:r>
          </w:p>
        </w:tc>
        <w:tc>
          <w:tcPr>
            <w:tcW w:w="1079" w:type="pct"/>
            <w:vAlign w:val="center"/>
          </w:tcPr>
          <w:p w14:paraId="03F721F6">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0.5</w:t>
            </w:r>
          </w:p>
        </w:tc>
        <w:tc>
          <w:tcPr>
            <w:tcW w:w="889" w:type="pct"/>
            <w:vAlign w:val="center"/>
          </w:tcPr>
          <w:p w14:paraId="3F16E8EE">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0.5</w:t>
            </w:r>
          </w:p>
        </w:tc>
        <w:tc>
          <w:tcPr>
            <w:tcW w:w="597" w:type="pct"/>
            <w:vAlign w:val="center"/>
          </w:tcPr>
          <w:p w14:paraId="74D6C92D">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6F23C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35" w:type="pct"/>
            <w:vAlign w:val="center"/>
          </w:tcPr>
          <w:p w14:paraId="2B8DA05F">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5100C7F9">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汽油罐</w:t>
            </w:r>
          </w:p>
        </w:tc>
        <w:tc>
          <w:tcPr>
            <w:tcW w:w="904" w:type="pct"/>
            <w:vAlign w:val="center"/>
          </w:tcPr>
          <w:p w14:paraId="62DEFC7D">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43E490E9">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4</w:t>
            </w:r>
          </w:p>
        </w:tc>
        <w:tc>
          <w:tcPr>
            <w:tcW w:w="889" w:type="pct"/>
            <w:vAlign w:val="center"/>
          </w:tcPr>
          <w:p w14:paraId="28ECB5F6">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5.7</w:t>
            </w:r>
          </w:p>
        </w:tc>
        <w:tc>
          <w:tcPr>
            <w:tcW w:w="597" w:type="pct"/>
            <w:vAlign w:val="center"/>
          </w:tcPr>
          <w:p w14:paraId="5C41919B">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62CE24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679873A4">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7FB4CFE7">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柴油罐</w:t>
            </w:r>
          </w:p>
        </w:tc>
        <w:tc>
          <w:tcPr>
            <w:tcW w:w="904" w:type="pct"/>
            <w:vAlign w:val="center"/>
          </w:tcPr>
          <w:p w14:paraId="3A71148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3ABE4D5A">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3</w:t>
            </w:r>
          </w:p>
        </w:tc>
        <w:tc>
          <w:tcPr>
            <w:tcW w:w="889" w:type="pct"/>
            <w:vAlign w:val="center"/>
          </w:tcPr>
          <w:p w14:paraId="3C93E970">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9.5</w:t>
            </w:r>
          </w:p>
        </w:tc>
        <w:tc>
          <w:tcPr>
            <w:tcW w:w="597" w:type="pct"/>
            <w:vAlign w:val="center"/>
          </w:tcPr>
          <w:p w14:paraId="5C3733AB">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7CD75D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747C4D3D">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shd w:val="clear" w:color="auto" w:fill="auto"/>
            <w:vAlign w:val="center"/>
          </w:tcPr>
          <w:p w14:paraId="199C9A9F">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汽油罐</w:t>
            </w:r>
          </w:p>
        </w:tc>
        <w:tc>
          <w:tcPr>
            <w:tcW w:w="904" w:type="pct"/>
            <w:shd w:val="clear" w:color="auto" w:fill="auto"/>
            <w:vAlign w:val="center"/>
          </w:tcPr>
          <w:p w14:paraId="5598BBE2">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79" w:type="pct"/>
            <w:shd w:val="clear" w:color="auto" w:fill="auto"/>
            <w:vAlign w:val="center"/>
          </w:tcPr>
          <w:p w14:paraId="46DD618E">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889" w:type="pct"/>
            <w:vAlign w:val="center"/>
          </w:tcPr>
          <w:p w14:paraId="2C2CD3EF">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5.2</w:t>
            </w:r>
          </w:p>
        </w:tc>
        <w:tc>
          <w:tcPr>
            <w:tcW w:w="597" w:type="pct"/>
            <w:vAlign w:val="center"/>
          </w:tcPr>
          <w:p w14:paraId="582C597A">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226F51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16EC4070">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shd w:val="clear" w:color="auto" w:fill="auto"/>
            <w:vAlign w:val="center"/>
          </w:tcPr>
          <w:p w14:paraId="375BFC76">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柴油罐</w:t>
            </w:r>
          </w:p>
        </w:tc>
        <w:tc>
          <w:tcPr>
            <w:tcW w:w="904" w:type="pct"/>
            <w:shd w:val="clear" w:color="auto" w:fill="auto"/>
            <w:vAlign w:val="center"/>
          </w:tcPr>
          <w:p w14:paraId="08FABC61">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79" w:type="pct"/>
            <w:shd w:val="clear" w:color="auto" w:fill="auto"/>
            <w:vAlign w:val="center"/>
          </w:tcPr>
          <w:p w14:paraId="0C09EF0C">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889" w:type="pct"/>
            <w:vAlign w:val="center"/>
          </w:tcPr>
          <w:p w14:paraId="1A50D732">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2.2</w:t>
            </w:r>
          </w:p>
        </w:tc>
        <w:tc>
          <w:tcPr>
            <w:tcW w:w="597" w:type="pct"/>
            <w:vAlign w:val="center"/>
          </w:tcPr>
          <w:p w14:paraId="17E9C7AF">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2FC54E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107D7B33">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5FFC0191">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904" w:type="pct"/>
            <w:vAlign w:val="center"/>
          </w:tcPr>
          <w:p w14:paraId="22A00B8E">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4BFD2AE2">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4</w:t>
            </w:r>
          </w:p>
        </w:tc>
        <w:tc>
          <w:tcPr>
            <w:tcW w:w="889" w:type="pct"/>
            <w:vAlign w:val="center"/>
          </w:tcPr>
          <w:p w14:paraId="17E56F76">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8.6</w:t>
            </w:r>
          </w:p>
        </w:tc>
        <w:tc>
          <w:tcPr>
            <w:tcW w:w="597" w:type="pct"/>
            <w:vAlign w:val="center"/>
          </w:tcPr>
          <w:p w14:paraId="5E871EF7">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64CD2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5E3A90EC">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082BE867">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柴油通气管管口</w:t>
            </w:r>
          </w:p>
        </w:tc>
        <w:tc>
          <w:tcPr>
            <w:tcW w:w="904" w:type="pct"/>
            <w:vAlign w:val="center"/>
          </w:tcPr>
          <w:p w14:paraId="2537E2A2">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322F14ED">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3.5</w:t>
            </w:r>
          </w:p>
        </w:tc>
        <w:tc>
          <w:tcPr>
            <w:tcW w:w="889" w:type="pct"/>
            <w:vAlign w:val="center"/>
          </w:tcPr>
          <w:p w14:paraId="7BA9066B">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8.6</w:t>
            </w:r>
          </w:p>
        </w:tc>
        <w:tc>
          <w:tcPr>
            <w:tcW w:w="597" w:type="pct"/>
            <w:vAlign w:val="center"/>
          </w:tcPr>
          <w:p w14:paraId="27D42104">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06862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2B00CBEE">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5B1CB5EB">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904" w:type="pct"/>
            <w:vAlign w:val="center"/>
          </w:tcPr>
          <w:p w14:paraId="5BCE5927">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油品卸车点</w:t>
            </w:r>
          </w:p>
        </w:tc>
        <w:tc>
          <w:tcPr>
            <w:tcW w:w="1079" w:type="pct"/>
            <w:vAlign w:val="center"/>
          </w:tcPr>
          <w:p w14:paraId="3519B81C">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3</w:t>
            </w:r>
          </w:p>
        </w:tc>
        <w:tc>
          <w:tcPr>
            <w:tcW w:w="889" w:type="pct"/>
            <w:vAlign w:val="center"/>
          </w:tcPr>
          <w:p w14:paraId="148DE15C">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c>
          <w:tcPr>
            <w:tcW w:w="597" w:type="pct"/>
            <w:vAlign w:val="center"/>
          </w:tcPr>
          <w:p w14:paraId="2AE90D42">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3E5B62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2D3E2C07">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595B8E16">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柴油通气管管口</w:t>
            </w:r>
          </w:p>
        </w:tc>
        <w:tc>
          <w:tcPr>
            <w:tcW w:w="904" w:type="pct"/>
            <w:vAlign w:val="center"/>
          </w:tcPr>
          <w:p w14:paraId="35713ADD">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油品卸车点</w:t>
            </w:r>
          </w:p>
        </w:tc>
        <w:tc>
          <w:tcPr>
            <w:tcW w:w="1079" w:type="pct"/>
            <w:vAlign w:val="center"/>
          </w:tcPr>
          <w:p w14:paraId="08F2FF8C">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rPr>
              <w:t>2</w:t>
            </w:r>
          </w:p>
        </w:tc>
        <w:tc>
          <w:tcPr>
            <w:tcW w:w="889" w:type="pct"/>
            <w:vAlign w:val="center"/>
          </w:tcPr>
          <w:p w14:paraId="3D51CF8F">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c>
          <w:tcPr>
            <w:tcW w:w="597" w:type="pct"/>
            <w:vAlign w:val="center"/>
          </w:tcPr>
          <w:p w14:paraId="64B7B024">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434E2D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446B647E">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6461F387">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904" w:type="pct"/>
            <w:vAlign w:val="center"/>
          </w:tcPr>
          <w:p w14:paraId="68EE41CE">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79" w:type="pct"/>
            <w:vAlign w:val="center"/>
          </w:tcPr>
          <w:p w14:paraId="37CD2A49">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889" w:type="pct"/>
            <w:vAlign w:val="center"/>
          </w:tcPr>
          <w:p w14:paraId="31F4D09D">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5.6</w:t>
            </w:r>
          </w:p>
        </w:tc>
        <w:tc>
          <w:tcPr>
            <w:tcW w:w="597" w:type="pct"/>
            <w:vAlign w:val="center"/>
          </w:tcPr>
          <w:p w14:paraId="5A0FA92E">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7E02B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208EC04D">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41339E4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柴油通气管管口</w:t>
            </w:r>
          </w:p>
        </w:tc>
        <w:tc>
          <w:tcPr>
            <w:tcW w:w="904" w:type="pct"/>
            <w:vAlign w:val="center"/>
          </w:tcPr>
          <w:p w14:paraId="1CC3B0C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站区围墙</w:t>
            </w:r>
          </w:p>
        </w:tc>
        <w:tc>
          <w:tcPr>
            <w:tcW w:w="1079" w:type="pct"/>
            <w:vAlign w:val="center"/>
          </w:tcPr>
          <w:p w14:paraId="6BAD034D">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2</w:t>
            </w:r>
          </w:p>
        </w:tc>
        <w:tc>
          <w:tcPr>
            <w:tcW w:w="889" w:type="pct"/>
            <w:vAlign w:val="center"/>
          </w:tcPr>
          <w:p w14:paraId="191D78D3">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5.6</w:t>
            </w:r>
          </w:p>
        </w:tc>
        <w:tc>
          <w:tcPr>
            <w:tcW w:w="597" w:type="pct"/>
            <w:vAlign w:val="center"/>
          </w:tcPr>
          <w:p w14:paraId="08BA5180">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3D9065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11D0FF34">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0FF4C9B9">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汽油加油机</w:t>
            </w:r>
          </w:p>
        </w:tc>
        <w:tc>
          <w:tcPr>
            <w:tcW w:w="904" w:type="pct"/>
            <w:vAlign w:val="center"/>
          </w:tcPr>
          <w:p w14:paraId="4DCC03FA">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7ED801E8">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5</w:t>
            </w:r>
          </w:p>
        </w:tc>
        <w:tc>
          <w:tcPr>
            <w:tcW w:w="889" w:type="pct"/>
            <w:vAlign w:val="center"/>
          </w:tcPr>
          <w:p w14:paraId="5A2819BE">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c>
          <w:tcPr>
            <w:tcW w:w="597" w:type="pct"/>
            <w:vAlign w:val="center"/>
          </w:tcPr>
          <w:p w14:paraId="65A96835">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2B495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17750FFB">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329368C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柴油加油机</w:t>
            </w:r>
          </w:p>
        </w:tc>
        <w:tc>
          <w:tcPr>
            <w:tcW w:w="904" w:type="pct"/>
            <w:vAlign w:val="center"/>
          </w:tcPr>
          <w:p w14:paraId="6C398008">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7E351FC0">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4</w:t>
            </w:r>
          </w:p>
        </w:tc>
        <w:tc>
          <w:tcPr>
            <w:tcW w:w="889" w:type="pct"/>
            <w:vAlign w:val="center"/>
          </w:tcPr>
          <w:p w14:paraId="17D37045">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5.1</w:t>
            </w:r>
          </w:p>
        </w:tc>
        <w:tc>
          <w:tcPr>
            <w:tcW w:w="597" w:type="pct"/>
            <w:vAlign w:val="center"/>
          </w:tcPr>
          <w:p w14:paraId="39875677">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3CECBB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0826FE39">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41DEF431">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油品卸车点</w:t>
            </w:r>
          </w:p>
        </w:tc>
        <w:tc>
          <w:tcPr>
            <w:tcW w:w="904" w:type="pct"/>
            <w:vAlign w:val="center"/>
          </w:tcPr>
          <w:p w14:paraId="4001612E">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站房</w:t>
            </w:r>
          </w:p>
        </w:tc>
        <w:tc>
          <w:tcPr>
            <w:tcW w:w="1079" w:type="pct"/>
            <w:vAlign w:val="center"/>
          </w:tcPr>
          <w:p w14:paraId="600CEADF">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5</w:t>
            </w:r>
          </w:p>
        </w:tc>
        <w:tc>
          <w:tcPr>
            <w:tcW w:w="889" w:type="pct"/>
            <w:vAlign w:val="center"/>
          </w:tcPr>
          <w:p w14:paraId="187BDDEA">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5.5</w:t>
            </w:r>
          </w:p>
        </w:tc>
        <w:tc>
          <w:tcPr>
            <w:tcW w:w="597" w:type="pct"/>
            <w:vAlign w:val="center"/>
          </w:tcPr>
          <w:p w14:paraId="24205066">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440D1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246F91E2">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5AC9F269">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汽油埋地卧式油罐</w:t>
            </w:r>
          </w:p>
        </w:tc>
        <w:tc>
          <w:tcPr>
            <w:tcW w:w="904" w:type="pct"/>
            <w:vAlign w:val="center"/>
          </w:tcPr>
          <w:p w14:paraId="2BA3CD18">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79" w:type="pct"/>
            <w:vAlign w:val="center"/>
          </w:tcPr>
          <w:p w14:paraId="6AA8529F">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sz w:val="18"/>
                <w:szCs w:val="18"/>
              </w:rPr>
              <w:t>4.5</w:t>
            </w:r>
          </w:p>
        </w:tc>
        <w:tc>
          <w:tcPr>
            <w:tcW w:w="889" w:type="pct"/>
            <w:vAlign w:val="center"/>
          </w:tcPr>
          <w:p w14:paraId="557DA3F6">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14.6</w:t>
            </w:r>
          </w:p>
        </w:tc>
        <w:tc>
          <w:tcPr>
            <w:tcW w:w="597" w:type="pct"/>
            <w:vAlign w:val="center"/>
          </w:tcPr>
          <w:p w14:paraId="1C8F7A71">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25AED8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772A360E">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32D5DF59">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lang w:val="en-US" w:eastAsia="zh-CN"/>
              </w:rPr>
              <w:t>柴油</w:t>
            </w:r>
            <w:r>
              <w:rPr>
                <w:rFonts w:ascii="Times New Roman" w:hAnsi="Times New Roman" w:eastAsia="宋体" w:cs="Times New Roman"/>
                <w:bCs w:val="0"/>
                <w:color w:val="auto"/>
                <w:kern w:val="0"/>
              </w:rPr>
              <w:t>埋地卧式油罐</w:t>
            </w:r>
          </w:p>
        </w:tc>
        <w:tc>
          <w:tcPr>
            <w:tcW w:w="904" w:type="pct"/>
            <w:vAlign w:val="center"/>
          </w:tcPr>
          <w:p w14:paraId="18283690">
            <w:pPr>
              <w:autoSpaceDE w:val="0"/>
              <w:autoSpaceDN w:val="0"/>
              <w:jc w:val="center"/>
              <w:rPr>
                <w:rFonts w:hint="eastAsia"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79" w:type="pct"/>
            <w:vAlign w:val="center"/>
          </w:tcPr>
          <w:p w14:paraId="3E728E02">
            <w:pPr>
              <w:autoSpaceDE w:val="0"/>
              <w:autoSpaceDN w:val="0"/>
              <w:jc w:val="center"/>
              <w:rPr>
                <w:rFonts w:hint="eastAsia" w:ascii="Times New Roman" w:hAnsi="Times New Roman" w:eastAsia="宋体" w:cs="Times New Roman"/>
                <w:bCs w:val="0"/>
                <w:color w:val="auto"/>
                <w:kern w:val="0"/>
                <w:sz w:val="18"/>
                <w:szCs w:val="18"/>
                <w:lang w:val="en-US" w:eastAsia="zh-CN"/>
              </w:rPr>
            </w:pPr>
            <w:r>
              <w:rPr>
                <w:rFonts w:hint="eastAsia" w:ascii="Times New Roman" w:hAnsi="Times New Roman" w:eastAsia="宋体" w:cs="Times New Roman"/>
                <w:bCs w:val="0"/>
                <w:color w:val="auto"/>
                <w:kern w:val="0"/>
                <w:sz w:val="18"/>
                <w:szCs w:val="18"/>
                <w:lang w:val="en-US" w:eastAsia="zh-CN"/>
              </w:rPr>
              <w:t>3</w:t>
            </w:r>
          </w:p>
        </w:tc>
        <w:tc>
          <w:tcPr>
            <w:tcW w:w="889" w:type="pct"/>
            <w:vAlign w:val="center"/>
          </w:tcPr>
          <w:p w14:paraId="01BFEDCD">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18.2</w:t>
            </w:r>
          </w:p>
        </w:tc>
        <w:tc>
          <w:tcPr>
            <w:tcW w:w="597" w:type="pct"/>
            <w:vAlign w:val="center"/>
          </w:tcPr>
          <w:p w14:paraId="22D63F2E">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68ECDB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3AB1B91A">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3569E9BF">
            <w:pPr>
              <w:autoSpaceDE w:val="0"/>
              <w:autoSpaceDN w:val="0"/>
              <w:jc w:val="center"/>
              <w:rPr>
                <w:rFonts w:ascii="Times New Roman" w:hAnsi="Times New Roman" w:eastAsia="宋体" w:cs="Times New Roman"/>
                <w:bCs w:val="0"/>
                <w:color w:val="auto"/>
                <w:kern w:val="0"/>
              </w:rPr>
            </w:pPr>
            <w:r>
              <w:rPr>
                <w:rFonts w:ascii="Times New Roman" w:hAnsi="Times New Roman" w:eastAsia="宋体" w:cs="Times New Roman"/>
                <w:bCs w:val="0"/>
                <w:color w:val="auto"/>
                <w:kern w:val="0"/>
              </w:rPr>
              <w:t>汽油通气管管口</w:t>
            </w:r>
          </w:p>
        </w:tc>
        <w:tc>
          <w:tcPr>
            <w:tcW w:w="904" w:type="pct"/>
            <w:vAlign w:val="center"/>
          </w:tcPr>
          <w:p w14:paraId="552592E4">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79" w:type="pct"/>
            <w:vAlign w:val="center"/>
          </w:tcPr>
          <w:p w14:paraId="744E6F2E">
            <w:pPr>
              <w:autoSpaceDE w:val="0"/>
              <w:autoSpaceDN w:val="0"/>
              <w:jc w:val="center"/>
              <w:rPr>
                <w:rFonts w:ascii="Times New Roman" w:hAnsi="Times New Roman" w:eastAsia="宋体" w:cs="Times New Roman"/>
                <w:bCs w:val="0"/>
                <w:color w:val="auto"/>
                <w:kern w:val="2"/>
              </w:rPr>
            </w:pPr>
            <w:r>
              <w:rPr>
                <w:rFonts w:hint="eastAsia" w:ascii="Times New Roman" w:hAnsi="Times New Roman" w:eastAsia="宋体" w:cs="Times New Roman"/>
                <w:bCs w:val="0"/>
                <w:color w:val="auto"/>
                <w:kern w:val="0"/>
                <w:sz w:val="18"/>
                <w:szCs w:val="18"/>
              </w:rPr>
              <w:t>5（有卸油油气回收）</w:t>
            </w:r>
          </w:p>
        </w:tc>
        <w:tc>
          <w:tcPr>
            <w:tcW w:w="889" w:type="pct"/>
            <w:vAlign w:val="center"/>
          </w:tcPr>
          <w:p w14:paraId="0AA9926D">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17.5</w:t>
            </w:r>
          </w:p>
        </w:tc>
        <w:tc>
          <w:tcPr>
            <w:tcW w:w="597" w:type="pct"/>
            <w:vAlign w:val="center"/>
          </w:tcPr>
          <w:p w14:paraId="654A048A">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61707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335" w:type="pct"/>
            <w:vAlign w:val="center"/>
          </w:tcPr>
          <w:p w14:paraId="0C3A80BC">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46E0F8C2">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lang w:val="en-US" w:eastAsia="zh-CN"/>
              </w:rPr>
              <w:t>柴油</w:t>
            </w:r>
            <w:r>
              <w:rPr>
                <w:rFonts w:ascii="Times New Roman" w:hAnsi="Times New Roman" w:eastAsia="宋体" w:cs="Times New Roman"/>
                <w:bCs w:val="0"/>
                <w:color w:val="auto"/>
                <w:kern w:val="0"/>
              </w:rPr>
              <w:t>通气管管口</w:t>
            </w:r>
          </w:p>
        </w:tc>
        <w:tc>
          <w:tcPr>
            <w:tcW w:w="904" w:type="pct"/>
            <w:vAlign w:val="center"/>
          </w:tcPr>
          <w:p w14:paraId="0CF0F2E6">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79" w:type="pct"/>
            <w:vAlign w:val="center"/>
          </w:tcPr>
          <w:p w14:paraId="172D0E3E">
            <w:pPr>
              <w:autoSpaceDE w:val="0"/>
              <w:autoSpaceDN w:val="0"/>
              <w:jc w:val="center"/>
              <w:rPr>
                <w:rFonts w:hint="eastAsia"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3</w:t>
            </w:r>
          </w:p>
        </w:tc>
        <w:tc>
          <w:tcPr>
            <w:tcW w:w="889" w:type="pct"/>
            <w:vAlign w:val="center"/>
          </w:tcPr>
          <w:p w14:paraId="551B67BC">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17.5</w:t>
            </w:r>
          </w:p>
        </w:tc>
        <w:tc>
          <w:tcPr>
            <w:tcW w:w="597" w:type="pct"/>
            <w:vAlign w:val="center"/>
          </w:tcPr>
          <w:p w14:paraId="63BE5921">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642383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6" w:hRule="atLeast"/>
          <w:jc w:val="center"/>
        </w:trPr>
        <w:tc>
          <w:tcPr>
            <w:tcW w:w="335" w:type="pct"/>
            <w:vAlign w:val="center"/>
          </w:tcPr>
          <w:p w14:paraId="09D3E30D">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30555392">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汽油</w:t>
            </w:r>
            <w:r>
              <w:rPr>
                <w:rFonts w:ascii="Times New Roman" w:hAnsi="Times New Roman" w:eastAsia="宋体" w:cs="Times New Roman"/>
                <w:bCs w:val="0"/>
                <w:color w:val="auto"/>
                <w:kern w:val="0"/>
              </w:rPr>
              <w:t>加油机</w:t>
            </w:r>
          </w:p>
        </w:tc>
        <w:tc>
          <w:tcPr>
            <w:tcW w:w="904" w:type="pct"/>
            <w:vAlign w:val="center"/>
          </w:tcPr>
          <w:p w14:paraId="7FABF168">
            <w:pPr>
              <w:autoSpaceDE w:val="0"/>
              <w:autoSpaceDN w:val="0"/>
              <w:jc w:val="center"/>
              <w:rPr>
                <w:rFonts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79" w:type="pct"/>
            <w:vAlign w:val="center"/>
          </w:tcPr>
          <w:p w14:paraId="156D57EE">
            <w:pPr>
              <w:autoSpaceDE w:val="0"/>
              <w:autoSpaceDN w:val="0"/>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0"/>
                <w:sz w:val="18"/>
                <w:szCs w:val="18"/>
              </w:rPr>
              <w:t>6</w:t>
            </w:r>
            <w:r>
              <w:rPr>
                <w:rFonts w:hint="eastAsia" w:ascii="Times New Roman" w:hAnsi="Times New Roman" w:eastAsia="宋体" w:cs="Times New Roman"/>
                <w:bCs w:val="0"/>
                <w:color w:val="auto"/>
                <w:kern w:val="0"/>
                <w:sz w:val="18"/>
                <w:szCs w:val="18"/>
              </w:rPr>
              <w:t>（有卸油油气回收）</w:t>
            </w:r>
          </w:p>
        </w:tc>
        <w:tc>
          <w:tcPr>
            <w:tcW w:w="889" w:type="pct"/>
            <w:vAlign w:val="center"/>
          </w:tcPr>
          <w:p w14:paraId="544FF703">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10.8</w:t>
            </w:r>
          </w:p>
        </w:tc>
        <w:tc>
          <w:tcPr>
            <w:tcW w:w="597" w:type="pct"/>
            <w:vAlign w:val="center"/>
          </w:tcPr>
          <w:p w14:paraId="078E62B6">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5962D8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6" w:hRule="atLeast"/>
          <w:jc w:val="center"/>
        </w:trPr>
        <w:tc>
          <w:tcPr>
            <w:tcW w:w="335" w:type="pct"/>
            <w:vAlign w:val="center"/>
          </w:tcPr>
          <w:p w14:paraId="543481FF">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vAlign w:val="center"/>
          </w:tcPr>
          <w:p w14:paraId="3928D4CA">
            <w:pPr>
              <w:autoSpaceDE w:val="0"/>
              <w:autoSpaceDN w:val="0"/>
              <w:jc w:val="center"/>
              <w:rPr>
                <w:rFonts w:hint="eastAsia" w:ascii="Times New Roman" w:hAnsi="Times New Roman" w:eastAsia="宋体" w:cs="Times New Roman"/>
                <w:bCs w:val="0"/>
                <w:color w:val="auto"/>
                <w:kern w:val="0"/>
              </w:rPr>
            </w:pPr>
            <w:r>
              <w:rPr>
                <w:rFonts w:hint="eastAsia" w:ascii="Times New Roman" w:hAnsi="Times New Roman" w:eastAsia="宋体" w:cs="Times New Roman"/>
                <w:bCs w:val="0"/>
                <w:color w:val="auto"/>
                <w:kern w:val="0"/>
                <w:lang w:val="en-US" w:eastAsia="zh-CN"/>
              </w:rPr>
              <w:t>柴油</w:t>
            </w:r>
            <w:r>
              <w:rPr>
                <w:rFonts w:hint="eastAsia" w:ascii="Times New Roman" w:hAnsi="Times New Roman" w:eastAsia="宋体" w:cs="Times New Roman"/>
                <w:bCs w:val="0"/>
                <w:color w:val="auto"/>
                <w:kern w:val="0"/>
              </w:rPr>
              <w:t>加油机</w:t>
            </w:r>
          </w:p>
        </w:tc>
        <w:tc>
          <w:tcPr>
            <w:tcW w:w="904" w:type="pct"/>
            <w:vAlign w:val="center"/>
          </w:tcPr>
          <w:p w14:paraId="17DF146A">
            <w:pPr>
              <w:autoSpaceDE w:val="0"/>
              <w:autoSpaceDN w:val="0"/>
              <w:jc w:val="center"/>
              <w:rPr>
                <w:rFonts w:hint="eastAsia" w:ascii="Times New Roman" w:hAnsi="Times New Roman" w:eastAsia="宋体" w:cs="Times New Roman"/>
                <w:bCs w:val="0"/>
                <w:color w:val="auto"/>
                <w:kern w:val="0"/>
              </w:rPr>
            </w:pPr>
            <w:r>
              <w:rPr>
                <w:rFonts w:hint="eastAsia" w:ascii="Times New Roman" w:hAnsi="Times New Roman" w:eastAsia="宋体" w:cs="Times New Roman"/>
                <w:bCs w:val="0"/>
                <w:color w:val="auto"/>
                <w:kern w:val="0"/>
              </w:rPr>
              <w:t>配电间</w:t>
            </w:r>
          </w:p>
        </w:tc>
        <w:tc>
          <w:tcPr>
            <w:tcW w:w="1079" w:type="pct"/>
            <w:vAlign w:val="center"/>
          </w:tcPr>
          <w:p w14:paraId="21CAE56B">
            <w:pPr>
              <w:autoSpaceDE w:val="0"/>
              <w:autoSpaceDN w:val="0"/>
              <w:jc w:val="center"/>
              <w:rPr>
                <w:rFonts w:hint="eastAsia" w:ascii="Times New Roman" w:hAnsi="Times New Roman" w:eastAsia="宋体" w:cs="Times New Roman"/>
                <w:bCs w:val="0"/>
                <w:color w:val="auto"/>
                <w:kern w:val="0"/>
                <w:sz w:val="18"/>
                <w:szCs w:val="18"/>
                <w:lang w:val="en-US" w:eastAsia="zh-CN"/>
              </w:rPr>
            </w:pPr>
            <w:r>
              <w:rPr>
                <w:rFonts w:hint="eastAsia" w:ascii="Times New Roman" w:hAnsi="Times New Roman" w:eastAsia="宋体" w:cs="Times New Roman"/>
                <w:bCs w:val="0"/>
                <w:color w:val="auto"/>
                <w:kern w:val="0"/>
                <w:sz w:val="18"/>
                <w:szCs w:val="18"/>
                <w:lang w:val="en-US" w:eastAsia="zh-CN"/>
              </w:rPr>
              <w:t>3</w:t>
            </w:r>
          </w:p>
        </w:tc>
        <w:tc>
          <w:tcPr>
            <w:tcW w:w="889" w:type="pct"/>
            <w:vAlign w:val="center"/>
          </w:tcPr>
          <w:p w14:paraId="70DA42EF">
            <w:pPr>
              <w:autoSpaceDE w:val="0"/>
              <w:autoSpaceDN w:val="0"/>
              <w:jc w:val="center"/>
              <w:rPr>
                <w:rFonts w:hint="default"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8.7</w:t>
            </w:r>
          </w:p>
        </w:tc>
        <w:tc>
          <w:tcPr>
            <w:tcW w:w="597" w:type="pct"/>
            <w:vAlign w:val="center"/>
          </w:tcPr>
          <w:p w14:paraId="4921314B">
            <w:pPr>
              <w:autoSpaceDE w:val="0"/>
              <w:autoSpaceDN w:val="0"/>
              <w:jc w:val="center"/>
              <w:rPr>
                <w:rFonts w:hint="eastAsia" w:ascii="Times New Roman" w:hAnsi="Times New Roman" w:eastAsia="宋体" w:cs="Times New Roman"/>
                <w:bCs w:val="0"/>
                <w:color w:val="auto"/>
                <w:kern w:val="0"/>
                <w:lang w:val="en-US" w:eastAsia="zh-CN"/>
              </w:rPr>
            </w:pPr>
            <w:r>
              <w:rPr>
                <w:rFonts w:hint="eastAsia" w:ascii="Times New Roman" w:hAnsi="Times New Roman" w:eastAsia="宋体" w:cs="Times New Roman"/>
                <w:bCs w:val="0"/>
                <w:color w:val="auto"/>
                <w:kern w:val="0"/>
                <w:lang w:val="en-US" w:eastAsia="zh-CN"/>
              </w:rPr>
              <w:t>符合</w:t>
            </w:r>
          </w:p>
        </w:tc>
      </w:tr>
      <w:tr w14:paraId="0D51A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6" w:hRule="atLeast"/>
          <w:jc w:val="center"/>
        </w:trPr>
        <w:tc>
          <w:tcPr>
            <w:tcW w:w="335" w:type="pct"/>
            <w:vAlign w:val="center"/>
          </w:tcPr>
          <w:p w14:paraId="3EDD3608">
            <w:pPr>
              <w:numPr>
                <w:ilvl w:val="0"/>
                <w:numId w:val="3"/>
              </w:numPr>
              <w:autoSpaceDE w:val="0"/>
              <w:autoSpaceDN w:val="0"/>
              <w:ind w:left="0" w:firstLine="0"/>
              <w:jc w:val="center"/>
              <w:rPr>
                <w:rFonts w:ascii="Times New Roman" w:hAnsi="Times New Roman" w:eastAsia="宋体" w:cs="Times New Roman"/>
                <w:bCs w:val="0"/>
                <w:color w:val="auto"/>
                <w:kern w:val="0"/>
              </w:rPr>
            </w:pPr>
          </w:p>
        </w:tc>
        <w:tc>
          <w:tcPr>
            <w:tcW w:w="1193" w:type="pct"/>
            <w:shd w:val="clear" w:color="auto" w:fill="auto"/>
            <w:vAlign w:val="center"/>
          </w:tcPr>
          <w:p w14:paraId="112A9414">
            <w:pPr>
              <w:autoSpaceDE w:val="0"/>
              <w:autoSpaceDN w:val="0"/>
              <w:jc w:val="center"/>
              <w:rPr>
                <w:rFonts w:hint="eastAsia" w:ascii="Times New Roman" w:hAnsi="Times New Roman" w:eastAsia="宋体" w:cs="Times New Roman"/>
                <w:bCs w:val="0"/>
                <w:color w:val="auto"/>
                <w:kern w:val="0"/>
                <w:sz w:val="21"/>
                <w:szCs w:val="21"/>
                <w:lang w:val="en-US" w:eastAsia="zh-CN" w:bidi="ar-SA"/>
              </w:rPr>
            </w:pPr>
            <w:r>
              <w:rPr>
                <w:rFonts w:ascii="Times New Roman" w:hAnsi="Times New Roman" w:eastAsia="宋体" w:cs="Times New Roman"/>
                <w:bCs w:val="0"/>
                <w:color w:val="auto"/>
                <w:kern w:val="0"/>
              </w:rPr>
              <w:t>汽油密闭卸油口</w:t>
            </w:r>
          </w:p>
        </w:tc>
        <w:tc>
          <w:tcPr>
            <w:tcW w:w="904" w:type="pct"/>
            <w:shd w:val="clear" w:color="auto" w:fill="auto"/>
            <w:vAlign w:val="center"/>
          </w:tcPr>
          <w:p w14:paraId="4A49FE1C">
            <w:pPr>
              <w:autoSpaceDE w:val="0"/>
              <w:autoSpaceDN w:val="0"/>
              <w:jc w:val="center"/>
              <w:rPr>
                <w:rFonts w:hint="eastAsia"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rPr>
              <w:t>配电间</w:t>
            </w:r>
          </w:p>
        </w:tc>
        <w:tc>
          <w:tcPr>
            <w:tcW w:w="1079" w:type="pct"/>
            <w:shd w:val="clear" w:color="auto" w:fill="auto"/>
            <w:vAlign w:val="center"/>
          </w:tcPr>
          <w:p w14:paraId="2AD4EEEE">
            <w:pPr>
              <w:autoSpaceDE w:val="0"/>
              <w:autoSpaceDN w:val="0"/>
              <w:jc w:val="center"/>
              <w:rPr>
                <w:rFonts w:ascii="Times New Roman" w:hAnsi="Times New Roman" w:eastAsia="宋体" w:cs="Times New Roman"/>
                <w:bCs w:val="0"/>
                <w:color w:val="auto"/>
                <w:kern w:val="2"/>
                <w:sz w:val="21"/>
                <w:szCs w:val="21"/>
                <w:lang w:val="en-US" w:eastAsia="zh-CN" w:bidi="ar-SA"/>
              </w:rPr>
            </w:pPr>
            <w:r>
              <w:rPr>
                <w:rFonts w:hint="eastAsia" w:ascii="Times New Roman" w:hAnsi="Times New Roman" w:eastAsia="宋体" w:cs="Times New Roman"/>
                <w:bCs w:val="0"/>
                <w:color w:val="auto"/>
                <w:kern w:val="0"/>
              </w:rPr>
              <w:t>4.5</w:t>
            </w:r>
          </w:p>
        </w:tc>
        <w:tc>
          <w:tcPr>
            <w:tcW w:w="889" w:type="pct"/>
            <w:shd w:val="clear" w:color="auto" w:fill="auto"/>
            <w:vAlign w:val="center"/>
          </w:tcPr>
          <w:p w14:paraId="7AE159A9">
            <w:pPr>
              <w:autoSpaceDE w:val="0"/>
              <w:autoSpaceDN w:val="0"/>
              <w:jc w:val="center"/>
              <w:rPr>
                <w:rFonts w:hint="default"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sz w:val="21"/>
                <w:szCs w:val="21"/>
                <w:lang w:val="en-US" w:eastAsia="zh-CN" w:bidi="ar-SA"/>
              </w:rPr>
              <w:t>14.3</w:t>
            </w:r>
          </w:p>
        </w:tc>
        <w:tc>
          <w:tcPr>
            <w:tcW w:w="597" w:type="pct"/>
            <w:shd w:val="clear" w:color="auto" w:fill="auto"/>
            <w:vAlign w:val="center"/>
          </w:tcPr>
          <w:p w14:paraId="2CFCFA7D">
            <w:pPr>
              <w:autoSpaceDE w:val="0"/>
              <w:autoSpaceDN w:val="0"/>
              <w:jc w:val="center"/>
              <w:rPr>
                <w:rFonts w:hint="eastAsia" w:ascii="Times New Roman" w:hAnsi="Times New Roman" w:eastAsia="宋体" w:cs="Times New Roman"/>
                <w:bCs w:val="0"/>
                <w:color w:val="auto"/>
                <w:kern w:val="0"/>
                <w:sz w:val="21"/>
                <w:szCs w:val="21"/>
                <w:lang w:val="en-US" w:eastAsia="zh-CN" w:bidi="ar-SA"/>
              </w:rPr>
            </w:pPr>
            <w:r>
              <w:rPr>
                <w:rFonts w:hint="eastAsia" w:ascii="Times New Roman" w:hAnsi="Times New Roman" w:eastAsia="宋体" w:cs="Times New Roman"/>
                <w:bCs w:val="0"/>
                <w:color w:val="auto"/>
                <w:kern w:val="0"/>
                <w:lang w:val="en-US" w:eastAsia="zh-CN"/>
              </w:rPr>
              <w:t>符合</w:t>
            </w:r>
          </w:p>
        </w:tc>
      </w:tr>
    </w:tbl>
    <w:p w14:paraId="6D3955D8">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评价结论：从上</w:t>
      </w:r>
      <w:r>
        <w:rPr>
          <w:rFonts w:hint="eastAsia" w:ascii="Times New Roman" w:hAnsi="Times New Roman" w:eastAsia="宋体" w:cs="Calibri"/>
          <w:bCs w:val="0"/>
          <w:color w:val="auto"/>
          <w:kern w:val="2"/>
          <w:sz w:val="28"/>
          <w:szCs w:val="28"/>
        </w:rPr>
        <w:t>述检查</w:t>
      </w:r>
      <w:r>
        <w:rPr>
          <w:rFonts w:ascii="Times New Roman" w:hAnsi="Times New Roman" w:eastAsia="宋体" w:cs="Calibri"/>
          <w:bCs w:val="0"/>
          <w:color w:val="auto"/>
          <w:kern w:val="2"/>
          <w:sz w:val="28"/>
          <w:szCs w:val="28"/>
        </w:rPr>
        <w:t>表可知</w:t>
      </w:r>
      <w:r>
        <w:rPr>
          <w:rFonts w:hint="eastAsia" w:ascii="Times New Roman" w:hAnsi="Times New Roman" w:eastAsia="宋体" w:cs="Calibri"/>
          <w:bCs w:val="0"/>
          <w:color w:val="auto"/>
          <w:kern w:val="2"/>
          <w:sz w:val="28"/>
          <w:szCs w:val="28"/>
        </w:rPr>
        <w:t>，该加油站的站内平面布置、汽（柴）油设备与站外建（构）筑物的安全间距以及站内设施之间的防火距离符合</w:t>
      </w:r>
      <w:r>
        <w:rPr>
          <w:rFonts w:ascii="Times New Roman" w:hAnsi="Times New Roman" w:eastAsia="宋体" w:cs="Calibri"/>
          <w:bCs w:val="0"/>
          <w:color w:val="auto"/>
          <w:kern w:val="2"/>
          <w:sz w:val="28"/>
          <w:szCs w:val="28"/>
        </w:rPr>
        <w:t>《汽车加油</w:t>
      </w:r>
      <w:r>
        <w:rPr>
          <w:rFonts w:hint="eastAsia" w:ascii="Times New Roman" w:hAnsi="Times New Roman" w:eastAsia="宋体" w:cs="Calibri"/>
          <w:bCs w:val="0"/>
          <w:color w:val="auto"/>
          <w:kern w:val="2"/>
          <w:sz w:val="28"/>
          <w:szCs w:val="28"/>
          <w:lang w:eastAsia="zh-CN"/>
        </w:rPr>
        <w:t>加气</w:t>
      </w:r>
      <w:r>
        <w:rPr>
          <w:rFonts w:ascii="Times New Roman" w:hAnsi="Times New Roman" w:eastAsia="宋体" w:cs="Calibri"/>
          <w:bCs w:val="0"/>
          <w:color w:val="auto"/>
          <w:kern w:val="2"/>
          <w:sz w:val="28"/>
          <w:szCs w:val="28"/>
        </w:rPr>
        <w:t>加氢站技术标准》（GB50156-2021）第</w:t>
      </w:r>
      <w:r>
        <w:rPr>
          <w:rFonts w:hint="eastAsia" w:ascii="Times New Roman" w:hAnsi="Times New Roman" w:eastAsia="宋体" w:cs="Calibri"/>
          <w:bCs w:val="0"/>
          <w:color w:val="auto"/>
          <w:kern w:val="2"/>
          <w:sz w:val="28"/>
          <w:szCs w:val="28"/>
          <w:lang w:val="en-US" w:eastAsia="zh-CN"/>
        </w:rPr>
        <w:t>5.0.13</w:t>
      </w:r>
      <w:r>
        <w:rPr>
          <w:rFonts w:ascii="Times New Roman" w:hAnsi="Times New Roman" w:eastAsia="宋体" w:cs="Calibri"/>
          <w:bCs w:val="0"/>
          <w:color w:val="auto"/>
          <w:kern w:val="2"/>
          <w:sz w:val="28"/>
          <w:szCs w:val="28"/>
        </w:rPr>
        <w:t>条的规定。</w:t>
      </w:r>
    </w:p>
    <w:p w14:paraId="0BC13880">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69" w:name="_Toc12545"/>
      <w:bookmarkStart w:id="170" w:name="_Toc1359"/>
      <w:bookmarkStart w:id="171" w:name="_Toc92712593"/>
      <w:bookmarkStart w:id="172" w:name="_Toc25228"/>
      <w:r>
        <w:rPr>
          <w:rFonts w:hint="eastAsia" w:ascii="Times New Roman" w:hAnsi="Times New Roman" w:eastAsia="宋体" w:cs="Times New Roman"/>
          <w:b/>
          <w:bCs/>
          <w:color w:val="auto"/>
          <w:kern w:val="0"/>
          <w:sz w:val="30"/>
          <w:szCs w:val="30"/>
          <w:lang w:val="en-US" w:eastAsia="zh-CN" w:bidi="ar-SA"/>
        </w:rPr>
        <w:t>5.6 工艺及设施符合性评价</w:t>
      </w:r>
      <w:bookmarkEnd w:id="169"/>
      <w:bookmarkEnd w:id="170"/>
      <w:bookmarkEnd w:id="171"/>
      <w:bookmarkEnd w:id="172"/>
    </w:p>
    <w:p w14:paraId="13D24544">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表5.6-1  加油站加油工艺及设施符合性评价</w:t>
      </w:r>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0"/>
        <w:gridCol w:w="6216"/>
        <w:gridCol w:w="1702"/>
        <w:gridCol w:w="680"/>
      </w:tblGrid>
      <w:tr w14:paraId="2164C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0" w:hRule="atLeast"/>
          <w:tblHeader/>
        </w:trPr>
        <w:tc>
          <w:tcPr>
            <w:tcW w:w="372" w:type="pct"/>
            <w:vAlign w:val="center"/>
          </w:tcPr>
          <w:p w14:paraId="7D4E84B0">
            <w:pPr>
              <w:spacing w:line="280" w:lineRule="exact"/>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序号</w:t>
            </w:r>
          </w:p>
        </w:tc>
        <w:tc>
          <w:tcPr>
            <w:tcW w:w="3346" w:type="pct"/>
            <w:vAlign w:val="center"/>
          </w:tcPr>
          <w:p w14:paraId="3409C52D">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916" w:type="pct"/>
            <w:vAlign w:val="center"/>
          </w:tcPr>
          <w:p w14:paraId="26D61986">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364" w:type="pct"/>
            <w:vAlign w:val="center"/>
          </w:tcPr>
          <w:p w14:paraId="7E31164B">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7A891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rPr>
        <w:tc>
          <w:tcPr>
            <w:tcW w:w="5000" w:type="pct"/>
            <w:gridSpan w:val="4"/>
            <w:vAlign w:val="center"/>
          </w:tcPr>
          <w:p w14:paraId="29A9ECA4">
            <w:pPr>
              <w:spacing w:line="280" w:lineRule="exact"/>
              <w:rPr>
                <w:rFonts w:ascii="Times New Roman" w:hAnsi="Times New Roman" w:eastAsia="宋体" w:cs="Calibri"/>
                <w:bCs w:val="0"/>
                <w:color w:val="auto"/>
                <w:kern w:val="2"/>
              </w:rPr>
            </w:pPr>
            <w:r>
              <w:rPr>
                <w:rFonts w:ascii="Times New Roman" w:hAnsi="Times New Roman" w:eastAsia="宋体" w:cs="Calibri"/>
                <w:b/>
                <w:bCs w:val="0"/>
                <w:color w:val="auto"/>
                <w:kern w:val="2"/>
              </w:rPr>
              <w:t>油罐</w:t>
            </w:r>
          </w:p>
        </w:tc>
      </w:tr>
      <w:tr w14:paraId="4D19D2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372" w:type="pct"/>
            <w:vAlign w:val="center"/>
          </w:tcPr>
          <w:p w14:paraId="380BE07E">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3B72547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6.1.1除</w:t>
            </w:r>
            <w:r>
              <w:rPr>
                <w:rFonts w:hint="eastAsia" w:ascii="Times New Roman" w:hAnsi="Times New Roman" w:eastAsia="宋体" w:cs="Calibri"/>
                <w:bCs w:val="0"/>
                <w:color w:val="auto"/>
                <w:kern w:val="2"/>
                <w:lang w:eastAsia="zh-CN"/>
              </w:rPr>
              <w:t>撬装式</w:t>
            </w:r>
            <w:r>
              <w:rPr>
                <w:rFonts w:ascii="Times New Roman" w:hAnsi="Times New Roman" w:eastAsia="宋体" w:cs="Calibri"/>
                <w:bCs w:val="0"/>
                <w:color w:val="auto"/>
                <w:kern w:val="2"/>
              </w:rPr>
              <w:t>加油装置所配置的防火防爆油罐外，加油站的汽油罐和柴油罐应埋地设置，严禁设在室内或地下室内。</w:t>
            </w:r>
          </w:p>
        </w:tc>
        <w:tc>
          <w:tcPr>
            <w:tcW w:w="916" w:type="pct"/>
            <w:vAlign w:val="center"/>
          </w:tcPr>
          <w:p w14:paraId="6326887F">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埋地设置</w:t>
            </w:r>
          </w:p>
        </w:tc>
        <w:tc>
          <w:tcPr>
            <w:tcW w:w="364" w:type="pct"/>
            <w:vAlign w:val="center"/>
          </w:tcPr>
          <w:p w14:paraId="6510565E">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29AD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trPr>
        <w:tc>
          <w:tcPr>
            <w:tcW w:w="372" w:type="pct"/>
            <w:vAlign w:val="center"/>
          </w:tcPr>
          <w:p w14:paraId="1636094F">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F3FA8E5">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6.1.2</w:t>
            </w:r>
            <w:r>
              <w:rPr>
                <w:rFonts w:ascii="Times New Roman" w:hAnsi="Times New Roman" w:eastAsia="宋体" w:cs="Calibri"/>
                <w:bCs w:val="0"/>
                <w:color w:val="auto"/>
                <w:kern w:val="2"/>
              </w:rPr>
              <w:t>汽车加油站的储油罐应采用卧式油罐。</w:t>
            </w:r>
          </w:p>
        </w:tc>
        <w:tc>
          <w:tcPr>
            <w:tcW w:w="916" w:type="pct"/>
            <w:vAlign w:val="center"/>
          </w:tcPr>
          <w:p w14:paraId="34005B2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卧式油罐</w:t>
            </w:r>
          </w:p>
        </w:tc>
        <w:tc>
          <w:tcPr>
            <w:tcW w:w="364" w:type="pct"/>
            <w:vAlign w:val="center"/>
          </w:tcPr>
          <w:p w14:paraId="519F6722">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B3C5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5" w:hRule="atLeast"/>
        </w:trPr>
        <w:tc>
          <w:tcPr>
            <w:tcW w:w="690" w:type="dxa"/>
            <w:vAlign w:val="center"/>
          </w:tcPr>
          <w:p w14:paraId="08930F42">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shd w:val="clear" w:color="auto" w:fill="auto"/>
            <w:vAlign w:val="center"/>
          </w:tcPr>
          <w:p w14:paraId="153E9EC2">
            <w:pPr>
              <w:spacing w:line="280" w:lineRule="exact"/>
              <w:rPr>
                <w:rFonts w:ascii="Times New Roman" w:hAnsi="Times New Roman" w:eastAsia="宋体" w:cs="Calibri"/>
                <w:bCs w:val="0"/>
                <w:color w:val="auto"/>
                <w:kern w:val="2"/>
                <w:highlight w:val="none"/>
              </w:rPr>
            </w:pPr>
            <w:r>
              <w:rPr>
                <w:rFonts w:hint="eastAsia" w:ascii="Times New Roman" w:hAnsi="Times New Roman" w:eastAsia="宋体" w:cs="Calibri"/>
                <w:bCs w:val="0"/>
                <w:color w:val="auto"/>
                <w:kern w:val="2"/>
                <w:highlight w:val="none"/>
              </w:rPr>
              <w:t>6.1.3埋地油罐需要采用双层油罐时，可采用双层钢制油罐、双层玻璃纤维增强塑料油罐、内钢外玻璃纤维增强塑料双层油罐。既有加油站的埋地</w:t>
            </w:r>
            <w:r>
              <w:rPr>
                <w:rFonts w:hint="eastAsia" w:ascii="Times New Roman" w:hAnsi="Times New Roman" w:eastAsia="宋体" w:cs="Calibri"/>
                <w:bCs w:val="0"/>
                <w:color w:val="auto"/>
                <w:kern w:val="2"/>
                <w:highlight w:val="none"/>
                <w:shd w:val="clear"/>
              </w:rPr>
              <w:t>单层</w:t>
            </w:r>
            <w:r>
              <w:rPr>
                <w:rFonts w:hint="eastAsia" w:ascii="Times New Roman" w:hAnsi="Times New Roman" w:eastAsia="宋体" w:cs="Calibri"/>
                <w:bCs w:val="0"/>
                <w:color w:val="auto"/>
                <w:kern w:val="2"/>
                <w:highlight w:val="none"/>
              </w:rPr>
              <w:t>钢制油罐改造为双层油罐时，可采用玻璃纤维增强塑料等满足强度和防渗要求的材料进行衬里改造。</w:t>
            </w:r>
          </w:p>
        </w:tc>
        <w:tc>
          <w:tcPr>
            <w:tcW w:w="916" w:type="pct"/>
            <w:vAlign w:val="center"/>
          </w:tcPr>
          <w:p w14:paraId="372CC590">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SF双层储罐</w:t>
            </w:r>
          </w:p>
        </w:tc>
        <w:tc>
          <w:tcPr>
            <w:tcW w:w="364" w:type="pct"/>
            <w:vAlign w:val="center"/>
          </w:tcPr>
          <w:p w14:paraId="493024AF">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8103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79ECFD12">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shd w:val="clear" w:color="auto" w:fill="auto"/>
            <w:vAlign w:val="center"/>
          </w:tcPr>
          <w:p w14:paraId="500F496D">
            <w:pPr>
              <w:spacing w:line="280" w:lineRule="exact"/>
              <w:rPr>
                <w:rFonts w:ascii="Times New Roman" w:hAnsi="Times New Roman" w:eastAsia="宋体" w:cs="Calibri"/>
                <w:bCs w:val="0"/>
                <w:color w:val="auto"/>
                <w:kern w:val="2"/>
                <w:highlight w:val="none"/>
              </w:rPr>
            </w:pPr>
            <w:r>
              <w:rPr>
                <w:rFonts w:ascii="Times New Roman" w:hAnsi="Times New Roman" w:eastAsia="宋体" w:cs="Calibri"/>
                <w:bCs w:val="0"/>
                <w:color w:val="auto"/>
                <w:kern w:val="2"/>
                <w:highlight w:val="none"/>
              </w:rPr>
              <w:t>6.1.4</w:t>
            </w:r>
            <w:r>
              <w:rPr>
                <w:rFonts w:hint="eastAsia" w:ascii="Times New Roman" w:hAnsi="Times New Roman" w:eastAsia="宋体" w:cs="Calibri"/>
                <w:bCs w:val="0"/>
                <w:color w:val="auto"/>
                <w:kern w:val="2"/>
                <w:highlight w:val="none"/>
                <w:shd w:val="clear"/>
              </w:rPr>
              <w:t>单层</w:t>
            </w:r>
            <w:r>
              <w:rPr>
                <w:rFonts w:hint="eastAsia" w:ascii="Times New Roman" w:hAnsi="Times New Roman" w:eastAsia="宋体" w:cs="Calibri"/>
                <w:bCs w:val="0"/>
                <w:color w:val="auto"/>
                <w:kern w:val="2"/>
                <w:highlight w:val="none"/>
              </w:rPr>
              <w:t>钢制油罐、</w:t>
            </w:r>
            <w:r>
              <w:rPr>
                <w:rFonts w:ascii="Times New Roman" w:hAnsi="Times New Roman" w:eastAsia="宋体" w:cs="Calibri"/>
                <w:bCs w:val="0"/>
                <w:color w:val="auto"/>
                <w:kern w:val="2"/>
                <w:highlight w:val="none"/>
              </w:rPr>
              <w:t>双层钢制油罐和内钢外玻璃纤维增强塑料双层油罐的内层罐的罐体结构设计，可按现行行业标准《钢制常压储罐第一部分：储存对水有污染的易燃和不易燃液体的埋地卧式圆筒形</w:t>
            </w:r>
            <w:r>
              <w:rPr>
                <w:rFonts w:ascii="Times New Roman" w:hAnsi="Times New Roman" w:eastAsia="宋体" w:cs="Calibri"/>
                <w:bCs w:val="0"/>
                <w:color w:val="auto"/>
                <w:kern w:val="2"/>
                <w:highlight w:val="none"/>
                <w:shd w:val="clear"/>
              </w:rPr>
              <w:t>单层</w:t>
            </w:r>
            <w:r>
              <w:rPr>
                <w:rFonts w:ascii="Times New Roman" w:hAnsi="Times New Roman" w:eastAsia="宋体" w:cs="Calibri"/>
                <w:bCs w:val="0"/>
                <w:color w:val="auto"/>
                <w:kern w:val="2"/>
                <w:highlight w:val="none"/>
              </w:rPr>
              <w:t>和双层储罐》AQ3020的有关规定执行，并应符合下列规定</w:t>
            </w:r>
          </w:p>
          <w:p w14:paraId="3871543F">
            <w:pPr>
              <w:spacing w:line="280" w:lineRule="exact"/>
              <w:rPr>
                <w:rFonts w:ascii="Times New Roman" w:hAnsi="Times New Roman" w:eastAsia="宋体" w:cs="Calibri"/>
                <w:bCs w:val="0"/>
                <w:color w:val="auto"/>
                <w:kern w:val="2"/>
                <w:highlight w:val="none"/>
              </w:rPr>
            </w:pPr>
            <w:r>
              <w:rPr>
                <w:rFonts w:ascii="Times New Roman" w:hAnsi="Times New Roman" w:eastAsia="宋体" w:cs="Calibri"/>
                <w:bCs w:val="0"/>
                <w:color w:val="auto"/>
                <w:kern w:val="2"/>
                <w:highlight w:val="none"/>
              </w:rPr>
              <w:t>1</w:t>
            </w:r>
            <w:r>
              <w:rPr>
                <w:rFonts w:hint="eastAsia" w:ascii="Times New Roman" w:hAnsi="Times New Roman" w:eastAsia="宋体" w:cs="Calibri"/>
                <w:bCs w:val="0"/>
                <w:color w:val="auto"/>
                <w:kern w:val="2"/>
                <w:highlight w:val="none"/>
              </w:rPr>
              <w:t>、</w:t>
            </w:r>
            <w:r>
              <w:rPr>
                <w:rFonts w:ascii="Times New Roman" w:hAnsi="Times New Roman" w:eastAsia="宋体" w:cs="Calibri"/>
                <w:bCs w:val="0"/>
                <w:color w:val="auto"/>
                <w:kern w:val="2"/>
                <w:highlight w:val="none"/>
              </w:rPr>
              <w:t>钢制油罐的罐体和封头所用钢板的公称厚度，不应小于表6.1.4的规定。</w:t>
            </w:r>
          </w:p>
          <w:p w14:paraId="7F7BB851">
            <w:pPr>
              <w:spacing w:line="280" w:lineRule="exact"/>
              <w:rPr>
                <w:rFonts w:ascii="Times New Roman" w:hAnsi="Times New Roman" w:eastAsia="宋体" w:cs="Calibri"/>
                <w:bCs w:val="0"/>
                <w:color w:val="auto"/>
                <w:kern w:val="2"/>
                <w:highlight w:val="none"/>
              </w:rPr>
            </w:pPr>
            <w:r>
              <w:rPr>
                <w:rFonts w:ascii="Times New Roman" w:hAnsi="Times New Roman" w:eastAsia="宋体" w:cs="Calibri"/>
                <w:bCs w:val="0"/>
                <w:color w:val="auto"/>
                <w:kern w:val="2"/>
                <w:highlight w:val="none"/>
              </w:rPr>
              <w:t>2</w:t>
            </w:r>
            <w:r>
              <w:rPr>
                <w:rFonts w:hint="eastAsia" w:ascii="Times New Roman" w:hAnsi="Times New Roman" w:eastAsia="宋体" w:cs="Calibri"/>
                <w:bCs w:val="0"/>
                <w:color w:val="auto"/>
                <w:kern w:val="2"/>
                <w:highlight w:val="none"/>
              </w:rPr>
              <w:t>、</w:t>
            </w:r>
            <w:r>
              <w:rPr>
                <w:rFonts w:ascii="Times New Roman" w:hAnsi="Times New Roman" w:eastAsia="宋体" w:cs="Calibri"/>
                <w:bCs w:val="0"/>
                <w:color w:val="auto"/>
                <w:kern w:val="2"/>
                <w:highlight w:val="none"/>
              </w:rPr>
              <w:t>钢制油罐的设计内压不应低于0.08MPa。</w:t>
            </w:r>
          </w:p>
        </w:tc>
        <w:tc>
          <w:tcPr>
            <w:tcW w:w="916" w:type="pct"/>
            <w:vAlign w:val="center"/>
          </w:tcPr>
          <w:p w14:paraId="5E194BEA">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SF双层储罐</w:t>
            </w:r>
          </w:p>
        </w:tc>
        <w:tc>
          <w:tcPr>
            <w:tcW w:w="364" w:type="pct"/>
            <w:vAlign w:val="center"/>
          </w:tcPr>
          <w:p w14:paraId="724999CE">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7B9F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5" w:hRule="atLeast"/>
        </w:trPr>
        <w:tc>
          <w:tcPr>
            <w:tcW w:w="690" w:type="dxa"/>
            <w:vAlign w:val="center"/>
          </w:tcPr>
          <w:p w14:paraId="4D1B0EA0">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E735093">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6.1.5选用的双层玻璃纤维增强塑料油罐应符合现行行业标准《加油站用埋地玻璃纤维增强塑料双层油罐工程技术规范》SH/T3177的有关规定；选用的钢</w:t>
            </w:r>
            <w:r>
              <w:rPr>
                <w:rFonts w:hint="eastAsia" w:ascii="Times New Roman" w:hAnsi="Times New Roman" w:eastAsia="宋体" w:cs="Calibri"/>
                <w:bCs w:val="0"/>
                <w:color w:val="auto"/>
                <w:kern w:val="2"/>
                <w:lang w:eastAsia="zh-CN"/>
              </w:rPr>
              <w:t>－</w:t>
            </w:r>
            <w:r>
              <w:rPr>
                <w:rFonts w:hint="eastAsia" w:ascii="Times New Roman" w:hAnsi="Times New Roman" w:eastAsia="宋体" w:cs="Calibri"/>
                <w:bCs w:val="0"/>
                <w:color w:val="auto"/>
                <w:kern w:val="2"/>
              </w:rPr>
              <w:t>玻璃纤维增强塑料双层油罐应符合现行行业标准《加油站用埋地钢-玻璃纤维增强塑料双层油罐工程技术规范》SH/T3178的有关规定。</w:t>
            </w:r>
          </w:p>
        </w:tc>
        <w:tc>
          <w:tcPr>
            <w:tcW w:w="916" w:type="pct"/>
            <w:vAlign w:val="center"/>
          </w:tcPr>
          <w:p w14:paraId="37C42ED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SF双层储罐</w:t>
            </w:r>
          </w:p>
        </w:tc>
        <w:tc>
          <w:tcPr>
            <w:tcW w:w="364" w:type="pct"/>
            <w:vAlign w:val="center"/>
          </w:tcPr>
          <w:p w14:paraId="02AC2C05">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3812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35A854DB">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59958FD0">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6.1.6加油站在役油罐进行加内衬防渗漏改造时，应符合现行国家标准《加油站在役油罐防渗漏改造工程技术标准》GB/T51344的有关规定。</w:t>
            </w:r>
          </w:p>
        </w:tc>
        <w:tc>
          <w:tcPr>
            <w:tcW w:w="916" w:type="pct"/>
            <w:vAlign w:val="center"/>
          </w:tcPr>
          <w:p w14:paraId="10211AD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64" w:type="pct"/>
            <w:vAlign w:val="center"/>
          </w:tcPr>
          <w:p w14:paraId="073D20AB">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40335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275CC3B6">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59EE71FA">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6.1.7与罐内油品直接接触的玻璃纤维增强塑料等非金属层，应满足消除油品静电荷的要求，其表面电阻率应小于109Ω；当表面电阻率无法满足小于109Ω的要求时，应在罐内安装能够消除油品静电电荷的物体。消除油品静电电荷的物体可为浸入油品中的钢板，也可为钢制的进油立管、出油管等金属物，表面积之和不应小于下式的计算值。</w:t>
            </w:r>
          </w:p>
          <w:p w14:paraId="779668CB">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A=0.04Vt</w:t>
            </w:r>
            <w:r>
              <w:rPr>
                <w:rFonts w:hint="eastAsia" w:ascii="Times New Roman" w:hAnsi="Times New Roman" w:eastAsia="宋体" w:cs="Calibri"/>
                <w:bCs w:val="0"/>
                <w:color w:val="auto"/>
                <w:kern w:val="2"/>
                <w:lang w:eastAsia="zh-CN"/>
              </w:rPr>
              <w:t>(</w:t>
            </w:r>
            <w:r>
              <w:rPr>
                <w:rFonts w:hint="eastAsia" w:ascii="Times New Roman" w:hAnsi="Times New Roman" w:eastAsia="宋体" w:cs="Calibri"/>
                <w:bCs w:val="0"/>
                <w:color w:val="auto"/>
                <w:kern w:val="2"/>
              </w:rPr>
              <w:t>6.1.7</w:t>
            </w:r>
            <w:r>
              <w:rPr>
                <w:rFonts w:hint="eastAsia" w:ascii="Times New Roman" w:hAnsi="Times New Roman" w:eastAsia="宋体" w:cs="Calibri"/>
                <w:bCs w:val="0"/>
                <w:color w:val="auto"/>
                <w:kern w:val="2"/>
                <w:lang w:eastAsia="zh-CN"/>
              </w:rPr>
              <w:t>)</w:t>
            </w:r>
          </w:p>
          <w:p w14:paraId="0682B703">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式中：</w:t>
            </w:r>
          </w:p>
          <w:p w14:paraId="2E56127C">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A——浸入油品中的金属物表面积之和（㎡）；</w:t>
            </w:r>
          </w:p>
          <w:p w14:paraId="6BDE9F6C">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Vt——储罐容积（㎡）。</w:t>
            </w:r>
          </w:p>
        </w:tc>
        <w:tc>
          <w:tcPr>
            <w:tcW w:w="916" w:type="pct"/>
            <w:vAlign w:val="center"/>
          </w:tcPr>
          <w:p w14:paraId="1AA9AEA7">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已验收</w:t>
            </w:r>
          </w:p>
        </w:tc>
        <w:tc>
          <w:tcPr>
            <w:tcW w:w="364" w:type="pct"/>
            <w:vAlign w:val="center"/>
          </w:tcPr>
          <w:p w14:paraId="113B2F8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7F25D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2F873F77">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20276151">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6.1.8</w:t>
            </w:r>
            <w:r>
              <w:rPr>
                <w:rFonts w:ascii="Times New Roman" w:hAnsi="Times New Roman" w:eastAsia="宋体" w:cs="Calibri"/>
                <w:bCs w:val="0"/>
                <w:color w:val="auto"/>
                <w:kern w:val="2"/>
              </w:rPr>
              <w:t>安装在罐内的静电消除物体应接地，接地电阻应符合本标准第11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2节的有关规定。</w:t>
            </w:r>
          </w:p>
        </w:tc>
        <w:tc>
          <w:tcPr>
            <w:tcW w:w="916" w:type="pct"/>
            <w:vAlign w:val="center"/>
          </w:tcPr>
          <w:p w14:paraId="5909068C">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设置</w:t>
            </w:r>
            <w:r>
              <w:rPr>
                <w:rFonts w:ascii="Times New Roman" w:hAnsi="Times New Roman" w:eastAsia="宋体" w:cs="Calibri"/>
                <w:bCs w:val="0"/>
                <w:color w:val="auto"/>
                <w:kern w:val="2"/>
              </w:rPr>
              <w:t>接地</w:t>
            </w:r>
            <w:r>
              <w:rPr>
                <w:rFonts w:hint="eastAsia" w:ascii="Times New Roman" w:hAnsi="Times New Roman" w:eastAsia="宋体" w:cs="Calibri"/>
                <w:bCs w:val="0"/>
                <w:color w:val="auto"/>
                <w:kern w:val="2"/>
              </w:rPr>
              <w:t>，有合格的防雷接地检测报告</w:t>
            </w:r>
          </w:p>
        </w:tc>
        <w:tc>
          <w:tcPr>
            <w:tcW w:w="364" w:type="pct"/>
            <w:vAlign w:val="center"/>
          </w:tcPr>
          <w:p w14:paraId="17776A04">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5FD3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22F3ECDA">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7D0B20DB">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6.1.9双层油罐内壁与外壁之间应有满足渗漏检测要求的贯通间隙。</w:t>
            </w:r>
          </w:p>
        </w:tc>
        <w:tc>
          <w:tcPr>
            <w:tcW w:w="916" w:type="pct"/>
            <w:vAlign w:val="center"/>
          </w:tcPr>
          <w:p w14:paraId="29021B2E">
            <w:pPr>
              <w:spacing w:line="280" w:lineRule="exact"/>
              <w:rPr>
                <w:rFonts w:hint="default"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lang w:val="en-US" w:eastAsia="zh-CN"/>
              </w:rPr>
              <w:t>有泄露检测装置</w:t>
            </w:r>
          </w:p>
        </w:tc>
        <w:tc>
          <w:tcPr>
            <w:tcW w:w="364" w:type="pct"/>
            <w:vAlign w:val="center"/>
          </w:tcPr>
          <w:p w14:paraId="5C317F96">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5D974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6B0341E6">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16ABEBE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6.1.10双层钢制油罐、内钢外玻璃纤维增强塑料双层油罐和玻璃纤维增强塑料等非金属防渗衬里的双层油罐，应设渗漏检测立管，并应符合下列规定：</w:t>
            </w:r>
          </w:p>
          <w:p w14:paraId="1F28D7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1、检测立管应采用钢管，直径宜为80mm，壁厚不宜小于4mm；</w:t>
            </w:r>
          </w:p>
          <w:p w14:paraId="52885D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2、检测立管应位于油罐顶部的纵向中心线上；</w:t>
            </w:r>
          </w:p>
          <w:p w14:paraId="698624A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3、检测立管的底部管口应与油罐内、外壁间隙相连通，顶部管口应装防尘盖；</w:t>
            </w:r>
          </w:p>
          <w:p w14:paraId="63A543D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4、检测立管应满足人工检测和在线监测的要求，并应保证油罐内、外壁任何部位出现渗漏均能被发现。</w:t>
            </w:r>
          </w:p>
        </w:tc>
        <w:tc>
          <w:tcPr>
            <w:tcW w:w="916" w:type="pct"/>
            <w:vAlign w:val="center"/>
          </w:tcPr>
          <w:p w14:paraId="6159C29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隐蔽工程。已验收</w:t>
            </w:r>
          </w:p>
        </w:tc>
        <w:tc>
          <w:tcPr>
            <w:tcW w:w="364" w:type="pct"/>
            <w:vAlign w:val="center"/>
          </w:tcPr>
          <w:p w14:paraId="2D0140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37F3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690" w:type="dxa"/>
            <w:vAlign w:val="center"/>
          </w:tcPr>
          <w:p w14:paraId="58A995FD">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76903127">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6.1.11油罐应采用钢制人孔盖。</w:t>
            </w:r>
          </w:p>
        </w:tc>
        <w:tc>
          <w:tcPr>
            <w:tcW w:w="916" w:type="pct"/>
            <w:vAlign w:val="center"/>
          </w:tcPr>
          <w:p w14:paraId="29010EA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采用钢制人孔盖</w:t>
            </w:r>
          </w:p>
        </w:tc>
        <w:tc>
          <w:tcPr>
            <w:tcW w:w="364" w:type="pct"/>
            <w:vAlign w:val="center"/>
          </w:tcPr>
          <w:p w14:paraId="48F73E71">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12D4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0ECD7C9F">
            <w:pPr>
              <w:numPr>
                <w:ilvl w:val="0"/>
                <w:numId w:val="8"/>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FD8A2A6">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6.1.12油罐设在非车行道下面时，罐顶的覆土厚度不应小于0.5m；设在车行道下面时，罐顶低于混凝土路面不宜小于0.9m钢制油罐的周围应回填中性沙或细土，其厚度不应小于0.3m；外层为玻璃纤维增强塑料材料的油罐，回填料应符合产品说明书的要求。</w:t>
            </w:r>
          </w:p>
        </w:tc>
        <w:tc>
          <w:tcPr>
            <w:tcW w:w="916" w:type="pct"/>
            <w:vAlign w:val="center"/>
          </w:tcPr>
          <w:p w14:paraId="0DFBA993">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罐顶低于混凝土路面不小于0.</w:t>
            </w:r>
            <w:r>
              <w:rPr>
                <w:rFonts w:hint="eastAsia" w:ascii="Times New Roman" w:hAnsi="Times New Roman" w:eastAsia="宋体" w:cs="Calibri"/>
                <w:bCs w:val="0"/>
                <w:color w:val="auto"/>
                <w:kern w:val="2"/>
                <w:lang w:val="en-US" w:eastAsia="zh-CN"/>
              </w:rPr>
              <w:t>5</w:t>
            </w:r>
            <w:r>
              <w:rPr>
                <w:rFonts w:ascii="Times New Roman" w:hAnsi="Times New Roman" w:eastAsia="宋体" w:cs="Calibri"/>
                <w:bCs w:val="0"/>
                <w:color w:val="auto"/>
                <w:kern w:val="2"/>
              </w:rPr>
              <w:t>m</w:t>
            </w:r>
          </w:p>
        </w:tc>
        <w:tc>
          <w:tcPr>
            <w:tcW w:w="364" w:type="pct"/>
            <w:vAlign w:val="center"/>
          </w:tcPr>
          <w:p w14:paraId="02B797BB">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133E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234AE2AB">
            <w:pPr>
              <w:numPr>
                <w:ilvl w:val="0"/>
                <w:numId w:val="8"/>
              </w:numPr>
              <w:spacing w:line="280" w:lineRule="exact"/>
              <w:ind w:left="454" w:leftChars="0" w:hanging="454" w:firstLineChars="0"/>
              <w:jc w:val="center"/>
              <w:rPr>
                <w:rFonts w:ascii="Times New Roman" w:hAnsi="Times New Roman" w:eastAsia="宋体" w:cs="Calibri"/>
                <w:b w:val="0"/>
                <w:bCs w:val="0"/>
                <w:color w:val="auto"/>
                <w:kern w:val="2"/>
              </w:rPr>
            </w:pPr>
          </w:p>
        </w:tc>
        <w:tc>
          <w:tcPr>
            <w:tcW w:w="3346" w:type="pct"/>
            <w:vAlign w:val="center"/>
          </w:tcPr>
          <w:p w14:paraId="5BF6FA88">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6.1.13当埋地油罐受地下水或雨水作用有</w:t>
            </w:r>
            <w:r>
              <w:rPr>
                <w:rFonts w:hint="eastAsia" w:ascii="Times New Roman" w:hAnsi="Times New Roman" w:eastAsia="宋体" w:cs="Calibri"/>
                <w:bCs w:val="0"/>
                <w:color w:val="auto"/>
                <w:kern w:val="2"/>
              </w:rPr>
              <w:t>上</w:t>
            </w:r>
            <w:r>
              <w:rPr>
                <w:rFonts w:ascii="Times New Roman" w:hAnsi="Times New Roman" w:eastAsia="宋体" w:cs="Calibri"/>
                <w:bCs w:val="0"/>
                <w:color w:val="auto"/>
                <w:kern w:val="2"/>
              </w:rPr>
              <w:t>浮的可能时，应采取防止油罐上浮的措施。</w:t>
            </w:r>
          </w:p>
        </w:tc>
        <w:tc>
          <w:tcPr>
            <w:tcW w:w="916" w:type="pct"/>
            <w:vAlign w:val="center"/>
          </w:tcPr>
          <w:p w14:paraId="78E5EEAB">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已</w:t>
            </w:r>
            <w:r>
              <w:rPr>
                <w:rFonts w:ascii="Times New Roman" w:hAnsi="Times New Roman" w:eastAsia="宋体" w:cs="Calibri"/>
                <w:bCs w:val="0"/>
                <w:color w:val="auto"/>
                <w:kern w:val="2"/>
              </w:rPr>
              <w:t>采取防止油罐上浮的措施</w:t>
            </w:r>
          </w:p>
        </w:tc>
        <w:tc>
          <w:tcPr>
            <w:tcW w:w="364" w:type="pct"/>
            <w:vAlign w:val="center"/>
          </w:tcPr>
          <w:p w14:paraId="0350A670">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933C5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6E51DD9E">
            <w:pPr>
              <w:numPr>
                <w:ilvl w:val="0"/>
                <w:numId w:val="8"/>
              </w:numPr>
              <w:spacing w:line="280" w:lineRule="exact"/>
              <w:ind w:left="454" w:leftChars="0" w:hanging="454" w:firstLineChars="0"/>
              <w:jc w:val="center"/>
              <w:rPr>
                <w:rFonts w:ascii="Times New Roman" w:hAnsi="Times New Roman" w:eastAsia="宋体" w:cs="Calibri"/>
                <w:b w:val="0"/>
                <w:bCs w:val="0"/>
                <w:color w:val="auto"/>
                <w:kern w:val="2"/>
              </w:rPr>
            </w:pPr>
          </w:p>
        </w:tc>
        <w:tc>
          <w:tcPr>
            <w:tcW w:w="3346" w:type="pct"/>
            <w:vAlign w:val="center"/>
          </w:tcPr>
          <w:p w14:paraId="36EEF75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6.1.14埋地油罐的人孔应设操作井。设在行车道下面的人孔井应采用加油站车行道下专用的密闭</w:t>
            </w:r>
            <w:r>
              <w:rPr>
                <w:rFonts w:hint="eastAsia" w:ascii="Times New Roman" w:hAnsi="Times New Roman" w:eastAsia="宋体" w:cs="Calibri"/>
                <w:bCs w:val="0"/>
                <w:color w:val="auto"/>
                <w:kern w:val="2"/>
              </w:rPr>
              <w:t>井盖</w:t>
            </w:r>
            <w:r>
              <w:rPr>
                <w:rFonts w:ascii="Times New Roman" w:hAnsi="Times New Roman" w:eastAsia="宋体" w:cs="Calibri"/>
                <w:bCs w:val="0"/>
                <w:color w:val="auto"/>
                <w:kern w:val="2"/>
              </w:rPr>
              <w:t>和井座。</w:t>
            </w:r>
          </w:p>
        </w:tc>
        <w:tc>
          <w:tcPr>
            <w:tcW w:w="916" w:type="pct"/>
            <w:vAlign w:val="center"/>
          </w:tcPr>
          <w:p w14:paraId="578CA72F">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设了操作井</w:t>
            </w:r>
          </w:p>
        </w:tc>
        <w:tc>
          <w:tcPr>
            <w:tcW w:w="364" w:type="pct"/>
            <w:vAlign w:val="center"/>
          </w:tcPr>
          <w:p w14:paraId="51D38B8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2CE0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740A97D2">
            <w:pPr>
              <w:numPr>
                <w:ilvl w:val="0"/>
                <w:numId w:val="8"/>
              </w:numPr>
              <w:spacing w:line="280" w:lineRule="exact"/>
              <w:ind w:left="454" w:leftChars="0" w:hanging="454" w:firstLineChars="0"/>
              <w:jc w:val="center"/>
              <w:rPr>
                <w:rFonts w:ascii="Times New Roman" w:hAnsi="Times New Roman" w:eastAsia="宋体" w:cs="Calibri"/>
                <w:b w:val="0"/>
                <w:bCs w:val="0"/>
                <w:color w:val="auto"/>
                <w:kern w:val="2"/>
              </w:rPr>
            </w:pPr>
          </w:p>
        </w:tc>
        <w:tc>
          <w:tcPr>
            <w:tcW w:w="3346" w:type="pct"/>
            <w:vAlign w:val="center"/>
          </w:tcPr>
          <w:p w14:paraId="67647A4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6.1.15油罐卸油应采取防满溢措施。油料达到油罐容量的90%时，应能触动高液位报警装置；油料达到油罐容量的95%时，应能自动停止油料继续进罐。高液位报警装置应位于工作人员便于觉察的地点。</w:t>
            </w:r>
          </w:p>
        </w:tc>
        <w:tc>
          <w:tcPr>
            <w:tcW w:w="916" w:type="pct"/>
            <w:vAlign w:val="center"/>
          </w:tcPr>
          <w:p w14:paraId="1CFE4DE2">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设有液位仪，具备报警和自动停止功能</w:t>
            </w:r>
          </w:p>
        </w:tc>
        <w:tc>
          <w:tcPr>
            <w:tcW w:w="364" w:type="pct"/>
            <w:vAlign w:val="center"/>
          </w:tcPr>
          <w:p w14:paraId="54CE98F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7D7D0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222D5C63">
            <w:pPr>
              <w:numPr>
                <w:ilvl w:val="0"/>
                <w:numId w:val="8"/>
              </w:numPr>
              <w:spacing w:line="280" w:lineRule="exact"/>
              <w:ind w:left="454" w:leftChars="0" w:hanging="454" w:firstLineChars="0"/>
              <w:jc w:val="center"/>
              <w:rPr>
                <w:rFonts w:ascii="Times New Roman" w:hAnsi="Times New Roman" w:eastAsia="宋体" w:cs="Calibri"/>
                <w:b w:val="0"/>
                <w:bCs w:val="0"/>
                <w:color w:val="auto"/>
                <w:kern w:val="2"/>
              </w:rPr>
            </w:pPr>
          </w:p>
        </w:tc>
        <w:tc>
          <w:tcPr>
            <w:tcW w:w="3346" w:type="pct"/>
            <w:vAlign w:val="center"/>
          </w:tcPr>
          <w:p w14:paraId="2AAEE4E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6.1.16设有油气回收系统的加油站，站内油罐应设带有高液位报警功能的液位监测系统。</w:t>
            </w:r>
            <w:r>
              <w:rPr>
                <w:rFonts w:hint="eastAsia" w:ascii="Times New Roman" w:hAnsi="Times New Roman" w:eastAsia="宋体" w:cs="Calibri"/>
                <w:bCs w:val="0"/>
                <w:color w:val="auto"/>
                <w:kern w:val="2"/>
              </w:rPr>
              <w:t>SF双层油罐</w:t>
            </w:r>
            <w:r>
              <w:rPr>
                <w:rFonts w:ascii="Times New Roman" w:hAnsi="Times New Roman" w:eastAsia="宋体" w:cs="Calibri"/>
                <w:bCs w:val="0"/>
                <w:color w:val="auto"/>
                <w:kern w:val="2"/>
              </w:rPr>
              <w:t>的液位监测系统尚应具备渗漏检测功能，渗漏检测分辨率不宜</w:t>
            </w:r>
            <w:r>
              <w:rPr>
                <w:rFonts w:hint="eastAsia" w:ascii="Times New Roman" w:hAnsi="Times New Roman" w:eastAsia="宋体" w:cs="Calibri"/>
                <w:bCs w:val="0"/>
                <w:color w:val="auto"/>
                <w:kern w:val="2"/>
                <w:lang w:eastAsia="zh-CN"/>
              </w:rPr>
              <w:t>大于</w:t>
            </w:r>
            <w:r>
              <w:rPr>
                <w:rFonts w:ascii="Times New Roman" w:hAnsi="Times New Roman" w:eastAsia="宋体" w:cs="Calibri"/>
                <w:bCs w:val="0"/>
                <w:color w:val="auto"/>
                <w:kern w:val="2"/>
              </w:rPr>
              <w:t>0.8L/h。</w:t>
            </w:r>
          </w:p>
        </w:tc>
        <w:tc>
          <w:tcPr>
            <w:tcW w:w="916" w:type="pct"/>
            <w:vAlign w:val="center"/>
          </w:tcPr>
          <w:p w14:paraId="441C6FEA">
            <w:pPr>
              <w:spacing w:line="280" w:lineRule="exact"/>
              <w:rPr>
                <w:rFonts w:hint="default"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rPr>
              <w:t>SF双层储罐</w:t>
            </w:r>
            <w:r>
              <w:rPr>
                <w:rFonts w:hint="eastAsia" w:ascii="Times New Roman" w:hAnsi="Times New Roman" w:eastAsia="宋体" w:cs="Calibri"/>
                <w:bCs w:val="0"/>
                <w:color w:val="auto"/>
                <w:kern w:val="2"/>
                <w:lang w:eastAsia="zh-CN"/>
              </w:rPr>
              <w:t>，</w:t>
            </w:r>
            <w:r>
              <w:rPr>
                <w:rFonts w:hint="eastAsia" w:ascii="Times New Roman" w:hAnsi="Times New Roman" w:eastAsia="宋体" w:cs="Calibri"/>
                <w:bCs w:val="0"/>
                <w:color w:val="auto"/>
                <w:kern w:val="2"/>
                <w:lang w:val="en-US" w:eastAsia="zh-CN"/>
              </w:rPr>
              <w:t>液位仪有高液位报警功能</w:t>
            </w:r>
          </w:p>
        </w:tc>
        <w:tc>
          <w:tcPr>
            <w:tcW w:w="364" w:type="pct"/>
            <w:vAlign w:val="center"/>
          </w:tcPr>
          <w:p w14:paraId="6E5167D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70A9F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690" w:type="dxa"/>
            <w:vAlign w:val="center"/>
          </w:tcPr>
          <w:p w14:paraId="1FC88EE0">
            <w:pPr>
              <w:numPr>
                <w:ilvl w:val="0"/>
                <w:numId w:val="8"/>
              </w:numPr>
              <w:spacing w:line="280" w:lineRule="exact"/>
              <w:ind w:left="454" w:leftChars="0" w:hanging="454" w:firstLineChars="0"/>
              <w:jc w:val="center"/>
              <w:rPr>
                <w:rFonts w:ascii="Times New Roman" w:hAnsi="Times New Roman" w:eastAsia="宋体" w:cs="Calibri"/>
                <w:b w:val="0"/>
                <w:bCs w:val="0"/>
                <w:color w:val="auto"/>
                <w:kern w:val="2"/>
              </w:rPr>
            </w:pPr>
          </w:p>
        </w:tc>
        <w:tc>
          <w:tcPr>
            <w:tcW w:w="3346" w:type="pct"/>
            <w:vAlign w:val="center"/>
          </w:tcPr>
          <w:p w14:paraId="3279490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6.1.17</w:t>
            </w:r>
            <w:r>
              <w:rPr>
                <w:rFonts w:hint="eastAsia" w:ascii="Times New Roman" w:hAnsi="Times New Roman" w:eastAsia="宋体" w:cs="Calibri"/>
                <w:bCs w:val="0"/>
                <w:color w:val="auto"/>
                <w:kern w:val="2"/>
              </w:rPr>
              <w:t>与</w:t>
            </w:r>
            <w:r>
              <w:rPr>
                <w:rFonts w:ascii="Times New Roman" w:hAnsi="Times New Roman" w:eastAsia="宋体" w:cs="Calibri"/>
                <w:bCs w:val="0"/>
                <w:color w:val="auto"/>
                <w:kern w:val="2"/>
              </w:rPr>
              <w:t>土壤接触的钢制油罐外表面，防腐设计应符合现行行业标准《石油化工设备和管道涂料防腐蚀设计标准》SH/T3022的有关规定，且防腐等级不应低于加强级。</w:t>
            </w:r>
          </w:p>
        </w:tc>
        <w:tc>
          <w:tcPr>
            <w:tcW w:w="916" w:type="pct"/>
            <w:vAlign w:val="center"/>
          </w:tcPr>
          <w:p w14:paraId="697D84F3">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64" w:type="pct"/>
            <w:vAlign w:val="center"/>
          </w:tcPr>
          <w:p w14:paraId="559B8C4E">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0609D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219758B0">
            <w:pPr>
              <w:spacing w:line="280" w:lineRule="exact"/>
              <w:rPr>
                <w:rFonts w:ascii="Times New Roman" w:hAnsi="Times New Roman" w:eastAsia="宋体" w:cs="Calibri"/>
                <w:bCs w:val="0"/>
                <w:color w:val="auto"/>
                <w:kern w:val="2"/>
              </w:rPr>
            </w:pPr>
            <w:r>
              <w:rPr>
                <w:rFonts w:ascii="Times New Roman" w:hAnsi="Times New Roman" w:eastAsia="宋体" w:cs="Calibri"/>
                <w:b/>
                <w:bCs w:val="0"/>
                <w:color w:val="auto"/>
                <w:kern w:val="2"/>
              </w:rPr>
              <w:t>加油机</w:t>
            </w:r>
          </w:p>
        </w:tc>
      </w:tr>
      <w:tr w14:paraId="0A8C2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690" w:type="dxa"/>
            <w:vAlign w:val="center"/>
          </w:tcPr>
          <w:p w14:paraId="7D164AE4">
            <w:pPr>
              <w:numPr>
                <w:ilvl w:val="0"/>
                <w:numId w:val="9"/>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50F804D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6.2.1加油机不得设置在室内。</w:t>
            </w:r>
          </w:p>
        </w:tc>
        <w:tc>
          <w:tcPr>
            <w:tcW w:w="916" w:type="pct"/>
            <w:vAlign w:val="center"/>
          </w:tcPr>
          <w:p w14:paraId="00F746C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室外</w:t>
            </w:r>
          </w:p>
        </w:tc>
        <w:tc>
          <w:tcPr>
            <w:tcW w:w="364" w:type="pct"/>
            <w:vAlign w:val="center"/>
          </w:tcPr>
          <w:p w14:paraId="56E0CFB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6033D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509C7A35">
            <w:pPr>
              <w:numPr>
                <w:ilvl w:val="0"/>
                <w:numId w:val="9"/>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522F9995">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6.2.2加油枪应采用自封式加油枪，汽油加油枪的流量不应大于50L/min</w:t>
            </w:r>
          </w:p>
        </w:tc>
        <w:tc>
          <w:tcPr>
            <w:tcW w:w="916" w:type="pct"/>
            <w:vAlign w:val="center"/>
          </w:tcPr>
          <w:p w14:paraId="57355FA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汽油</w:t>
            </w:r>
            <w:r>
              <w:rPr>
                <w:rFonts w:hint="eastAsia" w:ascii="Times New Roman" w:hAnsi="Times New Roman" w:eastAsia="宋体" w:cs="Calibri"/>
                <w:bCs w:val="0"/>
                <w:color w:val="auto"/>
                <w:kern w:val="2"/>
              </w:rPr>
              <w:t>的</w:t>
            </w:r>
            <w:r>
              <w:rPr>
                <w:rFonts w:ascii="Times New Roman" w:hAnsi="Times New Roman" w:eastAsia="宋体" w:cs="Calibri"/>
                <w:bCs w:val="0"/>
                <w:color w:val="auto"/>
                <w:kern w:val="2"/>
              </w:rPr>
              <w:t>加油枪</w:t>
            </w:r>
            <w:r>
              <w:rPr>
                <w:rFonts w:hint="eastAsia" w:ascii="Times New Roman" w:hAnsi="Times New Roman" w:eastAsia="宋体" w:cs="Calibri"/>
                <w:bCs w:val="0"/>
                <w:color w:val="auto"/>
                <w:kern w:val="2"/>
              </w:rPr>
              <w:t>流量为5～</w:t>
            </w:r>
            <w:r>
              <w:rPr>
                <w:rFonts w:ascii="Times New Roman" w:hAnsi="Times New Roman" w:eastAsia="宋体" w:cs="Calibri"/>
                <w:bCs w:val="0"/>
                <w:color w:val="auto"/>
                <w:kern w:val="2"/>
              </w:rPr>
              <w:t>50L/min</w:t>
            </w:r>
          </w:p>
        </w:tc>
        <w:tc>
          <w:tcPr>
            <w:tcW w:w="364" w:type="pct"/>
            <w:vAlign w:val="center"/>
          </w:tcPr>
          <w:p w14:paraId="73912B8B">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79E3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690" w:type="dxa"/>
            <w:vAlign w:val="center"/>
          </w:tcPr>
          <w:p w14:paraId="7B2B9884">
            <w:pPr>
              <w:numPr>
                <w:ilvl w:val="0"/>
                <w:numId w:val="9"/>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ED114B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6.2.3加油软管上宜设安全拉断阀。</w:t>
            </w:r>
          </w:p>
        </w:tc>
        <w:tc>
          <w:tcPr>
            <w:tcW w:w="916" w:type="pct"/>
            <w:vAlign w:val="center"/>
          </w:tcPr>
          <w:p w14:paraId="2765C0C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设安全拉断阀</w:t>
            </w:r>
          </w:p>
        </w:tc>
        <w:tc>
          <w:tcPr>
            <w:tcW w:w="364" w:type="pct"/>
            <w:vAlign w:val="center"/>
          </w:tcPr>
          <w:p w14:paraId="210890CA">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FDBA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7A19DBCA">
            <w:pPr>
              <w:numPr>
                <w:ilvl w:val="0"/>
                <w:numId w:val="9"/>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13F6935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6.2.4以正压</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潜油泵</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供油的加油机，其底部的供油管道上应设剪切阀，当加油机被撞或起火时，剪切阀应能自动关闭。</w:t>
            </w:r>
          </w:p>
        </w:tc>
        <w:tc>
          <w:tcPr>
            <w:tcW w:w="916" w:type="pct"/>
            <w:vAlign w:val="center"/>
          </w:tcPr>
          <w:p w14:paraId="7E66A21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设有剪切阀</w:t>
            </w:r>
          </w:p>
        </w:tc>
        <w:tc>
          <w:tcPr>
            <w:tcW w:w="364" w:type="pct"/>
            <w:vAlign w:val="center"/>
          </w:tcPr>
          <w:p w14:paraId="2FB07684">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E468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17BCA592">
            <w:pPr>
              <w:numPr>
                <w:ilvl w:val="0"/>
                <w:numId w:val="9"/>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7B2FE3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6.2.5采用一机多油品的加油机时，加油机上的放枪位应有各油品的文字标识，加油枪应有颜色标识。</w:t>
            </w:r>
          </w:p>
        </w:tc>
        <w:tc>
          <w:tcPr>
            <w:tcW w:w="916" w:type="pct"/>
            <w:vAlign w:val="center"/>
          </w:tcPr>
          <w:p w14:paraId="1A09999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有各油品的文字标识，加油枪有颜色标识</w:t>
            </w:r>
          </w:p>
        </w:tc>
        <w:tc>
          <w:tcPr>
            <w:tcW w:w="364" w:type="pct"/>
            <w:vAlign w:val="center"/>
          </w:tcPr>
          <w:p w14:paraId="3FEA2C2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D7B4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5000" w:type="pct"/>
            <w:gridSpan w:val="4"/>
            <w:vAlign w:val="center"/>
          </w:tcPr>
          <w:p w14:paraId="2A739F5E">
            <w:pPr>
              <w:spacing w:line="280" w:lineRule="exact"/>
              <w:rPr>
                <w:rFonts w:ascii="Times New Roman" w:hAnsi="Times New Roman" w:eastAsia="宋体" w:cs="Calibri"/>
                <w:b/>
                <w:bCs w:val="0"/>
                <w:color w:val="auto"/>
                <w:kern w:val="2"/>
              </w:rPr>
            </w:pPr>
            <w:r>
              <w:rPr>
                <w:rFonts w:ascii="Times New Roman" w:hAnsi="Times New Roman" w:eastAsia="宋体" w:cs="Calibri"/>
                <w:b/>
                <w:bCs w:val="0"/>
                <w:color w:val="auto"/>
                <w:kern w:val="2"/>
              </w:rPr>
              <w:t>工艺管道系统</w:t>
            </w:r>
          </w:p>
        </w:tc>
      </w:tr>
      <w:tr w14:paraId="079E6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1E9CBED6">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1980B86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6.3.1汽油和柴油油罐车卸油必须采用密闭卸油方式。汽油油罐车应具有卸油油气回收系统。</w:t>
            </w:r>
          </w:p>
        </w:tc>
        <w:tc>
          <w:tcPr>
            <w:tcW w:w="916" w:type="pct"/>
            <w:vAlign w:val="center"/>
          </w:tcPr>
          <w:p w14:paraId="32E8570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密闭卸油</w:t>
            </w:r>
            <w:r>
              <w:rPr>
                <w:rFonts w:hint="eastAsia" w:ascii="Times New Roman" w:hAnsi="Times New Roman" w:eastAsia="宋体" w:cs="Calibri"/>
                <w:bCs w:val="0"/>
                <w:color w:val="auto"/>
                <w:kern w:val="2"/>
              </w:rPr>
              <w:t>，有卸油油气回收系统</w:t>
            </w:r>
          </w:p>
        </w:tc>
        <w:tc>
          <w:tcPr>
            <w:tcW w:w="364" w:type="pct"/>
            <w:vAlign w:val="center"/>
          </w:tcPr>
          <w:p w14:paraId="2488C93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6A6E1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198ED405">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EE62E2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6.3.2每个油罐应各自设置卸油管道和卸油</w:t>
            </w:r>
            <w:r>
              <w:rPr>
                <w:rFonts w:hint="eastAsia" w:ascii="Times New Roman" w:hAnsi="Times New Roman" w:eastAsia="宋体" w:cs="Calibri"/>
                <w:bCs w:val="0"/>
                <w:color w:val="auto"/>
                <w:kern w:val="2"/>
                <w:lang w:eastAsia="zh-CN"/>
              </w:rPr>
              <w:t>接口</w:t>
            </w:r>
            <w:r>
              <w:rPr>
                <w:rFonts w:ascii="Times New Roman" w:hAnsi="Times New Roman" w:eastAsia="宋体" w:cs="Calibri"/>
                <w:bCs w:val="0"/>
                <w:color w:val="auto"/>
                <w:kern w:val="2"/>
              </w:rPr>
              <w:t>卸油接口及油气回收接口应有明显的标识。</w:t>
            </w:r>
          </w:p>
        </w:tc>
        <w:tc>
          <w:tcPr>
            <w:tcW w:w="916" w:type="pct"/>
            <w:vAlign w:val="center"/>
          </w:tcPr>
          <w:p w14:paraId="72F26E5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有</w:t>
            </w:r>
            <w:r>
              <w:rPr>
                <w:rFonts w:hint="eastAsia" w:ascii="Times New Roman" w:hAnsi="Times New Roman" w:eastAsia="宋体" w:cs="Calibri"/>
                <w:bCs w:val="0"/>
                <w:color w:val="auto"/>
                <w:kern w:val="2"/>
              </w:rPr>
              <w:t>明显</w:t>
            </w:r>
            <w:r>
              <w:rPr>
                <w:rFonts w:ascii="Times New Roman" w:hAnsi="Times New Roman" w:eastAsia="宋体" w:cs="Calibri"/>
                <w:bCs w:val="0"/>
                <w:color w:val="auto"/>
                <w:kern w:val="2"/>
              </w:rPr>
              <w:t>标识</w:t>
            </w:r>
          </w:p>
        </w:tc>
        <w:tc>
          <w:tcPr>
            <w:tcW w:w="364" w:type="pct"/>
            <w:vAlign w:val="center"/>
          </w:tcPr>
          <w:p w14:paraId="498E5F30">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8D4B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4536013D">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76F9028">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6.3.3卸油接口应设置快速接头及密封盖。</w:t>
            </w:r>
          </w:p>
        </w:tc>
        <w:tc>
          <w:tcPr>
            <w:tcW w:w="916" w:type="pct"/>
            <w:vAlign w:val="center"/>
          </w:tcPr>
          <w:p w14:paraId="3DB7333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设置快速接头及密封盖</w:t>
            </w:r>
          </w:p>
        </w:tc>
        <w:tc>
          <w:tcPr>
            <w:tcW w:w="364" w:type="pct"/>
            <w:vAlign w:val="center"/>
          </w:tcPr>
          <w:p w14:paraId="336060C4">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6FA08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4543C2F0">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E6640B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6.3.4加油站卸油油气回收系统的设计应符合下列规定：</w:t>
            </w:r>
          </w:p>
          <w:p w14:paraId="2DBD403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汽油罐车向站内油罐卸油应采用平衡式密闭油气回收系统；</w:t>
            </w:r>
          </w:p>
          <w:p w14:paraId="6E89C735">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各汽油罐可共用一根卸油油气回收主管，</w:t>
            </w:r>
            <w:r>
              <w:rPr>
                <w:rFonts w:hint="eastAsia" w:ascii="Times New Roman" w:hAnsi="Times New Roman" w:eastAsia="宋体" w:cs="Calibri"/>
                <w:bCs w:val="0"/>
                <w:color w:val="auto"/>
                <w:kern w:val="2"/>
              </w:rPr>
              <w:t>回收</w:t>
            </w:r>
            <w:r>
              <w:rPr>
                <w:rFonts w:ascii="Times New Roman" w:hAnsi="Times New Roman" w:eastAsia="宋体" w:cs="Calibri"/>
                <w:bCs w:val="0"/>
                <w:color w:val="auto"/>
                <w:kern w:val="2"/>
              </w:rPr>
              <w:t>主管的公称直径不宜小于100mm</w:t>
            </w:r>
          </w:p>
          <w:p w14:paraId="14BE137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卸油油气回收管道的接口宜采用自闭式快速接头和盖帽，采用非自闭式快速接头时，应在靠近快速接头的连接管道上装设阀门和盖帽</w:t>
            </w:r>
          </w:p>
        </w:tc>
        <w:tc>
          <w:tcPr>
            <w:tcW w:w="916" w:type="pct"/>
            <w:vAlign w:val="center"/>
          </w:tcPr>
          <w:p w14:paraId="6BB1A1A6">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采用密闭式油气回收；卸油油气回收管道采用快速接头</w:t>
            </w:r>
            <w:r>
              <w:rPr>
                <w:rFonts w:hint="eastAsia" w:ascii="Times New Roman" w:hAnsi="Times New Roman" w:eastAsia="宋体" w:cs="Calibri"/>
                <w:bCs w:val="0"/>
                <w:color w:val="auto"/>
                <w:kern w:val="2"/>
              </w:rPr>
              <w:t>和盖帽</w:t>
            </w:r>
          </w:p>
        </w:tc>
        <w:tc>
          <w:tcPr>
            <w:tcW w:w="364" w:type="pct"/>
            <w:vAlign w:val="center"/>
          </w:tcPr>
          <w:p w14:paraId="05ED56F1">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FAB2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7E06A768">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ADF740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6.3.5加油站宜采用油罐装设潜油泵的一泵供多机（枪）的加油工艺。采用自吸式加油机时，每台加油机应按加油品种单独设置进油管和罐内底阀。</w:t>
            </w:r>
          </w:p>
        </w:tc>
        <w:tc>
          <w:tcPr>
            <w:tcW w:w="916" w:type="pct"/>
            <w:vAlign w:val="center"/>
          </w:tcPr>
          <w:p w14:paraId="1B790E86">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装设有潜油泵</w:t>
            </w:r>
          </w:p>
        </w:tc>
        <w:tc>
          <w:tcPr>
            <w:tcW w:w="364" w:type="pct"/>
            <w:vAlign w:val="center"/>
          </w:tcPr>
          <w:p w14:paraId="21E01BA5">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043A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721C24F0">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DA82B2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6.3.6加油站应采用加油油气回收系统。</w:t>
            </w:r>
          </w:p>
        </w:tc>
        <w:tc>
          <w:tcPr>
            <w:tcW w:w="916" w:type="pct"/>
            <w:vAlign w:val="center"/>
          </w:tcPr>
          <w:p w14:paraId="10EF67C5">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采用加油油气回收系统</w:t>
            </w:r>
          </w:p>
        </w:tc>
        <w:tc>
          <w:tcPr>
            <w:tcW w:w="364" w:type="pct"/>
            <w:vAlign w:val="center"/>
          </w:tcPr>
          <w:p w14:paraId="34EF9857">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4999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6A92663A">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05B0014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6.3.7加油油气回收系统的设计应符合下列规定：</w:t>
            </w:r>
          </w:p>
          <w:p w14:paraId="0BFB18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应采用真空辅助式油气回收系统；</w:t>
            </w:r>
          </w:p>
          <w:p w14:paraId="438E44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汽油加油机与油罐之间应设油气回收管道，多台汽油加油机可共用一根油气回收主管，油气回收主管的公称直径不应小于50mm；</w:t>
            </w:r>
          </w:p>
          <w:p w14:paraId="3F79200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加油油气回收系统应采取防止油气反向流至加油枪的措施；</w:t>
            </w:r>
          </w:p>
          <w:p w14:paraId="724130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加油机应具备回收油气功能，其气液比宜设定为1.0~1.2；</w:t>
            </w:r>
          </w:p>
          <w:p w14:paraId="770B0C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在加油机底部与油气回收立管的连接处，应安装一个用于检测液阻和系统密闭性的丝接三通，其旁通短管上应设公称直径为25mm的球阀及丝堵。</w:t>
            </w:r>
          </w:p>
        </w:tc>
        <w:tc>
          <w:tcPr>
            <w:tcW w:w="916" w:type="pct"/>
            <w:vAlign w:val="center"/>
          </w:tcPr>
          <w:p w14:paraId="73886C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真空辅助式油气回收系统</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油气回收主管的公称直径50mm</w:t>
            </w:r>
            <w:r>
              <w:rPr>
                <w:rFonts w:hint="eastAsia" w:ascii="Times New Roman" w:hAnsi="Times New Roman" w:eastAsia="宋体" w:cs="Calibri"/>
                <w:bCs w:val="0"/>
                <w:color w:val="auto"/>
                <w:kern w:val="2"/>
              </w:rPr>
              <w:t>，有</w:t>
            </w:r>
            <w:r>
              <w:rPr>
                <w:rFonts w:ascii="Times New Roman" w:hAnsi="Times New Roman" w:eastAsia="宋体" w:cs="Calibri"/>
                <w:bCs w:val="0"/>
                <w:color w:val="auto"/>
                <w:kern w:val="2"/>
              </w:rPr>
              <w:t>丝接三通</w:t>
            </w:r>
          </w:p>
        </w:tc>
        <w:tc>
          <w:tcPr>
            <w:tcW w:w="364" w:type="pct"/>
            <w:vAlign w:val="center"/>
          </w:tcPr>
          <w:p w14:paraId="142E03D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3DB3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536B5DB8">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C64818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6.3.8油罐的接合管设置应符合下列规定：</w:t>
            </w:r>
          </w:p>
          <w:p w14:paraId="1A222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接合管应为金属材质；</w:t>
            </w:r>
          </w:p>
          <w:p w14:paraId="2F84139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接合管应设在油罐的顶部，其中进油接合管、出</w:t>
            </w:r>
            <w:r>
              <w:rPr>
                <w:rFonts w:hint="eastAsia" w:ascii="Times New Roman" w:hAnsi="Times New Roman" w:eastAsia="宋体" w:cs="Calibri"/>
                <w:bCs w:val="0"/>
                <w:color w:val="auto"/>
                <w:kern w:val="2"/>
              </w:rPr>
              <w:t>油</w:t>
            </w:r>
            <w:r>
              <w:rPr>
                <w:rFonts w:ascii="Times New Roman" w:hAnsi="Times New Roman" w:eastAsia="宋体" w:cs="Calibri"/>
                <w:bCs w:val="0"/>
                <w:color w:val="auto"/>
                <w:kern w:val="2"/>
              </w:rPr>
              <w:t>接合管或潜油泵安装口应设在人孔盖上；</w:t>
            </w:r>
          </w:p>
          <w:p w14:paraId="7EE794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进油管应伸至罐内距罐底50mm</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100mm处，进油立管的底端应为45°斜管口或T形管口，进油管管壁上不得有与油罐气相空间相通的开口；</w:t>
            </w:r>
          </w:p>
          <w:p w14:paraId="3635E5F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罐内潜油泵的入油口或通往自吸式加油机管道的罐内底阀，应高于罐底150mm</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200mm；</w:t>
            </w:r>
          </w:p>
          <w:p w14:paraId="62E33D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油罐的量油孔应设带锁的量油帽，量油孔</w:t>
            </w:r>
            <w:r>
              <w:rPr>
                <w:rFonts w:hint="eastAsia" w:ascii="Times New Roman" w:hAnsi="Times New Roman" w:eastAsia="宋体" w:cs="Calibri"/>
                <w:bCs w:val="0"/>
                <w:color w:val="auto"/>
                <w:kern w:val="2"/>
              </w:rPr>
              <w:t>下</w:t>
            </w:r>
            <w:r>
              <w:rPr>
                <w:rFonts w:ascii="Times New Roman" w:hAnsi="Times New Roman" w:eastAsia="宋体" w:cs="Calibri"/>
                <w:bCs w:val="0"/>
                <w:color w:val="auto"/>
                <w:kern w:val="2"/>
              </w:rPr>
              <w:t>部的接合管宜向下伸至罐内距罐底200mm处，并应有检尺时使接合管内液位与罐内液位相一致的技术措施；</w:t>
            </w:r>
          </w:p>
          <w:p w14:paraId="2C2501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6</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油罐人孔并构的管道及设备应保证油罐人孔盖的可拆装性；</w:t>
            </w:r>
          </w:p>
          <w:p w14:paraId="4450EE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7</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孔盖上的接合管与引出井外管道的连接，宜采用金属软管过渡连接。</w:t>
            </w:r>
          </w:p>
        </w:tc>
        <w:tc>
          <w:tcPr>
            <w:tcW w:w="916" w:type="pct"/>
            <w:vAlign w:val="center"/>
          </w:tcPr>
          <w:p w14:paraId="058BE4D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Calibri"/>
                <w:bCs w:val="0"/>
                <w:color w:val="auto"/>
                <w:kern w:val="2"/>
                <w:lang w:eastAsia="zh-CN"/>
              </w:rPr>
            </w:pPr>
            <w:r>
              <w:rPr>
                <w:rFonts w:hint="eastAsia" w:ascii="Times New Roman" w:hAnsi="Times New Roman" w:eastAsia="宋体" w:cs="Calibri"/>
                <w:bCs w:val="0"/>
                <w:color w:val="auto"/>
                <w:kern w:val="2"/>
              </w:rPr>
              <w:t>隐蔽工程。已验收</w:t>
            </w:r>
            <w:r>
              <w:rPr>
                <w:rFonts w:hint="eastAsia" w:ascii="Times New Roman" w:hAnsi="Times New Roman" w:eastAsia="宋体" w:cs="Calibri"/>
                <w:bCs w:val="0"/>
                <w:color w:val="auto"/>
                <w:kern w:val="2"/>
                <w:lang w:eastAsia="zh-CN"/>
              </w:rPr>
              <w:t>；</w:t>
            </w:r>
          </w:p>
          <w:p w14:paraId="3502FC8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Calibri"/>
                <w:bCs w:val="0"/>
                <w:color w:val="auto"/>
                <w:kern w:val="2"/>
                <w:lang w:eastAsia="zh-CN"/>
              </w:rPr>
            </w:pPr>
            <w:r>
              <w:rPr>
                <w:rFonts w:ascii="Times New Roman" w:hAnsi="Times New Roman" w:eastAsia="宋体" w:cs="Calibri"/>
                <w:bCs w:val="0"/>
                <w:color w:val="auto"/>
                <w:kern w:val="2"/>
              </w:rPr>
              <w:t>量油孔设</w:t>
            </w:r>
            <w:r>
              <w:rPr>
                <w:rFonts w:hint="eastAsia" w:ascii="Times New Roman" w:hAnsi="Times New Roman" w:eastAsia="宋体" w:cs="Calibri"/>
                <w:bCs w:val="0"/>
                <w:color w:val="auto"/>
                <w:kern w:val="2"/>
              </w:rPr>
              <w:t>有</w:t>
            </w:r>
            <w:r>
              <w:rPr>
                <w:rFonts w:ascii="Times New Roman" w:hAnsi="Times New Roman" w:eastAsia="宋体" w:cs="Calibri"/>
                <w:bCs w:val="0"/>
                <w:color w:val="auto"/>
                <w:kern w:val="2"/>
              </w:rPr>
              <w:t>带锁的量油帽</w:t>
            </w:r>
            <w:r>
              <w:rPr>
                <w:rFonts w:hint="eastAsia" w:ascii="Times New Roman" w:hAnsi="Times New Roman" w:eastAsia="宋体" w:cs="Calibri"/>
                <w:bCs w:val="0"/>
                <w:color w:val="auto"/>
                <w:kern w:val="2"/>
                <w:lang w:eastAsia="zh-CN"/>
              </w:rPr>
              <w:t>；</w:t>
            </w:r>
          </w:p>
          <w:p w14:paraId="6F7D2D4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Calibri"/>
                <w:bCs w:val="0"/>
                <w:color w:val="auto"/>
                <w:kern w:val="2"/>
                <w:lang w:eastAsia="zh-CN"/>
              </w:rPr>
            </w:pPr>
            <w:r>
              <w:rPr>
                <w:rFonts w:ascii="Times New Roman" w:hAnsi="Times New Roman" w:eastAsia="宋体" w:cs="Calibri"/>
                <w:bCs w:val="0"/>
                <w:color w:val="auto"/>
                <w:kern w:val="2"/>
              </w:rPr>
              <w:t>油罐人孔盖可拆装</w:t>
            </w:r>
            <w:r>
              <w:rPr>
                <w:rFonts w:hint="eastAsia" w:ascii="Times New Roman" w:hAnsi="Times New Roman" w:eastAsia="宋体" w:cs="Calibri"/>
                <w:bCs w:val="0"/>
                <w:color w:val="auto"/>
                <w:kern w:val="2"/>
                <w:lang w:eastAsia="zh-CN"/>
              </w:rPr>
              <w:t>；</w:t>
            </w:r>
          </w:p>
          <w:p w14:paraId="454479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人</w:t>
            </w:r>
            <w:r>
              <w:rPr>
                <w:rFonts w:ascii="Times New Roman" w:hAnsi="Times New Roman" w:eastAsia="宋体" w:cs="Calibri"/>
                <w:bCs w:val="0"/>
                <w:color w:val="auto"/>
                <w:kern w:val="2"/>
              </w:rPr>
              <w:t>孔盖上的接合管与引出井外管道的连接，采用金属软管过渡连接</w:t>
            </w:r>
          </w:p>
        </w:tc>
        <w:tc>
          <w:tcPr>
            <w:tcW w:w="364" w:type="pct"/>
            <w:vAlign w:val="center"/>
          </w:tcPr>
          <w:p w14:paraId="29D5B6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FD7E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5B0E0A4B">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548BE80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6.3.9汽油罐与柴油罐的通气管应分开设置。通气管管口高出地面的高度不应小于4m。沿建（构）筑物的墙（柱）向上敷设的通气管，管口应高出建筑物的顶面2m及以上。通气管管口应设置阻火器。</w:t>
            </w:r>
          </w:p>
        </w:tc>
        <w:tc>
          <w:tcPr>
            <w:tcW w:w="916" w:type="pct"/>
            <w:vAlign w:val="center"/>
          </w:tcPr>
          <w:p w14:paraId="756B0728">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分散</w:t>
            </w:r>
            <w:r>
              <w:rPr>
                <w:rFonts w:ascii="Times New Roman" w:hAnsi="Times New Roman" w:eastAsia="宋体" w:cs="Calibri"/>
                <w:bCs w:val="0"/>
                <w:color w:val="auto"/>
                <w:kern w:val="2"/>
              </w:rPr>
              <w:t>设置</w:t>
            </w:r>
            <w:r>
              <w:rPr>
                <w:rFonts w:hint="eastAsia" w:ascii="Times New Roman" w:hAnsi="Times New Roman" w:eastAsia="宋体" w:cs="Calibri"/>
                <w:bCs w:val="0"/>
                <w:color w:val="auto"/>
                <w:kern w:val="2"/>
              </w:rPr>
              <w:t>，</w:t>
            </w:r>
            <w:r>
              <w:rPr>
                <w:rFonts w:hint="eastAsia" w:ascii="Times New Roman" w:hAnsi="Times New Roman" w:eastAsia="宋体" w:cs="Calibri"/>
                <w:bCs w:val="0"/>
                <w:color w:val="auto"/>
                <w:kern w:val="2"/>
                <w:lang w:val="zh-CN" w:eastAsia="zh-CN"/>
              </w:rPr>
              <w:t>高出地面4m</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设</w:t>
            </w:r>
            <w:r>
              <w:rPr>
                <w:rFonts w:hint="eastAsia" w:ascii="Times New Roman" w:hAnsi="Times New Roman" w:eastAsia="宋体" w:cs="Calibri"/>
                <w:bCs w:val="0"/>
                <w:color w:val="auto"/>
                <w:kern w:val="2"/>
              </w:rPr>
              <w:t>有</w:t>
            </w:r>
            <w:r>
              <w:rPr>
                <w:rFonts w:ascii="Times New Roman" w:hAnsi="Times New Roman" w:eastAsia="宋体" w:cs="Calibri"/>
                <w:bCs w:val="0"/>
                <w:color w:val="auto"/>
                <w:kern w:val="2"/>
              </w:rPr>
              <w:t>阻火器</w:t>
            </w:r>
          </w:p>
        </w:tc>
        <w:tc>
          <w:tcPr>
            <w:tcW w:w="364" w:type="pct"/>
            <w:vAlign w:val="center"/>
          </w:tcPr>
          <w:p w14:paraId="047EAA8E">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BDAF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48A6F153">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A23F71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6.3.10通气管的公称直径不应小于50mm。</w:t>
            </w:r>
          </w:p>
        </w:tc>
        <w:tc>
          <w:tcPr>
            <w:tcW w:w="916" w:type="pct"/>
            <w:vAlign w:val="center"/>
          </w:tcPr>
          <w:p w14:paraId="3B3ECC7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50mm</w:t>
            </w:r>
          </w:p>
        </w:tc>
        <w:tc>
          <w:tcPr>
            <w:tcW w:w="364" w:type="pct"/>
            <w:vAlign w:val="center"/>
          </w:tcPr>
          <w:p w14:paraId="77AD6C27">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43CD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1BBFD69F">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185A576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6.3.11当加油站采用油气回收系统时，汽油罐的通气管管口除应装设阻火器外，尚应装设呼吸阀。呼吸阀的工作正压宜为2kPa～3kPa，工作负压宜为1.5kPa~2kPa。</w:t>
            </w:r>
          </w:p>
        </w:tc>
        <w:tc>
          <w:tcPr>
            <w:tcW w:w="916" w:type="pct"/>
            <w:vAlign w:val="center"/>
          </w:tcPr>
          <w:p w14:paraId="3B8D35E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装设</w:t>
            </w:r>
            <w:r>
              <w:rPr>
                <w:rFonts w:hint="eastAsia" w:ascii="Times New Roman" w:hAnsi="Times New Roman" w:eastAsia="宋体" w:cs="Calibri"/>
                <w:bCs w:val="0"/>
                <w:color w:val="auto"/>
                <w:kern w:val="2"/>
              </w:rPr>
              <w:t>有</w:t>
            </w:r>
            <w:r>
              <w:rPr>
                <w:rFonts w:ascii="Times New Roman" w:hAnsi="Times New Roman" w:eastAsia="宋体" w:cs="Calibri"/>
                <w:bCs w:val="0"/>
                <w:color w:val="auto"/>
                <w:kern w:val="2"/>
              </w:rPr>
              <w:t>阻火器</w:t>
            </w:r>
            <w:r>
              <w:rPr>
                <w:rFonts w:hint="eastAsia" w:ascii="Times New Roman" w:hAnsi="Times New Roman" w:eastAsia="宋体" w:cs="Calibri"/>
                <w:bCs w:val="0"/>
                <w:color w:val="auto"/>
                <w:kern w:val="2"/>
              </w:rPr>
              <w:t>和</w:t>
            </w:r>
            <w:r>
              <w:rPr>
                <w:rFonts w:ascii="Times New Roman" w:hAnsi="Times New Roman" w:eastAsia="宋体" w:cs="Calibri"/>
                <w:bCs w:val="0"/>
                <w:color w:val="auto"/>
                <w:kern w:val="2"/>
              </w:rPr>
              <w:t>呼吸阀</w:t>
            </w:r>
          </w:p>
        </w:tc>
        <w:tc>
          <w:tcPr>
            <w:tcW w:w="364" w:type="pct"/>
            <w:vAlign w:val="center"/>
          </w:tcPr>
          <w:p w14:paraId="344B18F0">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1856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06B405EB">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1EE362D5">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6.3.13油罐车卸油时用的卸油</w:t>
            </w:r>
            <w:r>
              <w:rPr>
                <w:rFonts w:hint="eastAsia" w:ascii="Times New Roman" w:hAnsi="Times New Roman" w:eastAsia="宋体" w:cs="Calibri"/>
                <w:bCs w:val="0"/>
                <w:color w:val="auto"/>
                <w:kern w:val="2"/>
                <w:lang w:eastAsia="zh-CN"/>
              </w:rPr>
              <w:t>连通管</w:t>
            </w:r>
            <w:r>
              <w:rPr>
                <w:rFonts w:ascii="Times New Roman" w:hAnsi="Times New Roman" w:eastAsia="宋体" w:cs="Calibri"/>
                <w:bCs w:val="0"/>
                <w:color w:val="auto"/>
                <w:kern w:val="2"/>
              </w:rPr>
              <w:t>、油气回收连通软管，应采用导静电耐油软管，其体电阻率应小于10</w:t>
            </w:r>
            <w:r>
              <w:rPr>
                <w:rFonts w:hint="eastAsia" w:ascii="Times New Roman" w:hAnsi="Times New Roman" w:eastAsia="宋体" w:cs="Calibri"/>
                <w:bCs w:val="0"/>
                <w:color w:val="auto"/>
                <w:kern w:val="2"/>
              </w:rPr>
              <w:t>8</w:t>
            </w:r>
            <w:r>
              <w:rPr>
                <w:rFonts w:ascii="Times New Roman" w:hAnsi="Times New Roman" w:eastAsia="宋体" w:cs="Calibri"/>
                <w:bCs w:val="0"/>
                <w:color w:val="auto"/>
                <w:kern w:val="2"/>
              </w:rPr>
              <w:t>Ω·m，表面电阻率应小于10</w:t>
            </w:r>
            <w:r>
              <w:rPr>
                <w:rFonts w:hint="eastAsia" w:ascii="Times New Roman" w:hAnsi="Times New Roman" w:eastAsia="宋体" w:cs="Calibri"/>
                <w:bCs w:val="0"/>
                <w:color w:val="auto"/>
                <w:kern w:val="2"/>
              </w:rPr>
              <w:t>10</w:t>
            </w:r>
            <w:r>
              <w:rPr>
                <w:rFonts w:ascii="Times New Roman" w:hAnsi="Times New Roman" w:eastAsia="宋体" w:cs="Calibri"/>
                <w:bCs w:val="0"/>
                <w:color w:val="auto"/>
                <w:kern w:val="2"/>
              </w:rPr>
              <w:t>Ω，或采用内附金属丝（网</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的橡胶软管。</w:t>
            </w:r>
          </w:p>
        </w:tc>
        <w:tc>
          <w:tcPr>
            <w:tcW w:w="916" w:type="pct"/>
            <w:vAlign w:val="center"/>
          </w:tcPr>
          <w:p w14:paraId="7D57696E">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采用导静电耐油软管</w:t>
            </w:r>
            <w:r>
              <w:rPr>
                <w:rFonts w:hint="eastAsia" w:ascii="Times New Roman" w:hAnsi="Times New Roman" w:eastAsia="宋体" w:cs="Calibri"/>
                <w:bCs w:val="0"/>
                <w:color w:val="auto"/>
                <w:kern w:val="2"/>
              </w:rPr>
              <w:t>，设有静电导除仪</w:t>
            </w:r>
          </w:p>
        </w:tc>
        <w:tc>
          <w:tcPr>
            <w:tcW w:w="364" w:type="pct"/>
            <w:vAlign w:val="center"/>
          </w:tcPr>
          <w:p w14:paraId="02DEE9EE">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2B60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27907655">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BD6625B">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6.3.14加油站内的工艺管道除必须露出地面的以外，均应埋地敷设。当采用管沟敷设时，管沟必须用中性沙子或细土填满、填实。</w:t>
            </w:r>
          </w:p>
        </w:tc>
        <w:tc>
          <w:tcPr>
            <w:tcW w:w="916" w:type="pct"/>
            <w:vAlign w:val="center"/>
          </w:tcPr>
          <w:p w14:paraId="069A6CA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埋地敷设</w:t>
            </w:r>
          </w:p>
        </w:tc>
        <w:tc>
          <w:tcPr>
            <w:tcW w:w="364" w:type="pct"/>
            <w:vAlign w:val="center"/>
          </w:tcPr>
          <w:p w14:paraId="1F611350">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451F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62A38D1E">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3070355">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6.3.15卸油管道、卸油油气回收管道、加油油气回收管道和油罐通气管横管，应坡向埋地油罐。卸油管道的坡度不应小于2%，卸油油气回收管道、加油油气回收管道和油罐通气管横管的坡度，不应小于1%。</w:t>
            </w:r>
          </w:p>
        </w:tc>
        <w:tc>
          <w:tcPr>
            <w:tcW w:w="916" w:type="pct"/>
            <w:vAlign w:val="center"/>
          </w:tcPr>
          <w:p w14:paraId="669F6A72">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隐蔽工程。已验收</w:t>
            </w:r>
          </w:p>
        </w:tc>
        <w:tc>
          <w:tcPr>
            <w:tcW w:w="364" w:type="pct"/>
            <w:vAlign w:val="center"/>
          </w:tcPr>
          <w:p w14:paraId="4F14756B">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796DF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3A299AEF">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7873E47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6.3.16受地形限制，加油油气回收管道坡向油罐的坡度无法满足本标准第6.3.14条的要求时，可在管道靠近油罐的位置设置集液器，且管道坡向集液器的坡度不应小于1%。</w:t>
            </w:r>
          </w:p>
        </w:tc>
        <w:tc>
          <w:tcPr>
            <w:tcW w:w="916" w:type="pct"/>
            <w:vAlign w:val="center"/>
          </w:tcPr>
          <w:p w14:paraId="5803036E">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64" w:type="pct"/>
            <w:vAlign w:val="center"/>
          </w:tcPr>
          <w:p w14:paraId="3A96E85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79FD0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5C2876A3">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170025B8">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6.3.17埋地工艺管道的埋设深度不得小于0.4m。敷设在混凝土场地或道路下面的管道，管顶低于混凝土层下表面不得小于0.2m。管道周围应回填不小于100mm厚的中性沙子或细土。</w:t>
            </w:r>
          </w:p>
        </w:tc>
        <w:tc>
          <w:tcPr>
            <w:tcW w:w="916" w:type="pct"/>
            <w:vAlign w:val="center"/>
          </w:tcPr>
          <w:p w14:paraId="607BE01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不小于0.4m</w:t>
            </w:r>
          </w:p>
        </w:tc>
        <w:tc>
          <w:tcPr>
            <w:tcW w:w="364" w:type="pct"/>
            <w:vAlign w:val="center"/>
          </w:tcPr>
          <w:p w14:paraId="1418E95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28CBB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02AC8F58">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739ED18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6.3.18工艺管道不应穿过或跨越站房等与其无直接关系的建（构）筑物；与管沟、电缆沟和排水沟相交叉时，应采取相应的防护措施。</w:t>
            </w:r>
          </w:p>
        </w:tc>
        <w:tc>
          <w:tcPr>
            <w:tcW w:w="916" w:type="pct"/>
            <w:vAlign w:val="center"/>
          </w:tcPr>
          <w:p w14:paraId="1F825E0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不穿过或跨越站房等与其无直接关系的建（构）筑物</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采取相应的防护措施</w:t>
            </w:r>
          </w:p>
        </w:tc>
        <w:tc>
          <w:tcPr>
            <w:tcW w:w="364" w:type="pct"/>
            <w:vAlign w:val="center"/>
          </w:tcPr>
          <w:p w14:paraId="3FF1011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849B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4760A282">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347738E6">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6.3.19不导静电热塑性塑料管道的设计和安装，除应符合本标准第6.3.12条的有关规定外，尚应符合下列规定</w:t>
            </w:r>
            <w:r>
              <w:rPr>
                <w:rFonts w:hint="eastAsia" w:ascii="Times New Roman" w:hAnsi="Times New Roman" w:eastAsia="宋体" w:cs="Calibri"/>
                <w:bCs w:val="0"/>
                <w:color w:val="auto"/>
                <w:kern w:val="2"/>
              </w:rPr>
              <w:t>：</w:t>
            </w:r>
          </w:p>
          <w:p w14:paraId="41FC3B97">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管道内油品的流速应小于2.8m/s；</w:t>
            </w:r>
          </w:p>
          <w:p w14:paraId="7491DA1B">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r>
              <w:rPr>
                <w:rFonts w:ascii="Times New Roman" w:hAnsi="Times New Roman" w:eastAsia="宋体" w:cs="Calibri"/>
                <w:bCs w:val="0"/>
                <w:color w:val="auto"/>
                <w:kern w:val="2"/>
              </w:rPr>
              <w:t>管道在人孔井内、加油机底槽和卸油口等处未完全埋地的部分，应在满足管道连接要求的前提下，采用最短的安装长度和最少的接头。</w:t>
            </w:r>
          </w:p>
        </w:tc>
        <w:tc>
          <w:tcPr>
            <w:tcW w:w="916" w:type="pct"/>
            <w:vAlign w:val="center"/>
          </w:tcPr>
          <w:p w14:paraId="318579E9">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采用导静电</w:t>
            </w:r>
            <w:r>
              <w:rPr>
                <w:rFonts w:ascii="Times New Roman" w:hAnsi="Times New Roman" w:eastAsia="宋体" w:cs="Calibri"/>
                <w:bCs w:val="0"/>
                <w:color w:val="auto"/>
                <w:kern w:val="2"/>
              </w:rPr>
              <w:t>热塑性塑料管道</w:t>
            </w:r>
          </w:p>
        </w:tc>
        <w:tc>
          <w:tcPr>
            <w:tcW w:w="364" w:type="pct"/>
            <w:vAlign w:val="center"/>
          </w:tcPr>
          <w:p w14:paraId="155EBA6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02AF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1A5A78B6">
            <w:pPr>
              <w:numPr>
                <w:ilvl w:val="0"/>
                <w:numId w:val="10"/>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3199AA3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6.3.20埋地钢质管道外表面的防腐设计，应符合现行国家标准《钢质管道外腐蚀控制规范》GBP21447的有关规定</w:t>
            </w:r>
          </w:p>
        </w:tc>
        <w:tc>
          <w:tcPr>
            <w:tcW w:w="916" w:type="pct"/>
            <w:vAlign w:val="center"/>
          </w:tcPr>
          <w:p w14:paraId="273BF8A8">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已验收</w:t>
            </w:r>
          </w:p>
        </w:tc>
        <w:tc>
          <w:tcPr>
            <w:tcW w:w="364" w:type="pct"/>
            <w:vAlign w:val="center"/>
          </w:tcPr>
          <w:p w14:paraId="6B47473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AC6D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379D5A94">
            <w:pPr>
              <w:spacing w:line="280" w:lineRule="exact"/>
              <w:rPr>
                <w:rFonts w:ascii="Times New Roman" w:hAnsi="Times New Roman" w:eastAsia="宋体" w:cs="Calibri"/>
                <w:b/>
                <w:bCs w:val="0"/>
                <w:color w:val="auto"/>
                <w:kern w:val="2"/>
              </w:rPr>
            </w:pPr>
            <w:r>
              <w:rPr>
                <w:rFonts w:ascii="Times New Roman" w:hAnsi="Times New Roman" w:eastAsia="宋体" w:cs="Calibri"/>
                <w:b/>
                <w:bCs w:val="0"/>
                <w:color w:val="auto"/>
                <w:kern w:val="2"/>
              </w:rPr>
              <w:t>防渗措施</w:t>
            </w:r>
          </w:p>
        </w:tc>
      </w:tr>
      <w:tr w14:paraId="7D6A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41E268C3">
            <w:pPr>
              <w:numPr>
                <w:ilvl w:val="0"/>
                <w:numId w:val="11"/>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71181698">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6.5.1加油站埋地油罐应采用下列之一的防渗方式：</w:t>
            </w:r>
          </w:p>
          <w:p w14:paraId="054B301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采用双层油罐；</w:t>
            </w:r>
          </w:p>
          <w:p w14:paraId="2A2903F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hint="eastAsia" w:ascii="Times New Roman" w:hAnsi="Times New Roman" w:eastAsia="宋体" w:cs="Calibri"/>
                <w:bCs w:val="0"/>
                <w:color w:val="auto"/>
                <w:kern w:val="2"/>
                <w:shd w:val="clear"/>
              </w:rPr>
              <w:t>单层</w:t>
            </w:r>
            <w:r>
              <w:rPr>
                <w:rFonts w:hint="eastAsia" w:ascii="Times New Roman" w:hAnsi="Times New Roman" w:eastAsia="宋体" w:cs="Calibri"/>
                <w:bCs w:val="0"/>
                <w:color w:val="auto"/>
                <w:kern w:val="2"/>
              </w:rPr>
              <w:t>油罐</w:t>
            </w:r>
            <w:r>
              <w:rPr>
                <w:rFonts w:ascii="Times New Roman" w:hAnsi="Times New Roman" w:eastAsia="宋体" w:cs="Calibri"/>
                <w:bCs w:val="0"/>
                <w:color w:val="auto"/>
                <w:kern w:val="2"/>
              </w:rPr>
              <w:t>设置防渗罐池。</w:t>
            </w:r>
          </w:p>
        </w:tc>
        <w:tc>
          <w:tcPr>
            <w:tcW w:w="916" w:type="pct"/>
            <w:vAlign w:val="center"/>
          </w:tcPr>
          <w:p w14:paraId="0D72D5C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SF双层储罐</w:t>
            </w:r>
          </w:p>
        </w:tc>
        <w:tc>
          <w:tcPr>
            <w:tcW w:w="364" w:type="pct"/>
            <w:vAlign w:val="center"/>
          </w:tcPr>
          <w:p w14:paraId="6D4067C2">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C7C6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01FFBBD6">
            <w:pPr>
              <w:numPr>
                <w:ilvl w:val="0"/>
                <w:numId w:val="11"/>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B508DB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6.5.2防渗罐池的设计应符合下列规定：</w:t>
            </w:r>
          </w:p>
          <w:p w14:paraId="10D23C1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防渗罐池应采用防渗钢筋混凝土整体浇筑，并应符合现行国家标准《地下工程防水技术规范》GB50108的有关规定；</w:t>
            </w:r>
          </w:p>
          <w:p w14:paraId="587CFFC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防渗罐池应根据油罐的数量设置隔池，一个隔池内的油罐不应多于两座；</w:t>
            </w:r>
          </w:p>
          <w:p w14:paraId="465C76F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防渗罐池的池壁顶应高于池内罐顶标高，池底宜低于罐底设计标高200mm</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墙面与罐壁之间的间距不应小于500mm；</w:t>
            </w:r>
          </w:p>
          <w:p w14:paraId="7E7FFEB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防渗罐池的内表面应衬玻璃钢或其他材料防渗层；</w:t>
            </w:r>
          </w:p>
          <w:p w14:paraId="05D3859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5</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防渗罐池内的空间应采用中性</w:t>
            </w:r>
            <w:r>
              <w:rPr>
                <w:rFonts w:hint="eastAsia" w:ascii="Times New Roman" w:hAnsi="Times New Roman" w:eastAsia="宋体" w:cs="Calibri"/>
                <w:bCs w:val="0"/>
                <w:color w:val="auto"/>
                <w:kern w:val="2"/>
                <w:lang w:eastAsia="zh-CN"/>
              </w:rPr>
              <w:t>砂</w:t>
            </w:r>
            <w:r>
              <w:rPr>
                <w:rFonts w:ascii="Times New Roman" w:hAnsi="Times New Roman" w:eastAsia="宋体" w:cs="Calibri"/>
                <w:bCs w:val="0"/>
                <w:color w:val="auto"/>
                <w:kern w:val="2"/>
              </w:rPr>
              <w:t>回填；</w:t>
            </w:r>
          </w:p>
          <w:p w14:paraId="3588C05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防渗罐池的上部应采取防止雨水、地表水和外部泄漏油品渗入池内的措施。</w:t>
            </w:r>
          </w:p>
        </w:tc>
        <w:tc>
          <w:tcPr>
            <w:tcW w:w="916" w:type="pct"/>
            <w:vAlign w:val="center"/>
          </w:tcPr>
          <w:p w14:paraId="32E19966">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防渗灌按要求设计</w:t>
            </w:r>
          </w:p>
        </w:tc>
        <w:tc>
          <w:tcPr>
            <w:tcW w:w="364" w:type="pct"/>
            <w:vAlign w:val="center"/>
          </w:tcPr>
          <w:p w14:paraId="7A4583A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2C67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6" w:hRule="atLeast"/>
        </w:trPr>
        <w:tc>
          <w:tcPr>
            <w:tcW w:w="690" w:type="dxa"/>
            <w:vAlign w:val="center"/>
          </w:tcPr>
          <w:p w14:paraId="78E67201">
            <w:pPr>
              <w:numPr>
                <w:ilvl w:val="0"/>
                <w:numId w:val="11"/>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42F62A5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6.5.4装有潜油泵的油罐人孔操作井、卸油口井、加油机底槽等可能发生油品渗漏的部位，也应采取相应的防渗措施。</w:t>
            </w:r>
          </w:p>
        </w:tc>
        <w:tc>
          <w:tcPr>
            <w:tcW w:w="916" w:type="pct"/>
            <w:vAlign w:val="center"/>
          </w:tcPr>
          <w:p w14:paraId="3A28F73E">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采取防渗措施</w:t>
            </w:r>
          </w:p>
        </w:tc>
        <w:tc>
          <w:tcPr>
            <w:tcW w:w="364" w:type="pct"/>
            <w:vAlign w:val="center"/>
          </w:tcPr>
          <w:p w14:paraId="60F0B46A">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合格</w:t>
            </w:r>
          </w:p>
        </w:tc>
      </w:tr>
      <w:tr w14:paraId="2D791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0AF669D9">
            <w:pPr>
              <w:numPr>
                <w:ilvl w:val="0"/>
                <w:numId w:val="11"/>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6B9A45F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6.5.6双层油罐、防渗罐池的渗漏检测宜采用在线监测系统。采用液体传感器监测时，传感器的检测精度不应大于3.5mm。</w:t>
            </w:r>
          </w:p>
        </w:tc>
        <w:tc>
          <w:tcPr>
            <w:tcW w:w="916" w:type="pct"/>
            <w:vAlign w:val="center"/>
          </w:tcPr>
          <w:p w14:paraId="27B55AD2">
            <w:pPr>
              <w:spacing w:line="280" w:lineRule="exact"/>
              <w:rPr>
                <w:rFonts w:hint="default"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rPr>
              <w:t>SF双层储罐</w:t>
            </w:r>
            <w:r>
              <w:rPr>
                <w:rFonts w:hint="eastAsia" w:ascii="Times New Roman" w:hAnsi="Times New Roman" w:eastAsia="宋体" w:cs="Calibri"/>
                <w:bCs w:val="0"/>
                <w:color w:val="auto"/>
                <w:kern w:val="2"/>
                <w:lang w:eastAsia="zh-CN"/>
              </w:rPr>
              <w:t>，</w:t>
            </w:r>
            <w:r>
              <w:rPr>
                <w:rFonts w:hint="eastAsia" w:ascii="Times New Roman" w:hAnsi="Times New Roman" w:eastAsia="宋体" w:cs="Calibri"/>
                <w:bCs w:val="0"/>
                <w:color w:val="auto"/>
                <w:kern w:val="2"/>
                <w:lang w:val="en-US" w:eastAsia="zh-CN"/>
              </w:rPr>
              <w:t>有泄漏检测仪</w:t>
            </w:r>
          </w:p>
        </w:tc>
        <w:tc>
          <w:tcPr>
            <w:tcW w:w="364" w:type="pct"/>
            <w:vAlign w:val="center"/>
          </w:tcPr>
          <w:p w14:paraId="7E10BBE2">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合格</w:t>
            </w:r>
          </w:p>
        </w:tc>
      </w:tr>
      <w:tr w14:paraId="30724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90" w:type="dxa"/>
            <w:vAlign w:val="center"/>
          </w:tcPr>
          <w:p w14:paraId="47508225">
            <w:pPr>
              <w:numPr>
                <w:ilvl w:val="0"/>
                <w:numId w:val="11"/>
              </w:numPr>
              <w:spacing w:line="280" w:lineRule="exact"/>
              <w:ind w:left="454" w:leftChars="0" w:hanging="454" w:firstLineChars="0"/>
              <w:jc w:val="center"/>
              <w:rPr>
                <w:rFonts w:ascii="Times New Roman" w:hAnsi="Times New Roman" w:eastAsia="宋体" w:cs="Calibri"/>
                <w:bCs w:val="0"/>
                <w:color w:val="auto"/>
                <w:kern w:val="2"/>
              </w:rPr>
            </w:pPr>
          </w:p>
        </w:tc>
        <w:tc>
          <w:tcPr>
            <w:tcW w:w="3346" w:type="pct"/>
            <w:vAlign w:val="center"/>
          </w:tcPr>
          <w:p w14:paraId="2D9E5BA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6.5.7既有加油站油罐和管道需要更新改造时，应符合本标准第6.5.1条</w:t>
            </w:r>
            <w:r>
              <w:rPr>
                <w:rFonts w:hint="eastAsia" w:ascii="Times New Roman" w:hAnsi="Times New Roman" w:eastAsia="宋体" w:cs="Calibri"/>
                <w:bCs w:val="0"/>
                <w:color w:val="auto"/>
                <w:kern w:val="2"/>
                <w:lang w:eastAsia="zh-CN"/>
              </w:rPr>
              <w:t>～</w:t>
            </w:r>
            <w:r>
              <w:rPr>
                <w:rFonts w:ascii="Times New Roman" w:hAnsi="Times New Roman" w:eastAsia="宋体" w:cs="Calibri"/>
                <w:bCs w:val="0"/>
                <w:color w:val="auto"/>
                <w:kern w:val="2"/>
              </w:rPr>
              <w:t>第6.5.6条的规定。</w:t>
            </w:r>
          </w:p>
        </w:tc>
        <w:tc>
          <w:tcPr>
            <w:tcW w:w="916" w:type="pct"/>
            <w:vAlign w:val="center"/>
          </w:tcPr>
          <w:p w14:paraId="72C9FFE3">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64" w:type="pct"/>
            <w:vAlign w:val="center"/>
          </w:tcPr>
          <w:p w14:paraId="2C602FD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bl>
    <w:p w14:paraId="41C50F49">
      <w:pPr>
        <w:spacing w:line="600" w:lineRule="exact"/>
        <w:ind w:firstLine="570"/>
        <w:rPr>
          <w:rFonts w:ascii="Times New Roman" w:hAnsi="Times New Roman" w:eastAsia="宋体" w:cs="Calibri"/>
          <w:bCs w:val="0"/>
          <w:color w:val="0000FF"/>
          <w:spacing w:val="-6"/>
          <w:kern w:val="2"/>
          <w:sz w:val="28"/>
          <w:szCs w:val="28"/>
        </w:rPr>
      </w:pPr>
      <w:r>
        <w:rPr>
          <w:rFonts w:ascii="Times New Roman" w:hAnsi="Times New Roman" w:eastAsia="宋体" w:cs="Calibri"/>
          <w:bCs w:val="0"/>
          <w:color w:val="auto"/>
          <w:spacing w:val="-6"/>
          <w:kern w:val="2"/>
          <w:sz w:val="28"/>
          <w:szCs w:val="28"/>
        </w:rPr>
        <w:t>评价结论：从上</w:t>
      </w:r>
      <w:r>
        <w:rPr>
          <w:rFonts w:hint="eastAsia" w:ascii="Times New Roman" w:hAnsi="Times New Roman" w:eastAsia="宋体" w:cs="Calibri"/>
          <w:bCs w:val="0"/>
          <w:color w:val="auto"/>
          <w:spacing w:val="-6"/>
          <w:kern w:val="2"/>
          <w:sz w:val="28"/>
          <w:szCs w:val="28"/>
        </w:rPr>
        <w:t>述检查</w:t>
      </w:r>
      <w:r>
        <w:rPr>
          <w:rFonts w:ascii="Times New Roman" w:hAnsi="Times New Roman" w:eastAsia="宋体" w:cs="Calibri"/>
          <w:bCs w:val="0"/>
          <w:color w:val="auto"/>
          <w:spacing w:val="-6"/>
          <w:kern w:val="2"/>
          <w:sz w:val="28"/>
          <w:szCs w:val="28"/>
        </w:rPr>
        <w:t>表可知，</w:t>
      </w:r>
      <w:r>
        <w:rPr>
          <w:rFonts w:hint="eastAsia" w:ascii="Times New Roman" w:hAnsi="Times New Roman" w:eastAsia="宋体" w:cs="宋体"/>
          <w:bCs w:val="0"/>
          <w:color w:val="auto"/>
          <w:kern w:val="2"/>
          <w:sz w:val="28"/>
          <w:szCs w:val="28"/>
        </w:rPr>
        <w:t>均符合要求</w:t>
      </w:r>
      <w:r>
        <w:rPr>
          <w:rFonts w:ascii="Times New Roman" w:hAnsi="Times New Roman" w:eastAsia="宋体" w:cs="Calibri"/>
          <w:bCs w:val="0"/>
          <w:color w:val="auto"/>
          <w:spacing w:val="-6"/>
          <w:kern w:val="2"/>
          <w:sz w:val="28"/>
          <w:szCs w:val="28"/>
        </w:rPr>
        <w:t>。</w:t>
      </w:r>
    </w:p>
    <w:p w14:paraId="601B0091">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73" w:name="_Toc92712594"/>
      <w:bookmarkStart w:id="174" w:name="_Toc5653"/>
      <w:bookmarkStart w:id="175" w:name="_Toc19196"/>
      <w:bookmarkStart w:id="176" w:name="_Toc4098"/>
      <w:r>
        <w:rPr>
          <w:rFonts w:hint="eastAsia" w:ascii="Times New Roman" w:hAnsi="Times New Roman" w:eastAsia="宋体" w:cs="Times New Roman"/>
          <w:b/>
          <w:bCs/>
          <w:color w:val="auto"/>
          <w:kern w:val="0"/>
          <w:sz w:val="30"/>
          <w:szCs w:val="30"/>
          <w:lang w:val="en-US" w:eastAsia="zh-CN" w:bidi="ar-SA"/>
        </w:rPr>
        <w:t>5.7 消防设施及给排水符合性评价</w:t>
      </w:r>
      <w:bookmarkEnd w:id="173"/>
      <w:bookmarkEnd w:id="174"/>
      <w:bookmarkEnd w:id="175"/>
      <w:bookmarkEnd w:id="176"/>
    </w:p>
    <w:p w14:paraId="6E416D68">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表5.7-1  消防设施及给排水符合性评价</w:t>
      </w:r>
    </w:p>
    <w:tbl>
      <w:tblPr>
        <w:tblStyle w:val="7"/>
        <w:tblW w:w="517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12"/>
        <w:gridCol w:w="6561"/>
        <w:gridCol w:w="1553"/>
        <w:gridCol w:w="695"/>
      </w:tblGrid>
      <w:tr w14:paraId="0FE76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tblHeader/>
          <w:jc w:val="center"/>
        </w:trPr>
        <w:tc>
          <w:tcPr>
            <w:tcW w:w="325" w:type="pct"/>
            <w:vAlign w:val="center"/>
          </w:tcPr>
          <w:p w14:paraId="4BC682B6">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3482" w:type="pct"/>
            <w:vAlign w:val="center"/>
          </w:tcPr>
          <w:p w14:paraId="50ED87CA">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824" w:type="pct"/>
            <w:vAlign w:val="center"/>
          </w:tcPr>
          <w:p w14:paraId="2ED66CEE">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366" w:type="pct"/>
            <w:vAlign w:val="center"/>
          </w:tcPr>
          <w:p w14:paraId="34A82ACC">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382C3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66067FF7">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灭火器材配置</w:t>
            </w:r>
          </w:p>
        </w:tc>
      </w:tr>
      <w:tr w14:paraId="2EBD1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466588C">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3482" w:type="pct"/>
            <w:vAlign w:val="center"/>
          </w:tcPr>
          <w:p w14:paraId="6D83BB07">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12.1.1加油加气加氢站工艺设备应配置灭火器材，并应符合下列规定：</w:t>
            </w:r>
          </w:p>
          <w:p w14:paraId="1732425A">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每2台加气（氢）机应配置不少于2具5kg手提式干粉灭火器，加气（氢）机不足2台应按2台配置</w:t>
            </w:r>
          </w:p>
          <w:p w14:paraId="358D9F85">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每2台加油机应配置不少于2具5kg手提式干粉灭火器，或1具5kg手提式干粉灭火器和1具6L泡沫灭火器，加油机不足2台应按2台配置；</w:t>
            </w:r>
          </w:p>
          <w:p w14:paraId="62FB2D96">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地上LPG储罐、地上LNG储罐、地下和半地下LNG储罐、地上液氢储罐、CNG储气设施，应配置2</w:t>
            </w:r>
            <w:r>
              <w:rPr>
                <w:rFonts w:hint="eastAsia" w:ascii="Times New Roman" w:hAnsi="Times New Roman" w:eastAsia="宋体" w:cs="Calibri"/>
                <w:bCs w:val="0"/>
                <w:color w:val="auto"/>
                <w:kern w:val="2"/>
              </w:rPr>
              <w:t>具</w:t>
            </w:r>
            <w:r>
              <w:rPr>
                <w:rFonts w:ascii="Times New Roman" w:hAnsi="Times New Roman" w:eastAsia="宋体" w:cs="Calibri"/>
                <w:bCs w:val="0"/>
                <w:color w:val="auto"/>
                <w:kern w:val="2"/>
              </w:rPr>
              <w:t>不小于35kg推车式干粉灭火器，当两种介质储罐之间的距离超过15m时，应分别配置；</w:t>
            </w:r>
          </w:p>
          <w:p w14:paraId="4F195C62">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地下储罐应配置1台不小于35kg推车式干粉灭火器，当两种介质储罐之间的距离超过15m时，应分别配置；</w:t>
            </w:r>
          </w:p>
          <w:p w14:paraId="10A667C5">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LPG泵、LNG泵、液氢增压泵、压缩机操作间（棚、箱），应按建筑面积每50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配置不少于2具5kg手提式干粉灭火器；</w:t>
            </w:r>
          </w:p>
          <w:p w14:paraId="498E68D0">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6</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一、</w:t>
            </w:r>
            <w:r>
              <w:rPr>
                <w:rFonts w:hint="eastAsia" w:ascii="Times New Roman" w:hAnsi="Times New Roman" w:eastAsia="宋体" w:cs="Calibri"/>
                <w:bCs w:val="0"/>
                <w:color w:val="auto"/>
                <w:kern w:val="2"/>
                <w:lang w:val="en-US" w:eastAsia="zh-CN"/>
              </w:rPr>
              <w:t>二</w:t>
            </w:r>
            <w:r>
              <w:rPr>
                <w:rFonts w:hint="eastAsia" w:ascii="Times New Roman" w:hAnsi="Times New Roman" w:eastAsia="宋体" w:cs="Calibri"/>
                <w:bCs w:val="0"/>
                <w:color w:val="auto"/>
                <w:kern w:val="2"/>
                <w:lang w:eastAsia="zh-CN"/>
              </w:rPr>
              <w:t>级加油站</w:t>
            </w:r>
            <w:r>
              <w:rPr>
                <w:rFonts w:ascii="Times New Roman" w:hAnsi="Times New Roman" w:eastAsia="宋体" w:cs="Calibri"/>
                <w:bCs w:val="0"/>
                <w:color w:val="auto"/>
                <w:kern w:val="2"/>
              </w:rPr>
              <w:t>应配置灭火毯5块、沙子2</w:t>
            </w:r>
            <w:r>
              <w:rPr>
                <w:rFonts w:hint="eastAsia" w:ascii="Times New Roman" w:hAnsi="Times New Roman" w:eastAsia="宋体" w:cs="Calibri"/>
                <w:bCs w:val="0"/>
                <w:color w:val="auto"/>
                <w:kern w:val="2"/>
              </w:rPr>
              <w:t>m³</w:t>
            </w:r>
            <w:r>
              <w:rPr>
                <w:rFonts w:ascii="Times New Roman" w:hAnsi="Times New Roman" w:eastAsia="宋体" w:cs="Calibri"/>
                <w:bCs w:val="0"/>
                <w:color w:val="auto"/>
                <w:kern w:val="2"/>
              </w:rPr>
              <w:t>；三级加油站应配置灭火毯不少于2块、沙子2</w:t>
            </w:r>
            <w:r>
              <w:rPr>
                <w:rFonts w:hint="eastAsia" w:ascii="Times New Roman" w:hAnsi="Times New Roman" w:eastAsia="宋体" w:cs="Calibri"/>
                <w:bCs w:val="0"/>
                <w:color w:val="auto"/>
                <w:kern w:val="2"/>
              </w:rPr>
              <w:t>m³</w:t>
            </w:r>
            <w:r>
              <w:rPr>
                <w:rFonts w:ascii="Times New Roman" w:hAnsi="Times New Roman" w:eastAsia="宋体" w:cs="Calibri"/>
                <w:bCs w:val="0"/>
                <w:color w:val="auto"/>
                <w:kern w:val="2"/>
              </w:rPr>
              <w:t>。加油加气合建站应按同级别的加油站配置灭火毯和沙子。</w:t>
            </w:r>
          </w:p>
        </w:tc>
        <w:tc>
          <w:tcPr>
            <w:tcW w:w="824" w:type="pct"/>
            <w:vAlign w:val="center"/>
          </w:tcPr>
          <w:p w14:paraId="2749ED4B">
            <w:pPr>
              <w:keepNext w:val="0"/>
              <w:keepLines w:val="0"/>
              <w:pageBreakBefore w:val="0"/>
              <w:widowControl w:val="0"/>
              <w:kinsoku/>
              <w:wordWrap w:val="0"/>
              <w:overflowPunct/>
              <w:topLinePunct w:val="0"/>
              <w:autoSpaceDE/>
              <w:autoSpaceDN/>
              <w:bidi w:val="0"/>
              <w:adjustRightInd/>
              <w:snapToGrid/>
              <w:spacing w:line="240" w:lineRule="exact"/>
              <w:textAlignment w:val="auto"/>
              <w:rPr>
                <w:rFonts w:hint="eastAsia" w:ascii="Times New Roman" w:hAnsi="Times New Roman" w:eastAsia="宋体" w:cs="Times New Roman"/>
                <w:bCs w:val="0"/>
                <w:color w:val="auto"/>
                <w:kern w:val="2"/>
                <w:lang w:eastAsia="zh-CN"/>
              </w:rPr>
            </w:pPr>
            <w:r>
              <w:rPr>
                <w:rFonts w:hint="eastAsia" w:ascii="Times New Roman" w:hAnsi="Times New Roman" w:eastAsia="宋体" w:cs="Times New Roman"/>
                <w:bCs w:val="0"/>
                <w:color w:val="auto"/>
                <w:kern w:val="2"/>
                <w:lang w:val="en-US" w:eastAsia="zh-CN"/>
              </w:rPr>
              <w:t>该站为三级加油站，</w:t>
            </w:r>
            <w:r>
              <w:rPr>
                <w:rFonts w:hint="eastAsia" w:ascii="Times New Roman" w:hAnsi="Times New Roman" w:eastAsia="宋体" w:cs="Times New Roman"/>
                <w:bCs w:val="0"/>
                <w:color w:val="auto"/>
                <w:kern w:val="2"/>
              </w:rPr>
              <w:t>加油区</w:t>
            </w:r>
            <w:r>
              <w:rPr>
                <w:rFonts w:hint="eastAsia" w:ascii="Times New Roman" w:hAnsi="Times New Roman" w:eastAsia="宋体" w:cs="Times New Roman"/>
                <w:bCs w:val="0"/>
                <w:color w:val="auto"/>
                <w:kern w:val="2"/>
                <w:lang w:val="en-US" w:eastAsia="zh-CN"/>
              </w:rPr>
              <w:t>设有不少于2</w:t>
            </w:r>
            <w:r>
              <w:rPr>
                <w:rFonts w:hint="eastAsia" w:ascii="Times New Roman" w:hAnsi="Times New Roman" w:eastAsia="宋体" w:cs="Times New Roman"/>
                <w:bCs w:val="0"/>
                <w:color w:val="auto"/>
                <w:kern w:val="2"/>
              </w:rPr>
              <w:t>具MFZ/ABC5手提干粉灭火器</w:t>
            </w:r>
            <w:r>
              <w:rPr>
                <w:rFonts w:hint="eastAsia" w:ascii="Times New Roman" w:hAnsi="Times New Roman" w:eastAsia="宋体" w:cs="Times New Roman"/>
                <w:bCs w:val="0"/>
                <w:color w:val="auto"/>
                <w:kern w:val="2"/>
                <w:lang w:eastAsia="zh-CN"/>
              </w:rPr>
              <w:t>；</w:t>
            </w:r>
          </w:p>
          <w:p w14:paraId="6142214B">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Times New Roman"/>
                <w:bCs w:val="0"/>
                <w:color w:val="auto"/>
                <w:kern w:val="2"/>
              </w:rPr>
              <w:t>灭火毯</w:t>
            </w:r>
            <w:r>
              <w:rPr>
                <w:rFonts w:hint="eastAsia" w:ascii="Times New Roman" w:hAnsi="Times New Roman" w:eastAsia="宋体" w:cs="Times New Roman"/>
                <w:bCs w:val="0"/>
                <w:color w:val="auto"/>
                <w:kern w:val="2"/>
                <w:lang w:val="en-US" w:eastAsia="zh-CN"/>
              </w:rPr>
              <w:t>5</w:t>
            </w:r>
            <w:r>
              <w:rPr>
                <w:rFonts w:hint="eastAsia" w:ascii="Times New Roman" w:hAnsi="Times New Roman" w:eastAsia="宋体" w:cs="Times New Roman"/>
                <w:bCs w:val="0"/>
                <w:color w:val="auto"/>
                <w:kern w:val="2"/>
              </w:rPr>
              <w:t>块、</w:t>
            </w:r>
            <w:r>
              <w:rPr>
                <w:rFonts w:hint="eastAsia" w:ascii="Times New Roman" w:hAnsi="Times New Roman" w:eastAsia="宋体" w:cs="Calibri"/>
                <w:bCs w:val="0"/>
                <w:color w:val="auto"/>
                <w:kern w:val="2"/>
              </w:rPr>
              <w:t>2</w:t>
            </w:r>
            <w:r>
              <w:rPr>
                <w:rFonts w:ascii="Times New Roman" w:hAnsi="Times New Roman" w:eastAsia="宋体" w:cs="Calibri"/>
                <w:bCs w:val="0"/>
                <w:color w:val="auto"/>
                <w:kern w:val="2"/>
              </w:rPr>
              <w:t>m</w:t>
            </w:r>
            <w:r>
              <w:rPr>
                <w:rFonts w:ascii="Times New Roman" w:hAnsi="Times New Roman" w:eastAsia="宋体" w:cs="Calibri"/>
                <w:bCs w:val="0"/>
                <w:color w:val="auto"/>
                <w:kern w:val="2"/>
                <w:vertAlign w:val="superscript"/>
              </w:rPr>
              <w:t>3</w:t>
            </w:r>
            <w:r>
              <w:rPr>
                <w:rFonts w:ascii="Times New Roman" w:hAnsi="Times New Roman" w:eastAsia="宋体" w:cs="Calibri"/>
                <w:bCs w:val="0"/>
                <w:color w:val="auto"/>
                <w:kern w:val="2"/>
              </w:rPr>
              <w:t>消防砂池</w:t>
            </w:r>
            <w:r>
              <w:rPr>
                <w:rFonts w:hint="eastAsia" w:ascii="Times New Roman" w:hAnsi="Times New Roman" w:eastAsia="宋体" w:cs="Calibri"/>
                <w:bCs w:val="0"/>
                <w:color w:val="auto"/>
                <w:kern w:val="2"/>
              </w:rPr>
              <w:t>1</w:t>
            </w:r>
            <w:r>
              <w:rPr>
                <w:rFonts w:ascii="Times New Roman" w:hAnsi="Times New Roman" w:eastAsia="宋体" w:cs="Calibri"/>
                <w:bCs w:val="0"/>
                <w:color w:val="auto"/>
                <w:kern w:val="2"/>
              </w:rPr>
              <w:t>座</w:t>
            </w:r>
          </w:p>
        </w:tc>
        <w:tc>
          <w:tcPr>
            <w:tcW w:w="366" w:type="pct"/>
            <w:vAlign w:val="center"/>
          </w:tcPr>
          <w:p w14:paraId="18F86239">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hint="eastAsia" w:ascii="Times New Roman" w:hAnsi="Times New Roman" w:eastAsia="宋体" w:cs="Calibri"/>
                <w:bCs w:val="0"/>
                <w:color w:val="auto"/>
                <w:kern w:val="2"/>
                <w:lang w:eastAsia="zh-CN"/>
              </w:rPr>
            </w:pPr>
            <w:r>
              <w:rPr>
                <w:rFonts w:hint="eastAsia" w:ascii="Times New Roman" w:hAnsi="Times New Roman" w:eastAsia="宋体" w:cs="Calibri"/>
                <w:bCs w:val="0"/>
                <w:color w:val="auto"/>
                <w:kern w:val="2"/>
                <w:lang w:val="en-US" w:eastAsia="zh-CN"/>
              </w:rPr>
              <w:t>合格</w:t>
            </w:r>
          </w:p>
        </w:tc>
      </w:tr>
      <w:tr w14:paraId="10542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6955B278">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p>
        </w:tc>
        <w:tc>
          <w:tcPr>
            <w:tcW w:w="3482" w:type="pct"/>
            <w:vAlign w:val="center"/>
          </w:tcPr>
          <w:p w14:paraId="46C1F96E">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12.1.2其余建筑的灭火器配置，应符合现行国家标准《建筑灭火器配置设计规范》GB</w:t>
            </w:r>
            <w:r>
              <w:rPr>
                <w:rFonts w:hint="eastAsia" w:ascii="Times New Roman" w:hAnsi="Times New Roman" w:eastAsia="宋体" w:cs="Calibri"/>
                <w:bCs w:val="0"/>
                <w:color w:val="auto"/>
                <w:kern w:val="2"/>
              </w:rPr>
              <w:t xml:space="preserve"> </w:t>
            </w:r>
            <w:r>
              <w:rPr>
                <w:rFonts w:ascii="Times New Roman" w:hAnsi="Times New Roman" w:eastAsia="宋体" w:cs="Calibri"/>
                <w:bCs w:val="0"/>
                <w:color w:val="auto"/>
                <w:kern w:val="2"/>
              </w:rPr>
              <w:t>50140的有关规定。</w:t>
            </w:r>
          </w:p>
        </w:tc>
        <w:tc>
          <w:tcPr>
            <w:tcW w:w="824" w:type="pct"/>
            <w:vAlign w:val="center"/>
          </w:tcPr>
          <w:p w14:paraId="02A0BCEA">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站房、配电间等按要求设置了灭火器</w:t>
            </w:r>
          </w:p>
        </w:tc>
        <w:tc>
          <w:tcPr>
            <w:tcW w:w="366" w:type="pct"/>
            <w:vAlign w:val="center"/>
          </w:tcPr>
          <w:p w14:paraId="2852CEB8">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E05C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48239E2A">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消防给水</w:t>
            </w:r>
          </w:p>
        </w:tc>
      </w:tr>
      <w:tr w14:paraId="4E3C1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777C6C32">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3482" w:type="pct"/>
            <w:vAlign w:val="center"/>
          </w:tcPr>
          <w:p w14:paraId="0D2F3F7A">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12.2.3加油站、CNG加气站、三级LNG加气站和采用埋地、地下、半地下NG储罐的各级LNG加气站及合建站，可不设消防给水系统。合建站中地上LNG储罐总容积不大于60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时，可不设消防给水系统。</w:t>
            </w:r>
          </w:p>
        </w:tc>
        <w:tc>
          <w:tcPr>
            <w:tcW w:w="824" w:type="pct"/>
            <w:vAlign w:val="center"/>
          </w:tcPr>
          <w:p w14:paraId="21DE0906">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未设置</w:t>
            </w:r>
            <w:r>
              <w:rPr>
                <w:rFonts w:ascii="Times New Roman" w:hAnsi="Times New Roman" w:eastAsia="宋体" w:cs="Calibri"/>
                <w:bCs w:val="0"/>
                <w:color w:val="auto"/>
                <w:kern w:val="2"/>
              </w:rPr>
              <w:t>消防给水系统</w:t>
            </w:r>
          </w:p>
        </w:tc>
        <w:tc>
          <w:tcPr>
            <w:tcW w:w="366" w:type="pct"/>
            <w:vAlign w:val="center"/>
          </w:tcPr>
          <w:p w14:paraId="1ED1585F">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lang w:val="en-US" w:eastAsia="zh-CN"/>
              </w:rPr>
              <w:t>合格</w:t>
            </w:r>
          </w:p>
        </w:tc>
      </w:tr>
      <w:tr w14:paraId="0A975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B1CAC45">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给排水系统</w:t>
            </w:r>
          </w:p>
        </w:tc>
      </w:tr>
      <w:tr w14:paraId="27897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3FA2811D">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3482" w:type="pct"/>
            <w:vAlign w:val="center"/>
          </w:tcPr>
          <w:p w14:paraId="59A4D36C">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12.3.2汽车加油加气加氢站的排水应符合下列规定：</w:t>
            </w:r>
          </w:p>
          <w:p w14:paraId="18B01730">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站内地面雨水可散流排出站外，当加油站、LPG加气站或加油与LPG加气合建站的雨水由明沟排到站外时，应在围墙内设置水封装置；</w:t>
            </w:r>
          </w:p>
          <w:p w14:paraId="7E2BEC93">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加油站、LPG加气站或加油与LPG加气合建站排出建筑物或围墙的污水，在建筑物墙外或围墙内应分别设水封井，水封井的水封高度不应小于0.25m，水封</w:t>
            </w:r>
            <w:r>
              <w:rPr>
                <w:rFonts w:hint="eastAsia" w:ascii="Times New Roman" w:hAnsi="Times New Roman" w:eastAsia="宋体" w:cs="Calibri"/>
                <w:bCs w:val="0"/>
                <w:color w:val="auto"/>
                <w:kern w:val="2"/>
                <w:lang w:eastAsia="zh-CN"/>
              </w:rPr>
              <w:t>井</w:t>
            </w:r>
            <w:r>
              <w:rPr>
                <w:rFonts w:ascii="Times New Roman" w:hAnsi="Times New Roman" w:eastAsia="宋体" w:cs="Calibri"/>
                <w:bCs w:val="0"/>
                <w:color w:val="auto"/>
                <w:kern w:val="2"/>
              </w:rPr>
              <w:t>应设沉泥段，沉泥段高度不应小于0.25m；</w:t>
            </w:r>
          </w:p>
          <w:p w14:paraId="4DEC41A2">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清洗油罐的污水应集中收集处理，不应直接进入排水管道，LPG储罐的排污（排水）应采用活动式回收桶集中收集处理，不应直接接入排水管道</w:t>
            </w:r>
            <w:r>
              <w:rPr>
                <w:rFonts w:hint="eastAsia" w:ascii="Times New Roman" w:hAnsi="Times New Roman" w:eastAsia="宋体" w:cs="Calibri"/>
                <w:bCs w:val="0"/>
                <w:color w:val="auto"/>
                <w:kern w:val="2"/>
              </w:rPr>
              <w:t>。</w:t>
            </w:r>
          </w:p>
          <w:p w14:paraId="497EF646">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排出站外的污水应符合国家现行有关污水排放标准的规定；</w:t>
            </w:r>
          </w:p>
          <w:p w14:paraId="68C0D911">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加油站、LPG加气站不应采用暗沟排水。</w:t>
            </w:r>
          </w:p>
        </w:tc>
        <w:tc>
          <w:tcPr>
            <w:tcW w:w="824" w:type="pct"/>
            <w:vAlign w:val="center"/>
          </w:tcPr>
          <w:p w14:paraId="2AB2B35B">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加油区、卸油区设有环保沟并引至隔油池；雨水散流</w:t>
            </w:r>
          </w:p>
        </w:tc>
        <w:tc>
          <w:tcPr>
            <w:tcW w:w="366" w:type="pct"/>
            <w:vAlign w:val="center"/>
          </w:tcPr>
          <w:p w14:paraId="0BE4D5F4">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E041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BF10B9D">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p>
        </w:tc>
        <w:tc>
          <w:tcPr>
            <w:tcW w:w="3482" w:type="pct"/>
            <w:vAlign w:val="center"/>
          </w:tcPr>
          <w:p w14:paraId="39088020">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12.3.3排水井、雨水口和化粪池不应设在作业区和可燃液体出现泄漏事故时可能流经的部位</w:t>
            </w:r>
            <w:r>
              <w:rPr>
                <w:rFonts w:hint="eastAsia" w:ascii="Times New Roman" w:hAnsi="Times New Roman" w:eastAsia="宋体" w:cs="Calibri"/>
                <w:bCs w:val="0"/>
                <w:color w:val="auto"/>
                <w:kern w:val="2"/>
              </w:rPr>
              <w:t>。</w:t>
            </w:r>
          </w:p>
        </w:tc>
        <w:tc>
          <w:tcPr>
            <w:tcW w:w="824" w:type="pct"/>
            <w:vAlign w:val="center"/>
          </w:tcPr>
          <w:p w14:paraId="0E6A56AE">
            <w:pPr>
              <w:keepNext w:val="0"/>
              <w:keepLines w:val="0"/>
              <w:pageBreakBefore w:val="0"/>
              <w:widowControl w:val="0"/>
              <w:kinsoku/>
              <w:wordWrap w:val="0"/>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w:t>
            </w:r>
            <w:r>
              <w:rPr>
                <w:rFonts w:ascii="Times New Roman" w:hAnsi="Times New Roman" w:eastAsia="宋体" w:cs="Calibri"/>
                <w:bCs w:val="0"/>
                <w:color w:val="auto"/>
                <w:kern w:val="2"/>
              </w:rPr>
              <w:t>设在作业区和可燃液体出现泄漏事故时可能流经的部位</w:t>
            </w:r>
          </w:p>
        </w:tc>
        <w:tc>
          <w:tcPr>
            <w:tcW w:w="366" w:type="pct"/>
            <w:vAlign w:val="center"/>
          </w:tcPr>
          <w:p w14:paraId="40E10CC8">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7BB8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1775D93D">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3</w:t>
            </w:r>
          </w:p>
        </w:tc>
        <w:tc>
          <w:tcPr>
            <w:tcW w:w="3482" w:type="pct"/>
            <w:vAlign w:val="center"/>
          </w:tcPr>
          <w:p w14:paraId="3366E3A0">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GB50966-10.2.2</w:t>
            </w:r>
            <w:r>
              <w:rPr>
                <w:rFonts w:ascii="Times New Roman" w:hAnsi="Times New Roman" w:eastAsia="宋体" w:cs="Arial"/>
                <w:bCs w:val="0"/>
                <w:color w:val="auto"/>
                <w:kern w:val="2"/>
                <w:shd w:val="clear" w:color="auto" w:fill="FFFFFF"/>
              </w:rPr>
              <w:t>站区雨水可通过截水沟或雨水口收集后排入市政雨水系统。雨水排水系统设计宜采用有组织排水方式。当不具备集中排水条件时，站内地面雨水可散流排出站外</w:t>
            </w:r>
            <w:r>
              <w:rPr>
                <w:rFonts w:hint="eastAsia" w:ascii="Times New Roman" w:hAnsi="Times New Roman" w:eastAsia="宋体" w:cs="Arial"/>
                <w:bCs w:val="0"/>
                <w:color w:val="auto"/>
                <w:kern w:val="2"/>
                <w:shd w:val="clear" w:color="auto" w:fill="FFFFFF"/>
              </w:rPr>
              <w:t>。</w:t>
            </w:r>
          </w:p>
        </w:tc>
        <w:tc>
          <w:tcPr>
            <w:tcW w:w="824" w:type="pct"/>
            <w:vAlign w:val="center"/>
          </w:tcPr>
          <w:p w14:paraId="2B85190D">
            <w:pPr>
              <w:keepNext w:val="0"/>
              <w:keepLines w:val="0"/>
              <w:pageBreakBefore w:val="0"/>
              <w:widowControl w:val="0"/>
              <w:kinsoku/>
              <w:wordWrap w:val="0"/>
              <w:overflowPunct/>
              <w:topLinePunct w:val="0"/>
              <w:autoSpaceDE/>
              <w:autoSpaceDN/>
              <w:bidi w:val="0"/>
              <w:adjustRightInd/>
              <w:snapToGrid/>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雨水散流</w:t>
            </w:r>
          </w:p>
        </w:tc>
        <w:tc>
          <w:tcPr>
            <w:tcW w:w="366" w:type="pct"/>
            <w:vAlign w:val="center"/>
          </w:tcPr>
          <w:p w14:paraId="7E6C4B21">
            <w:pPr>
              <w:keepNext w:val="0"/>
              <w:keepLines w:val="0"/>
              <w:pageBreakBefore w:val="0"/>
              <w:widowControl w:val="0"/>
              <w:kinsoku/>
              <w:wordWrap w:val="0"/>
              <w:overflowPunct/>
              <w:topLinePunct w:val="0"/>
              <w:autoSpaceDE/>
              <w:autoSpaceDN/>
              <w:bidi w:val="0"/>
              <w:adjustRightInd/>
              <w:snapToGrid/>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合格</w:t>
            </w:r>
          </w:p>
        </w:tc>
      </w:tr>
    </w:tbl>
    <w:p w14:paraId="0BF3B277">
      <w:pPr>
        <w:spacing w:line="600" w:lineRule="exact"/>
        <w:ind w:firstLine="516" w:firstLineChars="200"/>
        <w:jc w:val="left"/>
        <w:rPr>
          <w:rFonts w:ascii="Times New Roman" w:hAnsi="Times New Roman" w:eastAsia="宋体" w:cs="Calibri"/>
          <w:bCs w:val="0"/>
          <w:color w:val="auto"/>
          <w:kern w:val="2"/>
          <w:sz w:val="28"/>
          <w:szCs w:val="28"/>
        </w:rPr>
      </w:pPr>
      <w:r>
        <w:rPr>
          <w:rFonts w:ascii="Times New Roman" w:hAnsi="Times New Roman" w:eastAsia="宋体" w:cs="Calibri"/>
          <w:bCs w:val="0"/>
          <w:color w:val="auto"/>
          <w:spacing w:val="-11"/>
          <w:kern w:val="2"/>
          <w:sz w:val="28"/>
          <w:szCs w:val="28"/>
        </w:rPr>
        <w:t>评价结论：从上</w:t>
      </w:r>
      <w:r>
        <w:rPr>
          <w:rFonts w:hint="eastAsia" w:ascii="Times New Roman" w:hAnsi="Times New Roman" w:eastAsia="宋体" w:cs="Calibri"/>
          <w:bCs w:val="0"/>
          <w:color w:val="auto"/>
          <w:spacing w:val="-11"/>
          <w:kern w:val="2"/>
          <w:sz w:val="28"/>
          <w:szCs w:val="28"/>
        </w:rPr>
        <w:t>述检查</w:t>
      </w:r>
      <w:r>
        <w:rPr>
          <w:rFonts w:ascii="Times New Roman" w:hAnsi="Times New Roman" w:eastAsia="宋体" w:cs="Calibri"/>
          <w:bCs w:val="0"/>
          <w:color w:val="auto"/>
          <w:spacing w:val="-11"/>
          <w:kern w:val="2"/>
          <w:sz w:val="28"/>
          <w:szCs w:val="28"/>
        </w:rPr>
        <w:t>表可知，以上检查表</w:t>
      </w:r>
      <w:r>
        <w:rPr>
          <w:rFonts w:hint="eastAsia" w:ascii="Times New Roman" w:hAnsi="Times New Roman" w:eastAsia="宋体" w:cs="Calibri"/>
          <w:bCs w:val="0"/>
          <w:color w:val="auto"/>
          <w:spacing w:val="-11"/>
          <w:kern w:val="2"/>
          <w:sz w:val="28"/>
          <w:szCs w:val="28"/>
        </w:rPr>
        <w:t>共检查</w:t>
      </w:r>
      <w:r>
        <w:rPr>
          <w:rFonts w:hint="eastAsia" w:ascii="Times New Roman" w:hAnsi="Times New Roman" w:eastAsia="宋体" w:cs="Calibri"/>
          <w:bCs w:val="0"/>
          <w:color w:val="auto"/>
          <w:spacing w:val="-11"/>
          <w:kern w:val="2"/>
          <w:sz w:val="28"/>
          <w:szCs w:val="28"/>
          <w:lang w:val="en-US" w:eastAsia="zh-CN"/>
        </w:rPr>
        <w:t>6</w:t>
      </w:r>
      <w:r>
        <w:rPr>
          <w:rFonts w:hint="eastAsia" w:ascii="Times New Roman" w:hAnsi="Times New Roman" w:eastAsia="宋体" w:cs="Calibri"/>
          <w:bCs w:val="0"/>
          <w:color w:val="auto"/>
          <w:spacing w:val="-11"/>
          <w:kern w:val="2"/>
          <w:sz w:val="28"/>
          <w:szCs w:val="28"/>
          <w:lang w:eastAsia="zh-CN"/>
        </w:rPr>
        <w:t>项</w:t>
      </w:r>
      <w:r>
        <w:rPr>
          <w:rFonts w:hint="eastAsia" w:ascii="Times New Roman" w:hAnsi="Times New Roman" w:eastAsia="宋体" w:cs="Calibri"/>
          <w:bCs w:val="0"/>
          <w:color w:val="auto"/>
          <w:spacing w:val="-11"/>
          <w:kern w:val="2"/>
          <w:sz w:val="28"/>
          <w:szCs w:val="28"/>
        </w:rPr>
        <w:t>，</w:t>
      </w:r>
      <w:r>
        <w:rPr>
          <w:rFonts w:hint="eastAsia" w:ascii="Times New Roman" w:hAnsi="Times New Roman" w:eastAsia="宋体" w:cs="宋体"/>
          <w:bCs w:val="0"/>
          <w:color w:val="auto"/>
          <w:spacing w:val="-11"/>
          <w:kern w:val="2"/>
          <w:sz w:val="28"/>
          <w:szCs w:val="28"/>
        </w:rPr>
        <w:t>均符合要求</w:t>
      </w:r>
      <w:r>
        <w:rPr>
          <w:rFonts w:hint="eastAsia" w:ascii="Times New Roman" w:hAnsi="Times New Roman" w:eastAsia="宋体" w:cs="Calibri"/>
          <w:bCs w:val="0"/>
          <w:color w:val="auto"/>
          <w:spacing w:val="-11"/>
          <w:kern w:val="2"/>
          <w:sz w:val="28"/>
          <w:szCs w:val="28"/>
        </w:rPr>
        <w:t>。</w:t>
      </w:r>
      <w:bookmarkStart w:id="177" w:name="_Toc92712595"/>
      <w:bookmarkStart w:id="178" w:name="_Toc30243"/>
    </w:p>
    <w:p w14:paraId="3252F0C1">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79" w:name="_Toc26838"/>
      <w:bookmarkStart w:id="180" w:name="_Toc32519"/>
      <w:r>
        <w:rPr>
          <w:rFonts w:hint="eastAsia" w:ascii="Times New Roman" w:hAnsi="Times New Roman" w:eastAsia="宋体" w:cs="Times New Roman"/>
          <w:b/>
          <w:bCs/>
          <w:color w:val="auto"/>
          <w:kern w:val="0"/>
          <w:sz w:val="30"/>
          <w:szCs w:val="30"/>
          <w:lang w:val="en-US" w:eastAsia="zh-CN" w:bidi="ar-SA"/>
        </w:rPr>
        <w:t>5.8 电气、报警和紧急切断系统符合性评价</w:t>
      </w:r>
      <w:bookmarkEnd w:id="177"/>
      <w:bookmarkEnd w:id="178"/>
      <w:bookmarkEnd w:id="179"/>
      <w:bookmarkEnd w:id="180"/>
    </w:p>
    <w:p w14:paraId="01AABB4E">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表5.8-1  电气、报警和紧急切断系统符合性评价</w:t>
      </w:r>
    </w:p>
    <w:tbl>
      <w:tblPr>
        <w:tblStyle w:val="7"/>
        <w:tblW w:w="507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4"/>
        <w:gridCol w:w="6014"/>
        <w:gridCol w:w="1816"/>
        <w:gridCol w:w="740"/>
      </w:tblGrid>
      <w:tr w14:paraId="2789D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5C389ADD">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3253" w:type="pct"/>
            <w:vAlign w:val="center"/>
          </w:tcPr>
          <w:p w14:paraId="3923383B">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982" w:type="pct"/>
            <w:vAlign w:val="center"/>
          </w:tcPr>
          <w:p w14:paraId="695A52C8">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398" w:type="pct"/>
            <w:vAlign w:val="center"/>
          </w:tcPr>
          <w:p w14:paraId="4AAD2782">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228B2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C77A568">
            <w:pPr>
              <w:spacing w:line="280" w:lineRule="exact"/>
              <w:rPr>
                <w:rFonts w:ascii="Times New Roman" w:hAnsi="Times New Roman" w:eastAsia="宋体" w:cs="Calibri"/>
                <w:b/>
                <w:bCs w:val="0"/>
                <w:color w:val="auto"/>
                <w:kern w:val="2"/>
              </w:rPr>
            </w:pPr>
            <w:r>
              <w:rPr>
                <w:rFonts w:ascii="Times New Roman" w:hAnsi="Times New Roman" w:eastAsia="宋体" w:cs="Calibri"/>
                <w:b/>
                <w:bCs w:val="0"/>
                <w:color w:val="auto"/>
                <w:kern w:val="2"/>
              </w:rPr>
              <w:t>供配电</w:t>
            </w:r>
          </w:p>
        </w:tc>
      </w:tr>
      <w:tr w14:paraId="7042C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5CB1183C">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3253" w:type="pct"/>
            <w:vAlign w:val="center"/>
          </w:tcPr>
          <w:p w14:paraId="7549152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13.1.1汽车加油加气加氢站的供电负荷等级可分为三级，信息系统应设不间断供电电源。</w:t>
            </w:r>
          </w:p>
        </w:tc>
        <w:tc>
          <w:tcPr>
            <w:tcW w:w="982" w:type="pct"/>
            <w:vAlign w:val="center"/>
          </w:tcPr>
          <w:p w14:paraId="686F7CB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信息系统</w:t>
            </w:r>
            <w:r>
              <w:rPr>
                <w:rFonts w:hint="eastAsia" w:ascii="Times New Roman" w:hAnsi="Times New Roman" w:eastAsia="宋体" w:cs="Calibri"/>
                <w:bCs w:val="0"/>
                <w:color w:val="auto"/>
                <w:kern w:val="2"/>
              </w:rPr>
              <w:t>设有</w:t>
            </w:r>
            <w:r>
              <w:rPr>
                <w:rFonts w:ascii="Times New Roman" w:hAnsi="Times New Roman" w:eastAsia="宋体" w:cs="Calibri"/>
                <w:bCs w:val="0"/>
                <w:color w:val="auto"/>
                <w:kern w:val="2"/>
              </w:rPr>
              <w:t>UPS电源</w:t>
            </w:r>
          </w:p>
        </w:tc>
        <w:tc>
          <w:tcPr>
            <w:tcW w:w="398" w:type="pct"/>
            <w:vAlign w:val="center"/>
          </w:tcPr>
          <w:p w14:paraId="7BCF9ACF">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1693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593CB877">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w:t>
            </w:r>
          </w:p>
        </w:tc>
        <w:tc>
          <w:tcPr>
            <w:tcW w:w="3253" w:type="pct"/>
            <w:vAlign w:val="center"/>
          </w:tcPr>
          <w:p w14:paraId="5029779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13.1.2加油站、LPG加气站宜采用电压为380/220V的外接电源，CNG加气站、LNG加气站、加氢合建站宜采用电压为10kV的外接电源。</w:t>
            </w:r>
          </w:p>
        </w:tc>
        <w:tc>
          <w:tcPr>
            <w:tcW w:w="982" w:type="pct"/>
            <w:vAlign w:val="center"/>
          </w:tcPr>
          <w:p w14:paraId="1CEC60D9">
            <w:pPr>
              <w:spacing w:line="280" w:lineRule="exact"/>
              <w:rPr>
                <w:rFonts w:ascii="Times New Roman" w:hAnsi="Times New Roman" w:eastAsia="宋体" w:cs="Calibri"/>
                <w:bCs w:val="0"/>
                <w:color w:val="auto"/>
                <w:kern w:val="2"/>
              </w:rPr>
            </w:pPr>
            <w:r>
              <w:rPr>
                <w:rFonts w:hint="eastAsia" w:ascii="Times New Roman" w:hAnsi="Times New Roman" w:eastAsia="宋体" w:cs="Times New Roman"/>
                <w:bCs w:val="0"/>
                <w:color w:val="auto"/>
                <w:kern w:val="2"/>
              </w:rPr>
              <w:t>外接电源引至位于配电间的配电柜</w:t>
            </w:r>
          </w:p>
        </w:tc>
        <w:tc>
          <w:tcPr>
            <w:tcW w:w="398" w:type="pct"/>
            <w:vAlign w:val="center"/>
          </w:tcPr>
          <w:p w14:paraId="1367621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7759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24AC97B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253" w:type="pct"/>
            <w:vAlign w:val="center"/>
          </w:tcPr>
          <w:p w14:paraId="72012E37">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13.1.3汽车加油加气加氢站的消防泵房、罩棚、营业室、LPG泵房、压缩机间等处均应设应急照明，连续供电时间不应少于90min。</w:t>
            </w:r>
          </w:p>
        </w:tc>
        <w:tc>
          <w:tcPr>
            <w:tcW w:w="982" w:type="pct"/>
            <w:vAlign w:val="center"/>
          </w:tcPr>
          <w:p w14:paraId="2C7BC38D">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设有应急照明</w:t>
            </w:r>
          </w:p>
        </w:tc>
        <w:tc>
          <w:tcPr>
            <w:tcW w:w="398" w:type="pct"/>
            <w:vAlign w:val="center"/>
          </w:tcPr>
          <w:p w14:paraId="71CC98F6">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8445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0F614855">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4</w:t>
            </w:r>
          </w:p>
        </w:tc>
        <w:tc>
          <w:tcPr>
            <w:tcW w:w="3253" w:type="pct"/>
            <w:vAlign w:val="center"/>
          </w:tcPr>
          <w:p w14:paraId="5F295AC4">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13.1.4当引用外电源有困难时，汽车加油加气加氢站可设置小型内燃发电机组。内燃机的排烟管口应安装阻火器。排烟管口至各爆炸危险区域</w:t>
            </w:r>
            <w:r>
              <w:rPr>
                <w:rFonts w:hint="eastAsia" w:ascii="Times New Roman" w:hAnsi="Times New Roman" w:eastAsia="宋体" w:cs="Calibri"/>
                <w:bCs w:val="0"/>
                <w:color w:val="auto"/>
                <w:kern w:val="2"/>
              </w:rPr>
              <w:t>边</w:t>
            </w:r>
            <w:r>
              <w:rPr>
                <w:rFonts w:ascii="Times New Roman" w:hAnsi="Times New Roman" w:eastAsia="宋体" w:cs="Calibri"/>
                <w:bCs w:val="0"/>
                <w:color w:val="auto"/>
                <w:kern w:val="2"/>
              </w:rPr>
              <w:t>界的水平距离，应符合下列规定：</w:t>
            </w:r>
          </w:p>
          <w:p w14:paraId="258CE2E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排烟口高出地面4.5m以下时，不应小于5m；</w:t>
            </w:r>
          </w:p>
          <w:p w14:paraId="1E0E651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排烟口高出地面4.5m及以上时，不应小于3m。</w:t>
            </w:r>
          </w:p>
        </w:tc>
        <w:tc>
          <w:tcPr>
            <w:tcW w:w="982" w:type="pct"/>
            <w:vAlign w:val="center"/>
          </w:tcPr>
          <w:p w14:paraId="10D46291">
            <w:pPr>
              <w:spacing w:line="280" w:lineRule="exact"/>
              <w:rPr>
                <w:rFonts w:hint="default" w:ascii="Times New Roman" w:hAnsi="Times New Roman" w:eastAsia="宋体" w:cs="Calibri"/>
                <w:bCs w:val="0"/>
                <w:color w:val="auto"/>
                <w:kern w:val="2"/>
                <w:lang w:val="en-US" w:eastAsia="zh-CN"/>
              </w:rPr>
            </w:pPr>
            <w:r>
              <w:rPr>
                <w:rFonts w:hint="eastAsia" w:ascii="Times New Roman" w:hAnsi="Times New Roman" w:eastAsia="宋体" w:cs="Calibri"/>
                <w:bCs w:val="0"/>
                <w:color w:val="auto"/>
                <w:kern w:val="2"/>
                <w:lang w:val="en-US" w:eastAsia="zh-CN"/>
              </w:rPr>
              <w:t>引用外电源便利，未设置小型内燃发电机组</w:t>
            </w:r>
          </w:p>
        </w:tc>
        <w:tc>
          <w:tcPr>
            <w:tcW w:w="398" w:type="pct"/>
            <w:vAlign w:val="center"/>
          </w:tcPr>
          <w:p w14:paraId="340B4670">
            <w:pPr>
              <w:spacing w:line="280" w:lineRule="exact"/>
              <w:jc w:val="center"/>
              <w:rPr>
                <w:rFonts w:hint="eastAsia" w:ascii="Times New Roman" w:hAnsi="Times New Roman" w:eastAsia="宋体" w:cs="Calibri"/>
                <w:bCs w:val="0"/>
                <w:color w:val="auto"/>
                <w:kern w:val="2"/>
                <w:lang w:eastAsia="zh-CN"/>
              </w:rPr>
            </w:pPr>
            <w:r>
              <w:rPr>
                <w:rFonts w:hint="eastAsia" w:ascii="Times New Roman" w:hAnsi="Times New Roman" w:eastAsia="宋体" w:cs="Calibri"/>
                <w:bCs w:val="0"/>
                <w:color w:val="auto"/>
                <w:kern w:val="2"/>
                <w:lang w:val="en-US" w:eastAsia="zh-CN"/>
              </w:rPr>
              <w:t>-</w:t>
            </w:r>
          </w:p>
        </w:tc>
      </w:tr>
      <w:tr w14:paraId="1E4A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5474C33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5</w:t>
            </w:r>
          </w:p>
        </w:tc>
        <w:tc>
          <w:tcPr>
            <w:tcW w:w="3253" w:type="pct"/>
            <w:vAlign w:val="center"/>
          </w:tcPr>
          <w:p w14:paraId="798C3A9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13.1.5汽车加油加气加氢站的电缆宜采用直埋或电缆穿管敷设。电缆穿越行车道部分应穿钢管保护。</w:t>
            </w:r>
          </w:p>
        </w:tc>
        <w:tc>
          <w:tcPr>
            <w:tcW w:w="982" w:type="pct"/>
            <w:vAlign w:val="center"/>
          </w:tcPr>
          <w:p w14:paraId="028A2CF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穿管敷设</w:t>
            </w:r>
          </w:p>
        </w:tc>
        <w:tc>
          <w:tcPr>
            <w:tcW w:w="398" w:type="pct"/>
            <w:vAlign w:val="center"/>
          </w:tcPr>
          <w:p w14:paraId="1A9DC17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7A2AD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37CAE38F">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6</w:t>
            </w:r>
          </w:p>
        </w:tc>
        <w:tc>
          <w:tcPr>
            <w:tcW w:w="3253" w:type="pct"/>
            <w:vAlign w:val="center"/>
          </w:tcPr>
          <w:p w14:paraId="0C5EF5C9">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13.1.6当采用电缆沟敷设电缆时，作业区内的电缆沟内必须充沙填实。电缆不得与氢气、油品、LPG、LNG和CNG管道以及热力管道敷设在同一沟内。</w:t>
            </w:r>
          </w:p>
        </w:tc>
        <w:tc>
          <w:tcPr>
            <w:tcW w:w="982" w:type="pct"/>
            <w:vAlign w:val="center"/>
          </w:tcPr>
          <w:p w14:paraId="6603145C">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隐蔽工程，已验收</w:t>
            </w:r>
          </w:p>
        </w:tc>
        <w:tc>
          <w:tcPr>
            <w:tcW w:w="398" w:type="pct"/>
            <w:vAlign w:val="center"/>
          </w:tcPr>
          <w:p w14:paraId="7937465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1A52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63AE2AA0">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7</w:t>
            </w:r>
          </w:p>
        </w:tc>
        <w:tc>
          <w:tcPr>
            <w:tcW w:w="3253" w:type="pct"/>
            <w:vAlign w:val="center"/>
          </w:tcPr>
          <w:p w14:paraId="2FC5FCDB">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13.1.7爆炸危险区域内的电气设备选型、安装、电力线路敷设应符合现行国家标准《爆炸危险环境电力装置设计规范》GB50058的有关规定。</w:t>
            </w:r>
          </w:p>
        </w:tc>
        <w:tc>
          <w:tcPr>
            <w:tcW w:w="982" w:type="pct"/>
            <w:vAlign w:val="center"/>
          </w:tcPr>
          <w:p w14:paraId="0E8769A6">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符合国家标准</w:t>
            </w:r>
          </w:p>
        </w:tc>
        <w:tc>
          <w:tcPr>
            <w:tcW w:w="398" w:type="pct"/>
            <w:vAlign w:val="center"/>
          </w:tcPr>
          <w:p w14:paraId="6C200FC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86A8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200DF93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8</w:t>
            </w:r>
          </w:p>
        </w:tc>
        <w:tc>
          <w:tcPr>
            <w:tcW w:w="3253" w:type="pct"/>
            <w:vAlign w:val="center"/>
          </w:tcPr>
          <w:p w14:paraId="13D6529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13.1.8汽车加油加气加氢站内爆炸危险区域以外的照明灯具可选用非防爆型。罩棚下处于非爆炸危险区域的灯具应选用防护等级不低于IP44级的照明灯具。</w:t>
            </w:r>
          </w:p>
        </w:tc>
        <w:tc>
          <w:tcPr>
            <w:tcW w:w="982" w:type="pct"/>
            <w:vAlign w:val="center"/>
          </w:tcPr>
          <w:p w14:paraId="6073790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IP44级</w:t>
            </w:r>
          </w:p>
        </w:tc>
        <w:tc>
          <w:tcPr>
            <w:tcW w:w="398" w:type="pct"/>
            <w:vAlign w:val="center"/>
          </w:tcPr>
          <w:p w14:paraId="1E3FAF3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62B8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D8E1624">
            <w:pPr>
              <w:spacing w:line="280" w:lineRule="exact"/>
              <w:rPr>
                <w:rFonts w:ascii="Times New Roman" w:hAnsi="Times New Roman" w:eastAsia="宋体" w:cs="Calibri"/>
                <w:bCs w:val="0"/>
                <w:color w:val="auto"/>
                <w:kern w:val="2"/>
              </w:rPr>
            </w:pPr>
            <w:r>
              <w:rPr>
                <w:rFonts w:ascii="Times New Roman" w:hAnsi="Times New Roman" w:eastAsia="宋体" w:cs="Calibri"/>
                <w:b/>
                <w:bCs w:val="0"/>
                <w:color w:val="auto"/>
                <w:kern w:val="2"/>
              </w:rPr>
              <w:t>防雷、防静电</w:t>
            </w:r>
          </w:p>
        </w:tc>
      </w:tr>
      <w:tr w14:paraId="6CFD2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197B8D2B">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3253" w:type="pct"/>
            <w:vAlign w:val="center"/>
          </w:tcPr>
          <w:p w14:paraId="2BBEC35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13.2.1钢制油罐、LPG储罐、LNG储罐、CNG储气瓶（组）、储氢容器和液氢储罐必须进行防雷接地，接地点不应少于两处。CNG和氢气的长管拖车或管束式集装箱停放场地、卸车点车辆停放场地应设两处</w:t>
            </w:r>
            <w:r>
              <w:rPr>
                <w:rFonts w:hint="eastAsia" w:ascii="Times New Roman" w:hAnsi="Times New Roman" w:eastAsia="宋体" w:cs="Calibri"/>
                <w:bCs w:val="0"/>
                <w:color w:val="auto"/>
                <w:kern w:val="2"/>
                <w:lang w:eastAsia="zh-CN"/>
              </w:rPr>
              <w:t>临时</w:t>
            </w:r>
            <w:r>
              <w:rPr>
                <w:rFonts w:ascii="Times New Roman" w:hAnsi="Times New Roman" w:eastAsia="宋体" w:cs="Calibri"/>
                <w:bCs w:val="0"/>
                <w:color w:val="auto"/>
                <w:kern w:val="2"/>
              </w:rPr>
              <w:t>固定防雷接地装置。</w:t>
            </w:r>
          </w:p>
        </w:tc>
        <w:tc>
          <w:tcPr>
            <w:tcW w:w="982" w:type="pct"/>
            <w:vAlign w:val="center"/>
          </w:tcPr>
          <w:p w14:paraId="34AF7F3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接地点不少于两处</w:t>
            </w:r>
            <w:r>
              <w:rPr>
                <w:rFonts w:hint="eastAsia" w:ascii="Times New Roman" w:hAnsi="Times New Roman" w:eastAsia="宋体" w:cs="Calibri"/>
                <w:bCs w:val="0"/>
                <w:color w:val="auto"/>
                <w:kern w:val="2"/>
              </w:rPr>
              <w:t>，有合格的防雷接地检测报告</w:t>
            </w:r>
          </w:p>
        </w:tc>
        <w:tc>
          <w:tcPr>
            <w:tcW w:w="398" w:type="pct"/>
            <w:vAlign w:val="center"/>
          </w:tcPr>
          <w:p w14:paraId="6D0EC0EF">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5490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440A6538">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w:t>
            </w:r>
          </w:p>
        </w:tc>
        <w:tc>
          <w:tcPr>
            <w:tcW w:w="3253" w:type="pct"/>
            <w:vAlign w:val="center"/>
          </w:tcPr>
          <w:p w14:paraId="6EE372D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13.2.2汽车加油加气加氢站的防雷接地、防静电接地、电气设备的工作接地、保护接地及信息系统的接地等宜共用接地装置，接地电阻不应大于4Ω。</w:t>
            </w:r>
          </w:p>
        </w:tc>
        <w:tc>
          <w:tcPr>
            <w:tcW w:w="982" w:type="pct"/>
            <w:vAlign w:val="center"/>
          </w:tcPr>
          <w:p w14:paraId="7392AA7E">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有合格的防雷接地检测报告</w:t>
            </w:r>
          </w:p>
        </w:tc>
        <w:tc>
          <w:tcPr>
            <w:tcW w:w="398" w:type="pct"/>
            <w:vAlign w:val="center"/>
          </w:tcPr>
          <w:p w14:paraId="4F17D152">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761F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0F2DB8D9">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253" w:type="pct"/>
            <w:vAlign w:val="center"/>
          </w:tcPr>
          <w:p w14:paraId="3958273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13.2.4埋地钢制油罐、埋地LPG储罐以及非金属油罐顶部的金属部件和罐内的各金属部件，必须与非埋地部分的工艺金属管道相互做电气连接并接地。</w:t>
            </w:r>
          </w:p>
        </w:tc>
        <w:tc>
          <w:tcPr>
            <w:tcW w:w="982" w:type="pct"/>
            <w:vAlign w:val="center"/>
          </w:tcPr>
          <w:p w14:paraId="39DCDA4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隐蔽工程，已验收</w:t>
            </w:r>
          </w:p>
        </w:tc>
        <w:tc>
          <w:tcPr>
            <w:tcW w:w="398" w:type="pct"/>
            <w:vAlign w:val="center"/>
          </w:tcPr>
          <w:p w14:paraId="4F31896A">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64F3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2367905C">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w:t>
            </w:r>
          </w:p>
        </w:tc>
        <w:tc>
          <w:tcPr>
            <w:tcW w:w="3253" w:type="pct"/>
            <w:vAlign w:val="center"/>
          </w:tcPr>
          <w:p w14:paraId="42F19B6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13.2.6当汽车加油加气加氢站内的站房和罩棚等建筑物需要防直击雷时，应采用接闪带（网）保护。当罩棚采用金属屋面时，宜利用屋面作为接闪器，但应符合下列规定：</w:t>
            </w:r>
          </w:p>
          <w:p w14:paraId="10C22A88">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板间的连接应是持久的电气贯通，可采用铜锌合金焊、熔焊、卷边压接、缝接、螺钉或螺栓连接；</w:t>
            </w:r>
          </w:p>
          <w:p w14:paraId="6586E558">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金属板下面不应有易燃物品，热镀锌钢板的厚度不应小于0.5mm，铝板的厚度不应小于0.65mm，锌板的厚度不应小于0.7mm；</w:t>
            </w:r>
          </w:p>
          <w:p w14:paraId="29AFDBA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金属板应无绝缘被覆层。</w:t>
            </w:r>
          </w:p>
        </w:tc>
        <w:tc>
          <w:tcPr>
            <w:tcW w:w="982" w:type="pct"/>
            <w:vAlign w:val="center"/>
          </w:tcPr>
          <w:p w14:paraId="6132C827">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有合格的防雷接地检测报告</w:t>
            </w:r>
          </w:p>
        </w:tc>
        <w:tc>
          <w:tcPr>
            <w:tcW w:w="398" w:type="pct"/>
            <w:vAlign w:val="center"/>
          </w:tcPr>
          <w:p w14:paraId="76A1D737">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F8E9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22C8CE99">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w:t>
            </w:r>
          </w:p>
        </w:tc>
        <w:tc>
          <w:tcPr>
            <w:tcW w:w="3253" w:type="pct"/>
            <w:vAlign w:val="center"/>
          </w:tcPr>
          <w:p w14:paraId="146E82F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13.2.7汽车加油加气加氢站的信息系统应采用铠装电缆或导线穿钢管配线。配线电缆铠装金属层两端、保护钢管</w:t>
            </w:r>
            <w:r>
              <w:rPr>
                <w:rFonts w:hint="eastAsia" w:ascii="Times New Roman" w:hAnsi="Times New Roman" w:eastAsia="宋体" w:cs="Calibri"/>
                <w:bCs w:val="0"/>
                <w:color w:val="auto"/>
                <w:kern w:val="2"/>
                <w:lang w:eastAsia="zh-CN"/>
              </w:rPr>
              <w:t>底端</w:t>
            </w:r>
            <w:r>
              <w:rPr>
                <w:rFonts w:ascii="Times New Roman" w:hAnsi="Times New Roman" w:eastAsia="宋体" w:cs="Calibri"/>
                <w:bCs w:val="0"/>
                <w:color w:val="auto"/>
                <w:kern w:val="2"/>
              </w:rPr>
              <w:t>构应接地。</w:t>
            </w:r>
          </w:p>
        </w:tc>
        <w:tc>
          <w:tcPr>
            <w:tcW w:w="982" w:type="pct"/>
            <w:vAlign w:val="center"/>
          </w:tcPr>
          <w:p w14:paraId="488AC4A1">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有符合的防雷检测报告</w:t>
            </w:r>
          </w:p>
        </w:tc>
        <w:tc>
          <w:tcPr>
            <w:tcW w:w="398" w:type="pct"/>
            <w:vAlign w:val="center"/>
          </w:tcPr>
          <w:p w14:paraId="675552E9">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26F4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7170A3A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w:t>
            </w:r>
          </w:p>
        </w:tc>
        <w:tc>
          <w:tcPr>
            <w:tcW w:w="3253" w:type="pct"/>
            <w:vAlign w:val="center"/>
          </w:tcPr>
          <w:p w14:paraId="5882D4A3">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r>
              <w:rPr>
                <w:rFonts w:ascii="Times New Roman" w:hAnsi="Times New Roman" w:eastAsia="宋体" w:cs="Calibri"/>
                <w:bCs w:val="0"/>
                <w:color w:val="auto"/>
                <w:kern w:val="2"/>
              </w:rPr>
              <w:t>3.2.8汽车加油加气加氢站信息系统的配电线路首、末端与电子器件连接时，应装设与电子器件耐压水平相适应的过电压（电涌）保护器。</w:t>
            </w:r>
          </w:p>
        </w:tc>
        <w:tc>
          <w:tcPr>
            <w:tcW w:w="982" w:type="pct"/>
            <w:vAlign w:val="center"/>
          </w:tcPr>
          <w:p w14:paraId="69C57992">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有符合的防雷检测报告</w:t>
            </w:r>
          </w:p>
        </w:tc>
        <w:tc>
          <w:tcPr>
            <w:tcW w:w="398" w:type="pct"/>
            <w:vAlign w:val="center"/>
          </w:tcPr>
          <w:p w14:paraId="6EB5B1C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BB3A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5555810F">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7</w:t>
            </w:r>
          </w:p>
        </w:tc>
        <w:tc>
          <w:tcPr>
            <w:tcW w:w="3253" w:type="pct"/>
            <w:vAlign w:val="center"/>
          </w:tcPr>
          <w:p w14:paraId="5831F1DE">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13.2.9380/220V供配电系统宜采用TN</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S系统，当外供电源为380V时，可采用TN-C-S系统。供电系统的电缆金属外皮或电缆金属保护管两端均应接地，在供配电系统的电源端应安装与设备耐压水平相适应的过电压（电涌</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保护器。</w:t>
            </w:r>
          </w:p>
        </w:tc>
        <w:tc>
          <w:tcPr>
            <w:tcW w:w="982" w:type="pct"/>
            <w:vAlign w:val="center"/>
          </w:tcPr>
          <w:p w14:paraId="526BCF79">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有符合的防雷检测报告</w:t>
            </w:r>
          </w:p>
        </w:tc>
        <w:tc>
          <w:tcPr>
            <w:tcW w:w="398" w:type="pct"/>
            <w:vAlign w:val="center"/>
          </w:tcPr>
          <w:p w14:paraId="55694A8F">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0FFC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7D0BE01E">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8</w:t>
            </w:r>
          </w:p>
        </w:tc>
        <w:tc>
          <w:tcPr>
            <w:tcW w:w="3253" w:type="pct"/>
            <w:vAlign w:val="center"/>
          </w:tcPr>
          <w:p w14:paraId="4A73AFE0">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13.2.10地上或管沟敷设的油品管道、LPG管道、LNG管道、CNG管道、氢气管道和液氢管道应设防静电和防感应雷的共用接地装置，接地电阻不应大于30Ω。</w:t>
            </w:r>
          </w:p>
        </w:tc>
        <w:tc>
          <w:tcPr>
            <w:tcW w:w="982" w:type="pct"/>
            <w:vAlign w:val="center"/>
          </w:tcPr>
          <w:p w14:paraId="3A3126AB">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有符合的防雷检测报告</w:t>
            </w:r>
          </w:p>
        </w:tc>
        <w:tc>
          <w:tcPr>
            <w:tcW w:w="398" w:type="pct"/>
            <w:vAlign w:val="center"/>
          </w:tcPr>
          <w:p w14:paraId="337AF25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91D0B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470DC834">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9</w:t>
            </w:r>
          </w:p>
        </w:tc>
        <w:tc>
          <w:tcPr>
            <w:tcW w:w="3253" w:type="pct"/>
            <w:vAlign w:val="center"/>
          </w:tcPr>
          <w:p w14:paraId="5743C3B6">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w:t>
            </w:r>
            <w:r>
              <w:rPr>
                <w:rFonts w:ascii="Times New Roman" w:hAnsi="Times New Roman" w:eastAsia="宋体" w:cs="Calibri"/>
                <w:bCs w:val="0"/>
                <w:color w:val="auto"/>
                <w:kern w:val="2"/>
              </w:rPr>
              <w:t>.2.11加油加气加氢站的油罐车</w:t>
            </w:r>
            <w:r>
              <w:rPr>
                <w:rFonts w:hint="eastAsia" w:ascii="Times New Roman" w:hAnsi="Times New Roman" w:eastAsia="宋体" w:cs="Calibri"/>
                <w:bCs w:val="0"/>
                <w:color w:val="auto"/>
                <w:kern w:val="2"/>
              </w:rPr>
              <w:t>、L</w:t>
            </w:r>
            <w:r>
              <w:rPr>
                <w:rFonts w:ascii="Times New Roman" w:hAnsi="Times New Roman" w:eastAsia="宋体" w:cs="Calibri"/>
                <w:bCs w:val="0"/>
                <w:color w:val="auto"/>
                <w:kern w:val="2"/>
              </w:rPr>
              <w:t>PG罐车、LNG罐车和液氢罐车卸车场地应设卸车或卸气临时用的防静电接地装置，并应设置能检测跨接线及监视接地装置状态的静电接地仪。</w:t>
            </w:r>
          </w:p>
        </w:tc>
        <w:tc>
          <w:tcPr>
            <w:tcW w:w="982" w:type="pct"/>
            <w:vAlign w:val="center"/>
          </w:tcPr>
          <w:p w14:paraId="3EFA3BB7">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设置能检测跨接线及监视接地装置状态的静电接地仪</w:t>
            </w:r>
          </w:p>
        </w:tc>
        <w:tc>
          <w:tcPr>
            <w:tcW w:w="398" w:type="pct"/>
            <w:vAlign w:val="center"/>
          </w:tcPr>
          <w:p w14:paraId="06EE5A0B">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BEBA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1C073BF5">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0</w:t>
            </w:r>
          </w:p>
        </w:tc>
        <w:tc>
          <w:tcPr>
            <w:tcW w:w="3253" w:type="pct"/>
            <w:vAlign w:val="center"/>
          </w:tcPr>
          <w:p w14:paraId="713B0CF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13.2.12在爆炸危险区域内工艺管道上的法兰、胶管两端等连接处应用金属线跨接。当法兰的连接螺栓不少于5根时，在非腐蚀环境下可不跨接。</w:t>
            </w:r>
          </w:p>
        </w:tc>
        <w:tc>
          <w:tcPr>
            <w:tcW w:w="982" w:type="pct"/>
            <w:vAlign w:val="center"/>
          </w:tcPr>
          <w:p w14:paraId="7179D2A7">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设置跨接</w:t>
            </w:r>
          </w:p>
        </w:tc>
        <w:tc>
          <w:tcPr>
            <w:tcW w:w="398" w:type="pct"/>
            <w:vAlign w:val="center"/>
          </w:tcPr>
          <w:p w14:paraId="792B478F">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3E72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5F04C9FC">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1</w:t>
            </w:r>
          </w:p>
        </w:tc>
        <w:tc>
          <w:tcPr>
            <w:tcW w:w="3253" w:type="pct"/>
            <w:vAlign w:val="center"/>
          </w:tcPr>
          <w:p w14:paraId="35AB96E5">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13.2.13油罐车卸油用的卸油软管、油气回收软管与两端接头，应保证可靠的电气连接。</w:t>
            </w:r>
          </w:p>
        </w:tc>
        <w:tc>
          <w:tcPr>
            <w:tcW w:w="982" w:type="pct"/>
            <w:vAlign w:val="center"/>
          </w:tcPr>
          <w:p w14:paraId="301DAE0F">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保证可靠的电气连接</w:t>
            </w:r>
          </w:p>
        </w:tc>
        <w:tc>
          <w:tcPr>
            <w:tcW w:w="398" w:type="pct"/>
            <w:vAlign w:val="center"/>
          </w:tcPr>
          <w:p w14:paraId="1349E39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29CA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47A884C5">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2</w:t>
            </w:r>
          </w:p>
        </w:tc>
        <w:tc>
          <w:tcPr>
            <w:tcW w:w="3253" w:type="pct"/>
            <w:vAlign w:val="center"/>
          </w:tcPr>
          <w:p w14:paraId="05ECF721">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13.2.14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982" w:type="pct"/>
            <w:vAlign w:val="center"/>
          </w:tcPr>
          <w:p w14:paraId="58D80012">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采用导静电的热塑性塑料管道</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连接件长期可靠</w:t>
            </w:r>
            <w:r>
              <w:rPr>
                <w:rFonts w:hint="eastAsia" w:ascii="Times New Roman" w:hAnsi="Times New Roman" w:eastAsia="宋体" w:cs="Calibri"/>
                <w:bCs w:val="0"/>
                <w:color w:val="auto"/>
                <w:kern w:val="2"/>
              </w:rPr>
              <w:t>接地</w:t>
            </w:r>
          </w:p>
        </w:tc>
        <w:tc>
          <w:tcPr>
            <w:tcW w:w="398" w:type="pct"/>
            <w:vAlign w:val="center"/>
          </w:tcPr>
          <w:p w14:paraId="63C40F2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6EE0C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430763FD">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3</w:t>
            </w:r>
          </w:p>
        </w:tc>
        <w:tc>
          <w:tcPr>
            <w:tcW w:w="3253" w:type="pct"/>
            <w:vAlign w:val="center"/>
          </w:tcPr>
          <w:p w14:paraId="35E3096D">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13.2.15防静电接地装置的接地电阻不应大于100Ω。</w:t>
            </w:r>
          </w:p>
        </w:tc>
        <w:tc>
          <w:tcPr>
            <w:tcW w:w="982" w:type="pct"/>
            <w:vAlign w:val="center"/>
          </w:tcPr>
          <w:p w14:paraId="33F1637D">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卸油口有静电接地夹、卸油作业区域有人体静电消除装置，另有符合的防雷检测报告，报告中各区域接地电阻均不大于</w:t>
            </w:r>
            <w:r>
              <w:rPr>
                <w:rFonts w:ascii="Times New Roman" w:hAnsi="Times New Roman" w:eastAsia="宋体" w:cs="Calibri"/>
                <w:bCs w:val="0"/>
                <w:color w:val="auto"/>
                <w:kern w:val="2"/>
              </w:rPr>
              <w:t>100Ω</w:t>
            </w:r>
          </w:p>
        </w:tc>
        <w:tc>
          <w:tcPr>
            <w:tcW w:w="398" w:type="pct"/>
            <w:vAlign w:val="center"/>
          </w:tcPr>
          <w:p w14:paraId="02D21037">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2A5F1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6AA675D1">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4</w:t>
            </w:r>
          </w:p>
        </w:tc>
        <w:tc>
          <w:tcPr>
            <w:tcW w:w="3253" w:type="pct"/>
            <w:vAlign w:val="center"/>
          </w:tcPr>
          <w:p w14:paraId="6F0D892E">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13.2.16油罐车、LPG罐车、LNG罐车和液氢罐车卸车场地内用于防静电跨接的固定接地装置不应设置在爆炸危险1区。</w:t>
            </w:r>
          </w:p>
        </w:tc>
        <w:tc>
          <w:tcPr>
            <w:tcW w:w="982" w:type="pct"/>
            <w:vAlign w:val="center"/>
          </w:tcPr>
          <w:p w14:paraId="0DB778FB">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不在爆炸危险1区</w:t>
            </w:r>
          </w:p>
        </w:tc>
        <w:tc>
          <w:tcPr>
            <w:tcW w:w="398" w:type="pct"/>
            <w:vAlign w:val="center"/>
          </w:tcPr>
          <w:p w14:paraId="723A1B54">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6C44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1616AAB">
            <w:pPr>
              <w:spacing w:line="280" w:lineRule="exact"/>
              <w:rPr>
                <w:rFonts w:ascii="Times New Roman" w:hAnsi="Times New Roman" w:eastAsia="宋体" w:cs="Calibri"/>
                <w:b/>
                <w:bCs w:val="0"/>
                <w:color w:val="auto"/>
                <w:kern w:val="2"/>
              </w:rPr>
            </w:pPr>
            <w:r>
              <w:rPr>
                <w:rFonts w:ascii="Times New Roman" w:hAnsi="Times New Roman" w:eastAsia="宋体" w:cs="Calibri"/>
                <w:b/>
                <w:bCs w:val="0"/>
                <w:color w:val="auto"/>
                <w:kern w:val="2"/>
              </w:rPr>
              <w:t>紧急切断系统</w:t>
            </w:r>
          </w:p>
        </w:tc>
      </w:tr>
      <w:tr w14:paraId="64769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73DE5688">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3253" w:type="pct"/>
            <w:vAlign w:val="center"/>
          </w:tcPr>
          <w:p w14:paraId="535E6F0A">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13.5.1汽车加油加气加氢站应设置紧急切断系统，该系统应能在事故状态下实现紧急停车和关闭紧急切断阀的保护功能。</w:t>
            </w:r>
          </w:p>
        </w:tc>
        <w:tc>
          <w:tcPr>
            <w:tcW w:w="982" w:type="pct"/>
            <w:vAlign w:val="center"/>
          </w:tcPr>
          <w:p w14:paraId="3CC360B7">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设置紧急切断系统</w:t>
            </w:r>
          </w:p>
        </w:tc>
        <w:tc>
          <w:tcPr>
            <w:tcW w:w="398" w:type="pct"/>
            <w:vAlign w:val="center"/>
          </w:tcPr>
          <w:p w14:paraId="6BA734A3">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C7EF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40222AED">
            <w:pPr>
              <w:spacing w:line="26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p>
        </w:tc>
        <w:tc>
          <w:tcPr>
            <w:tcW w:w="3253" w:type="pct"/>
            <w:vAlign w:val="center"/>
          </w:tcPr>
          <w:p w14:paraId="5457C566">
            <w:pPr>
              <w:spacing w:line="26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13.5.2紧急切断系统应至少在下列位置设置紧急切断开关：</w:t>
            </w:r>
          </w:p>
          <w:p w14:paraId="13960BA6">
            <w:pPr>
              <w:spacing w:line="26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在汽车加油加气加氢站现场工作人员容易接近且较为安全的位置；</w:t>
            </w:r>
          </w:p>
          <w:p w14:paraId="10172E0F">
            <w:pPr>
              <w:spacing w:line="26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在控制室、值班室内或站房收银台等有人员值守的位置。</w:t>
            </w:r>
          </w:p>
        </w:tc>
        <w:tc>
          <w:tcPr>
            <w:tcW w:w="982" w:type="pct"/>
            <w:vAlign w:val="center"/>
          </w:tcPr>
          <w:p w14:paraId="56891A34">
            <w:pPr>
              <w:spacing w:line="26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设有紧急切断开关。</w:t>
            </w:r>
          </w:p>
        </w:tc>
        <w:tc>
          <w:tcPr>
            <w:tcW w:w="398" w:type="pct"/>
            <w:vAlign w:val="center"/>
          </w:tcPr>
          <w:p w14:paraId="6FA34AE3">
            <w:pPr>
              <w:spacing w:line="26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18D235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198C7B17">
            <w:pPr>
              <w:spacing w:line="26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3</w:t>
            </w:r>
          </w:p>
        </w:tc>
        <w:tc>
          <w:tcPr>
            <w:tcW w:w="3253" w:type="pct"/>
            <w:vAlign w:val="center"/>
          </w:tcPr>
          <w:p w14:paraId="48C85023">
            <w:pPr>
              <w:spacing w:line="26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13.5.3工艺设备的电源和工艺管道上的紧急切断阀</w:t>
            </w:r>
            <w:r>
              <w:rPr>
                <w:rFonts w:hint="eastAsia" w:ascii="Times New Roman" w:hAnsi="Times New Roman" w:eastAsia="宋体" w:cs="Calibri"/>
                <w:bCs w:val="0"/>
                <w:color w:val="auto"/>
                <w:kern w:val="2"/>
                <w:lang w:eastAsia="zh-CN"/>
              </w:rPr>
              <w:t>应</w:t>
            </w:r>
            <w:r>
              <w:rPr>
                <w:rFonts w:ascii="Times New Roman" w:hAnsi="Times New Roman" w:eastAsia="宋体" w:cs="Calibri"/>
                <w:bCs w:val="0"/>
                <w:color w:val="auto"/>
                <w:kern w:val="2"/>
              </w:rPr>
              <w:t>由手动启动的远程控制切断系统操纵关闭。</w:t>
            </w:r>
          </w:p>
        </w:tc>
        <w:tc>
          <w:tcPr>
            <w:tcW w:w="982" w:type="pct"/>
            <w:vAlign w:val="center"/>
          </w:tcPr>
          <w:p w14:paraId="6336851E">
            <w:pPr>
              <w:spacing w:line="26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能由手动启动的远程控制切断系统操纵关闭</w:t>
            </w:r>
          </w:p>
        </w:tc>
        <w:tc>
          <w:tcPr>
            <w:tcW w:w="398" w:type="pct"/>
            <w:vAlign w:val="center"/>
          </w:tcPr>
          <w:p w14:paraId="1488064C">
            <w:pPr>
              <w:spacing w:line="26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B398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5" w:type="pct"/>
            <w:vAlign w:val="center"/>
          </w:tcPr>
          <w:p w14:paraId="0F592360">
            <w:pPr>
              <w:spacing w:line="26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w:t>
            </w:r>
          </w:p>
        </w:tc>
        <w:tc>
          <w:tcPr>
            <w:tcW w:w="3253" w:type="pct"/>
            <w:vAlign w:val="center"/>
          </w:tcPr>
          <w:p w14:paraId="6267A999">
            <w:pPr>
              <w:spacing w:line="26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13.5.4紧急切断系统应只能手动复位。</w:t>
            </w:r>
          </w:p>
        </w:tc>
        <w:tc>
          <w:tcPr>
            <w:tcW w:w="982" w:type="pct"/>
            <w:vAlign w:val="center"/>
          </w:tcPr>
          <w:p w14:paraId="2AB680FF">
            <w:pPr>
              <w:spacing w:line="26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手动复位</w:t>
            </w:r>
          </w:p>
        </w:tc>
        <w:tc>
          <w:tcPr>
            <w:tcW w:w="398" w:type="pct"/>
            <w:vAlign w:val="center"/>
          </w:tcPr>
          <w:p w14:paraId="59A25DB0">
            <w:pPr>
              <w:spacing w:line="26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bl>
    <w:p w14:paraId="2C0ECFBB">
      <w:pPr>
        <w:spacing w:line="600" w:lineRule="exact"/>
        <w:ind w:firstLine="570"/>
        <w:rPr>
          <w:rFonts w:ascii="Times New Roman" w:hAnsi="Times New Roman" w:eastAsia="宋体" w:cs="Calibri"/>
          <w:bCs w:val="0"/>
          <w:color w:val="auto"/>
          <w:spacing w:val="-6"/>
          <w:kern w:val="2"/>
          <w:sz w:val="28"/>
          <w:szCs w:val="28"/>
        </w:rPr>
      </w:pPr>
      <w:r>
        <w:rPr>
          <w:rFonts w:ascii="Times New Roman" w:hAnsi="Times New Roman" w:eastAsia="宋体" w:cs="Calibri"/>
          <w:bCs w:val="0"/>
          <w:color w:val="auto"/>
          <w:spacing w:val="-11"/>
          <w:kern w:val="2"/>
          <w:sz w:val="28"/>
          <w:szCs w:val="28"/>
        </w:rPr>
        <w:t>评价结论：从上</w:t>
      </w:r>
      <w:r>
        <w:rPr>
          <w:rFonts w:hint="eastAsia" w:ascii="Times New Roman" w:hAnsi="Times New Roman" w:eastAsia="宋体" w:cs="Calibri"/>
          <w:bCs w:val="0"/>
          <w:color w:val="auto"/>
          <w:spacing w:val="-11"/>
          <w:kern w:val="2"/>
          <w:sz w:val="28"/>
          <w:szCs w:val="28"/>
        </w:rPr>
        <w:t>述检查</w:t>
      </w:r>
      <w:r>
        <w:rPr>
          <w:rFonts w:ascii="Times New Roman" w:hAnsi="Times New Roman" w:eastAsia="宋体" w:cs="Calibri"/>
          <w:bCs w:val="0"/>
          <w:color w:val="auto"/>
          <w:spacing w:val="-11"/>
          <w:kern w:val="2"/>
          <w:sz w:val="28"/>
          <w:szCs w:val="28"/>
        </w:rPr>
        <w:t>表可知，</w:t>
      </w:r>
      <w:r>
        <w:rPr>
          <w:rFonts w:hint="eastAsia" w:ascii="Times New Roman" w:hAnsi="Times New Roman" w:eastAsia="宋体" w:cs="Calibri"/>
          <w:bCs w:val="0"/>
          <w:color w:val="auto"/>
          <w:spacing w:val="-11"/>
          <w:kern w:val="2"/>
          <w:sz w:val="28"/>
          <w:szCs w:val="28"/>
        </w:rPr>
        <w:t>均符合要求。</w:t>
      </w:r>
    </w:p>
    <w:p w14:paraId="6D3521E7">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81" w:name="_Toc30531"/>
      <w:bookmarkStart w:id="182" w:name="_Toc7007"/>
      <w:bookmarkStart w:id="183" w:name="_Toc1576"/>
      <w:bookmarkStart w:id="184" w:name="_Toc92712596"/>
      <w:r>
        <w:rPr>
          <w:rFonts w:hint="eastAsia" w:ascii="Times New Roman" w:hAnsi="Times New Roman" w:eastAsia="宋体" w:cs="Times New Roman"/>
          <w:b/>
          <w:bCs/>
          <w:color w:val="auto"/>
          <w:kern w:val="0"/>
          <w:sz w:val="30"/>
          <w:szCs w:val="30"/>
          <w:lang w:val="en-US" w:eastAsia="zh-CN" w:bidi="ar-SA"/>
        </w:rPr>
        <w:t>5.9 采暖通风、建（构）筑物、绿化符合性评价</w:t>
      </w:r>
      <w:bookmarkEnd w:id="181"/>
      <w:bookmarkEnd w:id="182"/>
      <w:bookmarkEnd w:id="183"/>
      <w:bookmarkEnd w:id="184"/>
    </w:p>
    <w:p w14:paraId="7C2F567D">
      <w:pPr>
        <w:spacing w:line="600" w:lineRule="exact"/>
        <w:jc w:val="cente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表5.9-1  采暖通风、建（构）筑物、绿化符合性评价</w:t>
      </w:r>
    </w:p>
    <w:tbl>
      <w:tblPr>
        <w:tblStyle w:val="7"/>
        <w:tblW w:w="5034" w:type="pct"/>
        <w:jc w:val="center"/>
        <w:tblLayout w:type="autofit"/>
        <w:tblCellMar>
          <w:top w:w="0" w:type="dxa"/>
          <w:left w:w="0" w:type="dxa"/>
          <w:bottom w:w="0" w:type="dxa"/>
          <w:right w:w="0" w:type="dxa"/>
        </w:tblCellMar>
      </w:tblPr>
      <w:tblGrid>
        <w:gridCol w:w="669"/>
        <w:gridCol w:w="6222"/>
        <w:gridCol w:w="1651"/>
        <w:gridCol w:w="602"/>
      </w:tblGrid>
      <w:tr w14:paraId="5FE259BF">
        <w:tblPrEx>
          <w:tblCellMar>
            <w:top w:w="0" w:type="dxa"/>
            <w:left w:w="0" w:type="dxa"/>
            <w:bottom w:w="0" w:type="dxa"/>
            <w:right w:w="0" w:type="dxa"/>
          </w:tblCellMar>
        </w:tblPrEx>
        <w:trPr>
          <w:trHeight w:val="41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1826DD4C">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3402" w:type="pct"/>
            <w:tcBorders>
              <w:top w:val="single" w:color="auto" w:sz="8" w:space="0"/>
              <w:left w:val="single" w:color="auto" w:sz="8" w:space="0"/>
              <w:bottom w:val="single" w:color="auto" w:sz="8" w:space="0"/>
              <w:right w:val="single" w:color="auto" w:sz="4" w:space="0"/>
            </w:tcBorders>
            <w:vAlign w:val="center"/>
          </w:tcPr>
          <w:p w14:paraId="1ECF60E3">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903" w:type="pct"/>
            <w:tcBorders>
              <w:top w:val="single" w:color="auto" w:sz="8" w:space="0"/>
              <w:left w:val="single" w:color="auto" w:sz="4" w:space="0"/>
              <w:bottom w:val="single" w:color="auto" w:sz="8" w:space="0"/>
              <w:right w:val="single" w:color="auto" w:sz="4" w:space="0"/>
            </w:tcBorders>
            <w:vAlign w:val="center"/>
          </w:tcPr>
          <w:p w14:paraId="22EAC895">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327" w:type="pct"/>
            <w:tcBorders>
              <w:top w:val="single" w:color="auto" w:sz="8" w:space="0"/>
              <w:left w:val="single" w:color="auto" w:sz="4" w:space="0"/>
              <w:bottom w:val="single" w:color="auto" w:sz="8" w:space="0"/>
              <w:right w:val="single" w:color="auto" w:sz="4" w:space="0"/>
            </w:tcBorders>
            <w:vAlign w:val="center"/>
          </w:tcPr>
          <w:p w14:paraId="5F844CB7">
            <w:pPr>
              <w:spacing w:line="280" w:lineRule="exact"/>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12BD3C34">
        <w:tblPrEx>
          <w:tblCellMar>
            <w:top w:w="0" w:type="dxa"/>
            <w:left w:w="0" w:type="dxa"/>
            <w:bottom w:w="0" w:type="dxa"/>
            <w:right w:w="0" w:type="dxa"/>
          </w:tblCellMar>
        </w:tblPrEx>
        <w:trPr>
          <w:trHeight w:val="410" w:hRule="atLeast"/>
          <w:jc w:val="center"/>
        </w:trPr>
        <w:tc>
          <w:tcPr>
            <w:tcW w:w="5000" w:type="pct"/>
            <w:gridSpan w:val="4"/>
            <w:tcBorders>
              <w:top w:val="single" w:color="auto" w:sz="8" w:space="0"/>
              <w:left w:val="single" w:color="auto" w:sz="4" w:space="0"/>
              <w:bottom w:val="single" w:color="auto" w:sz="8" w:space="0"/>
              <w:right w:val="single" w:color="auto" w:sz="4" w:space="0"/>
            </w:tcBorders>
            <w:vAlign w:val="center"/>
          </w:tcPr>
          <w:p w14:paraId="7B58D377">
            <w:pPr>
              <w:spacing w:line="280" w:lineRule="exact"/>
              <w:rPr>
                <w:rFonts w:ascii="Times New Roman" w:hAnsi="Times New Roman" w:eastAsia="宋体" w:cs="Calibri"/>
                <w:b/>
                <w:bCs w:val="0"/>
                <w:color w:val="auto"/>
                <w:kern w:val="2"/>
              </w:rPr>
            </w:pPr>
            <w:r>
              <w:rPr>
                <w:rFonts w:ascii="Times New Roman" w:hAnsi="Times New Roman" w:eastAsia="宋体" w:cs="Calibri"/>
                <w:b/>
                <w:bCs w:val="0"/>
                <w:color w:val="auto"/>
                <w:kern w:val="2"/>
              </w:rPr>
              <w:t>采暖通风</w:t>
            </w:r>
          </w:p>
        </w:tc>
      </w:tr>
      <w:tr w14:paraId="77F8FB7C">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514CD389">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3402" w:type="pct"/>
            <w:tcBorders>
              <w:top w:val="single" w:color="auto" w:sz="8" w:space="0"/>
              <w:left w:val="single" w:color="auto" w:sz="8" w:space="0"/>
              <w:bottom w:val="single" w:color="auto" w:sz="8" w:space="0"/>
              <w:right w:val="single" w:color="auto" w:sz="4" w:space="0"/>
            </w:tcBorders>
            <w:vAlign w:val="center"/>
          </w:tcPr>
          <w:p w14:paraId="36387B1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14.1.1汽车加油加气加氢站内的各类房间应根据站场环境、生产工艺特点和运行管理需要进行采暖设计。采暖房间的室内计算温度不宜低于表14.1.1的规定。</w:t>
            </w:r>
          </w:p>
        </w:tc>
        <w:tc>
          <w:tcPr>
            <w:tcW w:w="903" w:type="pct"/>
            <w:tcBorders>
              <w:top w:val="single" w:color="auto" w:sz="8" w:space="0"/>
              <w:left w:val="single" w:color="auto" w:sz="4" w:space="0"/>
              <w:bottom w:val="single" w:color="auto" w:sz="8" w:space="0"/>
              <w:right w:val="single" w:color="auto" w:sz="4" w:space="0"/>
            </w:tcBorders>
            <w:vAlign w:val="center"/>
          </w:tcPr>
          <w:p w14:paraId="686E163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11BB363E">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合格</w:t>
            </w:r>
          </w:p>
        </w:tc>
      </w:tr>
      <w:tr w14:paraId="7C0B7F79">
        <w:tblPrEx>
          <w:tblCellMar>
            <w:top w:w="0" w:type="dxa"/>
            <w:left w:w="0" w:type="dxa"/>
            <w:bottom w:w="0" w:type="dxa"/>
            <w:right w:w="0" w:type="dxa"/>
          </w:tblCellMar>
        </w:tblPrEx>
        <w:trPr>
          <w:trHeight w:val="67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6938B8C1">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2</w:t>
            </w:r>
          </w:p>
        </w:tc>
        <w:tc>
          <w:tcPr>
            <w:tcW w:w="3402" w:type="pct"/>
            <w:tcBorders>
              <w:top w:val="single" w:color="auto" w:sz="8" w:space="0"/>
              <w:left w:val="single" w:color="auto" w:sz="8" w:space="0"/>
              <w:bottom w:val="single" w:color="auto" w:sz="8" w:space="0"/>
              <w:right w:val="single" w:color="auto" w:sz="4" w:space="0"/>
            </w:tcBorders>
            <w:vAlign w:val="center"/>
          </w:tcPr>
          <w:p w14:paraId="32063D77">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14.1.2车加油加气加氢站的采暖宜利用城市、小区或邻近单位的热源。无利用条件时，可在汽车加油加气加氢站内设置锅炉房。</w:t>
            </w:r>
          </w:p>
        </w:tc>
        <w:tc>
          <w:tcPr>
            <w:tcW w:w="903" w:type="pct"/>
            <w:tcBorders>
              <w:top w:val="single" w:color="auto" w:sz="8" w:space="0"/>
              <w:left w:val="single" w:color="auto" w:sz="4" w:space="0"/>
              <w:bottom w:val="single" w:color="auto" w:sz="8" w:space="0"/>
              <w:right w:val="single" w:color="auto" w:sz="4" w:space="0"/>
            </w:tcBorders>
            <w:vAlign w:val="center"/>
          </w:tcPr>
          <w:p w14:paraId="3FF8DA41">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3850BAD8">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合格</w:t>
            </w:r>
          </w:p>
        </w:tc>
      </w:tr>
      <w:tr w14:paraId="51A608D6">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6" w:space="0"/>
              <w:right w:val="single" w:color="auto" w:sz="8" w:space="0"/>
            </w:tcBorders>
            <w:vAlign w:val="center"/>
          </w:tcPr>
          <w:p w14:paraId="76C732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p>
        </w:tc>
        <w:tc>
          <w:tcPr>
            <w:tcW w:w="3402" w:type="pct"/>
            <w:tcBorders>
              <w:top w:val="single" w:color="auto" w:sz="8" w:space="0"/>
              <w:left w:val="single" w:color="auto" w:sz="8" w:space="0"/>
              <w:bottom w:val="single" w:color="auto" w:sz="6" w:space="0"/>
              <w:right w:val="single" w:color="auto" w:sz="4" w:space="0"/>
            </w:tcBorders>
            <w:vAlign w:val="center"/>
          </w:tcPr>
          <w:p w14:paraId="31B663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14.1.4汽车加油加气加氢站内爆炸危险区域中的房间或箱体应采取通风措施，并应符合下列规定</w:t>
            </w:r>
            <w:r>
              <w:rPr>
                <w:rFonts w:hint="eastAsia" w:ascii="Times New Roman" w:hAnsi="Times New Roman" w:eastAsia="宋体" w:cs="Calibri"/>
                <w:bCs w:val="0"/>
                <w:color w:val="auto"/>
                <w:kern w:val="2"/>
              </w:rPr>
              <w:t>：</w:t>
            </w:r>
          </w:p>
          <w:p w14:paraId="5D2752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1、采用强制通风时，通风设备的通风能力在工艺设备工作期间应按每小时换气12次计算，在工艺设备非工作期间应按每小时换气5次计算。通风设备应防爆，并应与可燃气体浓度报警器联锁。</w:t>
            </w:r>
          </w:p>
          <w:p w14:paraId="0F351E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2、采用自然通风时，通风口总面积不应小于300c㎡/m（地面），通风口不应少于2个，且应靠近可燃气体积聚的部位设置。</w:t>
            </w:r>
          </w:p>
        </w:tc>
        <w:tc>
          <w:tcPr>
            <w:tcW w:w="903" w:type="pct"/>
            <w:tcBorders>
              <w:top w:val="single" w:color="auto" w:sz="8" w:space="0"/>
              <w:left w:val="single" w:color="auto" w:sz="4" w:space="0"/>
              <w:bottom w:val="single" w:color="auto" w:sz="6" w:space="0"/>
              <w:right w:val="single" w:color="auto" w:sz="4" w:space="0"/>
            </w:tcBorders>
            <w:vAlign w:val="center"/>
          </w:tcPr>
          <w:p w14:paraId="645CC78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27" w:type="pct"/>
            <w:tcBorders>
              <w:top w:val="single" w:color="auto" w:sz="8" w:space="0"/>
              <w:left w:val="single" w:color="auto" w:sz="4" w:space="0"/>
              <w:bottom w:val="single" w:color="auto" w:sz="6" w:space="0"/>
              <w:right w:val="single" w:color="auto" w:sz="4" w:space="0"/>
            </w:tcBorders>
            <w:vAlign w:val="center"/>
          </w:tcPr>
          <w:p w14:paraId="6EEDF6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C0D691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1D0F91A5">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w:t>
            </w:r>
          </w:p>
        </w:tc>
        <w:tc>
          <w:tcPr>
            <w:tcW w:w="3402" w:type="pct"/>
            <w:tcBorders>
              <w:top w:val="single" w:color="auto" w:sz="6" w:space="0"/>
              <w:left w:val="single" w:color="auto" w:sz="8" w:space="0"/>
              <w:bottom w:val="single" w:color="auto" w:sz="6" w:space="0"/>
              <w:right w:val="single" w:color="auto" w:sz="4" w:space="0"/>
            </w:tcBorders>
            <w:vAlign w:val="center"/>
          </w:tcPr>
          <w:p w14:paraId="2EE77C2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14.1.5汽车加油加气加氢站室内外采暖管道宜直埋敷设，当采用管沟敷设时，管沟应充沙填实，进、出建筑物处应采取隔断措施。</w:t>
            </w:r>
          </w:p>
        </w:tc>
        <w:tc>
          <w:tcPr>
            <w:tcW w:w="903" w:type="pct"/>
            <w:tcBorders>
              <w:top w:val="single" w:color="auto" w:sz="6" w:space="0"/>
              <w:left w:val="single" w:color="auto" w:sz="4" w:space="0"/>
              <w:bottom w:val="single" w:color="auto" w:sz="6" w:space="0"/>
              <w:right w:val="single" w:color="auto" w:sz="4" w:space="0"/>
            </w:tcBorders>
            <w:vAlign w:val="center"/>
          </w:tcPr>
          <w:p w14:paraId="6CD70E3D">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F6821D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68E6C21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77919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w:t>
            </w:r>
          </w:p>
        </w:tc>
        <w:tc>
          <w:tcPr>
            <w:tcW w:w="3402" w:type="pct"/>
            <w:tcBorders>
              <w:top w:val="single" w:color="auto" w:sz="6" w:space="0"/>
              <w:left w:val="single" w:color="auto" w:sz="8" w:space="0"/>
              <w:bottom w:val="single" w:color="auto" w:sz="6" w:space="0"/>
              <w:right w:val="single" w:color="auto" w:sz="4" w:space="0"/>
            </w:tcBorders>
            <w:vAlign w:val="center"/>
          </w:tcPr>
          <w:p w14:paraId="7173116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Times New Roman"/>
                <w:bCs w:val="0"/>
                <w:color w:val="auto"/>
                <w:kern w:val="2"/>
              </w:rPr>
              <w:t>GB50229-11.6.1 地下变电站采暖、通风和空气调节设计应符合下列规定：</w:t>
            </w:r>
            <w:r>
              <w:rPr>
                <w:rFonts w:hint="eastAsia" w:ascii="Times New Roman" w:hAnsi="Times New Roman" w:eastAsia="宋体" w:cs="Times New Roman"/>
                <w:bCs w:val="0"/>
                <w:color w:val="auto"/>
                <w:kern w:val="2"/>
              </w:rPr>
              <w:br w:type="textWrapping"/>
            </w:r>
            <w:r>
              <w:rPr>
                <w:rFonts w:hint="eastAsia" w:ascii="Times New Roman" w:hAnsi="Times New Roman" w:eastAsia="宋体" w:cs="Times New Roman"/>
                <w:bCs w:val="0"/>
                <w:color w:val="auto"/>
                <w:kern w:val="2"/>
              </w:rPr>
              <w:t>    1 所有采暖区域严禁采用明火取暖；</w:t>
            </w:r>
            <w:r>
              <w:rPr>
                <w:rFonts w:hint="eastAsia" w:ascii="Times New Roman" w:hAnsi="Times New Roman" w:eastAsia="宋体" w:cs="Times New Roman"/>
                <w:bCs w:val="0"/>
                <w:color w:val="auto"/>
                <w:kern w:val="2"/>
              </w:rPr>
              <w:br w:type="textWrapping"/>
            </w:r>
            <w:r>
              <w:rPr>
                <w:rFonts w:hint="eastAsia" w:ascii="Times New Roman" w:hAnsi="Times New Roman" w:eastAsia="宋体" w:cs="Times New Roman"/>
                <w:bCs w:val="0"/>
                <w:color w:val="auto"/>
                <w:kern w:val="2"/>
              </w:rPr>
              <w:t>    2 电气配电装置室应设置火灾后排风设施，其他房间的排烟设计应符合国家标准《建筑设计防火规范》GB 50016的规定；</w:t>
            </w:r>
            <w:r>
              <w:rPr>
                <w:rFonts w:hint="eastAsia" w:ascii="Times New Roman" w:hAnsi="Times New Roman" w:eastAsia="宋体" w:cs="Times New Roman"/>
                <w:bCs w:val="0"/>
                <w:color w:val="auto"/>
                <w:kern w:val="2"/>
              </w:rPr>
              <w:br w:type="textWrapping"/>
            </w:r>
            <w:r>
              <w:rPr>
                <w:rFonts w:hint="eastAsia" w:ascii="Times New Roman" w:hAnsi="Times New Roman" w:eastAsia="宋体" w:cs="Times New Roman"/>
                <w:bCs w:val="0"/>
                <w:color w:val="auto"/>
                <w:kern w:val="2"/>
              </w:rPr>
              <w:t>    3 当火灾发生时，送排风系统、空调系统应能自动停止运行。当采用气体灭火系统时，穿过防护区的通风或空调风道上的阻断阀应能立即自动关闭。</w:t>
            </w:r>
            <w:r>
              <w:rPr>
                <w:rFonts w:hint="eastAsia" w:ascii="Times New Roman" w:hAnsi="Times New Roman" w:eastAsia="宋体" w:cs="Times New Roman"/>
                <w:bCs w:val="0"/>
                <w:color w:val="auto"/>
                <w:kern w:val="2"/>
              </w:rPr>
              <w:br w:type="textWrapping"/>
            </w:r>
            <w:r>
              <w:rPr>
                <w:rFonts w:hint="eastAsia" w:ascii="Times New Roman" w:hAnsi="Times New Roman" w:eastAsia="宋体" w:cs="Times New Roman"/>
                <w:bCs w:val="0"/>
                <w:color w:val="auto"/>
                <w:kern w:val="2"/>
              </w:rPr>
              <w:t>GB50229-11.6.2 阀厅应设置火灾后排风设施。</w:t>
            </w:r>
            <w:r>
              <w:rPr>
                <w:rFonts w:hint="eastAsia" w:ascii="Times New Roman" w:hAnsi="Times New Roman" w:eastAsia="宋体" w:cs="Times New Roman"/>
                <w:bCs w:val="0"/>
                <w:color w:val="auto"/>
                <w:kern w:val="2"/>
              </w:rPr>
              <w:br w:type="textWrapping"/>
            </w:r>
            <w:r>
              <w:rPr>
                <w:rFonts w:hint="eastAsia" w:ascii="Times New Roman" w:hAnsi="Times New Roman" w:eastAsia="宋体" w:cs="Times New Roman"/>
                <w:bCs w:val="0"/>
                <w:color w:val="auto"/>
                <w:kern w:val="2"/>
              </w:rPr>
              <w:t>GB50229-11.6.3 地下变电站的空气调节，地上变电站的采暖、通风和空气调节，应符合本标准第8章的有关规定。</w:t>
            </w:r>
          </w:p>
        </w:tc>
        <w:tc>
          <w:tcPr>
            <w:tcW w:w="1651" w:type="dxa"/>
            <w:tcBorders>
              <w:top w:val="single" w:color="auto" w:sz="6" w:space="0"/>
              <w:left w:val="single" w:color="auto" w:sz="4" w:space="0"/>
              <w:bottom w:val="single" w:color="auto" w:sz="6" w:space="0"/>
              <w:right w:val="single" w:color="auto" w:sz="4" w:space="0"/>
            </w:tcBorders>
            <w:vAlign w:val="center"/>
          </w:tcPr>
          <w:p w14:paraId="28E8B106">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602" w:type="dxa"/>
            <w:tcBorders>
              <w:top w:val="single" w:color="auto" w:sz="6" w:space="0"/>
              <w:left w:val="single" w:color="auto" w:sz="4" w:space="0"/>
              <w:bottom w:val="single" w:color="auto" w:sz="6" w:space="0"/>
              <w:right w:val="single" w:color="auto" w:sz="4" w:space="0"/>
            </w:tcBorders>
            <w:vAlign w:val="center"/>
          </w:tcPr>
          <w:p w14:paraId="35B249D0">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0644F838">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3C44DE85">
            <w:pPr>
              <w:spacing w:line="280" w:lineRule="exact"/>
              <w:rPr>
                <w:rFonts w:ascii="Times New Roman" w:hAnsi="Times New Roman" w:eastAsia="宋体" w:cs="Calibri"/>
                <w:b/>
                <w:bCs w:val="0"/>
                <w:color w:val="auto"/>
                <w:kern w:val="2"/>
              </w:rPr>
            </w:pPr>
            <w:r>
              <w:rPr>
                <w:rFonts w:ascii="Times New Roman" w:hAnsi="Times New Roman" w:eastAsia="宋体" w:cs="Calibri"/>
                <w:b/>
                <w:bCs w:val="0"/>
                <w:color w:val="auto"/>
                <w:kern w:val="2"/>
              </w:rPr>
              <w:t>建（构）筑物</w:t>
            </w:r>
          </w:p>
        </w:tc>
      </w:tr>
      <w:tr w14:paraId="52A9B390">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3695BEFB">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3402" w:type="pct"/>
            <w:tcBorders>
              <w:top w:val="single" w:color="auto" w:sz="6" w:space="0"/>
              <w:left w:val="single" w:color="auto" w:sz="8" w:space="0"/>
              <w:bottom w:val="single" w:color="auto" w:sz="6" w:space="0"/>
              <w:right w:val="single" w:color="auto" w:sz="4" w:space="0"/>
            </w:tcBorders>
            <w:vAlign w:val="center"/>
          </w:tcPr>
          <w:p w14:paraId="502D6FF4">
            <w:pPr>
              <w:spacing w:line="28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14.2.1作业区内的站房及其他附属建筑物的耐火等级不应低于二级。罩棚顶棚可采用无防火保护的钢结构。</w:t>
            </w:r>
          </w:p>
        </w:tc>
        <w:tc>
          <w:tcPr>
            <w:tcW w:w="903" w:type="pct"/>
            <w:tcBorders>
              <w:top w:val="single" w:color="auto" w:sz="6" w:space="0"/>
              <w:left w:val="single" w:color="auto" w:sz="4" w:space="0"/>
              <w:bottom w:val="single" w:color="auto" w:sz="6" w:space="0"/>
              <w:right w:val="single" w:color="auto" w:sz="4" w:space="0"/>
            </w:tcBorders>
            <w:vAlign w:val="center"/>
          </w:tcPr>
          <w:p w14:paraId="3CE8C7DC">
            <w:pPr>
              <w:spacing w:line="280" w:lineRule="exact"/>
              <w:rPr>
                <w:rFonts w:ascii="Times New Roman" w:hAnsi="Times New Roman" w:eastAsia="宋体" w:cs="Calibri"/>
                <w:bCs w:val="0"/>
                <w:color w:val="auto"/>
                <w:kern w:val="2"/>
              </w:rPr>
            </w:pPr>
            <w:r>
              <w:rPr>
                <w:rFonts w:ascii="Times New Roman" w:hAnsi="Times New Roman" w:eastAsia="宋体" w:cs="Calibri"/>
                <w:bCs w:val="0"/>
                <w:color w:val="auto"/>
                <w:kern w:val="2"/>
              </w:rPr>
              <w:t>站房的耐火等级</w:t>
            </w:r>
            <w:r>
              <w:rPr>
                <w:rFonts w:hint="eastAsia" w:ascii="Times New Roman" w:hAnsi="Times New Roman" w:eastAsia="宋体" w:cs="Calibri"/>
                <w:bCs w:val="0"/>
                <w:color w:val="auto"/>
                <w:kern w:val="2"/>
              </w:rPr>
              <w:t>为二级耐火</w:t>
            </w:r>
          </w:p>
        </w:tc>
        <w:tc>
          <w:tcPr>
            <w:tcW w:w="327" w:type="pct"/>
            <w:tcBorders>
              <w:top w:val="single" w:color="auto" w:sz="6" w:space="0"/>
              <w:left w:val="single" w:color="auto" w:sz="4" w:space="0"/>
              <w:bottom w:val="single" w:color="auto" w:sz="6" w:space="0"/>
              <w:right w:val="single" w:color="auto" w:sz="4" w:space="0"/>
            </w:tcBorders>
            <w:vAlign w:val="center"/>
          </w:tcPr>
          <w:p w14:paraId="1152FC50">
            <w:pPr>
              <w:spacing w:line="280" w:lineRule="exact"/>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8C5BE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D99FC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p>
        </w:tc>
        <w:tc>
          <w:tcPr>
            <w:tcW w:w="3402" w:type="pct"/>
            <w:tcBorders>
              <w:top w:val="single" w:color="auto" w:sz="6" w:space="0"/>
              <w:left w:val="single" w:color="auto" w:sz="8" w:space="0"/>
              <w:bottom w:val="single" w:color="auto" w:sz="6" w:space="0"/>
              <w:right w:val="single" w:color="auto" w:sz="4" w:space="0"/>
            </w:tcBorders>
            <w:vAlign w:val="center"/>
          </w:tcPr>
          <w:p w14:paraId="2110A9F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14.2.2汽车加油加气加氢场地宜设罩棚，罩棚的设计应符合下</w:t>
            </w:r>
            <w:r>
              <w:rPr>
                <w:rFonts w:hint="eastAsia" w:ascii="Times New Roman" w:hAnsi="Times New Roman" w:eastAsia="宋体" w:cs="Calibri"/>
                <w:bCs w:val="0"/>
                <w:color w:val="auto"/>
                <w:kern w:val="2"/>
              </w:rPr>
              <w:t>列规定：</w:t>
            </w:r>
          </w:p>
          <w:p w14:paraId="35E7164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罩棚应采用不燃烧材料建造；</w:t>
            </w:r>
          </w:p>
          <w:p w14:paraId="0176660C">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进站口无限高措施时，罩棚的净高度不应小于4.5m；进站口有限高措施时，罩棚的净空高度不应小于限高高度；</w:t>
            </w:r>
          </w:p>
          <w:p w14:paraId="78C3CD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罩棚遮盖加油机、加气机的平面投影距离不宜小于2m；</w:t>
            </w:r>
          </w:p>
          <w:p w14:paraId="321A6FA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罩棚的安全等级和可靠度设计应按现行国家标准《建筑结构可靠度设计统一标准》GB50068的有关规定执行；</w:t>
            </w:r>
          </w:p>
          <w:p w14:paraId="3973797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罩棚设计应计及活荷载、雪荷载、风荷载，其设计标准值应符合现行国家标准《建筑结构荷载规范》GB50009的有关规定；</w:t>
            </w:r>
          </w:p>
          <w:p w14:paraId="373DDB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6罩棚的抗震设计应按现行国家标准《建筑抗震设计规范》</w:t>
            </w:r>
          </w:p>
          <w:p w14:paraId="3A0B56C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GB50011的有关规定执行；</w:t>
            </w:r>
          </w:p>
          <w:p w14:paraId="725FE3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7</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设置于CNG设备、LNG设备和氢气设备上方的罩棚应采用避免天然气和氢气积聚的结构形式；</w:t>
            </w:r>
          </w:p>
          <w:p w14:paraId="7424264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8</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罩棚柱应有防止车辆碰撞的技术措施。</w:t>
            </w:r>
          </w:p>
        </w:tc>
        <w:tc>
          <w:tcPr>
            <w:tcW w:w="903" w:type="pct"/>
            <w:tcBorders>
              <w:top w:val="single" w:color="auto" w:sz="6" w:space="0"/>
              <w:left w:val="single" w:color="auto" w:sz="4" w:space="0"/>
              <w:bottom w:val="single" w:color="auto" w:sz="6" w:space="0"/>
              <w:right w:val="single" w:color="auto" w:sz="4" w:space="0"/>
            </w:tcBorders>
            <w:vAlign w:val="center"/>
          </w:tcPr>
          <w:p w14:paraId="5280C92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罩棚采用不燃烧材料建造</w:t>
            </w:r>
            <w:r>
              <w:rPr>
                <w:rFonts w:hint="eastAsia" w:ascii="Times New Roman" w:hAnsi="Times New Roman" w:eastAsia="宋体" w:cs="Calibri"/>
                <w:bCs w:val="0"/>
                <w:color w:val="auto"/>
                <w:kern w:val="2"/>
              </w:rPr>
              <w:t>，罩棚高</w:t>
            </w:r>
            <w:r>
              <w:rPr>
                <w:rFonts w:hint="eastAsia" w:ascii="Times New Roman" w:hAnsi="Times New Roman" w:eastAsia="宋体" w:cs="Calibri"/>
                <w:bCs w:val="0"/>
                <w:color w:val="auto"/>
                <w:kern w:val="2"/>
                <w:lang w:val="en-US" w:eastAsia="zh-CN"/>
              </w:rPr>
              <w:t>7</w:t>
            </w:r>
            <w:r>
              <w:rPr>
                <w:rFonts w:hint="eastAsia" w:ascii="Times New Roman" w:hAnsi="Times New Roman" w:eastAsia="宋体" w:cs="Calibri"/>
                <w:bCs w:val="0"/>
                <w:color w:val="auto"/>
                <w:kern w:val="2"/>
              </w:rPr>
              <w:t>米。</w:t>
            </w:r>
            <w:r>
              <w:rPr>
                <w:rFonts w:ascii="Times New Roman" w:hAnsi="Times New Roman" w:eastAsia="宋体" w:cs="Calibri"/>
                <w:bCs w:val="0"/>
                <w:color w:val="auto"/>
                <w:kern w:val="2"/>
              </w:rPr>
              <w:t>罩棚遮盖加油机的平面投影距离</w:t>
            </w:r>
            <w:r>
              <w:rPr>
                <w:rFonts w:hint="eastAsia" w:ascii="Times New Roman" w:hAnsi="Times New Roman" w:eastAsia="宋体" w:cs="Calibri"/>
                <w:bCs w:val="0"/>
                <w:color w:val="auto"/>
                <w:kern w:val="2"/>
                <w:lang w:val="en-US" w:eastAsia="zh-CN"/>
              </w:rPr>
              <w:t>不小于2m</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罩棚柱有防止车辆碰撞的技术措施</w:t>
            </w:r>
            <w:r>
              <w:rPr>
                <w:rFonts w:hint="eastAsia" w:ascii="Times New Roman" w:hAnsi="Times New Roman" w:eastAsia="宋体" w:cs="Calibri"/>
                <w:bCs w:val="0"/>
                <w:color w:val="auto"/>
                <w:kern w:val="2"/>
              </w:rPr>
              <w:t>；其他均按要求设置</w:t>
            </w:r>
          </w:p>
        </w:tc>
        <w:tc>
          <w:tcPr>
            <w:tcW w:w="327" w:type="pct"/>
            <w:tcBorders>
              <w:top w:val="single" w:color="auto" w:sz="6" w:space="0"/>
              <w:left w:val="single" w:color="auto" w:sz="4" w:space="0"/>
              <w:bottom w:val="single" w:color="auto" w:sz="6" w:space="0"/>
              <w:right w:val="single" w:color="auto" w:sz="4" w:space="0"/>
            </w:tcBorders>
            <w:vAlign w:val="center"/>
          </w:tcPr>
          <w:p w14:paraId="4CD9B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B075E7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26F6066">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3</w:t>
            </w:r>
          </w:p>
        </w:tc>
        <w:tc>
          <w:tcPr>
            <w:tcW w:w="3402" w:type="pct"/>
            <w:tcBorders>
              <w:top w:val="single" w:color="auto" w:sz="6" w:space="0"/>
              <w:left w:val="single" w:color="auto" w:sz="8" w:space="0"/>
              <w:bottom w:val="single" w:color="auto" w:sz="6" w:space="0"/>
              <w:right w:val="single" w:color="auto" w:sz="4" w:space="0"/>
            </w:tcBorders>
            <w:vAlign w:val="center"/>
          </w:tcPr>
          <w:p w14:paraId="34688A7B">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14.2.3加油岛、加气岛、加氢岛的设计应符合下列规定：</w:t>
            </w:r>
          </w:p>
          <w:p w14:paraId="7C035582">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加油岛、加气岛、加氢岛应高出停车位的地坪0.15m～0.20m；</w:t>
            </w:r>
          </w:p>
          <w:p w14:paraId="6A5BF736">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加油岛、加气岛、加氢岛两端的宽度不应小于1.2m；</w:t>
            </w:r>
          </w:p>
          <w:p w14:paraId="6FADBE87">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加油岛、加气岛、加氢岛上的罩棚立柱边缘距岛端部不应小于0.6m；</w:t>
            </w:r>
          </w:p>
          <w:p w14:paraId="57704E2E">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靠近岛端部的加油机、加气机、加氢机等岛上的工艺设备应有防止车辆误碰撞的措施和警示标识。采用钢管防撞柱（栏）时，其钢管的直径不应小于100mm，高度不应</w:t>
            </w:r>
            <w:r>
              <w:rPr>
                <w:rFonts w:hint="eastAsia" w:ascii="Times New Roman" w:hAnsi="Times New Roman" w:eastAsia="宋体" w:cs="Calibri"/>
                <w:bCs w:val="0"/>
                <w:color w:val="auto"/>
                <w:kern w:val="2"/>
              </w:rPr>
              <w:t>小</w:t>
            </w:r>
            <w:r>
              <w:rPr>
                <w:rFonts w:ascii="Times New Roman" w:hAnsi="Times New Roman" w:eastAsia="宋体" w:cs="Calibri"/>
                <w:bCs w:val="0"/>
                <w:color w:val="auto"/>
                <w:kern w:val="2"/>
              </w:rPr>
              <w:t>于0.5m，并应设置牢固。</w:t>
            </w:r>
          </w:p>
        </w:tc>
        <w:tc>
          <w:tcPr>
            <w:tcW w:w="903" w:type="pct"/>
            <w:tcBorders>
              <w:top w:val="single" w:color="auto" w:sz="6" w:space="0"/>
              <w:left w:val="single" w:color="auto" w:sz="4" w:space="0"/>
              <w:bottom w:val="single" w:color="auto" w:sz="6" w:space="0"/>
              <w:right w:val="single" w:color="auto" w:sz="4" w:space="0"/>
            </w:tcBorders>
            <w:vAlign w:val="center"/>
          </w:tcPr>
          <w:p w14:paraId="65BBD8B3">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高出停车位的地坪0.20m</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两端的宽度1.2</w:t>
            </w:r>
            <w:r>
              <w:rPr>
                <w:rFonts w:hint="eastAsia" w:ascii="Times New Roman" w:hAnsi="Times New Roman" w:eastAsia="宋体" w:cs="Calibri"/>
                <w:bCs w:val="0"/>
                <w:color w:val="auto"/>
                <w:kern w:val="2"/>
              </w:rPr>
              <w:t>m；</w:t>
            </w:r>
            <w:r>
              <w:rPr>
                <w:rFonts w:ascii="Times New Roman" w:hAnsi="Times New Roman" w:eastAsia="宋体" w:cs="Calibri"/>
                <w:bCs w:val="0"/>
                <w:color w:val="auto"/>
                <w:kern w:val="2"/>
              </w:rPr>
              <w:t>罩棚立柱边缘距岛端部0.6m</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有防止车辆误碰撞的措施和警示标识</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高度0.</w:t>
            </w:r>
            <w:r>
              <w:rPr>
                <w:rFonts w:hint="eastAsia" w:ascii="Times New Roman" w:hAnsi="Times New Roman" w:eastAsia="宋体" w:cs="Calibri"/>
                <w:bCs w:val="0"/>
                <w:color w:val="auto"/>
                <w:kern w:val="2"/>
              </w:rPr>
              <w:t>6</w:t>
            </w:r>
            <w:r>
              <w:rPr>
                <w:rFonts w:ascii="Times New Roman" w:hAnsi="Times New Roman" w:eastAsia="宋体" w:cs="Calibri"/>
                <w:bCs w:val="0"/>
                <w:color w:val="auto"/>
                <w:kern w:val="2"/>
              </w:rPr>
              <w:t>m并设置牢固</w:t>
            </w:r>
          </w:p>
        </w:tc>
        <w:tc>
          <w:tcPr>
            <w:tcW w:w="327" w:type="pct"/>
            <w:tcBorders>
              <w:top w:val="single" w:color="auto" w:sz="6" w:space="0"/>
              <w:left w:val="single" w:color="auto" w:sz="4" w:space="0"/>
              <w:bottom w:val="single" w:color="auto" w:sz="6" w:space="0"/>
              <w:right w:val="single" w:color="auto" w:sz="4" w:space="0"/>
            </w:tcBorders>
            <w:vAlign w:val="center"/>
          </w:tcPr>
          <w:p w14:paraId="45EE3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53FB1506">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66D1A23">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4</w:t>
            </w:r>
          </w:p>
        </w:tc>
        <w:tc>
          <w:tcPr>
            <w:tcW w:w="3402" w:type="pct"/>
            <w:tcBorders>
              <w:top w:val="single" w:color="auto" w:sz="6" w:space="0"/>
              <w:left w:val="single" w:color="auto" w:sz="8" w:space="0"/>
              <w:bottom w:val="single" w:color="auto" w:sz="6" w:space="0"/>
              <w:right w:val="single" w:color="auto" w:sz="4" w:space="0"/>
            </w:tcBorders>
            <w:vAlign w:val="center"/>
          </w:tcPr>
          <w:p w14:paraId="6A8C04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14.2.4布置有可燃液体或可燃气体设备的建筑物的门、窗应向外开启，并应按现行国家标准《建筑设防火规范》GB50016的有关规定采取泄压措施。</w:t>
            </w:r>
          </w:p>
        </w:tc>
        <w:tc>
          <w:tcPr>
            <w:tcW w:w="903" w:type="pct"/>
            <w:tcBorders>
              <w:top w:val="single" w:color="auto" w:sz="6" w:space="0"/>
              <w:left w:val="single" w:color="auto" w:sz="4" w:space="0"/>
              <w:bottom w:val="single" w:color="auto" w:sz="6" w:space="0"/>
              <w:right w:val="single" w:color="auto" w:sz="4" w:space="0"/>
            </w:tcBorders>
            <w:vAlign w:val="center"/>
          </w:tcPr>
          <w:p w14:paraId="2801C92B">
            <w:pPr>
              <w:keepNext w:val="0"/>
              <w:keepLines w:val="0"/>
              <w:pageBreakBefore w:val="0"/>
              <w:widowControl w:val="0"/>
              <w:kinsoku/>
              <w:wordWrap/>
              <w:overflowPunct/>
              <w:topLinePunct w:val="0"/>
              <w:autoSpaceDE/>
              <w:autoSpaceDN/>
              <w:bidi w:val="0"/>
              <w:adjustRightInd/>
              <w:snapToGrid/>
              <w:spacing w:line="320" w:lineRule="exact"/>
              <w:ind w:firstLine="105" w:firstLineChars="50"/>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配电间门</w:t>
            </w:r>
            <w:r>
              <w:rPr>
                <w:rFonts w:ascii="Times New Roman" w:hAnsi="Times New Roman" w:eastAsia="宋体" w:cs="Calibri"/>
                <w:bCs w:val="0"/>
                <w:color w:val="auto"/>
                <w:kern w:val="2"/>
              </w:rPr>
              <w:t>向外开启</w:t>
            </w:r>
          </w:p>
        </w:tc>
        <w:tc>
          <w:tcPr>
            <w:tcW w:w="327" w:type="pct"/>
            <w:tcBorders>
              <w:top w:val="single" w:color="auto" w:sz="6" w:space="0"/>
              <w:left w:val="single" w:color="auto" w:sz="4" w:space="0"/>
              <w:bottom w:val="single" w:color="auto" w:sz="6" w:space="0"/>
              <w:right w:val="single" w:color="auto" w:sz="4" w:space="0"/>
            </w:tcBorders>
            <w:vAlign w:val="center"/>
          </w:tcPr>
          <w:p w14:paraId="6BDAA8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0922C5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77E27AB">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5</w:t>
            </w:r>
          </w:p>
        </w:tc>
        <w:tc>
          <w:tcPr>
            <w:tcW w:w="3402" w:type="pct"/>
            <w:tcBorders>
              <w:top w:val="single" w:color="auto" w:sz="6" w:space="0"/>
              <w:left w:val="single" w:color="auto" w:sz="8" w:space="0"/>
              <w:bottom w:val="single" w:color="auto" w:sz="6" w:space="0"/>
              <w:right w:val="single" w:color="auto" w:sz="4" w:space="0"/>
            </w:tcBorders>
            <w:vAlign w:val="center"/>
          </w:tcPr>
          <w:p w14:paraId="6C003219">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14.2.7汽车加油加气加氢站内的工艺设备不宜布置在封闭的房间或箱体内；工艺设备需要布置在封闭的房间或箱体内时，房间或箱体内应设置可燃气体检测报警器和强制通风设备，并应符合本标准第14.1.4条的规定。</w:t>
            </w:r>
          </w:p>
        </w:tc>
        <w:tc>
          <w:tcPr>
            <w:tcW w:w="903" w:type="pct"/>
            <w:tcBorders>
              <w:top w:val="single" w:color="auto" w:sz="6" w:space="0"/>
              <w:left w:val="single" w:color="auto" w:sz="4" w:space="0"/>
              <w:bottom w:val="single" w:color="auto" w:sz="6" w:space="0"/>
              <w:right w:val="single" w:color="auto" w:sz="4" w:space="0"/>
            </w:tcBorders>
            <w:vAlign w:val="center"/>
          </w:tcPr>
          <w:p w14:paraId="1AAB9F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w:t>
            </w:r>
            <w:r>
              <w:rPr>
                <w:rFonts w:ascii="Times New Roman" w:hAnsi="Times New Roman" w:eastAsia="宋体" w:cs="Calibri"/>
                <w:bCs w:val="0"/>
                <w:color w:val="auto"/>
                <w:kern w:val="2"/>
              </w:rPr>
              <w:t>布置在封闭的房间或箱体内</w:t>
            </w:r>
          </w:p>
        </w:tc>
        <w:tc>
          <w:tcPr>
            <w:tcW w:w="327" w:type="pct"/>
            <w:tcBorders>
              <w:top w:val="single" w:color="auto" w:sz="6" w:space="0"/>
              <w:left w:val="single" w:color="auto" w:sz="4" w:space="0"/>
              <w:bottom w:val="single" w:color="auto" w:sz="6" w:space="0"/>
              <w:right w:val="single" w:color="auto" w:sz="4" w:space="0"/>
            </w:tcBorders>
            <w:vAlign w:val="center"/>
          </w:tcPr>
          <w:p w14:paraId="49E250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4F1FCD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FF0A744">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6</w:t>
            </w:r>
          </w:p>
        </w:tc>
        <w:tc>
          <w:tcPr>
            <w:tcW w:w="3402" w:type="pct"/>
            <w:tcBorders>
              <w:top w:val="single" w:color="auto" w:sz="6" w:space="0"/>
              <w:left w:val="single" w:color="auto" w:sz="8" w:space="0"/>
              <w:bottom w:val="single" w:color="auto" w:sz="6" w:space="0"/>
              <w:right w:val="single" w:color="auto" w:sz="4" w:space="0"/>
            </w:tcBorders>
            <w:vAlign w:val="center"/>
          </w:tcPr>
          <w:p w14:paraId="5509C4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14.2.9站房可由办公室、值班室、营业室、控制室、变</w:t>
            </w:r>
            <w:r>
              <w:rPr>
                <w:rFonts w:hint="eastAsia" w:ascii="Times New Roman" w:hAnsi="Times New Roman" w:eastAsia="宋体" w:cs="Calibri"/>
                <w:bCs w:val="0"/>
                <w:color w:val="auto"/>
                <w:kern w:val="2"/>
              </w:rPr>
              <w:t>配发电间</w:t>
            </w:r>
            <w:r>
              <w:rPr>
                <w:rFonts w:ascii="Times New Roman" w:hAnsi="Times New Roman" w:eastAsia="宋体" w:cs="Calibri"/>
                <w:bCs w:val="0"/>
                <w:color w:val="auto"/>
                <w:kern w:val="2"/>
              </w:rPr>
              <w:t>、卫生间和便利店等组成，站房内可设非明火餐厨设备。</w:t>
            </w:r>
          </w:p>
        </w:tc>
        <w:tc>
          <w:tcPr>
            <w:tcW w:w="903" w:type="pct"/>
            <w:tcBorders>
              <w:top w:val="single" w:color="auto" w:sz="6" w:space="0"/>
              <w:left w:val="single" w:color="auto" w:sz="4" w:space="0"/>
              <w:bottom w:val="single" w:color="auto" w:sz="6" w:space="0"/>
              <w:right w:val="single" w:color="auto" w:sz="4" w:space="0"/>
            </w:tcBorders>
            <w:vAlign w:val="center"/>
          </w:tcPr>
          <w:p w14:paraId="5A88A30C">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设有部分功能区域</w:t>
            </w:r>
          </w:p>
        </w:tc>
        <w:tc>
          <w:tcPr>
            <w:tcW w:w="327" w:type="pct"/>
            <w:tcBorders>
              <w:top w:val="single" w:color="auto" w:sz="6" w:space="0"/>
              <w:left w:val="single" w:color="auto" w:sz="4" w:space="0"/>
              <w:bottom w:val="single" w:color="auto" w:sz="6" w:space="0"/>
              <w:right w:val="single" w:color="auto" w:sz="4" w:space="0"/>
            </w:tcBorders>
            <w:vAlign w:val="center"/>
          </w:tcPr>
          <w:p w14:paraId="0F567B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746F386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3B551A4">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7</w:t>
            </w:r>
          </w:p>
        </w:tc>
        <w:tc>
          <w:tcPr>
            <w:tcW w:w="3402" w:type="pct"/>
            <w:tcBorders>
              <w:top w:val="single" w:color="auto" w:sz="6" w:space="0"/>
              <w:left w:val="single" w:color="auto" w:sz="8" w:space="0"/>
              <w:bottom w:val="single" w:color="auto" w:sz="6" w:space="0"/>
              <w:right w:val="single" w:color="auto" w:sz="4" w:space="0"/>
            </w:tcBorders>
            <w:vAlign w:val="center"/>
          </w:tcPr>
          <w:p w14:paraId="3893F05C">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14.2.10站房的一部分位于作业区内时，该站房的建筑面积不宜超过300</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，且该站房内不得有明火设备。</w:t>
            </w:r>
          </w:p>
        </w:tc>
        <w:tc>
          <w:tcPr>
            <w:tcW w:w="903" w:type="pct"/>
            <w:tcBorders>
              <w:top w:val="single" w:color="auto" w:sz="6" w:space="0"/>
              <w:left w:val="single" w:color="auto" w:sz="4" w:space="0"/>
              <w:bottom w:val="single" w:color="auto" w:sz="6" w:space="0"/>
              <w:right w:val="single" w:color="auto" w:sz="4" w:space="0"/>
            </w:tcBorders>
            <w:vAlign w:val="center"/>
          </w:tcPr>
          <w:p w14:paraId="253B8400">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站房</w:t>
            </w:r>
            <w:r>
              <w:rPr>
                <w:rFonts w:hint="eastAsia" w:ascii="Times New Roman" w:hAnsi="Times New Roman" w:eastAsia="宋体" w:cs="Calibri"/>
                <w:bCs w:val="0"/>
                <w:color w:val="auto"/>
                <w:kern w:val="2"/>
              </w:rPr>
              <w:t>不在作业区内</w:t>
            </w:r>
          </w:p>
        </w:tc>
        <w:tc>
          <w:tcPr>
            <w:tcW w:w="327" w:type="pct"/>
            <w:tcBorders>
              <w:top w:val="single" w:color="auto" w:sz="6" w:space="0"/>
              <w:left w:val="single" w:color="auto" w:sz="4" w:space="0"/>
              <w:bottom w:val="single" w:color="auto" w:sz="6" w:space="0"/>
              <w:right w:val="single" w:color="auto" w:sz="4" w:space="0"/>
            </w:tcBorders>
            <w:vAlign w:val="center"/>
          </w:tcPr>
          <w:p w14:paraId="31E58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67AFA8D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AD1F2F9">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8</w:t>
            </w:r>
          </w:p>
        </w:tc>
        <w:tc>
          <w:tcPr>
            <w:tcW w:w="3402" w:type="pct"/>
            <w:tcBorders>
              <w:top w:val="single" w:color="auto" w:sz="6" w:space="0"/>
              <w:left w:val="single" w:color="auto" w:sz="8" w:space="0"/>
              <w:bottom w:val="single" w:color="auto" w:sz="6" w:space="0"/>
              <w:right w:val="single" w:color="auto" w:sz="4" w:space="0"/>
            </w:tcBorders>
            <w:vAlign w:val="center"/>
          </w:tcPr>
          <w:p w14:paraId="64409184">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14.2.11辅助服务区内建筑物的面积不应超过本标准附录B中三类保护物标准，消防设计应符合现行国家标准《建筑设计防火规范》GB50016的有关规定。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3A647A46">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未超过</w:t>
            </w:r>
          </w:p>
        </w:tc>
        <w:tc>
          <w:tcPr>
            <w:tcW w:w="327" w:type="pct"/>
            <w:tcBorders>
              <w:top w:val="single" w:color="auto" w:sz="6" w:space="0"/>
              <w:left w:val="single" w:color="auto" w:sz="4" w:space="0"/>
              <w:bottom w:val="single" w:color="auto" w:sz="6" w:space="0"/>
              <w:right w:val="single" w:color="auto" w:sz="4" w:space="0"/>
            </w:tcBorders>
            <w:vAlign w:val="center"/>
          </w:tcPr>
          <w:p w14:paraId="27BFE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4B4A338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D334C8D">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9</w:t>
            </w:r>
          </w:p>
        </w:tc>
        <w:tc>
          <w:tcPr>
            <w:tcW w:w="3402" w:type="pct"/>
            <w:tcBorders>
              <w:top w:val="single" w:color="auto" w:sz="6" w:space="0"/>
              <w:left w:val="single" w:color="auto" w:sz="8" w:space="0"/>
              <w:bottom w:val="single" w:color="auto" w:sz="6" w:space="0"/>
              <w:right w:val="single" w:color="auto" w:sz="4" w:space="0"/>
            </w:tcBorders>
            <w:vAlign w:val="center"/>
          </w:tcPr>
          <w:p w14:paraId="54AA0341">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14.2.12站房可与设置在辅助服务区内的餐厅、汽车服务、锅炉房、厨房、员工宿舍、司机休息室等设施合建，但站房与餐厅、汽车服务、锅炉房、厨房、员工宿舍、司机休息室等设施之间应设置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638DF6F5">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68C0B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6D1103CA">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40B8049">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10</w:t>
            </w:r>
          </w:p>
        </w:tc>
        <w:tc>
          <w:tcPr>
            <w:tcW w:w="3402" w:type="pct"/>
            <w:tcBorders>
              <w:top w:val="single" w:color="auto" w:sz="6" w:space="0"/>
              <w:left w:val="single" w:color="auto" w:sz="8" w:space="0"/>
              <w:bottom w:val="single" w:color="auto" w:sz="6" w:space="0"/>
              <w:right w:val="single" w:color="auto" w:sz="4" w:space="0"/>
            </w:tcBorders>
            <w:vAlign w:val="center"/>
          </w:tcPr>
          <w:p w14:paraId="43B736C8">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14.2.13站房可设在站外民用建筑物内或与站外民用建筑物合建，并应符合下列规定：</w:t>
            </w:r>
          </w:p>
          <w:p w14:paraId="190D0DEE">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站房与民用建筑物之间不得有连接通道；</w:t>
            </w:r>
          </w:p>
          <w:p w14:paraId="2CDE0ED4">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站房应单独开设通向汽车加</w:t>
            </w:r>
            <w:r>
              <w:rPr>
                <w:rFonts w:hint="eastAsia" w:ascii="Times New Roman" w:hAnsi="Times New Roman" w:eastAsia="宋体" w:cs="Calibri"/>
                <w:bCs w:val="0"/>
                <w:color w:val="auto"/>
                <w:kern w:val="2"/>
              </w:rPr>
              <w:t>油</w:t>
            </w:r>
            <w:r>
              <w:rPr>
                <w:rFonts w:ascii="Times New Roman" w:hAnsi="Times New Roman" w:eastAsia="宋体" w:cs="Calibri"/>
                <w:bCs w:val="0"/>
                <w:color w:val="auto"/>
                <w:kern w:val="2"/>
              </w:rPr>
              <w:t>加气加氢站的出入口；</w:t>
            </w:r>
          </w:p>
          <w:p w14:paraId="267B545D">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民用建筑物不得有直接通向汽车加油加气加氢站的出入口。</w:t>
            </w:r>
          </w:p>
        </w:tc>
        <w:tc>
          <w:tcPr>
            <w:tcW w:w="903" w:type="pct"/>
            <w:tcBorders>
              <w:top w:val="single" w:color="auto" w:sz="6" w:space="0"/>
              <w:left w:val="single" w:color="auto" w:sz="4" w:space="0"/>
              <w:bottom w:val="single" w:color="auto" w:sz="6" w:space="0"/>
              <w:right w:val="single" w:color="auto" w:sz="4" w:space="0"/>
            </w:tcBorders>
            <w:vAlign w:val="center"/>
          </w:tcPr>
          <w:p w14:paraId="562475BE">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31B98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3719126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2C142C4">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w:t>
            </w:r>
          </w:p>
        </w:tc>
        <w:tc>
          <w:tcPr>
            <w:tcW w:w="3402" w:type="pct"/>
            <w:tcBorders>
              <w:top w:val="single" w:color="auto" w:sz="6" w:space="0"/>
              <w:left w:val="single" w:color="auto" w:sz="8" w:space="0"/>
              <w:bottom w:val="single" w:color="auto" w:sz="6" w:space="0"/>
              <w:right w:val="single" w:color="auto" w:sz="4" w:space="0"/>
            </w:tcBorders>
            <w:vAlign w:val="center"/>
          </w:tcPr>
          <w:p w14:paraId="163BB93C">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14.2.14站内的锅炉房、厨房等有明火设备的房间与工艺设备之间的距离符合表5.0.13的规定，但小于或等于25m时，朝向作业区的外墙应为无门窗洞口且耐火极限不低于3.00h的实体墙。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73EF9ACF">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67382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721159E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D989353">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12</w:t>
            </w:r>
          </w:p>
        </w:tc>
        <w:tc>
          <w:tcPr>
            <w:tcW w:w="3402" w:type="pct"/>
            <w:tcBorders>
              <w:top w:val="single" w:color="auto" w:sz="6" w:space="0"/>
              <w:left w:val="single" w:color="auto" w:sz="8" w:space="0"/>
              <w:bottom w:val="single" w:color="auto" w:sz="6" w:space="0"/>
              <w:right w:val="single" w:color="auto" w:sz="4" w:space="0"/>
            </w:tcBorders>
            <w:vAlign w:val="center"/>
          </w:tcPr>
          <w:p w14:paraId="1421A1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14.2.16</w:t>
            </w:r>
            <w:r>
              <w:rPr>
                <w:rFonts w:hint="eastAsia" w:ascii="Times New Roman" w:hAnsi="Times New Roman" w:eastAsia="宋体" w:cs="Calibri"/>
                <w:bCs w:val="0"/>
                <w:color w:val="auto"/>
                <w:kern w:val="2"/>
              </w:rPr>
              <w:t>埋</w:t>
            </w:r>
            <w:r>
              <w:rPr>
                <w:rFonts w:ascii="Times New Roman" w:hAnsi="Times New Roman" w:eastAsia="宋体" w:cs="Calibri"/>
                <w:bCs w:val="0"/>
                <w:color w:val="auto"/>
                <w:kern w:val="2"/>
              </w:rPr>
              <w:t>地油罐和埋地LPG储罐的操作井、位于作业区的排水井应采取防渗漏措施，位于爆炸危险区域内的操作井和排水井应有防止产生火花的措施。</w:t>
            </w:r>
          </w:p>
        </w:tc>
        <w:tc>
          <w:tcPr>
            <w:tcW w:w="903" w:type="pct"/>
            <w:tcBorders>
              <w:top w:val="single" w:color="auto" w:sz="6" w:space="0"/>
              <w:left w:val="single" w:color="auto" w:sz="4" w:space="0"/>
              <w:bottom w:val="single" w:color="auto" w:sz="6" w:space="0"/>
              <w:right w:val="single" w:color="auto" w:sz="4" w:space="0"/>
            </w:tcBorders>
            <w:vAlign w:val="center"/>
          </w:tcPr>
          <w:p w14:paraId="3ADF54C6">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设有相关安全措施</w:t>
            </w:r>
          </w:p>
        </w:tc>
        <w:tc>
          <w:tcPr>
            <w:tcW w:w="327" w:type="pct"/>
            <w:tcBorders>
              <w:top w:val="single" w:color="auto" w:sz="6" w:space="0"/>
              <w:left w:val="single" w:color="auto" w:sz="4" w:space="0"/>
              <w:bottom w:val="single" w:color="auto" w:sz="6" w:space="0"/>
              <w:right w:val="single" w:color="auto" w:sz="4" w:space="0"/>
            </w:tcBorders>
            <w:vAlign w:val="center"/>
          </w:tcPr>
          <w:p w14:paraId="3734F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r w14:paraId="33A72B75">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698F6691">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绿化</w:t>
            </w:r>
          </w:p>
        </w:tc>
      </w:tr>
      <w:tr w14:paraId="0F98214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82A960E">
            <w:pPr>
              <w:spacing w:line="28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w:t>
            </w:r>
          </w:p>
        </w:tc>
        <w:tc>
          <w:tcPr>
            <w:tcW w:w="3402" w:type="pct"/>
            <w:tcBorders>
              <w:top w:val="single" w:color="auto" w:sz="6" w:space="0"/>
              <w:left w:val="single" w:color="auto" w:sz="8" w:space="0"/>
              <w:bottom w:val="single" w:color="auto" w:sz="6" w:space="0"/>
              <w:right w:val="single" w:color="auto" w:sz="4" w:space="0"/>
            </w:tcBorders>
            <w:vAlign w:val="center"/>
          </w:tcPr>
          <w:p w14:paraId="701034A2">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GB50156-</w:t>
            </w:r>
            <w:r>
              <w:rPr>
                <w:rFonts w:ascii="Times New Roman" w:hAnsi="Times New Roman" w:eastAsia="宋体" w:cs="Calibri"/>
                <w:bCs w:val="0"/>
                <w:color w:val="auto"/>
                <w:kern w:val="2"/>
              </w:rPr>
              <w:t>14.3.1汽车加油加气加氢站作业区内不得种植油性植物。</w:t>
            </w:r>
          </w:p>
        </w:tc>
        <w:tc>
          <w:tcPr>
            <w:tcW w:w="903" w:type="pct"/>
            <w:tcBorders>
              <w:top w:val="single" w:color="auto" w:sz="6" w:space="0"/>
              <w:left w:val="single" w:color="auto" w:sz="4" w:space="0"/>
              <w:bottom w:val="single" w:color="auto" w:sz="6" w:space="0"/>
              <w:right w:val="single" w:color="auto" w:sz="4" w:space="0"/>
            </w:tcBorders>
            <w:vAlign w:val="center"/>
          </w:tcPr>
          <w:p w14:paraId="498B3523">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未种植</w:t>
            </w:r>
            <w:r>
              <w:rPr>
                <w:rFonts w:ascii="Times New Roman" w:hAnsi="Times New Roman" w:eastAsia="宋体" w:cs="Calibri"/>
                <w:bCs w:val="0"/>
                <w:color w:val="auto"/>
                <w:kern w:val="2"/>
              </w:rPr>
              <w:t>油性植物</w:t>
            </w:r>
          </w:p>
        </w:tc>
        <w:tc>
          <w:tcPr>
            <w:tcW w:w="327" w:type="pct"/>
            <w:tcBorders>
              <w:top w:val="single" w:color="auto" w:sz="6" w:space="0"/>
              <w:left w:val="single" w:color="auto" w:sz="4" w:space="0"/>
              <w:bottom w:val="single" w:color="auto" w:sz="6" w:space="0"/>
              <w:right w:val="single" w:color="auto" w:sz="4" w:space="0"/>
            </w:tcBorders>
            <w:vAlign w:val="center"/>
          </w:tcPr>
          <w:p w14:paraId="3A12D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合格</w:t>
            </w:r>
          </w:p>
        </w:tc>
      </w:tr>
    </w:tbl>
    <w:p w14:paraId="666FCB21">
      <w:pPr>
        <w:spacing w:line="600" w:lineRule="exact"/>
        <w:ind w:firstLine="570"/>
        <w:rPr>
          <w:rFonts w:ascii="Times New Roman" w:hAnsi="Times New Roman" w:eastAsia="宋体" w:cs="Calibri"/>
          <w:bCs w:val="0"/>
          <w:color w:val="0000FF"/>
          <w:kern w:val="2"/>
          <w:sz w:val="30"/>
          <w:szCs w:val="30"/>
        </w:rPr>
      </w:pPr>
      <w:r>
        <w:rPr>
          <w:rFonts w:ascii="Times New Roman" w:hAnsi="Times New Roman" w:eastAsia="宋体" w:cs="Calibri"/>
          <w:bCs w:val="0"/>
          <w:color w:val="auto"/>
          <w:kern w:val="2"/>
          <w:sz w:val="28"/>
          <w:szCs w:val="28"/>
        </w:rPr>
        <w:t>评价结论：从上</w:t>
      </w:r>
      <w:r>
        <w:rPr>
          <w:rFonts w:hint="eastAsia" w:ascii="Times New Roman" w:hAnsi="Times New Roman" w:eastAsia="宋体" w:cs="Calibri"/>
          <w:bCs w:val="0"/>
          <w:color w:val="auto"/>
          <w:kern w:val="2"/>
          <w:sz w:val="28"/>
          <w:szCs w:val="28"/>
        </w:rPr>
        <w:t>述检查</w:t>
      </w:r>
      <w:r>
        <w:rPr>
          <w:rFonts w:ascii="Times New Roman" w:hAnsi="Times New Roman" w:eastAsia="宋体" w:cs="Calibri"/>
          <w:bCs w:val="0"/>
          <w:color w:val="auto"/>
          <w:kern w:val="2"/>
          <w:sz w:val="28"/>
          <w:szCs w:val="28"/>
        </w:rPr>
        <w:t>表可知，</w:t>
      </w:r>
      <w:r>
        <w:rPr>
          <w:rFonts w:hint="eastAsia" w:ascii="Times New Roman" w:hAnsi="Times New Roman" w:eastAsia="宋体" w:cs="Calibri"/>
          <w:bCs w:val="0"/>
          <w:color w:val="auto"/>
          <w:spacing w:val="-6"/>
          <w:kern w:val="2"/>
          <w:sz w:val="28"/>
          <w:szCs w:val="28"/>
        </w:rPr>
        <w:t>均符合要求</w:t>
      </w:r>
      <w:r>
        <w:rPr>
          <w:rFonts w:hint="eastAsia" w:ascii="Times New Roman" w:hAnsi="Times New Roman" w:eastAsia="宋体" w:cs="Calibri"/>
          <w:bCs w:val="0"/>
          <w:color w:val="auto"/>
          <w:kern w:val="2"/>
          <w:sz w:val="28"/>
          <w:szCs w:val="28"/>
        </w:rPr>
        <w:t>。</w:t>
      </w:r>
      <w:bookmarkStart w:id="185" w:name="_Toc13874"/>
      <w:bookmarkStart w:id="186" w:name="_Toc32029"/>
    </w:p>
    <w:p w14:paraId="785C1027">
      <w:pPr>
        <w:rPr>
          <w:rFonts w:hint="eastAsia" w:ascii="Times New Roman" w:hAnsi="Times New Roman" w:eastAsia="宋体" w:cs="Times New Roman"/>
          <w:b/>
          <w:bCs/>
          <w:color w:val="0000FF"/>
          <w:kern w:val="0"/>
          <w:sz w:val="30"/>
          <w:szCs w:val="30"/>
          <w:lang w:val="en-US" w:eastAsia="zh-CN" w:bidi="ar-SA"/>
        </w:rPr>
      </w:pPr>
      <w:bookmarkStart w:id="187" w:name="_Toc8603"/>
      <w:r>
        <w:rPr>
          <w:rFonts w:hint="eastAsia" w:ascii="Times New Roman" w:hAnsi="Times New Roman" w:eastAsia="宋体" w:cs="Times New Roman"/>
          <w:b/>
          <w:bCs/>
          <w:color w:val="0000FF"/>
          <w:kern w:val="0"/>
          <w:sz w:val="30"/>
          <w:szCs w:val="30"/>
          <w:lang w:val="en-US" w:eastAsia="zh-CN" w:bidi="ar-SA"/>
        </w:rPr>
        <w:br w:type="page"/>
      </w:r>
    </w:p>
    <w:p w14:paraId="74D9B514">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r>
        <w:rPr>
          <w:rFonts w:hint="eastAsia" w:ascii="Times New Roman" w:hAnsi="Times New Roman" w:eastAsia="宋体" w:cs="Times New Roman"/>
          <w:b/>
          <w:bCs/>
          <w:color w:val="auto"/>
          <w:kern w:val="0"/>
          <w:sz w:val="30"/>
          <w:szCs w:val="30"/>
          <w:lang w:val="en-US" w:eastAsia="zh-CN" w:bidi="ar-SA"/>
        </w:rPr>
        <w:t>5.10加油站作业安全规范评价</w:t>
      </w:r>
      <w:bookmarkEnd w:id="185"/>
      <w:bookmarkEnd w:id="186"/>
      <w:bookmarkEnd w:id="187"/>
    </w:p>
    <w:p w14:paraId="1AB8ADA3">
      <w:pPr>
        <w:spacing w:line="600" w:lineRule="exact"/>
        <w:ind w:firstLine="57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评价小组根据《加油站作业安全规范》（</w:t>
      </w:r>
      <w:r>
        <w:rPr>
          <w:rFonts w:ascii="Times New Roman" w:hAnsi="Times New Roman" w:eastAsia="宋体" w:cs="Times New Roman"/>
          <w:bCs w:val="0"/>
          <w:color w:val="auto"/>
          <w:kern w:val="2"/>
          <w:sz w:val="28"/>
          <w:szCs w:val="28"/>
        </w:rPr>
        <w:t>AQ</w:t>
      </w:r>
      <w:r>
        <w:rPr>
          <w:rFonts w:hint="eastAsia" w:ascii="Times New Roman" w:hAnsi="Times New Roman" w:eastAsia="宋体" w:cs="Times New Roman"/>
          <w:bCs w:val="0"/>
          <w:color w:val="auto"/>
          <w:kern w:val="2"/>
          <w:sz w:val="28"/>
          <w:szCs w:val="28"/>
        </w:rPr>
        <w:t xml:space="preserve"> </w:t>
      </w:r>
      <w:r>
        <w:rPr>
          <w:rFonts w:ascii="Times New Roman" w:hAnsi="Times New Roman" w:eastAsia="宋体" w:cs="Times New Roman"/>
          <w:bCs w:val="0"/>
          <w:color w:val="auto"/>
          <w:kern w:val="2"/>
          <w:sz w:val="28"/>
          <w:szCs w:val="28"/>
        </w:rPr>
        <w:t>3010-20</w:t>
      </w:r>
      <w:r>
        <w:rPr>
          <w:rFonts w:hint="eastAsia" w:ascii="Times New Roman" w:hAnsi="Times New Roman" w:eastAsia="宋体" w:cs="Times New Roman"/>
          <w:bCs w:val="0"/>
          <w:color w:val="auto"/>
          <w:kern w:val="2"/>
          <w:sz w:val="28"/>
          <w:szCs w:val="28"/>
        </w:rPr>
        <w:t>22）制作的检查表对该加油站作业安全规范进行检查。</w:t>
      </w:r>
    </w:p>
    <w:p w14:paraId="4F1162EA">
      <w:pPr>
        <w:spacing w:line="600" w:lineRule="exact"/>
        <w:ind w:firstLine="570"/>
        <w:jc w:val="center"/>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表5-3  加油站作业安全规范检查表</w:t>
      </w:r>
    </w:p>
    <w:tbl>
      <w:tblPr>
        <w:tblStyle w:val="7"/>
        <w:tblW w:w="9200" w:type="dxa"/>
        <w:jc w:val="center"/>
        <w:tblLayout w:type="fixed"/>
        <w:tblCellMar>
          <w:top w:w="0" w:type="dxa"/>
          <w:left w:w="0" w:type="dxa"/>
          <w:bottom w:w="0" w:type="dxa"/>
          <w:right w:w="0" w:type="dxa"/>
        </w:tblCellMar>
      </w:tblPr>
      <w:tblGrid>
        <w:gridCol w:w="565"/>
        <w:gridCol w:w="6310"/>
        <w:gridCol w:w="1535"/>
        <w:gridCol w:w="790"/>
      </w:tblGrid>
      <w:tr w14:paraId="0A1358CC">
        <w:tblPrEx>
          <w:tblCellMar>
            <w:top w:w="0" w:type="dxa"/>
            <w:left w:w="0" w:type="dxa"/>
            <w:bottom w:w="0" w:type="dxa"/>
            <w:right w:w="0" w:type="dxa"/>
          </w:tblCellMar>
        </w:tblPrEx>
        <w:trPr>
          <w:trHeight w:val="360" w:hRule="atLeast"/>
          <w:jc w:val="center"/>
        </w:trPr>
        <w:tc>
          <w:tcPr>
            <w:tcW w:w="9200" w:type="dxa"/>
            <w:gridSpan w:val="4"/>
            <w:tcBorders>
              <w:top w:val="single" w:color="auto" w:sz="4" w:space="0"/>
              <w:left w:val="single" w:color="auto" w:sz="4" w:space="0"/>
              <w:bottom w:val="single" w:color="auto" w:sz="8" w:space="0"/>
              <w:right w:val="single" w:color="auto" w:sz="4" w:space="0"/>
            </w:tcBorders>
            <w:vAlign w:val="center"/>
          </w:tcPr>
          <w:p w14:paraId="08584EC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一、卸油作业</w:t>
            </w:r>
          </w:p>
        </w:tc>
      </w:tr>
      <w:tr w14:paraId="0E4BB81C">
        <w:tblPrEx>
          <w:tblCellMar>
            <w:top w:w="0" w:type="dxa"/>
            <w:left w:w="0" w:type="dxa"/>
            <w:bottom w:w="0" w:type="dxa"/>
            <w:right w:w="0" w:type="dxa"/>
          </w:tblCellMar>
        </w:tblPrEx>
        <w:trPr>
          <w:trHeight w:val="37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571955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序号</w:t>
            </w:r>
          </w:p>
        </w:tc>
        <w:tc>
          <w:tcPr>
            <w:tcW w:w="6310" w:type="dxa"/>
            <w:tcBorders>
              <w:top w:val="single" w:color="auto" w:sz="8" w:space="0"/>
              <w:left w:val="single" w:color="auto" w:sz="8" w:space="0"/>
              <w:bottom w:val="single" w:color="auto" w:sz="8" w:space="0"/>
              <w:right w:val="single" w:color="auto" w:sz="4" w:space="0"/>
            </w:tcBorders>
            <w:vAlign w:val="center"/>
          </w:tcPr>
          <w:p w14:paraId="6F1F7C5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检查内容</w:t>
            </w:r>
          </w:p>
        </w:tc>
        <w:tc>
          <w:tcPr>
            <w:tcW w:w="1535" w:type="dxa"/>
            <w:tcBorders>
              <w:top w:val="single" w:color="auto" w:sz="4" w:space="0"/>
              <w:left w:val="nil"/>
              <w:bottom w:val="single" w:color="auto" w:sz="4" w:space="0"/>
              <w:right w:val="single" w:color="auto" w:sz="4" w:space="0"/>
            </w:tcBorders>
            <w:vAlign w:val="center"/>
          </w:tcPr>
          <w:p w14:paraId="067276D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检查记录</w:t>
            </w:r>
          </w:p>
        </w:tc>
        <w:tc>
          <w:tcPr>
            <w:tcW w:w="790" w:type="dxa"/>
            <w:tcBorders>
              <w:top w:val="single" w:color="auto" w:sz="4" w:space="0"/>
              <w:left w:val="nil"/>
              <w:bottom w:val="single" w:color="auto" w:sz="4" w:space="0"/>
              <w:right w:val="single" w:color="auto" w:sz="4" w:space="0"/>
            </w:tcBorders>
            <w:vAlign w:val="center"/>
          </w:tcPr>
          <w:p w14:paraId="73D0A8C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结论</w:t>
            </w:r>
          </w:p>
        </w:tc>
      </w:tr>
      <w:tr w14:paraId="175548B4">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470C6F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w:t>
            </w:r>
          </w:p>
        </w:tc>
        <w:tc>
          <w:tcPr>
            <w:tcW w:w="6310" w:type="dxa"/>
            <w:tcBorders>
              <w:top w:val="single" w:color="auto" w:sz="8" w:space="0"/>
              <w:left w:val="single" w:color="auto" w:sz="8" w:space="0"/>
              <w:bottom w:val="single" w:color="auto" w:sz="8" w:space="0"/>
              <w:right w:val="single" w:color="auto" w:sz="4" w:space="0"/>
            </w:tcBorders>
            <w:vAlign w:val="center"/>
          </w:tcPr>
          <w:p w14:paraId="45B3D05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基本要求</w:t>
            </w:r>
          </w:p>
        </w:tc>
        <w:tc>
          <w:tcPr>
            <w:tcW w:w="1535" w:type="dxa"/>
            <w:tcBorders>
              <w:top w:val="single" w:color="auto" w:sz="4" w:space="0"/>
              <w:left w:val="nil"/>
              <w:bottom w:val="single" w:color="auto" w:sz="4" w:space="0"/>
              <w:right w:val="single" w:color="auto" w:sz="4" w:space="0"/>
            </w:tcBorders>
            <w:vAlign w:val="center"/>
          </w:tcPr>
          <w:p w14:paraId="286FC091">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5A983A0A">
            <w:pPr>
              <w:widowControl w:val="0"/>
              <w:spacing w:line="240" w:lineRule="auto"/>
              <w:jc w:val="center"/>
              <w:rPr>
                <w:rFonts w:ascii="Times New Roman" w:hAnsi="Times New Roman" w:eastAsia="宋体" w:cs="宋体"/>
                <w:color w:val="auto"/>
                <w:kern w:val="2"/>
                <w:sz w:val="21"/>
                <w:szCs w:val="21"/>
                <w:lang w:val="en-US" w:eastAsia="zh-CN" w:bidi="ar-SA"/>
              </w:rPr>
            </w:pPr>
          </w:p>
        </w:tc>
      </w:tr>
      <w:tr w14:paraId="3C70155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9A810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w:t>
            </w:r>
          </w:p>
        </w:tc>
        <w:tc>
          <w:tcPr>
            <w:tcW w:w="6310" w:type="dxa"/>
            <w:tcBorders>
              <w:top w:val="single" w:color="auto" w:sz="8" w:space="0"/>
              <w:left w:val="single" w:color="auto" w:sz="8" w:space="0"/>
              <w:bottom w:val="single" w:color="auto" w:sz="8" w:space="0"/>
              <w:right w:val="single" w:color="auto" w:sz="4" w:space="0"/>
            </w:tcBorders>
            <w:vAlign w:val="center"/>
          </w:tcPr>
          <w:p w14:paraId="5398E255">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应具备密闭卸油的条件。</w:t>
            </w:r>
          </w:p>
        </w:tc>
        <w:tc>
          <w:tcPr>
            <w:tcW w:w="1535" w:type="dxa"/>
            <w:tcBorders>
              <w:top w:val="single" w:color="auto" w:sz="4" w:space="0"/>
              <w:left w:val="nil"/>
              <w:bottom w:val="single" w:color="auto" w:sz="4" w:space="0"/>
              <w:right w:val="single" w:color="auto" w:sz="4" w:space="0"/>
            </w:tcBorders>
            <w:vAlign w:val="center"/>
          </w:tcPr>
          <w:p w14:paraId="77D6670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具备</w:t>
            </w:r>
          </w:p>
        </w:tc>
        <w:tc>
          <w:tcPr>
            <w:tcW w:w="790" w:type="dxa"/>
            <w:tcBorders>
              <w:top w:val="single" w:color="auto" w:sz="4" w:space="0"/>
              <w:left w:val="nil"/>
              <w:bottom w:val="single" w:color="auto" w:sz="4" w:space="0"/>
              <w:right w:val="single" w:color="auto" w:sz="4" w:space="0"/>
            </w:tcBorders>
            <w:vAlign w:val="center"/>
          </w:tcPr>
          <w:p w14:paraId="5991491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EDA706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0B1F4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1.2</w:t>
            </w:r>
          </w:p>
        </w:tc>
        <w:tc>
          <w:tcPr>
            <w:tcW w:w="6310" w:type="dxa"/>
            <w:tcBorders>
              <w:top w:val="single" w:color="auto" w:sz="8" w:space="0"/>
              <w:left w:val="single" w:color="auto" w:sz="8" w:space="0"/>
              <w:bottom w:val="single" w:color="auto" w:sz="8" w:space="0"/>
              <w:right w:val="single" w:color="auto" w:sz="4" w:space="0"/>
            </w:tcBorders>
            <w:vAlign w:val="center"/>
          </w:tcPr>
          <w:p w14:paraId="361ED3E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防雷防静电接地设施完好。</w:t>
            </w:r>
          </w:p>
        </w:tc>
        <w:tc>
          <w:tcPr>
            <w:tcW w:w="1535" w:type="dxa"/>
            <w:tcBorders>
              <w:top w:val="single" w:color="auto" w:sz="4" w:space="0"/>
              <w:left w:val="nil"/>
              <w:bottom w:val="single" w:color="auto" w:sz="4" w:space="0"/>
              <w:right w:val="single" w:color="auto" w:sz="4" w:space="0"/>
            </w:tcBorders>
            <w:vAlign w:val="center"/>
          </w:tcPr>
          <w:p w14:paraId="2C0951E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经检测完好</w:t>
            </w:r>
          </w:p>
        </w:tc>
        <w:tc>
          <w:tcPr>
            <w:tcW w:w="790" w:type="dxa"/>
            <w:tcBorders>
              <w:top w:val="single" w:color="auto" w:sz="4" w:space="0"/>
              <w:left w:val="nil"/>
              <w:bottom w:val="single" w:color="auto" w:sz="4" w:space="0"/>
              <w:right w:val="single" w:color="auto" w:sz="4" w:space="0"/>
            </w:tcBorders>
            <w:vAlign w:val="center"/>
          </w:tcPr>
          <w:p w14:paraId="409C2DF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6B82A6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3E265C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1.3</w:t>
            </w:r>
          </w:p>
        </w:tc>
        <w:tc>
          <w:tcPr>
            <w:tcW w:w="6310" w:type="dxa"/>
            <w:tcBorders>
              <w:top w:val="single" w:color="auto" w:sz="8" w:space="0"/>
              <w:left w:val="single" w:color="auto" w:sz="8" w:space="0"/>
              <w:bottom w:val="single" w:color="auto" w:sz="8" w:space="0"/>
              <w:right w:val="single" w:color="auto" w:sz="4" w:space="0"/>
            </w:tcBorders>
            <w:vAlign w:val="center"/>
          </w:tcPr>
          <w:p w14:paraId="780AD573">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油罐车排气管应安装阻火帽。</w:t>
            </w:r>
          </w:p>
        </w:tc>
        <w:tc>
          <w:tcPr>
            <w:tcW w:w="1535" w:type="dxa"/>
            <w:tcBorders>
              <w:top w:val="single" w:color="auto" w:sz="4" w:space="0"/>
              <w:left w:val="nil"/>
              <w:bottom w:val="single" w:color="auto" w:sz="4" w:space="0"/>
              <w:right w:val="single" w:color="auto" w:sz="4" w:space="0"/>
            </w:tcBorders>
            <w:vAlign w:val="center"/>
          </w:tcPr>
          <w:p w14:paraId="6A57C4D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油罐车装有阻火器</w:t>
            </w:r>
          </w:p>
        </w:tc>
        <w:tc>
          <w:tcPr>
            <w:tcW w:w="790" w:type="dxa"/>
            <w:tcBorders>
              <w:top w:val="single" w:color="auto" w:sz="4" w:space="0"/>
              <w:left w:val="nil"/>
              <w:bottom w:val="single" w:color="auto" w:sz="4" w:space="0"/>
              <w:right w:val="single" w:color="auto" w:sz="4" w:space="0"/>
            </w:tcBorders>
            <w:vAlign w:val="center"/>
          </w:tcPr>
          <w:p w14:paraId="3C72CCC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7D93F2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6276DD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1.4</w:t>
            </w:r>
          </w:p>
        </w:tc>
        <w:tc>
          <w:tcPr>
            <w:tcW w:w="6310" w:type="dxa"/>
            <w:tcBorders>
              <w:top w:val="single" w:color="auto" w:sz="8" w:space="0"/>
              <w:left w:val="single" w:color="auto" w:sz="8" w:space="0"/>
              <w:bottom w:val="single" w:color="auto" w:sz="8" w:space="0"/>
              <w:right w:val="single" w:color="auto" w:sz="4" w:space="0"/>
            </w:tcBorders>
            <w:vAlign w:val="center"/>
          </w:tcPr>
          <w:p w14:paraId="18BD7B7D">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卸油作业现场应至少配备2具手提式干粉灭火器和2块灭火毯等应急救援物资。</w:t>
            </w:r>
          </w:p>
        </w:tc>
        <w:tc>
          <w:tcPr>
            <w:tcW w:w="1535" w:type="dxa"/>
            <w:tcBorders>
              <w:top w:val="single" w:color="auto" w:sz="4" w:space="0"/>
              <w:left w:val="nil"/>
              <w:bottom w:val="single" w:color="auto" w:sz="4" w:space="0"/>
              <w:right w:val="single" w:color="auto" w:sz="4" w:space="0"/>
            </w:tcBorders>
            <w:vAlign w:val="center"/>
          </w:tcPr>
          <w:p w14:paraId="29AC7BA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应急救援物资配备齐全</w:t>
            </w:r>
          </w:p>
        </w:tc>
        <w:tc>
          <w:tcPr>
            <w:tcW w:w="790" w:type="dxa"/>
            <w:tcBorders>
              <w:top w:val="single" w:color="auto" w:sz="4" w:space="0"/>
              <w:left w:val="nil"/>
              <w:bottom w:val="single" w:color="auto" w:sz="4" w:space="0"/>
              <w:right w:val="single" w:color="auto" w:sz="4" w:space="0"/>
            </w:tcBorders>
            <w:vAlign w:val="center"/>
          </w:tcPr>
          <w:p w14:paraId="137873C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51BEB8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15C5A9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1.5</w:t>
            </w:r>
          </w:p>
        </w:tc>
        <w:tc>
          <w:tcPr>
            <w:tcW w:w="6310" w:type="dxa"/>
            <w:tcBorders>
              <w:top w:val="single" w:color="auto" w:sz="8" w:space="0"/>
              <w:left w:val="single" w:color="auto" w:sz="8" w:space="0"/>
              <w:bottom w:val="single" w:color="auto" w:sz="8" w:space="0"/>
              <w:right w:val="single" w:color="auto" w:sz="4" w:space="0"/>
            </w:tcBorders>
            <w:vAlign w:val="center"/>
          </w:tcPr>
          <w:p w14:paraId="5CF1D41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油罐车宜采用液位差自流方式卸油。</w:t>
            </w:r>
          </w:p>
        </w:tc>
        <w:tc>
          <w:tcPr>
            <w:tcW w:w="1535" w:type="dxa"/>
            <w:tcBorders>
              <w:top w:val="single" w:color="auto" w:sz="4" w:space="0"/>
              <w:left w:val="nil"/>
              <w:bottom w:val="single" w:color="auto" w:sz="4" w:space="0"/>
              <w:right w:val="single" w:color="auto" w:sz="4" w:space="0"/>
            </w:tcBorders>
            <w:vAlign w:val="center"/>
          </w:tcPr>
          <w:p w14:paraId="1EE436B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埋地罐以液位差自流方式卸油</w:t>
            </w:r>
          </w:p>
        </w:tc>
        <w:tc>
          <w:tcPr>
            <w:tcW w:w="790" w:type="dxa"/>
            <w:tcBorders>
              <w:top w:val="single" w:color="auto" w:sz="4" w:space="0"/>
              <w:left w:val="nil"/>
              <w:bottom w:val="single" w:color="auto" w:sz="4" w:space="0"/>
              <w:right w:val="single" w:color="auto" w:sz="4" w:space="0"/>
            </w:tcBorders>
            <w:vAlign w:val="center"/>
          </w:tcPr>
          <w:p w14:paraId="2923F55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2B8B6CA">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BA5CC7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1.6</w:t>
            </w:r>
          </w:p>
        </w:tc>
        <w:tc>
          <w:tcPr>
            <w:tcW w:w="6310" w:type="dxa"/>
            <w:tcBorders>
              <w:top w:val="single" w:color="auto" w:sz="8" w:space="0"/>
              <w:left w:val="single" w:color="auto" w:sz="8" w:space="0"/>
              <w:bottom w:val="single" w:color="auto" w:sz="8" w:space="0"/>
              <w:right w:val="single" w:color="auto" w:sz="4" w:space="0"/>
            </w:tcBorders>
            <w:vAlign w:val="center"/>
          </w:tcPr>
          <w:p w14:paraId="6F0E7286">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卸油作业区的辅助设施应具有防静电措施；进入卸油区作业的人员，应先通过具有报警功能的人体静电释放装置消除静电。</w:t>
            </w:r>
          </w:p>
        </w:tc>
        <w:tc>
          <w:tcPr>
            <w:tcW w:w="1535" w:type="dxa"/>
            <w:tcBorders>
              <w:top w:val="single" w:color="auto" w:sz="4" w:space="0"/>
              <w:left w:val="nil"/>
              <w:bottom w:val="single" w:color="auto" w:sz="4" w:space="0"/>
              <w:right w:val="single" w:color="auto" w:sz="4" w:space="0"/>
            </w:tcBorders>
            <w:vAlign w:val="center"/>
          </w:tcPr>
          <w:p w14:paraId="26ECCB7A">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设有防静电接地跨接和人体静电释放装置</w:t>
            </w:r>
          </w:p>
        </w:tc>
        <w:tc>
          <w:tcPr>
            <w:tcW w:w="790" w:type="dxa"/>
            <w:tcBorders>
              <w:top w:val="single" w:color="auto" w:sz="4" w:space="0"/>
              <w:left w:val="nil"/>
              <w:bottom w:val="single" w:color="auto" w:sz="4" w:space="0"/>
              <w:right w:val="single" w:color="auto" w:sz="4" w:space="0"/>
            </w:tcBorders>
            <w:vAlign w:val="center"/>
          </w:tcPr>
          <w:p w14:paraId="65B742C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3E3CE9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662EA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w:t>
            </w:r>
          </w:p>
        </w:tc>
        <w:tc>
          <w:tcPr>
            <w:tcW w:w="6310" w:type="dxa"/>
            <w:tcBorders>
              <w:top w:val="single" w:color="auto" w:sz="8" w:space="0"/>
              <w:left w:val="single" w:color="auto" w:sz="8" w:space="0"/>
              <w:bottom w:val="single" w:color="auto" w:sz="8" w:space="0"/>
              <w:right w:val="single" w:color="auto" w:sz="4" w:space="0"/>
            </w:tcBorders>
            <w:vAlign w:val="center"/>
          </w:tcPr>
          <w:p w14:paraId="1240ACC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w:t>
            </w:r>
          </w:p>
        </w:tc>
        <w:tc>
          <w:tcPr>
            <w:tcW w:w="1535" w:type="dxa"/>
            <w:tcBorders>
              <w:top w:val="single" w:color="auto" w:sz="4" w:space="0"/>
              <w:left w:val="nil"/>
              <w:bottom w:val="single" w:color="auto" w:sz="4" w:space="0"/>
              <w:right w:val="single" w:color="auto" w:sz="4" w:space="0"/>
            </w:tcBorders>
            <w:vAlign w:val="center"/>
          </w:tcPr>
          <w:p w14:paraId="04364BD3">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6C4E97A9">
            <w:pPr>
              <w:widowControl w:val="0"/>
              <w:spacing w:line="240" w:lineRule="auto"/>
              <w:jc w:val="center"/>
              <w:rPr>
                <w:rFonts w:ascii="Times New Roman" w:hAnsi="Times New Roman" w:eastAsia="宋体" w:cs="宋体"/>
                <w:color w:val="auto"/>
                <w:kern w:val="2"/>
                <w:sz w:val="21"/>
                <w:szCs w:val="21"/>
                <w:lang w:val="en-US" w:eastAsia="zh-CN" w:bidi="ar-SA"/>
              </w:rPr>
            </w:pPr>
          </w:p>
        </w:tc>
      </w:tr>
      <w:tr w14:paraId="54AC7CE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49CAB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40EAA55">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加油站人员应在确认油罐车无油品滴漏后，方可引导油罐车进入卸油作业区，油罐车在站内车速不应大于5km/h。</w:t>
            </w:r>
          </w:p>
        </w:tc>
        <w:tc>
          <w:tcPr>
            <w:tcW w:w="1535" w:type="dxa"/>
            <w:tcBorders>
              <w:top w:val="single" w:color="auto" w:sz="4" w:space="0"/>
              <w:left w:val="nil"/>
              <w:bottom w:val="single" w:color="auto" w:sz="4" w:space="0"/>
              <w:right w:val="single" w:color="auto" w:sz="4" w:space="0"/>
            </w:tcBorders>
            <w:vAlign w:val="center"/>
          </w:tcPr>
          <w:p w14:paraId="7FFBD5A9">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A365B0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69896E9">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CA7BF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2.2</w:t>
            </w:r>
          </w:p>
        </w:tc>
        <w:tc>
          <w:tcPr>
            <w:tcW w:w="6310" w:type="dxa"/>
            <w:tcBorders>
              <w:top w:val="single" w:color="auto" w:sz="8" w:space="0"/>
              <w:left w:val="single" w:color="auto" w:sz="8" w:space="0"/>
              <w:bottom w:val="single" w:color="auto" w:sz="8" w:space="0"/>
              <w:right w:val="single" w:color="auto" w:sz="4" w:space="0"/>
            </w:tcBorders>
            <w:vAlign w:val="center"/>
          </w:tcPr>
          <w:p w14:paraId="19BAF7B3">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油罐车停于卸油停车位，熄火并拉上手刹，车轮处宜放置与最大允许总质量和车轮尺寸相匹配的轮挡，车钥匙宜放置在指定位置管控。</w:t>
            </w:r>
          </w:p>
        </w:tc>
        <w:tc>
          <w:tcPr>
            <w:tcW w:w="1535" w:type="dxa"/>
            <w:tcBorders>
              <w:top w:val="single" w:color="auto" w:sz="4" w:space="0"/>
              <w:left w:val="nil"/>
              <w:bottom w:val="single" w:color="auto" w:sz="4" w:space="0"/>
              <w:right w:val="single" w:color="auto" w:sz="4" w:space="0"/>
            </w:tcBorders>
            <w:vAlign w:val="center"/>
          </w:tcPr>
          <w:p w14:paraId="4A198322">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卸车停车区域标志，配有防止溜车的轮挡，车钥匙放在站房收银台</w:t>
            </w:r>
          </w:p>
        </w:tc>
        <w:tc>
          <w:tcPr>
            <w:tcW w:w="790" w:type="dxa"/>
            <w:tcBorders>
              <w:top w:val="single" w:color="auto" w:sz="4" w:space="0"/>
              <w:left w:val="nil"/>
              <w:bottom w:val="single" w:color="auto" w:sz="4" w:space="0"/>
              <w:right w:val="single" w:color="auto" w:sz="4" w:space="0"/>
            </w:tcBorders>
            <w:vAlign w:val="center"/>
          </w:tcPr>
          <w:p w14:paraId="156A407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8A9545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EA1C4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2.3</w:t>
            </w:r>
          </w:p>
        </w:tc>
        <w:tc>
          <w:tcPr>
            <w:tcW w:w="6310" w:type="dxa"/>
            <w:tcBorders>
              <w:top w:val="single" w:color="auto" w:sz="8" w:space="0"/>
              <w:left w:val="single" w:color="auto" w:sz="8" w:space="0"/>
              <w:bottom w:val="single" w:color="auto" w:sz="8" w:space="0"/>
              <w:right w:val="single" w:color="auto" w:sz="4" w:space="0"/>
            </w:tcBorders>
            <w:vAlign w:val="center"/>
          </w:tcPr>
          <w:p w14:paraId="3CFBFAE5">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卸油人员应将防静电跨接线连接到油罐车专用接地端，并确认接触良好。</w:t>
            </w:r>
          </w:p>
        </w:tc>
        <w:tc>
          <w:tcPr>
            <w:tcW w:w="1535" w:type="dxa"/>
            <w:tcBorders>
              <w:top w:val="single" w:color="auto" w:sz="4" w:space="0"/>
              <w:left w:val="nil"/>
              <w:bottom w:val="single" w:color="auto" w:sz="4" w:space="0"/>
              <w:right w:val="single" w:color="auto" w:sz="4" w:space="0"/>
            </w:tcBorders>
            <w:vAlign w:val="center"/>
          </w:tcPr>
          <w:p w14:paraId="14D620C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243D243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15F607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D38E5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776E004">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卸油作业现场应设置隔离警示标识。</w:t>
            </w:r>
          </w:p>
        </w:tc>
        <w:tc>
          <w:tcPr>
            <w:tcW w:w="1535" w:type="dxa"/>
            <w:tcBorders>
              <w:top w:val="single" w:color="auto" w:sz="4" w:space="0"/>
              <w:left w:val="nil"/>
              <w:bottom w:val="single" w:color="auto" w:sz="4" w:space="0"/>
              <w:right w:val="single" w:color="auto" w:sz="4" w:space="0"/>
            </w:tcBorders>
            <w:vAlign w:val="center"/>
          </w:tcPr>
          <w:p w14:paraId="0AD8F9B5">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723699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38DBBC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CC3275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2.5</w:t>
            </w:r>
          </w:p>
        </w:tc>
        <w:tc>
          <w:tcPr>
            <w:tcW w:w="6310" w:type="dxa"/>
            <w:tcBorders>
              <w:top w:val="single" w:color="auto" w:sz="8" w:space="0"/>
              <w:left w:val="single" w:color="auto" w:sz="8" w:space="0"/>
              <w:bottom w:val="single" w:color="auto" w:sz="8" w:space="0"/>
              <w:right w:val="single" w:color="auto" w:sz="4" w:space="0"/>
            </w:tcBorders>
            <w:vAlign w:val="center"/>
          </w:tcPr>
          <w:p w14:paraId="6224019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手提式灭火器宜摆放在距卸油口2 m～3m 处。</w:t>
            </w:r>
          </w:p>
        </w:tc>
        <w:tc>
          <w:tcPr>
            <w:tcW w:w="1535" w:type="dxa"/>
            <w:tcBorders>
              <w:top w:val="single" w:color="auto" w:sz="4" w:space="0"/>
              <w:left w:val="nil"/>
              <w:bottom w:val="single" w:color="auto" w:sz="4" w:space="0"/>
              <w:right w:val="single" w:color="auto" w:sz="4" w:space="0"/>
            </w:tcBorders>
            <w:vAlign w:val="center"/>
          </w:tcPr>
          <w:p w14:paraId="3C44E8E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83747C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119270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F4FFC1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2.6</w:t>
            </w:r>
          </w:p>
        </w:tc>
        <w:tc>
          <w:tcPr>
            <w:tcW w:w="6310" w:type="dxa"/>
            <w:tcBorders>
              <w:top w:val="single" w:color="auto" w:sz="8" w:space="0"/>
              <w:left w:val="single" w:color="auto" w:sz="8" w:space="0"/>
              <w:bottom w:val="single" w:color="auto" w:sz="8" w:space="0"/>
              <w:right w:val="single" w:color="auto" w:sz="4" w:space="0"/>
            </w:tcBorders>
            <w:vAlign w:val="center"/>
          </w:tcPr>
          <w:p w14:paraId="50E6D57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应在油罐车静置进行静电释放5min 后，方可进行计量、取样和卸油等相关作业。</w:t>
            </w:r>
          </w:p>
        </w:tc>
        <w:tc>
          <w:tcPr>
            <w:tcW w:w="1535" w:type="dxa"/>
            <w:tcBorders>
              <w:top w:val="single" w:color="auto" w:sz="4" w:space="0"/>
              <w:left w:val="nil"/>
              <w:bottom w:val="single" w:color="auto" w:sz="4" w:space="0"/>
              <w:right w:val="single" w:color="auto" w:sz="4" w:space="0"/>
            </w:tcBorders>
            <w:vAlign w:val="center"/>
          </w:tcPr>
          <w:p w14:paraId="21E6488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DA30A2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357EAA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7C6DAB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2.7</w:t>
            </w:r>
          </w:p>
        </w:tc>
        <w:tc>
          <w:tcPr>
            <w:tcW w:w="6310" w:type="dxa"/>
            <w:tcBorders>
              <w:top w:val="single" w:color="auto" w:sz="8" w:space="0"/>
              <w:left w:val="single" w:color="auto" w:sz="8" w:space="0"/>
              <w:bottom w:val="single" w:color="auto" w:sz="8" w:space="0"/>
              <w:right w:val="single" w:color="auto" w:sz="4" w:space="0"/>
            </w:tcBorders>
            <w:vAlign w:val="center"/>
          </w:tcPr>
          <w:p w14:paraId="44773FA8">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检查确认油罐计量孔密闭良好，汽油罐通气管上阀门应处于关闭状态，安装呼吸阀的通气管上 阀门应处于开启状态。</w:t>
            </w:r>
          </w:p>
        </w:tc>
        <w:tc>
          <w:tcPr>
            <w:tcW w:w="1535" w:type="dxa"/>
            <w:tcBorders>
              <w:top w:val="single" w:color="auto" w:sz="4" w:space="0"/>
              <w:left w:val="nil"/>
              <w:bottom w:val="single" w:color="auto" w:sz="4" w:space="0"/>
              <w:right w:val="single" w:color="auto" w:sz="4" w:space="0"/>
            </w:tcBorders>
            <w:vAlign w:val="center"/>
          </w:tcPr>
          <w:p w14:paraId="65ED38A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5140D6B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E25235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EC96A9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2.8</w:t>
            </w:r>
          </w:p>
        </w:tc>
        <w:tc>
          <w:tcPr>
            <w:tcW w:w="6310" w:type="dxa"/>
            <w:tcBorders>
              <w:top w:val="single" w:color="auto" w:sz="8" w:space="0"/>
              <w:left w:val="single" w:color="auto" w:sz="8" w:space="0"/>
              <w:bottom w:val="single" w:color="auto" w:sz="8" w:space="0"/>
              <w:right w:val="single" w:color="auto" w:sz="4" w:space="0"/>
            </w:tcBorders>
            <w:vAlign w:val="center"/>
          </w:tcPr>
          <w:p w14:paraId="0528BFD6">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 xml:space="preserve">卸油前，应计量油罐的存油量，确认有足够的剩余容量，并核对罐车单据与油罐中油品的名称、牌号是否一致。 </w:t>
            </w:r>
          </w:p>
        </w:tc>
        <w:tc>
          <w:tcPr>
            <w:tcW w:w="1535" w:type="dxa"/>
            <w:tcBorders>
              <w:top w:val="single" w:color="auto" w:sz="4" w:space="0"/>
              <w:left w:val="nil"/>
              <w:bottom w:val="single" w:color="auto" w:sz="4" w:space="0"/>
              <w:right w:val="single" w:color="auto" w:sz="4" w:space="0"/>
            </w:tcBorders>
            <w:vAlign w:val="center"/>
          </w:tcPr>
          <w:p w14:paraId="156DC58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2B4CBF0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B9D8CF1">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18D7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2.9</w:t>
            </w:r>
          </w:p>
        </w:tc>
        <w:tc>
          <w:tcPr>
            <w:tcW w:w="6310" w:type="dxa"/>
            <w:tcBorders>
              <w:top w:val="single" w:color="auto" w:sz="8" w:space="0"/>
              <w:left w:val="single" w:color="auto" w:sz="8" w:space="0"/>
              <w:bottom w:val="single" w:color="auto" w:sz="8" w:space="0"/>
              <w:right w:val="single" w:color="auto" w:sz="4" w:space="0"/>
            </w:tcBorders>
            <w:vAlign w:val="center"/>
          </w:tcPr>
          <w:p w14:paraId="05AE9B5C">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对油罐车进行人工取样时，人员应戴安全帽，应选用铝或铜等不发火花、不易积聚静电的器具； 油样可通过卸油口回罐，不应从计量孔倒入。若人员在油罐车罐顶上取样，还应采取防坠落措施，并有专人监护。</w:t>
            </w:r>
          </w:p>
        </w:tc>
        <w:tc>
          <w:tcPr>
            <w:tcW w:w="1535" w:type="dxa"/>
            <w:tcBorders>
              <w:top w:val="single" w:color="auto" w:sz="4" w:space="0"/>
              <w:left w:val="nil"/>
              <w:bottom w:val="single" w:color="auto" w:sz="4" w:space="0"/>
              <w:right w:val="single" w:color="auto" w:sz="4" w:space="0"/>
            </w:tcBorders>
            <w:vAlign w:val="center"/>
          </w:tcPr>
          <w:p w14:paraId="344744B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078817F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FC23131">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4204E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2.10</w:t>
            </w:r>
          </w:p>
        </w:tc>
        <w:tc>
          <w:tcPr>
            <w:tcW w:w="6310" w:type="dxa"/>
            <w:tcBorders>
              <w:top w:val="single" w:color="auto" w:sz="8" w:space="0"/>
              <w:left w:val="single" w:color="auto" w:sz="8" w:space="0"/>
              <w:bottom w:val="single" w:color="auto" w:sz="8" w:space="0"/>
              <w:right w:val="single" w:color="auto" w:sz="4" w:space="0"/>
            </w:tcBorders>
            <w:vAlign w:val="center"/>
          </w:tcPr>
          <w:p w14:paraId="40897438">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卸油人员应按工艺流程将卸油软管和汽油油气回收软管与油罐车和埋地油罐紧密连接，保持卸油软管自然弯曲。</w:t>
            </w:r>
          </w:p>
        </w:tc>
        <w:tc>
          <w:tcPr>
            <w:tcW w:w="1535" w:type="dxa"/>
            <w:tcBorders>
              <w:top w:val="single" w:color="auto" w:sz="4" w:space="0"/>
              <w:left w:val="nil"/>
              <w:bottom w:val="single" w:color="auto" w:sz="4" w:space="0"/>
              <w:right w:val="single" w:color="auto" w:sz="4" w:space="0"/>
            </w:tcBorders>
            <w:vAlign w:val="center"/>
          </w:tcPr>
          <w:p w14:paraId="2F0B2E8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2B06A58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23B1C3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EC7EB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2.11</w:t>
            </w:r>
          </w:p>
        </w:tc>
        <w:tc>
          <w:tcPr>
            <w:tcW w:w="6310" w:type="dxa"/>
            <w:tcBorders>
              <w:top w:val="single" w:color="auto" w:sz="8" w:space="0"/>
              <w:left w:val="single" w:color="auto" w:sz="8" w:space="0"/>
              <w:bottom w:val="single" w:color="auto" w:sz="8" w:space="0"/>
              <w:right w:val="single" w:color="auto" w:sz="4" w:space="0"/>
            </w:tcBorders>
            <w:vAlign w:val="center"/>
          </w:tcPr>
          <w:p w14:paraId="7CE275E3">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经双方检查确认具备开阀卸油条件后，将卸油口对应油罐进油阀门打开（卸汽油时先打开气路 阀门），再缓慢开启油罐车卸油阀门。通过采取调节阀门开度等措施控制卸油流速不大于4.5 m/s。</w:t>
            </w:r>
          </w:p>
        </w:tc>
        <w:tc>
          <w:tcPr>
            <w:tcW w:w="1535" w:type="dxa"/>
            <w:tcBorders>
              <w:top w:val="single" w:color="auto" w:sz="4" w:space="0"/>
              <w:left w:val="nil"/>
              <w:bottom w:val="single" w:color="auto" w:sz="4" w:space="0"/>
              <w:right w:val="single" w:color="auto" w:sz="4" w:space="0"/>
            </w:tcBorders>
            <w:vAlign w:val="center"/>
          </w:tcPr>
          <w:p w14:paraId="0D8120A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A39C04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3B1E4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8D3661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2.12</w:t>
            </w:r>
          </w:p>
        </w:tc>
        <w:tc>
          <w:tcPr>
            <w:tcW w:w="6310" w:type="dxa"/>
            <w:tcBorders>
              <w:top w:val="single" w:color="auto" w:sz="8" w:space="0"/>
              <w:left w:val="single" w:color="auto" w:sz="8" w:space="0"/>
              <w:bottom w:val="single" w:color="auto" w:sz="8" w:space="0"/>
              <w:right w:val="single" w:color="auto" w:sz="4" w:space="0"/>
            </w:tcBorders>
            <w:vAlign w:val="center"/>
          </w:tcPr>
          <w:p w14:paraId="38CCD34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卸油作业过程中应有专人监护，油罐车驾驶员和押运员不应同时离开作业现场。无人监护时，应停止作业。</w:t>
            </w:r>
          </w:p>
        </w:tc>
        <w:tc>
          <w:tcPr>
            <w:tcW w:w="1535" w:type="dxa"/>
            <w:tcBorders>
              <w:top w:val="single" w:color="auto" w:sz="4" w:space="0"/>
              <w:left w:val="nil"/>
              <w:bottom w:val="single" w:color="auto" w:sz="4" w:space="0"/>
              <w:right w:val="single" w:color="auto" w:sz="4" w:space="0"/>
            </w:tcBorders>
            <w:vAlign w:val="center"/>
          </w:tcPr>
          <w:p w14:paraId="6DE5C92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E028EA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BBC6BB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752F6A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2.13</w:t>
            </w:r>
          </w:p>
        </w:tc>
        <w:tc>
          <w:tcPr>
            <w:tcW w:w="6310" w:type="dxa"/>
            <w:tcBorders>
              <w:top w:val="single" w:color="auto" w:sz="8" w:space="0"/>
              <w:left w:val="single" w:color="auto" w:sz="8" w:space="0"/>
              <w:bottom w:val="single" w:color="auto" w:sz="8" w:space="0"/>
              <w:right w:val="single" w:color="auto" w:sz="4" w:space="0"/>
            </w:tcBorders>
            <w:vAlign w:val="center"/>
          </w:tcPr>
          <w:p w14:paraId="0643892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卸油作业过程中，不应开启计量孔，不应修理、擦洗油罐车，不应鸣笛；使用器具时要轻拿轻放；与该罐连接且无防水措施的加油机应停止加油作业。</w:t>
            </w:r>
          </w:p>
        </w:tc>
        <w:tc>
          <w:tcPr>
            <w:tcW w:w="1535" w:type="dxa"/>
            <w:tcBorders>
              <w:top w:val="single" w:color="auto" w:sz="4" w:space="0"/>
              <w:left w:val="nil"/>
              <w:bottom w:val="single" w:color="auto" w:sz="4" w:space="0"/>
              <w:right w:val="single" w:color="auto" w:sz="4" w:space="0"/>
            </w:tcBorders>
            <w:vAlign w:val="center"/>
          </w:tcPr>
          <w:p w14:paraId="74FCF04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760DD9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2D7871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D4B8AF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2.14</w:t>
            </w:r>
          </w:p>
        </w:tc>
        <w:tc>
          <w:tcPr>
            <w:tcW w:w="6310" w:type="dxa"/>
            <w:tcBorders>
              <w:top w:val="single" w:color="auto" w:sz="8" w:space="0"/>
              <w:left w:val="single" w:color="auto" w:sz="8" w:space="0"/>
              <w:bottom w:val="single" w:color="auto" w:sz="8" w:space="0"/>
              <w:right w:val="single" w:color="auto" w:sz="4" w:space="0"/>
            </w:tcBorders>
            <w:vAlign w:val="center"/>
          </w:tcPr>
          <w:p w14:paraId="4D23821E">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卸油时若发生油料溅溢或其他影响卸油安全情况时，应立即停止作业并及时处理。若发生事故，应立即停止作业，并按应急预案进行应急处置。</w:t>
            </w:r>
          </w:p>
        </w:tc>
        <w:tc>
          <w:tcPr>
            <w:tcW w:w="1535" w:type="dxa"/>
            <w:tcBorders>
              <w:top w:val="single" w:color="auto" w:sz="4" w:space="0"/>
              <w:left w:val="nil"/>
              <w:bottom w:val="single" w:color="auto" w:sz="4" w:space="0"/>
              <w:right w:val="single" w:color="auto" w:sz="4" w:space="0"/>
            </w:tcBorders>
            <w:vAlign w:val="center"/>
          </w:tcPr>
          <w:p w14:paraId="3ACD10C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4B5949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3509F54">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9F722C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2.15</w:t>
            </w:r>
          </w:p>
        </w:tc>
        <w:tc>
          <w:tcPr>
            <w:tcW w:w="6310" w:type="dxa"/>
            <w:tcBorders>
              <w:top w:val="single" w:color="auto" w:sz="8" w:space="0"/>
              <w:left w:val="single" w:color="auto" w:sz="8" w:space="0"/>
              <w:bottom w:val="single" w:color="auto" w:sz="8" w:space="0"/>
              <w:right w:val="single" w:color="auto" w:sz="4" w:space="0"/>
            </w:tcBorders>
            <w:vAlign w:val="center"/>
          </w:tcPr>
          <w:p w14:paraId="54ACADFC">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卸至软管内无油后，应做好以下工作：</w:t>
            </w:r>
          </w:p>
          <w:p w14:paraId="160BBAD8">
            <w:pP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eastAsia="zh-CN"/>
              </w:rPr>
              <w:t>a）</w:t>
            </w:r>
            <w:r>
              <w:rPr>
                <w:rFonts w:hint="eastAsia" w:ascii="Times New Roman" w:hAnsi="Times New Roman" w:eastAsia="宋体" w:cs="宋体"/>
                <w:bCs w:val="0"/>
                <w:color w:val="auto"/>
                <w:kern w:val="2"/>
              </w:rPr>
              <w:t>关闭软管两端阀门；</w:t>
            </w:r>
          </w:p>
          <w:p w14:paraId="546AC536">
            <w:pP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eastAsia="zh-CN"/>
              </w:rPr>
              <w:t>b）</w:t>
            </w:r>
            <w:r>
              <w:rPr>
                <w:rFonts w:hint="eastAsia" w:ascii="Times New Roman" w:hAnsi="Times New Roman" w:eastAsia="宋体" w:cs="宋体"/>
                <w:bCs w:val="0"/>
                <w:color w:val="auto"/>
                <w:kern w:val="2"/>
              </w:rPr>
              <w:t>拆除软管，将卸油接口的密封盖盖紧并加锁；</w:t>
            </w:r>
          </w:p>
          <w:p w14:paraId="4F202364">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c）收回卸油软管和防静电跨接线，收存软管时不应抛摔，以防接头变形。</w:t>
            </w:r>
          </w:p>
        </w:tc>
        <w:tc>
          <w:tcPr>
            <w:tcW w:w="1535" w:type="dxa"/>
            <w:tcBorders>
              <w:top w:val="single" w:color="auto" w:sz="4" w:space="0"/>
              <w:left w:val="nil"/>
              <w:bottom w:val="single" w:color="auto" w:sz="4" w:space="0"/>
              <w:right w:val="single" w:color="auto" w:sz="4" w:space="0"/>
            </w:tcBorders>
            <w:vAlign w:val="center"/>
          </w:tcPr>
          <w:p w14:paraId="22A2401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0F204A1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C26DB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8C276B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2.16</w:t>
            </w:r>
          </w:p>
        </w:tc>
        <w:tc>
          <w:tcPr>
            <w:tcW w:w="6310" w:type="dxa"/>
            <w:tcBorders>
              <w:top w:val="single" w:color="auto" w:sz="8" w:space="0"/>
              <w:left w:val="single" w:color="auto" w:sz="8" w:space="0"/>
              <w:bottom w:val="single" w:color="auto" w:sz="8" w:space="0"/>
              <w:right w:val="single" w:color="auto" w:sz="4" w:space="0"/>
            </w:tcBorders>
            <w:vAlign w:val="center"/>
          </w:tcPr>
          <w:p w14:paraId="5F23C476">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卸油结束后，卸油员应全面检查并确认状态正常，方可引导油罐车启动车辆、离站，并清理卸油现场，将应急器材放回原位。</w:t>
            </w:r>
          </w:p>
        </w:tc>
        <w:tc>
          <w:tcPr>
            <w:tcW w:w="1535" w:type="dxa"/>
            <w:tcBorders>
              <w:top w:val="single" w:color="auto" w:sz="4" w:space="0"/>
              <w:left w:val="nil"/>
              <w:bottom w:val="single" w:color="auto" w:sz="4" w:space="0"/>
              <w:right w:val="single" w:color="auto" w:sz="4" w:space="0"/>
            </w:tcBorders>
            <w:vAlign w:val="center"/>
          </w:tcPr>
          <w:p w14:paraId="08CA9B7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235680C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63B78EE">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55F017E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二、加油作业</w:t>
            </w:r>
          </w:p>
        </w:tc>
      </w:tr>
      <w:tr w14:paraId="1FFB1BF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B7D9B9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w:t>
            </w:r>
          </w:p>
        </w:tc>
        <w:tc>
          <w:tcPr>
            <w:tcW w:w="6310" w:type="dxa"/>
            <w:tcBorders>
              <w:top w:val="single" w:color="auto" w:sz="8" w:space="0"/>
              <w:left w:val="single" w:color="auto" w:sz="8" w:space="0"/>
              <w:bottom w:val="single" w:color="auto" w:sz="8" w:space="0"/>
              <w:right w:val="single" w:color="auto" w:sz="4" w:space="0"/>
            </w:tcBorders>
            <w:vAlign w:val="center"/>
          </w:tcPr>
          <w:p w14:paraId="0265B56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基本要求</w:t>
            </w:r>
          </w:p>
        </w:tc>
        <w:tc>
          <w:tcPr>
            <w:tcW w:w="1535" w:type="dxa"/>
            <w:tcBorders>
              <w:top w:val="single" w:color="auto" w:sz="4" w:space="0"/>
              <w:left w:val="nil"/>
              <w:bottom w:val="single" w:color="auto" w:sz="4" w:space="0"/>
              <w:right w:val="single" w:color="auto" w:sz="4" w:space="0"/>
            </w:tcBorders>
            <w:vAlign w:val="center"/>
          </w:tcPr>
          <w:p w14:paraId="6D2DB4B7">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7E4D32FD">
            <w:pPr>
              <w:widowControl w:val="0"/>
              <w:spacing w:line="240" w:lineRule="auto"/>
              <w:jc w:val="center"/>
              <w:rPr>
                <w:rFonts w:ascii="Times New Roman" w:hAnsi="Times New Roman" w:eastAsia="宋体" w:cs="宋体"/>
                <w:color w:val="auto"/>
                <w:kern w:val="2"/>
                <w:sz w:val="21"/>
                <w:szCs w:val="21"/>
                <w:lang w:val="en-US" w:eastAsia="zh-CN" w:bidi="ar-SA"/>
              </w:rPr>
            </w:pPr>
          </w:p>
        </w:tc>
      </w:tr>
      <w:tr w14:paraId="6246CEAC">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21648B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w:t>
            </w:r>
          </w:p>
        </w:tc>
        <w:tc>
          <w:tcPr>
            <w:tcW w:w="6310" w:type="dxa"/>
            <w:tcBorders>
              <w:top w:val="single" w:color="auto" w:sz="8" w:space="0"/>
              <w:left w:val="single" w:color="auto" w:sz="8" w:space="0"/>
              <w:bottom w:val="single" w:color="auto" w:sz="8" w:space="0"/>
              <w:right w:val="single" w:color="auto" w:sz="4" w:space="0"/>
            </w:tcBorders>
            <w:vAlign w:val="center"/>
          </w:tcPr>
          <w:p w14:paraId="1EACC082">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加油机附近应按GB 50156的要求配备灭火器和灭火毯。加油机爆炸危险区域内不应放置可燃性物品。</w:t>
            </w:r>
          </w:p>
        </w:tc>
        <w:tc>
          <w:tcPr>
            <w:tcW w:w="1535" w:type="dxa"/>
            <w:tcBorders>
              <w:top w:val="single" w:color="auto" w:sz="4" w:space="0"/>
              <w:left w:val="nil"/>
              <w:bottom w:val="single" w:color="auto" w:sz="4" w:space="0"/>
              <w:right w:val="single" w:color="auto" w:sz="4" w:space="0"/>
            </w:tcBorders>
            <w:vAlign w:val="center"/>
          </w:tcPr>
          <w:p w14:paraId="489FE9F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配备灭火器和灭火毯，加油机爆炸危险区域内未放置可燃物</w:t>
            </w:r>
          </w:p>
        </w:tc>
        <w:tc>
          <w:tcPr>
            <w:tcW w:w="790" w:type="dxa"/>
            <w:tcBorders>
              <w:top w:val="single" w:color="auto" w:sz="4" w:space="0"/>
              <w:left w:val="nil"/>
              <w:bottom w:val="single" w:color="auto" w:sz="4" w:space="0"/>
              <w:right w:val="single" w:color="auto" w:sz="4" w:space="0"/>
            </w:tcBorders>
            <w:vAlign w:val="center"/>
          </w:tcPr>
          <w:p w14:paraId="579E339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D3D41C9">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F84726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1.2</w:t>
            </w:r>
          </w:p>
        </w:tc>
        <w:tc>
          <w:tcPr>
            <w:tcW w:w="6310" w:type="dxa"/>
            <w:tcBorders>
              <w:top w:val="single" w:color="auto" w:sz="8" w:space="0"/>
              <w:left w:val="single" w:color="auto" w:sz="8" w:space="0"/>
              <w:bottom w:val="single" w:color="auto" w:sz="8" w:space="0"/>
              <w:right w:val="single" w:color="auto" w:sz="4" w:space="0"/>
            </w:tcBorders>
            <w:vAlign w:val="center"/>
          </w:tcPr>
          <w:p w14:paraId="21F43A4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不应在加油作业区外进行加油作业。不应向未采取防止静电积聚措施的绝缘性容器进行散装加注。客户不应操作非自助加油机。</w:t>
            </w:r>
          </w:p>
        </w:tc>
        <w:tc>
          <w:tcPr>
            <w:tcW w:w="1535" w:type="dxa"/>
            <w:tcBorders>
              <w:top w:val="single" w:color="auto" w:sz="4" w:space="0"/>
              <w:left w:val="nil"/>
              <w:bottom w:val="single" w:color="auto" w:sz="4" w:space="0"/>
              <w:right w:val="single" w:color="auto" w:sz="4" w:space="0"/>
            </w:tcBorders>
            <w:vAlign w:val="center"/>
          </w:tcPr>
          <w:p w14:paraId="50C4B3D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D95590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86316BF">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322C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1.3</w:t>
            </w:r>
          </w:p>
        </w:tc>
        <w:tc>
          <w:tcPr>
            <w:tcW w:w="6310" w:type="dxa"/>
            <w:tcBorders>
              <w:top w:val="single" w:color="auto" w:sz="8" w:space="0"/>
              <w:left w:val="single" w:color="auto" w:sz="8" w:space="0"/>
              <w:bottom w:val="single" w:color="auto" w:sz="8" w:space="0"/>
              <w:right w:val="single" w:color="auto" w:sz="4" w:space="0"/>
            </w:tcBorders>
            <w:vAlign w:val="center"/>
          </w:tcPr>
          <w:p w14:paraId="19700A25">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具有自助加油功能的加油站应在营业室内设置紧急切断系统，在事故状态下迅速切断油泵电源，紧急切断系统应为故障安全型；加油站应通过加油机音频提示客户进行加油操作。自助加油机处宜 采取静电检测等技术措施，提示客户在靠近油箱口前先消除人体静电。</w:t>
            </w:r>
          </w:p>
        </w:tc>
        <w:tc>
          <w:tcPr>
            <w:tcW w:w="1535" w:type="dxa"/>
            <w:tcBorders>
              <w:top w:val="single" w:color="auto" w:sz="4" w:space="0"/>
              <w:left w:val="nil"/>
              <w:bottom w:val="single" w:color="auto" w:sz="4" w:space="0"/>
              <w:right w:val="single" w:color="auto" w:sz="4" w:space="0"/>
            </w:tcBorders>
            <w:vAlign w:val="center"/>
          </w:tcPr>
          <w:p w14:paraId="326B0F8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54501A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B6F584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C0602A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0D81D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w:t>
            </w:r>
          </w:p>
        </w:tc>
        <w:tc>
          <w:tcPr>
            <w:tcW w:w="1535" w:type="dxa"/>
            <w:tcBorders>
              <w:top w:val="single" w:color="auto" w:sz="4" w:space="0"/>
              <w:left w:val="nil"/>
              <w:bottom w:val="single" w:color="auto" w:sz="4" w:space="0"/>
              <w:right w:val="single" w:color="auto" w:sz="4" w:space="0"/>
            </w:tcBorders>
            <w:vAlign w:val="center"/>
          </w:tcPr>
          <w:p w14:paraId="30407F8D">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63D67CAE">
            <w:pPr>
              <w:widowControl w:val="0"/>
              <w:spacing w:line="240" w:lineRule="auto"/>
              <w:jc w:val="center"/>
              <w:rPr>
                <w:rFonts w:ascii="Times New Roman" w:hAnsi="Times New Roman" w:eastAsia="宋体" w:cs="宋体"/>
                <w:color w:val="auto"/>
                <w:kern w:val="2"/>
                <w:sz w:val="21"/>
                <w:szCs w:val="21"/>
                <w:lang w:val="en-US" w:eastAsia="zh-CN" w:bidi="ar-SA"/>
              </w:rPr>
            </w:pPr>
          </w:p>
        </w:tc>
      </w:tr>
      <w:tr w14:paraId="1ADE2A0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5FC93B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ADA7040">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车辆驶入非自助加油站时，加油员宜主动引导车辆进入加油位置</w:t>
            </w:r>
          </w:p>
        </w:tc>
        <w:tc>
          <w:tcPr>
            <w:tcW w:w="1535" w:type="dxa"/>
            <w:tcBorders>
              <w:top w:val="single" w:color="auto" w:sz="4" w:space="0"/>
              <w:left w:val="nil"/>
              <w:bottom w:val="single" w:color="auto" w:sz="4" w:space="0"/>
              <w:right w:val="single" w:color="auto" w:sz="4" w:space="0"/>
            </w:tcBorders>
            <w:vAlign w:val="center"/>
          </w:tcPr>
          <w:p w14:paraId="1A52606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578311A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EE0F10E">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388AA4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2.2</w:t>
            </w:r>
          </w:p>
        </w:tc>
        <w:tc>
          <w:tcPr>
            <w:tcW w:w="6310" w:type="dxa"/>
            <w:tcBorders>
              <w:top w:val="single" w:color="auto" w:sz="8" w:space="0"/>
              <w:left w:val="single" w:color="auto" w:sz="8" w:space="0"/>
              <w:bottom w:val="single" w:color="auto" w:sz="8" w:space="0"/>
              <w:right w:val="single" w:color="auto" w:sz="4" w:space="0"/>
            </w:tcBorders>
            <w:vAlign w:val="center"/>
          </w:tcPr>
          <w:p w14:paraId="5EF53538">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加油作业前，加油员应确认车辆停稳、熄火；摩托车驾驶人和乘坐人员应离开座位，并将车辆熄火、放置平稳；加油员与客户确认油品的名称和牌号等信息；应提示客户在靠近油箱口前先释放人体静电。</w:t>
            </w:r>
          </w:p>
        </w:tc>
        <w:tc>
          <w:tcPr>
            <w:tcW w:w="1535" w:type="dxa"/>
            <w:tcBorders>
              <w:top w:val="single" w:color="auto" w:sz="4" w:space="0"/>
              <w:left w:val="nil"/>
              <w:bottom w:val="single" w:color="auto" w:sz="4" w:space="0"/>
              <w:right w:val="single" w:color="auto" w:sz="4" w:space="0"/>
            </w:tcBorders>
            <w:vAlign w:val="center"/>
          </w:tcPr>
          <w:p w14:paraId="0F75DFA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B8508D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DBF988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03BC7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2.3</w:t>
            </w:r>
          </w:p>
        </w:tc>
        <w:tc>
          <w:tcPr>
            <w:tcW w:w="6310" w:type="dxa"/>
            <w:tcBorders>
              <w:top w:val="single" w:color="auto" w:sz="8" w:space="0"/>
              <w:left w:val="single" w:color="auto" w:sz="8" w:space="0"/>
              <w:bottom w:val="single" w:color="auto" w:sz="8" w:space="0"/>
              <w:right w:val="single" w:color="auto" w:sz="4" w:space="0"/>
            </w:tcBorders>
            <w:vAlign w:val="center"/>
          </w:tcPr>
          <w:p w14:paraId="0FD81CF2">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加油枪应为自封式加油枪，汽油加油流量不应大于50L/min。</w:t>
            </w:r>
          </w:p>
        </w:tc>
        <w:tc>
          <w:tcPr>
            <w:tcW w:w="1535" w:type="dxa"/>
            <w:tcBorders>
              <w:top w:val="single" w:color="auto" w:sz="4" w:space="0"/>
              <w:left w:val="nil"/>
              <w:bottom w:val="single" w:color="auto" w:sz="4" w:space="0"/>
              <w:right w:val="single" w:color="auto" w:sz="4" w:space="0"/>
            </w:tcBorders>
            <w:vAlign w:val="center"/>
          </w:tcPr>
          <w:p w14:paraId="0467DA2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汽油加油流量不大于50L/min</w:t>
            </w:r>
          </w:p>
        </w:tc>
        <w:tc>
          <w:tcPr>
            <w:tcW w:w="790" w:type="dxa"/>
            <w:tcBorders>
              <w:top w:val="single" w:color="auto" w:sz="4" w:space="0"/>
              <w:left w:val="nil"/>
              <w:bottom w:val="single" w:color="auto" w:sz="4" w:space="0"/>
              <w:right w:val="single" w:color="auto" w:sz="4" w:space="0"/>
            </w:tcBorders>
            <w:vAlign w:val="center"/>
          </w:tcPr>
          <w:p w14:paraId="6671B8C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FAA0F8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41D9E1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6C81B0C">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加油时应避免油料溅出，若发生油料滴漏、溢洒或影响加油作业安全的情况，应立即停止加油， 并及时处理。</w:t>
            </w:r>
          </w:p>
        </w:tc>
        <w:tc>
          <w:tcPr>
            <w:tcW w:w="1535" w:type="dxa"/>
            <w:tcBorders>
              <w:top w:val="single" w:color="auto" w:sz="4" w:space="0"/>
              <w:left w:val="nil"/>
              <w:bottom w:val="single" w:color="auto" w:sz="4" w:space="0"/>
              <w:right w:val="single" w:color="auto" w:sz="4" w:space="0"/>
            </w:tcBorders>
            <w:vAlign w:val="center"/>
          </w:tcPr>
          <w:p w14:paraId="386CA13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025343E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C7E9CE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5513D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2.5</w:t>
            </w:r>
          </w:p>
        </w:tc>
        <w:tc>
          <w:tcPr>
            <w:tcW w:w="6310" w:type="dxa"/>
            <w:tcBorders>
              <w:top w:val="single" w:color="auto" w:sz="8" w:space="0"/>
              <w:left w:val="single" w:color="auto" w:sz="8" w:space="0"/>
              <w:bottom w:val="single" w:color="auto" w:sz="8" w:space="0"/>
              <w:right w:val="single" w:color="auto" w:sz="4" w:space="0"/>
            </w:tcBorders>
            <w:vAlign w:val="center"/>
          </w:tcPr>
          <w:p w14:paraId="52EABD3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加完油后，应立即将加油枪复位于加油机。</w:t>
            </w:r>
          </w:p>
        </w:tc>
        <w:tc>
          <w:tcPr>
            <w:tcW w:w="1535" w:type="dxa"/>
            <w:tcBorders>
              <w:top w:val="single" w:color="auto" w:sz="4" w:space="0"/>
              <w:left w:val="nil"/>
              <w:bottom w:val="single" w:color="auto" w:sz="4" w:space="0"/>
              <w:right w:val="single" w:color="auto" w:sz="4" w:space="0"/>
            </w:tcBorders>
            <w:vAlign w:val="center"/>
          </w:tcPr>
          <w:p w14:paraId="466EA26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7529F79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5A0CFCC">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3293C23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三、油罐计量</w:t>
            </w:r>
          </w:p>
        </w:tc>
      </w:tr>
      <w:tr w14:paraId="53ABE18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01CA27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w:t>
            </w:r>
          </w:p>
        </w:tc>
        <w:tc>
          <w:tcPr>
            <w:tcW w:w="6310" w:type="dxa"/>
            <w:tcBorders>
              <w:top w:val="single" w:color="auto" w:sz="8" w:space="0"/>
              <w:left w:val="single" w:color="auto" w:sz="8" w:space="0"/>
              <w:bottom w:val="single" w:color="auto" w:sz="8" w:space="0"/>
              <w:right w:val="single" w:color="auto" w:sz="4" w:space="0"/>
            </w:tcBorders>
            <w:vAlign w:val="center"/>
          </w:tcPr>
          <w:p w14:paraId="4BAEC4BF">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应采用电子液位计进行测量。人工计量时，应使用符合计量和安全要求的计量器具。</w:t>
            </w:r>
          </w:p>
        </w:tc>
        <w:tc>
          <w:tcPr>
            <w:tcW w:w="1535" w:type="dxa"/>
            <w:tcBorders>
              <w:top w:val="single" w:color="auto" w:sz="4" w:space="0"/>
              <w:left w:val="nil"/>
              <w:bottom w:val="single" w:color="auto" w:sz="4" w:space="0"/>
              <w:right w:val="single" w:color="auto" w:sz="4" w:space="0"/>
            </w:tcBorders>
            <w:vAlign w:val="center"/>
          </w:tcPr>
          <w:p w14:paraId="1EEF5D3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设置电子液位计</w:t>
            </w:r>
          </w:p>
        </w:tc>
        <w:tc>
          <w:tcPr>
            <w:tcW w:w="790" w:type="dxa"/>
            <w:tcBorders>
              <w:top w:val="single" w:color="auto" w:sz="4" w:space="0"/>
              <w:left w:val="nil"/>
              <w:bottom w:val="single" w:color="auto" w:sz="4" w:space="0"/>
              <w:right w:val="single" w:color="auto" w:sz="4" w:space="0"/>
            </w:tcBorders>
            <w:vAlign w:val="center"/>
          </w:tcPr>
          <w:p w14:paraId="078FEC2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8D91B6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95774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442112">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油罐静态计量时，与该罐连接的给油设备应停止使用。</w:t>
            </w:r>
          </w:p>
        </w:tc>
        <w:tc>
          <w:tcPr>
            <w:tcW w:w="1535" w:type="dxa"/>
            <w:tcBorders>
              <w:top w:val="single" w:color="auto" w:sz="4" w:space="0"/>
              <w:left w:val="nil"/>
              <w:bottom w:val="single" w:color="auto" w:sz="4" w:space="0"/>
              <w:right w:val="single" w:color="auto" w:sz="4" w:space="0"/>
            </w:tcBorders>
            <w:vAlign w:val="center"/>
          </w:tcPr>
          <w:p w14:paraId="29005C8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3C2400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69611C65">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2C170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w:t>
            </w:r>
          </w:p>
        </w:tc>
        <w:tc>
          <w:tcPr>
            <w:tcW w:w="6310" w:type="dxa"/>
            <w:tcBorders>
              <w:top w:val="single" w:color="auto" w:sz="8" w:space="0"/>
              <w:left w:val="single" w:color="auto" w:sz="8" w:space="0"/>
              <w:bottom w:val="single" w:color="auto" w:sz="8" w:space="0"/>
              <w:right w:val="single" w:color="auto" w:sz="4" w:space="0"/>
            </w:tcBorders>
            <w:vAlign w:val="center"/>
          </w:tcPr>
          <w:p w14:paraId="42BDB94C">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卸油后，静置5min 后方可进行人工取样、测水和计量，人宜站在上风方向进行作业。对于汽油罐，若罐内正压，应先打开通气阀进行泄压后再打开量油帽，作业结束后，应及时复位。</w:t>
            </w:r>
          </w:p>
        </w:tc>
        <w:tc>
          <w:tcPr>
            <w:tcW w:w="1535" w:type="dxa"/>
            <w:tcBorders>
              <w:top w:val="single" w:color="auto" w:sz="4" w:space="0"/>
              <w:left w:val="nil"/>
              <w:bottom w:val="single" w:color="auto" w:sz="4" w:space="0"/>
              <w:right w:val="single" w:color="auto" w:sz="4" w:space="0"/>
            </w:tcBorders>
            <w:vAlign w:val="center"/>
          </w:tcPr>
          <w:p w14:paraId="5DF307D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BF51F1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B0D8CC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8B6E6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4</w:t>
            </w:r>
          </w:p>
        </w:tc>
        <w:tc>
          <w:tcPr>
            <w:tcW w:w="6310" w:type="dxa"/>
            <w:tcBorders>
              <w:top w:val="single" w:color="auto" w:sz="8" w:space="0"/>
              <w:left w:val="single" w:color="auto" w:sz="8" w:space="0"/>
              <w:bottom w:val="single" w:color="auto" w:sz="8" w:space="0"/>
              <w:right w:val="single" w:color="auto" w:sz="4" w:space="0"/>
            </w:tcBorders>
            <w:vAlign w:val="center"/>
          </w:tcPr>
          <w:p w14:paraId="736523B2">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采用人工取样、计量、测水和测温时，工具应符合安全要求，工具上提速度不应大于0.5m/s, 下落速度不应大于1m/s。</w:t>
            </w:r>
          </w:p>
        </w:tc>
        <w:tc>
          <w:tcPr>
            <w:tcW w:w="1535" w:type="dxa"/>
            <w:tcBorders>
              <w:top w:val="single" w:color="auto" w:sz="4" w:space="0"/>
              <w:left w:val="nil"/>
              <w:bottom w:val="single" w:color="auto" w:sz="4" w:space="0"/>
              <w:right w:val="single" w:color="auto" w:sz="4" w:space="0"/>
            </w:tcBorders>
            <w:vAlign w:val="center"/>
          </w:tcPr>
          <w:p w14:paraId="46DE98D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5F149FE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DB663B2">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6741E6A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四、设备使用、维护、检修的安全要求</w:t>
            </w:r>
          </w:p>
        </w:tc>
      </w:tr>
      <w:tr w14:paraId="2A19C0D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947C24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w:t>
            </w:r>
          </w:p>
        </w:tc>
        <w:tc>
          <w:tcPr>
            <w:tcW w:w="6310" w:type="dxa"/>
            <w:tcBorders>
              <w:top w:val="single" w:color="auto" w:sz="8" w:space="0"/>
              <w:left w:val="single" w:color="auto" w:sz="8" w:space="0"/>
              <w:bottom w:val="single" w:color="auto" w:sz="8" w:space="0"/>
              <w:right w:val="single" w:color="auto" w:sz="4" w:space="0"/>
            </w:tcBorders>
            <w:vAlign w:val="center"/>
          </w:tcPr>
          <w:p w14:paraId="2147EA0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清洗油罐</w:t>
            </w:r>
          </w:p>
        </w:tc>
        <w:tc>
          <w:tcPr>
            <w:tcW w:w="1535" w:type="dxa"/>
            <w:tcBorders>
              <w:top w:val="single" w:color="auto" w:sz="4" w:space="0"/>
              <w:left w:val="nil"/>
              <w:bottom w:val="single" w:color="auto" w:sz="4" w:space="0"/>
              <w:right w:val="single" w:color="auto" w:sz="4" w:space="0"/>
            </w:tcBorders>
            <w:vAlign w:val="center"/>
          </w:tcPr>
          <w:p w14:paraId="4278882E">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0BDC38C5">
            <w:pPr>
              <w:widowControl w:val="0"/>
              <w:spacing w:line="240" w:lineRule="auto"/>
              <w:jc w:val="center"/>
              <w:rPr>
                <w:rFonts w:ascii="Times New Roman" w:hAnsi="Times New Roman" w:eastAsia="宋体" w:cs="宋体"/>
                <w:color w:val="auto"/>
                <w:kern w:val="2"/>
                <w:sz w:val="21"/>
                <w:szCs w:val="21"/>
                <w:lang w:val="en-US" w:eastAsia="zh-CN" w:bidi="ar-SA"/>
              </w:rPr>
            </w:pPr>
          </w:p>
        </w:tc>
      </w:tr>
      <w:tr w14:paraId="17EA89D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D8E9A6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w:t>
            </w:r>
          </w:p>
        </w:tc>
        <w:tc>
          <w:tcPr>
            <w:tcW w:w="6310" w:type="dxa"/>
            <w:tcBorders>
              <w:top w:val="single" w:color="auto" w:sz="8" w:space="0"/>
              <w:left w:val="single" w:color="auto" w:sz="8" w:space="0"/>
              <w:bottom w:val="single" w:color="auto" w:sz="8" w:space="0"/>
              <w:right w:val="single" w:color="auto" w:sz="4" w:space="0"/>
            </w:tcBorders>
            <w:vAlign w:val="center"/>
          </w:tcPr>
          <w:p w14:paraId="64FEEBB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清洗油罐应根据 GB30871 的规定按照受限空间作业进行管理，办理作业许可手续。</w:t>
            </w:r>
          </w:p>
        </w:tc>
        <w:tc>
          <w:tcPr>
            <w:tcW w:w="1535" w:type="dxa"/>
            <w:tcBorders>
              <w:top w:val="single" w:color="auto" w:sz="4" w:space="0"/>
              <w:left w:val="nil"/>
              <w:bottom w:val="single" w:color="auto" w:sz="4" w:space="0"/>
              <w:right w:val="single" w:color="auto" w:sz="4" w:space="0"/>
            </w:tcBorders>
            <w:vAlign w:val="center"/>
          </w:tcPr>
          <w:p w14:paraId="235E727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858064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69A4CBCB">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CB6D6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1.2</w:t>
            </w:r>
          </w:p>
        </w:tc>
        <w:tc>
          <w:tcPr>
            <w:tcW w:w="6310" w:type="dxa"/>
            <w:tcBorders>
              <w:top w:val="single" w:color="auto" w:sz="8" w:space="0"/>
              <w:left w:val="single" w:color="auto" w:sz="8" w:space="0"/>
              <w:bottom w:val="single" w:color="auto" w:sz="8" w:space="0"/>
              <w:right w:val="single" w:color="auto" w:sz="4" w:space="0"/>
            </w:tcBorders>
            <w:vAlign w:val="center"/>
          </w:tcPr>
          <w:p w14:paraId="43FF4A8A">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清罐作业前，应对特种作业人员操作证进行核对和审查，根据作业分组情况对检测、施工、监护、 维修等清罐人员进行安全和清罐操作技术的培训。机械清罐应按其操作规程执行。</w:t>
            </w:r>
          </w:p>
        </w:tc>
        <w:tc>
          <w:tcPr>
            <w:tcW w:w="1535" w:type="dxa"/>
            <w:tcBorders>
              <w:top w:val="single" w:color="auto" w:sz="4" w:space="0"/>
              <w:left w:val="nil"/>
              <w:bottom w:val="single" w:color="auto" w:sz="4" w:space="0"/>
              <w:right w:val="single" w:color="auto" w:sz="4" w:space="0"/>
            </w:tcBorders>
            <w:vAlign w:val="center"/>
          </w:tcPr>
          <w:p w14:paraId="16F5631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F7E885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6451AD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43296F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1.3</w:t>
            </w:r>
          </w:p>
        </w:tc>
        <w:tc>
          <w:tcPr>
            <w:tcW w:w="6310" w:type="dxa"/>
            <w:tcBorders>
              <w:top w:val="single" w:color="auto" w:sz="8" w:space="0"/>
              <w:left w:val="single" w:color="auto" w:sz="8" w:space="0"/>
              <w:bottom w:val="single" w:color="auto" w:sz="8" w:space="0"/>
              <w:right w:val="single" w:color="auto" w:sz="4" w:space="0"/>
            </w:tcBorders>
            <w:vAlign w:val="center"/>
          </w:tcPr>
          <w:p w14:paraId="66C8AF05">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监护人应对施工作业进行全过程监护。</w:t>
            </w:r>
          </w:p>
        </w:tc>
        <w:tc>
          <w:tcPr>
            <w:tcW w:w="1535" w:type="dxa"/>
            <w:tcBorders>
              <w:top w:val="single" w:color="auto" w:sz="4" w:space="0"/>
              <w:left w:val="nil"/>
              <w:bottom w:val="single" w:color="auto" w:sz="4" w:space="0"/>
              <w:right w:val="single" w:color="auto" w:sz="4" w:space="0"/>
            </w:tcBorders>
            <w:vAlign w:val="center"/>
          </w:tcPr>
          <w:p w14:paraId="4C97296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56538F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05665E9">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1CB312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1.4</w:t>
            </w:r>
          </w:p>
        </w:tc>
        <w:tc>
          <w:tcPr>
            <w:tcW w:w="6310" w:type="dxa"/>
            <w:tcBorders>
              <w:top w:val="single" w:color="auto" w:sz="8" w:space="0"/>
              <w:left w:val="single" w:color="auto" w:sz="8" w:space="0"/>
              <w:bottom w:val="single" w:color="auto" w:sz="8" w:space="0"/>
              <w:right w:val="single" w:color="auto" w:sz="4" w:space="0"/>
            </w:tcBorders>
            <w:vAlign w:val="center"/>
          </w:tcPr>
          <w:p w14:paraId="6344912A">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向油罐内引入空气、水或蒸汽的管线，其喷嘴等金属部分以及用于排出油品的胶管等应与油罐 做等电位连接，并可靠接地，操作过程应防止金属部件碰撞。</w:t>
            </w:r>
          </w:p>
        </w:tc>
        <w:tc>
          <w:tcPr>
            <w:tcW w:w="1535" w:type="dxa"/>
            <w:tcBorders>
              <w:top w:val="single" w:color="auto" w:sz="4" w:space="0"/>
              <w:left w:val="nil"/>
              <w:bottom w:val="single" w:color="auto" w:sz="4" w:space="0"/>
              <w:right w:val="single" w:color="auto" w:sz="4" w:space="0"/>
            </w:tcBorders>
            <w:vAlign w:val="center"/>
          </w:tcPr>
          <w:p w14:paraId="3D27233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BE6AA3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174F18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55527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1.5</w:t>
            </w:r>
          </w:p>
        </w:tc>
        <w:tc>
          <w:tcPr>
            <w:tcW w:w="6310" w:type="dxa"/>
            <w:tcBorders>
              <w:top w:val="single" w:color="auto" w:sz="8" w:space="0"/>
              <w:left w:val="single" w:color="auto" w:sz="8" w:space="0"/>
              <w:bottom w:val="single" w:color="auto" w:sz="8" w:space="0"/>
              <w:right w:val="single" w:color="auto" w:sz="4" w:space="0"/>
            </w:tcBorders>
            <w:vAlign w:val="center"/>
          </w:tcPr>
          <w:p w14:paraId="4DBAD042">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作业停工期间，油罐人孔处应上锁并设置“危险、严禁入内”警示标志。</w:t>
            </w:r>
          </w:p>
        </w:tc>
        <w:tc>
          <w:tcPr>
            <w:tcW w:w="1535" w:type="dxa"/>
            <w:tcBorders>
              <w:top w:val="single" w:color="auto" w:sz="4" w:space="0"/>
              <w:left w:val="nil"/>
              <w:bottom w:val="single" w:color="auto" w:sz="4" w:space="0"/>
              <w:right w:val="single" w:color="auto" w:sz="4" w:space="0"/>
            </w:tcBorders>
            <w:vAlign w:val="center"/>
          </w:tcPr>
          <w:p w14:paraId="70C99A7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0A0A41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A00206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854445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1.6</w:t>
            </w:r>
          </w:p>
        </w:tc>
        <w:tc>
          <w:tcPr>
            <w:tcW w:w="6310" w:type="dxa"/>
            <w:tcBorders>
              <w:top w:val="single" w:color="auto" w:sz="8" w:space="0"/>
              <w:left w:val="single" w:color="auto" w:sz="8" w:space="0"/>
              <w:bottom w:val="single" w:color="auto" w:sz="8" w:space="0"/>
              <w:right w:val="single" w:color="auto" w:sz="4" w:space="0"/>
            </w:tcBorders>
            <w:vAlign w:val="center"/>
          </w:tcPr>
          <w:p w14:paraId="036D96A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进入油罐作业前，应做好工艺处理，与油罐连通的可能危及安全作业的管道应采用插入盲板或拆除一段管道的方式进行隔绝。</w:t>
            </w:r>
          </w:p>
        </w:tc>
        <w:tc>
          <w:tcPr>
            <w:tcW w:w="1535" w:type="dxa"/>
            <w:tcBorders>
              <w:top w:val="single" w:color="auto" w:sz="4" w:space="0"/>
              <w:left w:val="nil"/>
              <w:bottom w:val="single" w:color="auto" w:sz="4" w:space="0"/>
              <w:right w:val="single" w:color="auto" w:sz="4" w:space="0"/>
            </w:tcBorders>
            <w:vAlign w:val="center"/>
          </w:tcPr>
          <w:p w14:paraId="6F3E979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30F959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766A65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B6F27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1.7</w:t>
            </w:r>
          </w:p>
        </w:tc>
        <w:tc>
          <w:tcPr>
            <w:tcW w:w="6310" w:type="dxa"/>
            <w:tcBorders>
              <w:top w:val="single" w:color="auto" w:sz="8" w:space="0"/>
              <w:left w:val="single" w:color="auto" w:sz="8" w:space="0"/>
              <w:bottom w:val="single" w:color="auto" w:sz="8" w:space="0"/>
              <w:right w:val="single" w:color="auto" w:sz="4" w:space="0"/>
            </w:tcBorders>
            <w:vAlign w:val="center"/>
          </w:tcPr>
          <w:p w14:paraId="06D5A06D">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人员进入油罐前应进行通风置换，油罐内空气达不到安全要求时，人员不应进入油罐内。</w:t>
            </w:r>
          </w:p>
        </w:tc>
        <w:tc>
          <w:tcPr>
            <w:tcW w:w="1535" w:type="dxa"/>
            <w:tcBorders>
              <w:top w:val="single" w:color="auto" w:sz="4" w:space="0"/>
              <w:left w:val="nil"/>
              <w:bottom w:val="single" w:color="auto" w:sz="4" w:space="0"/>
              <w:right w:val="single" w:color="auto" w:sz="4" w:space="0"/>
            </w:tcBorders>
            <w:vAlign w:val="center"/>
          </w:tcPr>
          <w:p w14:paraId="3D296BF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4AEC9A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BE8EEB7">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35B01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1.8</w:t>
            </w:r>
          </w:p>
        </w:tc>
        <w:tc>
          <w:tcPr>
            <w:tcW w:w="6310" w:type="dxa"/>
            <w:tcBorders>
              <w:top w:val="single" w:color="auto" w:sz="8" w:space="0"/>
              <w:left w:val="single" w:color="auto" w:sz="8" w:space="0"/>
              <w:bottom w:val="single" w:color="auto" w:sz="8" w:space="0"/>
              <w:right w:val="single" w:color="auto" w:sz="4" w:space="0"/>
            </w:tcBorders>
            <w:vAlign w:val="center"/>
          </w:tcPr>
          <w:p w14:paraId="6033EC4D">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作业现场应配置便携式或移动式气体检测报警仪，连续监测罐内氧气、可燃气体和有毒气体浓度，发现气体浓度超限报警时，应立即停止作业、撤离人员、对现场进行处理，在分析合格后方可恢复作业。如作业中断超30 min, 再次进入前应重新进行气体分析。</w:t>
            </w:r>
          </w:p>
        </w:tc>
        <w:tc>
          <w:tcPr>
            <w:tcW w:w="1535" w:type="dxa"/>
            <w:tcBorders>
              <w:top w:val="single" w:color="auto" w:sz="4" w:space="0"/>
              <w:left w:val="nil"/>
              <w:bottom w:val="single" w:color="auto" w:sz="4" w:space="0"/>
              <w:right w:val="single" w:color="auto" w:sz="4" w:space="0"/>
            </w:tcBorders>
            <w:vAlign w:val="center"/>
          </w:tcPr>
          <w:p w14:paraId="1CD8CD15">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725238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B298FF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4EEDC6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1.9</w:t>
            </w:r>
          </w:p>
        </w:tc>
        <w:tc>
          <w:tcPr>
            <w:tcW w:w="6310" w:type="dxa"/>
            <w:tcBorders>
              <w:top w:val="single" w:color="auto" w:sz="8" w:space="0"/>
              <w:left w:val="single" w:color="auto" w:sz="8" w:space="0"/>
              <w:bottom w:val="single" w:color="auto" w:sz="8" w:space="0"/>
              <w:right w:val="single" w:color="auto" w:sz="4" w:space="0"/>
            </w:tcBorders>
            <w:vAlign w:val="center"/>
          </w:tcPr>
          <w:p w14:paraId="7F7A60B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油罐内监测点应有代表性，应对上、中、下各部位进行监测分析；分析仪器应在校验有效期内，使用前应保证其处于正常工作状态。</w:t>
            </w:r>
          </w:p>
        </w:tc>
        <w:tc>
          <w:tcPr>
            <w:tcW w:w="1535" w:type="dxa"/>
            <w:tcBorders>
              <w:top w:val="single" w:color="auto" w:sz="4" w:space="0"/>
              <w:left w:val="nil"/>
              <w:bottom w:val="single" w:color="auto" w:sz="4" w:space="0"/>
              <w:right w:val="single" w:color="auto" w:sz="4" w:space="0"/>
            </w:tcBorders>
            <w:vAlign w:val="center"/>
          </w:tcPr>
          <w:p w14:paraId="2B5C36D6">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83EACF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268307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E5224C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1.10</w:t>
            </w:r>
          </w:p>
        </w:tc>
        <w:tc>
          <w:tcPr>
            <w:tcW w:w="6310" w:type="dxa"/>
            <w:tcBorders>
              <w:top w:val="single" w:color="auto" w:sz="8" w:space="0"/>
              <w:left w:val="single" w:color="auto" w:sz="8" w:space="0"/>
              <w:bottom w:val="single" w:color="auto" w:sz="8" w:space="0"/>
              <w:right w:val="single" w:color="auto" w:sz="4" w:space="0"/>
            </w:tcBorders>
            <w:vAlign w:val="center"/>
          </w:tcPr>
          <w:p w14:paraId="06CF9BE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进入油罐的水不应含油，使用的进水管不应采用含油管线，以防油品进入罐内。</w:t>
            </w:r>
          </w:p>
        </w:tc>
        <w:tc>
          <w:tcPr>
            <w:tcW w:w="1535" w:type="dxa"/>
            <w:vMerge w:val="restart"/>
            <w:tcBorders>
              <w:top w:val="single" w:color="auto" w:sz="4" w:space="0"/>
              <w:left w:val="nil"/>
              <w:right w:val="single" w:color="auto" w:sz="4" w:space="0"/>
            </w:tcBorders>
            <w:vAlign w:val="center"/>
          </w:tcPr>
          <w:p w14:paraId="314A7D49">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0CBF51C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46AB33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794AC3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1.11</w:t>
            </w:r>
          </w:p>
        </w:tc>
        <w:tc>
          <w:tcPr>
            <w:tcW w:w="6310" w:type="dxa"/>
            <w:tcBorders>
              <w:top w:val="single" w:color="auto" w:sz="8" w:space="0"/>
              <w:left w:val="single" w:color="auto" w:sz="8" w:space="0"/>
              <w:bottom w:val="single" w:color="auto" w:sz="8" w:space="0"/>
              <w:right w:val="single" w:color="auto" w:sz="4" w:space="0"/>
            </w:tcBorders>
            <w:vAlign w:val="center"/>
          </w:tcPr>
          <w:p w14:paraId="28C75408">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在雷雨或风力在五级以上等恶劣天气环境下，不应进行油罐清洗作业。</w:t>
            </w:r>
          </w:p>
        </w:tc>
        <w:tc>
          <w:tcPr>
            <w:tcW w:w="1535" w:type="dxa"/>
            <w:vMerge w:val="continue"/>
            <w:tcBorders>
              <w:left w:val="nil"/>
              <w:bottom w:val="single" w:color="auto" w:sz="4" w:space="0"/>
              <w:right w:val="single" w:color="auto" w:sz="4" w:space="0"/>
            </w:tcBorders>
            <w:vAlign w:val="center"/>
          </w:tcPr>
          <w:p w14:paraId="7E26110C">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182C5AB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64C6D4E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F49719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1.12</w:t>
            </w:r>
          </w:p>
        </w:tc>
        <w:tc>
          <w:tcPr>
            <w:tcW w:w="6310" w:type="dxa"/>
            <w:tcBorders>
              <w:top w:val="single" w:color="auto" w:sz="8" w:space="0"/>
              <w:left w:val="single" w:color="auto" w:sz="8" w:space="0"/>
              <w:bottom w:val="single" w:color="auto" w:sz="8" w:space="0"/>
              <w:right w:val="single" w:color="auto" w:sz="4" w:space="0"/>
            </w:tcBorders>
            <w:vAlign w:val="center"/>
          </w:tcPr>
          <w:p w14:paraId="4967B02E">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油罐清洗作业前，应在作业场所的上风向配置适量消防器材。</w:t>
            </w:r>
          </w:p>
        </w:tc>
        <w:tc>
          <w:tcPr>
            <w:tcW w:w="1535" w:type="dxa"/>
            <w:tcBorders>
              <w:left w:val="nil"/>
              <w:bottom w:val="single" w:color="auto" w:sz="4" w:space="0"/>
              <w:right w:val="single" w:color="auto" w:sz="4" w:space="0"/>
            </w:tcBorders>
            <w:vAlign w:val="center"/>
          </w:tcPr>
          <w:p w14:paraId="2E4AF945">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5823227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E0F0B4B">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80E2EF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1.13</w:t>
            </w:r>
          </w:p>
        </w:tc>
        <w:tc>
          <w:tcPr>
            <w:tcW w:w="6310" w:type="dxa"/>
            <w:tcBorders>
              <w:top w:val="single" w:color="auto" w:sz="8" w:space="0"/>
              <w:left w:val="single" w:color="auto" w:sz="8" w:space="0"/>
              <w:bottom w:val="single" w:color="auto" w:sz="8" w:space="0"/>
              <w:right w:val="single" w:color="auto" w:sz="4" w:space="0"/>
            </w:tcBorders>
            <w:vAlign w:val="center"/>
          </w:tcPr>
          <w:p w14:paraId="46BE5288">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清除的罐底污杂应存放在油桶或指定容器内并作出危险废弃物的标识，不应随意倾倒。</w:t>
            </w:r>
          </w:p>
        </w:tc>
        <w:tc>
          <w:tcPr>
            <w:tcW w:w="1535" w:type="dxa"/>
            <w:tcBorders>
              <w:left w:val="nil"/>
              <w:bottom w:val="single" w:color="auto" w:sz="4" w:space="0"/>
              <w:right w:val="single" w:color="auto" w:sz="4" w:space="0"/>
            </w:tcBorders>
            <w:vAlign w:val="center"/>
          </w:tcPr>
          <w:p w14:paraId="614761C5">
            <w:pPr>
              <w:widowControl w:val="0"/>
              <w:spacing w:line="240" w:lineRule="auto"/>
              <w:jc w:val="both"/>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F2D769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DEDDB7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3AA53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5FF99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加油机维修</w:t>
            </w:r>
          </w:p>
        </w:tc>
        <w:tc>
          <w:tcPr>
            <w:tcW w:w="1535" w:type="dxa"/>
            <w:tcBorders>
              <w:top w:val="single" w:color="auto" w:sz="4" w:space="0"/>
              <w:left w:val="nil"/>
              <w:bottom w:val="single" w:color="auto" w:sz="4" w:space="0"/>
              <w:right w:val="single" w:color="auto" w:sz="4" w:space="0"/>
            </w:tcBorders>
            <w:vAlign w:val="center"/>
          </w:tcPr>
          <w:p w14:paraId="1B3A6AC5">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31CF46A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EDDC60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2BCCBD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2.1</w:t>
            </w:r>
          </w:p>
        </w:tc>
        <w:tc>
          <w:tcPr>
            <w:tcW w:w="6310" w:type="dxa"/>
            <w:tcBorders>
              <w:top w:val="single" w:color="auto" w:sz="8" w:space="0"/>
              <w:left w:val="single" w:color="auto" w:sz="8" w:space="0"/>
              <w:bottom w:val="single" w:color="auto" w:sz="8" w:space="0"/>
              <w:right w:val="single" w:color="auto" w:sz="4" w:space="0"/>
            </w:tcBorders>
            <w:vAlign w:val="center"/>
          </w:tcPr>
          <w:p w14:paraId="43E67A96">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维修之前应切断电源，并在电源开关处加锁并加挂安全警示牌。</w:t>
            </w:r>
          </w:p>
        </w:tc>
        <w:tc>
          <w:tcPr>
            <w:tcW w:w="1535" w:type="dxa"/>
            <w:vMerge w:val="restart"/>
            <w:tcBorders>
              <w:top w:val="single" w:color="auto" w:sz="4" w:space="0"/>
              <w:left w:val="nil"/>
              <w:right w:val="single" w:color="auto" w:sz="4" w:space="0"/>
            </w:tcBorders>
            <w:vAlign w:val="center"/>
          </w:tcPr>
          <w:p w14:paraId="22314E1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加油机维修</w:t>
            </w:r>
          </w:p>
          <w:p w14:paraId="1DCBE6E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委托具备相应资格的专业公司依相关规定作业</w:t>
            </w:r>
          </w:p>
        </w:tc>
        <w:tc>
          <w:tcPr>
            <w:tcW w:w="790" w:type="dxa"/>
            <w:tcBorders>
              <w:top w:val="single" w:color="auto" w:sz="4" w:space="0"/>
              <w:left w:val="nil"/>
              <w:bottom w:val="single" w:color="auto" w:sz="4" w:space="0"/>
              <w:right w:val="single" w:color="auto" w:sz="4" w:space="0"/>
            </w:tcBorders>
            <w:vAlign w:val="center"/>
          </w:tcPr>
          <w:p w14:paraId="4DAECE5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FF71037">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20FDAD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2.2</w:t>
            </w:r>
          </w:p>
        </w:tc>
        <w:tc>
          <w:tcPr>
            <w:tcW w:w="6310" w:type="dxa"/>
            <w:tcBorders>
              <w:top w:val="single" w:color="auto" w:sz="8" w:space="0"/>
              <w:left w:val="single" w:color="auto" w:sz="8" w:space="0"/>
              <w:bottom w:val="single" w:color="auto" w:sz="8" w:space="0"/>
              <w:right w:val="single" w:color="auto" w:sz="4" w:space="0"/>
            </w:tcBorders>
            <w:vAlign w:val="center"/>
          </w:tcPr>
          <w:p w14:paraId="6CD2BAE9">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维修时应设警示标志并对维修区域进行隔离，隔离范围不宜小于以加油机为中心、半径为4.5 m 的区域范围。</w:t>
            </w:r>
          </w:p>
        </w:tc>
        <w:tc>
          <w:tcPr>
            <w:tcW w:w="1535" w:type="dxa"/>
            <w:vMerge w:val="continue"/>
            <w:tcBorders>
              <w:left w:val="nil"/>
              <w:right w:val="single" w:color="auto" w:sz="4" w:space="0"/>
            </w:tcBorders>
            <w:vAlign w:val="center"/>
          </w:tcPr>
          <w:p w14:paraId="71712C32">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5009AC8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FA1874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E881A3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2.3</w:t>
            </w:r>
          </w:p>
        </w:tc>
        <w:tc>
          <w:tcPr>
            <w:tcW w:w="6310" w:type="dxa"/>
            <w:tcBorders>
              <w:top w:val="single" w:color="auto" w:sz="8" w:space="0"/>
              <w:left w:val="single" w:color="auto" w:sz="8" w:space="0"/>
              <w:bottom w:val="single" w:color="auto" w:sz="8" w:space="0"/>
              <w:right w:val="single" w:color="auto" w:sz="4" w:space="0"/>
            </w:tcBorders>
            <w:vAlign w:val="center"/>
          </w:tcPr>
          <w:p w14:paraId="512C92CA">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若所修的部件需要放油时，应使用金属容器收集。</w:t>
            </w:r>
          </w:p>
        </w:tc>
        <w:tc>
          <w:tcPr>
            <w:tcW w:w="1535" w:type="dxa"/>
            <w:vMerge w:val="continue"/>
            <w:tcBorders>
              <w:left w:val="nil"/>
              <w:right w:val="single" w:color="auto" w:sz="4" w:space="0"/>
            </w:tcBorders>
            <w:vAlign w:val="center"/>
          </w:tcPr>
          <w:p w14:paraId="19E487AD">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1ADEA0B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7B6865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58C73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w:t>
            </w:r>
          </w:p>
        </w:tc>
        <w:tc>
          <w:tcPr>
            <w:tcW w:w="6310" w:type="dxa"/>
            <w:tcBorders>
              <w:top w:val="single" w:color="auto" w:sz="8" w:space="0"/>
              <w:left w:val="single" w:color="auto" w:sz="8" w:space="0"/>
              <w:bottom w:val="single" w:color="auto" w:sz="8" w:space="0"/>
              <w:right w:val="single" w:color="auto" w:sz="4" w:space="0"/>
            </w:tcBorders>
            <w:vAlign w:val="center"/>
          </w:tcPr>
          <w:p w14:paraId="2988CD3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动火作业</w:t>
            </w:r>
          </w:p>
        </w:tc>
        <w:tc>
          <w:tcPr>
            <w:tcW w:w="1535" w:type="dxa"/>
            <w:tcBorders>
              <w:top w:val="single" w:color="auto" w:sz="4" w:space="0"/>
              <w:left w:val="nil"/>
              <w:bottom w:val="single" w:color="auto" w:sz="4" w:space="0"/>
              <w:right w:val="single" w:color="auto" w:sz="4" w:space="0"/>
            </w:tcBorders>
            <w:vAlign w:val="center"/>
          </w:tcPr>
          <w:p w14:paraId="6DE10552">
            <w:pPr>
              <w:widowControl w:val="0"/>
              <w:spacing w:line="240" w:lineRule="auto"/>
              <w:jc w:val="center"/>
              <w:rPr>
                <w:rFonts w:ascii="Times New Roman" w:hAnsi="Times New Roman" w:eastAsia="宋体" w:cs="宋体"/>
                <w:color w:val="auto"/>
                <w:kern w:val="2"/>
                <w:sz w:val="21"/>
                <w:szCs w:val="21"/>
                <w:lang w:val="en-US" w:eastAsia="zh-CN" w:bidi="ar-SA"/>
              </w:rPr>
            </w:pPr>
          </w:p>
        </w:tc>
        <w:tc>
          <w:tcPr>
            <w:tcW w:w="790" w:type="dxa"/>
            <w:tcBorders>
              <w:top w:val="single" w:color="auto" w:sz="4" w:space="0"/>
              <w:left w:val="nil"/>
              <w:bottom w:val="single" w:color="auto" w:sz="4" w:space="0"/>
              <w:right w:val="single" w:color="auto" w:sz="4" w:space="0"/>
            </w:tcBorders>
            <w:vAlign w:val="center"/>
          </w:tcPr>
          <w:p w14:paraId="06B9EF7A">
            <w:pPr>
              <w:widowControl w:val="0"/>
              <w:spacing w:line="240" w:lineRule="auto"/>
              <w:jc w:val="center"/>
              <w:rPr>
                <w:rFonts w:ascii="Times New Roman" w:hAnsi="Times New Roman" w:eastAsia="宋体" w:cs="宋体"/>
                <w:color w:val="auto"/>
                <w:kern w:val="2"/>
                <w:sz w:val="21"/>
                <w:szCs w:val="21"/>
                <w:lang w:val="en-US" w:eastAsia="zh-CN" w:bidi="ar-SA"/>
              </w:rPr>
            </w:pPr>
          </w:p>
        </w:tc>
      </w:tr>
      <w:tr w14:paraId="1BB3B2F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B3BC8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3.1</w:t>
            </w:r>
          </w:p>
        </w:tc>
        <w:tc>
          <w:tcPr>
            <w:tcW w:w="6310" w:type="dxa"/>
            <w:tcBorders>
              <w:top w:val="single" w:color="auto" w:sz="8" w:space="0"/>
              <w:left w:val="single" w:color="auto" w:sz="8" w:space="0"/>
              <w:bottom w:val="single" w:color="auto" w:sz="8" w:space="0"/>
              <w:right w:val="single" w:color="auto" w:sz="4" w:space="0"/>
            </w:tcBorders>
            <w:vAlign w:val="center"/>
          </w:tcPr>
          <w:p w14:paraId="2FA8E2C7">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应根据 GB30871的规定对动火作业进行管理。</w:t>
            </w:r>
          </w:p>
        </w:tc>
        <w:tc>
          <w:tcPr>
            <w:tcW w:w="1535" w:type="dxa"/>
            <w:tcBorders>
              <w:top w:val="single" w:color="auto" w:sz="4" w:space="0"/>
              <w:left w:val="nil"/>
              <w:bottom w:val="single" w:color="auto" w:sz="4" w:space="0"/>
              <w:right w:val="single" w:color="auto" w:sz="4" w:space="0"/>
            </w:tcBorders>
            <w:vAlign w:val="center"/>
          </w:tcPr>
          <w:p w14:paraId="32A5803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D1CB2B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24E38A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ED23D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3.2</w:t>
            </w:r>
          </w:p>
        </w:tc>
        <w:tc>
          <w:tcPr>
            <w:tcW w:w="6310" w:type="dxa"/>
            <w:tcBorders>
              <w:top w:val="single" w:color="auto" w:sz="8" w:space="0"/>
              <w:left w:val="single" w:color="auto" w:sz="8" w:space="0"/>
              <w:bottom w:val="single" w:color="auto" w:sz="8" w:space="0"/>
              <w:right w:val="single" w:color="auto" w:sz="4" w:space="0"/>
            </w:tcBorders>
            <w:vAlign w:val="center"/>
          </w:tcPr>
          <w:p w14:paraId="0F698AC9">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在加油站作业区内进行动火作业前，应办理动火审批手续；动火人员应按动火审批要求作业；设置现场监护人。</w:t>
            </w:r>
          </w:p>
        </w:tc>
        <w:tc>
          <w:tcPr>
            <w:tcW w:w="1535" w:type="dxa"/>
            <w:tcBorders>
              <w:top w:val="single" w:color="auto" w:sz="4" w:space="0"/>
              <w:left w:val="nil"/>
              <w:bottom w:val="single" w:color="auto" w:sz="4" w:space="0"/>
              <w:right w:val="single" w:color="auto" w:sz="4" w:space="0"/>
            </w:tcBorders>
            <w:vAlign w:val="center"/>
          </w:tcPr>
          <w:p w14:paraId="4A371B6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7BD67EC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60CA0C52">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A1AC729">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3.3</w:t>
            </w:r>
          </w:p>
        </w:tc>
        <w:tc>
          <w:tcPr>
            <w:tcW w:w="6310" w:type="dxa"/>
            <w:tcBorders>
              <w:top w:val="single" w:color="auto" w:sz="8" w:space="0"/>
              <w:left w:val="single" w:color="auto" w:sz="8" w:space="0"/>
              <w:bottom w:val="single" w:color="auto" w:sz="8" w:space="0"/>
              <w:right w:val="single" w:color="auto" w:sz="4" w:space="0"/>
            </w:tcBorders>
            <w:vAlign w:val="center"/>
          </w:tcPr>
          <w:p w14:paraId="21A43C7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动火作业前，与动火设备相连的所有管线均应加堵盲板与系统彻底隔离，并进行清洗、置换，分析合格后方可作业。不应以水封或关闭阀门代替盲板作为隔断措施。</w:t>
            </w:r>
          </w:p>
        </w:tc>
        <w:tc>
          <w:tcPr>
            <w:tcW w:w="1535" w:type="dxa"/>
            <w:tcBorders>
              <w:top w:val="single" w:color="auto" w:sz="4" w:space="0"/>
              <w:left w:val="nil"/>
              <w:bottom w:val="single" w:color="auto" w:sz="4" w:space="0"/>
              <w:right w:val="single" w:color="auto" w:sz="4" w:space="0"/>
            </w:tcBorders>
            <w:vAlign w:val="center"/>
          </w:tcPr>
          <w:p w14:paraId="53F0ACD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045DDC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331E45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E9DEE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3.4</w:t>
            </w:r>
          </w:p>
        </w:tc>
        <w:tc>
          <w:tcPr>
            <w:tcW w:w="6310" w:type="dxa"/>
            <w:tcBorders>
              <w:top w:val="single" w:color="auto" w:sz="8" w:space="0"/>
              <w:left w:val="single" w:color="auto" w:sz="8" w:space="0"/>
              <w:bottom w:val="single" w:color="auto" w:sz="8" w:space="0"/>
              <w:right w:val="single" w:color="auto" w:sz="4" w:space="0"/>
            </w:tcBorders>
            <w:vAlign w:val="center"/>
          </w:tcPr>
          <w:p w14:paraId="6651BA7C">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动火作业前应清除动火现场及周围的易燃物品，或采取其他有效安全防火措施，并配备消防器材，满足作业现场应急需求。作业现场应设置警示标志、警戒区，作业现场严禁无关人员进入。</w:t>
            </w:r>
          </w:p>
        </w:tc>
        <w:tc>
          <w:tcPr>
            <w:tcW w:w="1535" w:type="dxa"/>
            <w:tcBorders>
              <w:top w:val="single" w:color="auto" w:sz="4" w:space="0"/>
              <w:left w:val="nil"/>
              <w:bottom w:val="single" w:color="auto" w:sz="4" w:space="0"/>
              <w:right w:val="single" w:color="auto" w:sz="4" w:space="0"/>
            </w:tcBorders>
            <w:vAlign w:val="center"/>
          </w:tcPr>
          <w:p w14:paraId="52158D7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E59B53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D5AC6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193EE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3.5</w:t>
            </w:r>
          </w:p>
        </w:tc>
        <w:tc>
          <w:tcPr>
            <w:tcW w:w="6310" w:type="dxa"/>
            <w:tcBorders>
              <w:top w:val="single" w:color="auto" w:sz="8" w:space="0"/>
              <w:left w:val="single" w:color="auto" w:sz="8" w:space="0"/>
              <w:bottom w:val="single" w:color="auto" w:sz="8" w:space="0"/>
              <w:right w:val="single" w:color="auto" w:sz="4" w:space="0"/>
            </w:tcBorders>
            <w:vAlign w:val="center"/>
          </w:tcPr>
          <w:p w14:paraId="52B87344">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动火设备内的油品等可燃物应彻底清理干净，并按照GB30871的规定进行动火分析，合格后方可进行动火作业。</w:t>
            </w:r>
          </w:p>
        </w:tc>
        <w:tc>
          <w:tcPr>
            <w:tcW w:w="1535" w:type="dxa"/>
            <w:tcBorders>
              <w:top w:val="single" w:color="auto" w:sz="4" w:space="0"/>
              <w:left w:val="nil"/>
              <w:bottom w:val="single" w:color="auto" w:sz="4" w:space="0"/>
              <w:right w:val="single" w:color="auto" w:sz="4" w:space="0"/>
            </w:tcBorders>
            <w:vAlign w:val="center"/>
          </w:tcPr>
          <w:p w14:paraId="0D72106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0ED777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8B8682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41FAF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3.6</w:t>
            </w:r>
          </w:p>
        </w:tc>
        <w:tc>
          <w:tcPr>
            <w:tcW w:w="6310" w:type="dxa"/>
            <w:tcBorders>
              <w:top w:val="single" w:color="auto" w:sz="8" w:space="0"/>
              <w:left w:val="single" w:color="auto" w:sz="8" w:space="0"/>
              <w:bottom w:val="single" w:color="auto" w:sz="8" w:space="0"/>
              <w:right w:val="single" w:color="auto" w:sz="4" w:space="0"/>
            </w:tcBorders>
            <w:vAlign w:val="center"/>
          </w:tcPr>
          <w:p w14:paraId="3810384F">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在爆炸危险区域附近动火施工时，应隔离并注意风向。</w:t>
            </w:r>
          </w:p>
        </w:tc>
        <w:tc>
          <w:tcPr>
            <w:tcW w:w="1535" w:type="dxa"/>
            <w:tcBorders>
              <w:top w:val="single" w:color="auto" w:sz="4" w:space="0"/>
              <w:left w:val="nil"/>
              <w:bottom w:val="single" w:color="auto" w:sz="4" w:space="0"/>
              <w:right w:val="single" w:color="auto" w:sz="4" w:space="0"/>
            </w:tcBorders>
            <w:vAlign w:val="center"/>
          </w:tcPr>
          <w:p w14:paraId="46B2DCE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23EB4F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68A29066">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B20AB3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3.7</w:t>
            </w:r>
          </w:p>
        </w:tc>
        <w:tc>
          <w:tcPr>
            <w:tcW w:w="6310" w:type="dxa"/>
            <w:tcBorders>
              <w:top w:val="single" w:color="auto" w:sz="8" w:space="0"/>
              <w:left w:val="single" w:color="auto" w:sz="8" w:space="0"/>
              <w:bottom w:val="single" w:color="auto" w:sz="8" w:space="0"/>
              <w:right w:val="single" w:color="auto" w:sz="4" w:space="0"/>
            </w:tcBorders>
            <w:vAlign w:val="center"/>
          </w:tcPr>
          <w:p w14:paraId="6E084116">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动火点周围15m 内如有可燃物、窨井、水封井、隔油池、地沟等，应检查分析并采取清理或封盖 等措施；动火点周围30m 内不应排放可燃气体，15m 内不应排放可燃液体。</w:t>
            </w:r>
          </w:p>
        </w:tc>
        <w:tc>
          <w:tcPr>
            <w:tcW w:w="1535" w:type="dxa"/>
            <w:tcBorders>
              <w:top w:val="single" w:color="auto" w:sz="4" w:space="0"/>
              <w:left w:val="nil"/>
              <w:bottom w:val="single" w:color="auto" w:sz="4" w:space="0"/>
              <w:right w:val="single" w:color="auto" w:sz="4" w:space="0"/>
            </w:tcBorders>
            <w:vAlign w:val="center"/>
          </w:tcPr>
          <w:p w14:paraId="51C0151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7B4EF61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5F4BF7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17FF8A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3.8</w:t>
            </w:r>
          </w:p>
        </w:tc>
        <w:tc>
          <w:tcPr>
            <w:tcW w:w="6310" w:type="dxa"/>
            <w:tcBorders>
              <w:top w:val="single" w:color="auto" w:sz="8" w:space="0"/>
              <w:left w:val="single" w:color="auto" w:sz="8" w:space="0"/>
              <w:bottom w:val="single" w:color="auto" w:sz="8" w:space="0"/>
              <w:right w:val="single" w:color="auto" w:sz="4" w:space="0"/>
            </w:tcBorders>
            <w:vAlign w:val="center"/>
          </w:tcPr>
          <w:p w14:paraId="16560072">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施工中如需启停管线阀门，施工人员应会同值班站长处理，不应擅自操作。</w:t>
            </w:r>
          </w:p>
        </w:tc>
        <w:tc>
          <w:tcPr>
            <w:tcW w:w="1535" w:type="dxa"/>
            <w:tcBorders>
              <w:top w:val="single" w:color="auto" w:sz="4" w:space="0"/>
              <w:left w:val="nil"/>
              <w:bottom w:val="single" w:color="auto" w:sz="4" w:space="0"/>
              <w:right w:val="single" w:color="auto" w:sz="4" w:space="0"/>
            </w:tcBorders>
            <w:vAlign w:val="center"/>
          </w:tcPr>
          <w:p w14:paraId="37F2A71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7F0406F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140A9E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62F9B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3.9</w:t>
            </w:r>
          </w:p>
        </w:tc>
        <w:tc>
          <w:tcPr>
            <w:tcW w:w="6310" w:type="dxa"/>
            <w:tcBorders>
              <w:top w:val="single" w:color="auto" w:sz="8" w:space="0"/>
              <w:left w:val="single" w:color="auto" w:sz="8" w:space="0"/>
              <w:bottom w:val="single" w:color="auto" w:sz="8" w:space="0"/>
              <w:right w:val="single" w:color="auto" w:sz="4" w:space="0"/>
            </w:tcBorders>
            <w:vAlign w:val="center"/>
          </w:tcPr>
          <w:p w14:paraId="5B9A8989">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电焊回路线应接在焊件上，不应穿过窨井或其他设备搭火。</w:t>
            </w:r>
          </w:p>
        </w:tc>
        <w:tc>
          <w:tcPr>
            <w:tcW w:w="1535" w:type="dxa"/>
            <w:tcBorders>
              <w:top w:val="single" w:color="auto" w:sz="4" w:space="0"/>
              <w:left w:val="nil"/>
              <w:bottom w:val="single" w:color="auto" w:sz="4" w:space="0"/>
              <w:right w:val="single" w:color="auto" w:sz="4" w:space="0"/>
            </w:tcBorders>
            <w:vAlign w:val="center"/>
          </w:tcPr>
          <w:p w14:paraId="524426E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042C8A6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217E9A1">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6AD542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3.10</w:t>
            </w:r>
          </w:p>
        </w:tc>
        <w:tc>
          <w:tcPr>
            <w:tcW w:w="6310" w:type="dxa"/>
            <w:tcBorders>
              <w:top w:val="single" w:color="auto" w:sz="8" w:space="0"/>
              <w:left w:val="single" w:color="auto" w:sz="8" w:space="0"/>
              <w:bottom w:val="single" w:color="auto" w:sz="8" w:space="0"/>
              <w:right w:val="single" w:color="auto" w:sz="4" w:space="0"/>
            </w:tcBorders>
            <w:vAlign w:val="center"/>
          </w:tcPr>
          <w:p w14:paraId="2CBF9085">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使用气焊、气割进行动火作业时，乙炔瓶应直立放置，氧气瓶与乙炔瓶间距应不小于5 m, 两者与作业点间距应不小于10m, 并设置防晒设施和防倾倒措施。</w:t>
            </w:r>
          </w:p>
        </w:tc>
        <w:tc>
          <w:tcPr>
            <w:tcW w:w="1535" w:type="dxa"/>
            <w:tcBorders>
              <w:top w:val="single" w:color="auto" w:sz="4" w:space="0"/>
              <w:left w:val="nil"/>
              <w:bottom w:val="single" w:color="auto" w:sz="4" w:space="0"/>
              <w:right w:val="single" w:color="auto" w:sz="4" w:space="0"/>
            </w:tcBorders>
            <w:vAlign w:val="center"/>
          </w:tcPr>
          <w:p w14:paraId="1F85080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D78680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245988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8259F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3.11</w:t>
            </w:r>
          </w:p>
        </w:tc>
        <w:tc>
          <w:tcPr>
            <w:tcW w:w="6310" w:type="dxa"/>
            <w:tcBorders>
              <w:top w:val="single" w:color="auto" w:sz="8" w:space="0"/>
              <w:left w:val="single" w:color="auto" w:sz="8" w:space="0"/>
              <w:bottom w:val="single" w:color="auto" w:sz="8" w:space="0"/>
              <w:right w:val="single" w:color="auto" w:sz="4" w:space="0"/>
            </w:tcBorders>
            <w:vAlign w:val="center"/>
          </w:tcPr>
          <w:p w14:paraId="09E0B045">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高处动火</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rPr>
              <w:t>2 m 以上</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rPr>
              <w:t>应采取防止火花飞溅措施，五级风以上</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rPr>
              <w:t>含五级</w:t>
            </w:r>
            <w:r>
              <w:rPr>
                <w:rFonts w:hint="eastAsia" w:ascii="Times New Roman" w:hAnsi="Times New Roman" w:eastAsia="宋体" w:cs="宋体"/>
                <w:bCs w:val="0"/>
                <w:color w:val="auto"/>
                <w:kern w:val="2"/>
                <w:lang w:eastAsia="zh-CN"/>
              </w:rPr>
              <w:t>）</w:t>
            </w:r>
            <w:r>
              <w:rPr>
                <w:rFonts w:hint="eastAsia" w:ascii="Times New Roman" w:hAnsi="Times New Roman" w:eastAsia="宋体" w:cs="宋体"/>
                <w:bCs w:val="0"/>
                <w:color w:val="auto"/>
                <w:kern w:val="2"/>
              </w:rPr>
              <w:t>天气，不应露天动火作业。</w:t>
            </w:r>
          </w:p>
        </w:tc>
        <w:tc>
          <w:tcPr>
            <w:tcW w:w="1535" w:type="dxa"/>
            <w:tcBorders>
              <w:top w:val="single" w:color="auto" w:sz="4" w:space="0"/>
              <w:left w:val="nil"/>
              <w:bottom w:val="single" w:color="auto" w:sz="4" w:space="0"/>
              <w:right w:val="single" w:color="auto" w:sz="4" w:space="0"/>
            </w:tcBorders>
            <w:vAlign w:val="center"/>
          </w:tcPr>
          <w:p w14:paraId="09521E7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9E28221">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B7569B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73AF0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4</w:t>
            </w:r>
          </w:p>
        </w:tc>
        <w:tc>
          <w:tcPr>
            <w:tcW w:w="6310" w:type="dxa"/>
            <w:tcBorders>
              <w:top w:val="single" w:color="auto" w:sz="8" w:space="0"/>
              <w:left w:val="single" w:color="auto" w:sz="8" w:space="0"/>
              <w:bottom w:val="single" w:color="auto" w:sz="8" w:space="0"/>
              <w:right w:val="single" w:color="auto" w:sz="4" w:space="0"/>
            </w:tcBorders>
            <w:vAlign w:val="center"/>
          </w:tcPr>
          <w:p w14:paraId="4361D668">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 xml:space="preserve"> </w:t>
            </w:r>
            <w:r>
              <w:rPr>
                <w:rFonts w:hint="eastAsia" w:ascii="Times New Roman" w:hAnsi="Times New Roman" w:eastAsia="宋体" w:cs="宋体"/>
                <w:b/>
                <w:bCs/>
                <w:color w:val="auto"/>
                <w:kern w:val="2"/>
                <w:sz w:val="21"/>
                <w:szCs w:val="21"/>
                <w:lang w:val="en-US" w:eastAsia="zh-CN" w:bidi="ar-SA"/>
              </w:rPr>
              <w:t>防雷、防静电设施和接地装置检测</w:t>
            </w:r>
          </w:p>
        </w:tc>
        <w:tc>
          <w:tcPr>
            <w:tcW w:w="1535" w:type="dxa"/>
            <w:tcBorders>
              <w:top w:val="single" w:color="auto" w:sz="4" w:space="0"/>
              <w:left w:val="nil"/>
              <w:bottom w:val="single" w:color="auto" w:sz="4" w:space="0"/>
              <w:right w:val="single" w:color="auto" w:sz="4" w:space="0"/>
            </w:tcBorders>
            <w:vAlign w:val="center"/>
          </w:tcPr>
          <w:p w14:paraId="64A4D3BE">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已检测合格</w:t>
            </w:r>
          </w:p>
        </w:tc>
        <w:tc>
          <w:tcPr>
            <w:tcW w:w="790" w:type="dxa"/>
            <w:tcBorders>
              <w:top w:val="single" w:color="auto" w:sz="4" w:space="0"/>
              <w:left w:val="nil"/>
              <w:bottom w:val="single" w:color="auto" w:sz="4" w:space="0"/>
              <w:right w:val="single" w:color="auto" w:sz="4" w:space="0"/>
            </w:tcBorders>
            <w:vAlign w:val="center"/>
          </w:tcPr>
          <w:p w14:paraId="46D3A68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F8B4C4A">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98BBE4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4.1</w:t>
            </w:r>
          </w:p>
        </w:tc>
        <w:tc>
          <w:tcPr>
            <w:tcW w:w="6310" w:type="dxa"/>
            <w:tcBorders>
              <w:top w:val="single" w:color="auto" w:sz="8" w:space="0"/>
              <w:left w:val="single" w:color="auto" w:sz="8" w:space="0"/>
              <w:bottom w:val="single" w:color="auto" w:sz="8" w:space="0"/>
              <w:right w:val="single" w:color="auto" w:sz="4" w:space="0"/>
            </w:tcBorders>
            <w:vAlign w:val="center"/>
          </w:tcPr>
          <w:p w14:paraId="580F184D">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防雷防静电装置应每半年至少检测1次，并建立检测档案。</w:t>
            </w:r>
          </w:p>
        </w:tc>
        <w:tc>
          <w:tcPr>
            <w:tcW w:w="1535" w:type="dxa"/>
            <w:tcBorders>
              <w:top w:val="single" w:color="auto" w:sz="4" w:space="0"/>
              <w:left w:val="nil"/>
              <w:bottom w:val="single" w:color="auto" w:sz="4" w:space="0"/>
              <w:right w:val="single" w:color="auto" w:sz="4" w:space="0"/>
            </w:tcBorders>
            <w:vAlign w:val="center"/>
          </w:tcPr>
          <w:p w14:paraId="76C68E3E">
            <w:pPr>
              <w:widowControl w:val="0"/>
              <w:spacing w:line="240" w:lineRule="exact"/>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按要求每半年检测1次并建立检测档案</w:t>
            </w:r>
          </w:p>
        </w:tc>
        <w:tc>
          <w:tcPr>
            <w:tcW w:w="790" w:type="dxa"/>
            <w:tcBorders>
              <w:top w:val="single" w:color="auto" w:sz="4" w:space="0"/>
              <w:left w:val="nil"/>
              <w:bottom w:val="single" w:color="auto" w:sz="4" w:space="0"/>
              <w:right w:val="single" w:color="auto" w:sz="4" w:space="0"/>
            </w:tcBorders>
            <w:vAlign w:val="center"/>
          </w:tcPr>
          <w:p w14:paraId="29760AD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6E34B32">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EEF23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4.2</w:t>
            </w:r>
          </w:p>
        </w:tc>
        <w:tc>
          <w:tcPr>
            <w:tcW w:w="6310" w:type="dxa"/>
            <w:tcBorders>
              <w:top w:val="single" w:color="auto" w:sz="8" w:space="0"/>
              <w:left w:val="single" w:color="auto" w:sz="8" w:space="0"/>
              <w:bottom w:val="single" w:color="auto" w:sz="8" w:space="0"/>
              <w:right w:val="single" w:color="auto" w:sz="4" w:space="0"/>
            </w:tcBorders>
            <w:vAlign w:val="center"/>
          </w:tcPr>
          <w:p w14:paraId="42A70B1A">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所有防雷防静电设施应定期检查、维修，并建立设施管理档案。</w:t>
            </w:r>
          </w:p>
        </w:tc>
        <w:tc>
          <w:tcPr>
            <w:tcW w:w="1535" w:type="dxa"/>
            <w:tcBorders>
              <w:top w:val="single" w:color="auto" w:sz="4" w:space="0"/>
              <w:left w:val="nil"/>
              <w:bottom w:val="single" w:color="auto" w:sz="4" w:space="0"/>
              <w:right w:val="single" w:color="auto" w:sz="4" w:space="0"/>
            </w:tcBorders>
            <w:vAlign w:val="center"/>
          </w:tcPr>
          <w:p w14:paraId="78A42C28">
            <w:pPr>
              <w:widowControl w:val="0"/>
              <w:spacing w:line="240" w:lineRule="exact"/>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按要求定期检查、维修并建立设施管理档案</w:t>
            </w:r>
          </w:p>
        </w:tc>
        <w:tc>
          <w:tcPr>
            <w:tcW w:w="790" w:type="dxa"/>
            <w:tcBorders>
              <w:top w:val="single" w:color="auto" w:sz="4" w:space="0"/>
              <w:left w:val="nil"/>
              <w:bottom w:val="single" w:color="auto" w:sz="4" w:space="0"/>
              <w:right w:val="single" w:color="auto" w:sz="4" w:space="0"/>
            </w:tcBorders>
            <w:vAlign w:val="center"/>
          </w:tcPr>
          <w:p w14:paraId="12AC0A9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AD5744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E5B37F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4.3</w:t>
            </w:r>
          </w:p>
        </w:tc>
        <w:tc>
          <w:tcPr>
            <w:tcW w:w="6310" w:type="dxa"/>
            <w:tcBorders>
              <w:top w:val="single" w:color="auto" w:sz="8" w:space="0"/>
              <w:left w:val="single" w:color="auto" w:sz="8" w:space="0"/>
              <w:bottom w:val="single" w:color="auto" w:sz="8" w:space="0"/>
              <w:right w:val="single" w:color="auto" w:sz="4" w:space="0"/>
            </w:tcBorders>
            <w:vAlign w:val="center"/>
          </w:tcPr>
          <w:p w14:paraId="77EA0644">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定期检查加油枪、胶管和加油机之间的连接情况，保持其具有良好的接地性能，并建立检查记录。</w:t>
            </w:r>
          </w:p>
        </w:tc>
        <w:tc>
          <w:tcPr>
            <w:tcW w:w="1535" w:type="dxa"/>
            <w:tcBorders>
              <w:top w:val="single" w:color="auto" w:sz="4" w:space="0"/>
              <w:left w:val="nil"/>
              <w:bottom w:val="single" w:color="auto" w:sz="4" w:space="0"/>
              <w:right w:val="single" w:color="auto" w:sz="4" w:space="0"/>
            </w:tcBorders>
            <w:vAlign w:val="center"/>
          </w:tcPr>
          <w:p w14:paraId="5B9B1EE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按要求定期检查</w:t>
            </w:r>
          </w:p>
        </w:tc>
        <w:tc>
          <w:tcPr>
            <w:tcW w:w="790" w:type="dxa"/>
            <w:tcBorders>
              <w:top w:val="single" w:color="auto" w:sz="4" w:space="0"/>
              <w:left w:val="nil"/>
              <w:bottom w:val="single" w:color="auto" w:sz="4" w:space="0"/>
              <w:right w:val="single" w:color="auto" w:sz="4" w:space="0"/>
            </w:tcBorders>
            <w:vAlign w:val="center"/>
          </w:tcPr>
          <w:p w14:paraId="16AFEB8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3671213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719F34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w:t>
            </w:r>
          </w:p>
        </w:tc>
        <w:tc>
          <w:tcPr>
            <w:tcW w:w="6310" w:type="dxa"/>
            <w:tcBorders>
              <w:top w:val="single" w:color="auto" w:sz="8" w:space="0"/>
              <w:left w:val="single" w:color="auto" w:sz="8" w:space="0"/>
              <w:bottom w:val="single" w:color="auto" w:sz="8" w:space="0"/>
              <w:right w:val="single" w:color="auto" w:sz="4" w:space="0"/>
            </w:tcBorders>
            <w:vAlign w:val="center"/>
          </w:tcPr>
          <w:p w14:paraId="7DC593D4">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用电、发电</w:t>
            </w:r>
          </w:p>
        </w:tc>
        <w:tc>
          <w:tcPr>
            <w:tcW w:w="1535" w:type="dxa"/>
            <w:tcBorders>
              <w:top w:val="single" w:color="auto" w:sz="4" w:space="0"/>
              <w:left w:val="nil"/>
              <w:bottom w:val="single" w:color="auto" w:sz="4" w:space="0"/>
              <w:right w:val="single" w:color="auto" w:sz="4" w:space="0"/>
            </w:tcBorders>
            <w:vAlign w:val="center"/>
          </w:tcPr>
          <w:p w14:paraId="39864E6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电网供电</w:t>
            </w:r>
          </w:p>
        </w:tc>
        <w:tc>
          <w:tcPr>
            <w:tcW w:w="790" w:type="dxa"/>
            <w:tcBorders>
              <w:top w:val="single" w:color="auto" w:sz="4" w:space="0"/>
              <w:left w:val="nil"/>
              <w:bottom w:val="single" w:color="auto" w:sz="4" w:space="0"/>
              <w:right w:val="single" w:color="auto" w:sz="4" w:space="0"/>
            </w:tcBorders>
            <w:vAlign w:val="center"/>
          </w:tcPr>
          <w:p w14:paraId="3365E10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85C9A61">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D1A91B">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5.1</w:t>
            </w:r>
          </w:p>
        </w:tc>
        <w:tc>
          <w:tcPr>
            <w:tcW w:w="6310" w:type="dxa"/>
            <w:tcBorders>
              <w:top w:val="single" w:color="auto" w:sz="8" w:space="0"/>
              <w:left w:val="single" w:color="auto" w:sz="8" w:space="0"/>
              <w:bottom w:val="single" w:color="auto" w:sz="8" w:space="0"/>
              <w:right w:val="single" w:color="auto" w:sz="4" w:space="0"/>
            </w:tcBorders>
            <w:vAlign w:val="center"/>
          </w:tcPr>
          <w:p w14:paraId="04BFBAB3">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基本要求应按GB/T 13869 的规定执行。</w:t>
            </w:r>
          </w:p>
        </w:tc>
        <w:tc>
          <w:tcPr>
            <w:tcW w:w="1535" w:type="dxa"/>
            <w:tcBorders>
              <w:top w:val="single" w:color="auto" w:sz="4" w:space="0"/>
              <w:left w:val="nil"/>
              <w:bottom w:val="single" w:color="auto" w:sz="4" w:space="0"/>
              <w:right w:val="single" w:color="auto" w:sz="4" w:space="0"/>
            </w:tcBorders>
            <w:vAlign w:val="center"/>
          </w:tcPr>
          <w:p w14:paraId="2975788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按要求执行</w:t>
            </w:r>
          </w:p>
        </w:tc>
        <w:tc>
          <w:tcPr>
            <w:tcW w:w="790" w:type="dxa"/>
            <w:tcBorders>
              <w:top w:val="single" w:color="auto" w:sz="4" w:space="0"/>
              <w:left w:val="nil"/>
              <w:bottom w:val="single" w:color="auto" w:sz="4" w:space="0"/>
              <w:right w:val="single" w:color="auto" w:sz="4" w:space="0"/>
            </w:tcBorders>
            <w:vAlign w:val="center"/>
          </w:tcPr>
          <w:p w14:paraId="795A8A53">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2491DDFD">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F91CDD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5.2</w:t>
            </w:r>
          </w:p>
        </w:tc>
        <w:tc>
          <w:tcPr>
            <w:tcW w:w="6310" w:type="dxa"/>
            <w:tcBorders>
              <w:top w:val="single" w:color="auto" w:sz="8" w:space="0"/>
              <w:left w:val="single" w:color="auto" w:sz="8" w:space="0"/>
              <w:bottom w:val="single" w:color="auto" w:sz="8" w:space="0"/>
              <w:right w:val="single" w:color="auto" w:sz="4" w:space="0"/>
            </w:tcBorders>
            <w:vAlign w:val="center"/>
          </w:tcPr>
          <w:p w14:paraId="11759E7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电气检修、临时用电应执行工作票制度，并明确工作票签发人、工作负责人、监护人、工作许可 人、操作人员责任；应在办理签发、许可手续后方可作业。</w:t>
            </w:r>
          </w:p>
        </w:tc>
        <w:tc>
          <w:tcPr>
            <w:tcW w:w="1535" w:type="dxa"/>
            <w:tcBorders>
              <w:top w:val="single" w:color="auto" w:sz="4" w:space="0"/>
              <w:left w:val="nil"/>
              <w:bottom w:val="single" w:color="auto" w:sz="4" w:space="0"/>
              <w:right w:val="single" w:color="auto" w:sz="4" w:space="0"/>
            </w:tcBorders>
            <w:vAlign w:val="center"/>
          </w:tcPr>
          <w:p w14:paraId="74FECFA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101F3C6F">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7DA9373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215F29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5.3</w:t>
            </w:r>
          </w:p>
        </w:tc>
        <w:tc>
          <w:tcPr>
            <w:tcW w:w="6310" w:type="dxa"/>
            <w:tcBorders>
              <w:top w:val="single" w:color="auto" w:sz="8" w:space="0"/>
              <w:left w:val="single" w:color="auto" w:sz="8" w:space="0"/>
              <w:bottom w:val="single" w:color="auto" w:sz="8" w:space="0"/>
              <w:right w:val="single" w:color="auto" w:sz="4" w:space="0"/>
            </w:tcBorders>
            <w:vAlign w:val="center"/>
          </w:tcPr>
          <w:p w14:paraId="2AE90911">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变、配电房间应制定运行规程、巡回检查制度。</w:t>
            </w:r>
          </w:p>
        </w:tc>
        <w:tc>
          <w:tcPr>
            <w:tcW w:w="1535" w:type="dxa"/>
            <w:tcBorders>
              <w:top w:val="single" w:color="auto" w:sz="4" w:space="0"/>
              <w:left w:val="nil"/>
              <w:bottom w:val="single" w:color="auto" w:sz="4" w:space="0"/>
              <w:right w:val="single" w:color="auto" w:sz="4" w:space="0"/>
            </w:tcBorders>
            <w:vAlign w:val="center"/>
          </w:tcPr>
          <w:p w14:paraId="718CCE0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已制定相关检查制度</w:t>
            </w:r>
          </w:p>
        </w:tc>
        <w:tc>
          <w:tcPr>
            <w:tcW w:w="790" w:type="dxa"/>
            <w:tcBorders>
              <w:top w:val="single" w:color="auto" w:sz="4" w:space="0"/>
              <w:left w:val="nil"/>
              <w:bottom w:val="single" w:color="auto" w:sz="4" w:space="0"/>
              <w:right w:val="single" w:color="auto" w:sz="4" w:space="0"/>
            </w:tcBorders>
            <w:vAlign w:val="center"/>
          </w:tcPr>
          <w:p w14:paraId="5A58D56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05C45B3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AC96BD">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5.4</w:t>
            </w:r>
          </w:p>
        </w:tc>
        <w:tc>
          <w:tcPr>
            <w:tcW w:w="6310" w:type="dxa"/>
            <w:tcBorders>
              <w:top w:val="single" w:color="auto" w:sz="8" w:space="0"/>
              <w:left w:val="single" w:color="auto" w:sz="8" w:space="0"/>
              <w:bottom w:val="single" w:color="auto" w:sz="8" w:space="0"/>
              <w:right w:val="single" w:color="auto" w:sz="4" w:space="0"/>
            </w:tcBorders>
            <w:vAlign w:val="center"/>
          </w:tcPr>
          <w:p w14:paraId="24880DEF">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在高压设备或大容量低压总盘上倒闸操作及在带电设备附近工作时，应由两人进行。</w:t>
            </w:r>
          </w:p>
        </w:tc>
        <w:tc>
          <w:tcPr>
            <w:tcW w:w="1535" w:type="dxa"/>
            <w:tcBorders>
              <w:top w:val="single" w:color="auto" w:sz="4" w:space="0"/>
              <w:left w:val="nil"/>
              <w:bottom w:val="single" w:color="auto" w:sz="4" w:space="0"/>
              <w:right w:val="single" w:color="auto" w:sz="4" w:space="0"/>
            </w:tcBorders>
            <w:vAlign w:val="center"/>
          </w:tcPr>
          <w:p w14:paraId="20BC05D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不涉及</w:t>
            </w:r>
          </w:p>
        </w:tc>
        <w:tc>
          <w:tcPr>
            <w:tcW w:w="790" w:type="dxa"/>
            <w:tcBorders>
              <w:top w:val="single" w:color="auto" w:sz="4" w:space="0"/>
              <w:left w:val="nil"/>
              <w:bottom w:val="single" w:color="auto" w:sz="4" w:space="0"/>
              <w:right w:val="single" w:color="auto" w:sz="4" w:space="0"/>
            </w:tcBorders>
            <w:vAlign w:val="center"/>
          </w:tcPr>
          <w:p w14:paraId="5F3A3F50">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w:t>
            </w:r>
          </w:p>
        </w:tc>
      </w:tr>
      <w:tr w14:paraId="59AD61F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0CD3FA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5.5</w:t>
            </w:r>
          </w:p>
        </w:tc>
        <w:tc>
          <w:tcPr>
            <w:tcW w:w="6310" w:type="dxa"/>
            <w:tcBorders>
              <w:top w:val="single" w:color="auto" w:sz="8" w:space="0"/>
              <w:left w:val="single" w:color="auto" w:sz="8" w:space="0"/>
              <w:bottom w:val="single" w:color="auto" w:sz="8" w:space="0"/>
              <w:right w:val="single" w:color="auto" w:sz="4" w:space="0"/>
            </w:tcBorders>
            <w:vAlign w:val="center"/>
          </w:tcPr>
          <w:p w14:paraId="1FBBA75B">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不应在电气设备、供电线路上带电作业。断电后，应在电源开关处上锁、拆下熔断器或关闭断路 器，并挂上“禁止合闸、有人工作”等安全警示标牌；工作未结束，任何人不应拿下标牌或送电。工作完毕 并经复查无误后，由工作负责人将检修情况与值班人员做好交接后方可摘牌送电。</w:t>
            </w:r>
          </w:p>
        </w:tc>
        <w:tc>
          <w:tcPr>
            <w:tcW w:w="1535" w:type="dxa"/>
            <w:tcBorders>
              <w:top w:val="single" w:color="auto" w:sz="4" w:space="0"/>
              <w:left w:val="nil"/>
              <w:bottom w:val="single" w:color="auto" w:sz="4" w:space="0"/>
              <w:right w:val="single" w:color="auto" w:sz="4" w:space="0"/>
            </w:tcBorders>
            <w:vAlign w:val="center"/>
          </w:tcPr>
          <w:p w14:paraId="2FCDB4A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3A1E13B2">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10EAE186">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29E3AD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5.6</w:t>
            </w:r>
          </w:p>
        </w:tc>
        <w:tc>
          <w:tcPr>
            <w:tcW w:w="6310" w:type="dxa"/>
            <w:tcBorders>
              <w:top w:val="single" w:color="auto" w:sz="8" w:space="0"/>
              <w:left w:val="single" w:color="auto" w:sz="8" w:space="0"/>
              <w:bottom w:val="single" w:color="auto" w:sz="8" w:space="0"/>
              <w:right w:val="single" w:color="auto" w:sz="4" w:space="0"/>
            </w:tcBorders>
            <w:vAlign w:val="center"/>
          </w:tcPr>
          <w:p w14:paraId="187BB896">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发电、用电过程中应有专人巡回检查。</w:t>
            </w:r>
          </w:p>
        </w:tc>
        <w:tc>
          <w:tcPr>
            <w:tcW w:w="1535" w:type="dxa"/>
            <w:tcBorders>
              <w:top w:val="single" w:color="auto" w:sz="4" w:space="0"/>
              <w:left w:val="nil"/>
              <w:bottom w:val="single" w:color="auto" w:sz="4" w:space="0"/>
              <w:right w:val="single" w:color="auto" w:sz="4" w:space="0"/>
            </w:tcBorders>
            <w:vAlign w:val="center"/>
          </w:tcPr>
          <w:p w14:paraId="7344FC9A">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4D4E500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47A9CE0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382616C">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5.7</w:t>
            </w:r>
          </w:p>
        </w:tc>
        <w:tc>
          <w:tcPr>
            <w:tcW w:w="6310" w:type="dxa"/>
            <w:tcBorders>
              <w:top w:val="single" w:color="auto" w:sz="8" w:space="0"/>
              <w:left w:val="single" w:color="auto" w:sz="8" w:space="0"/>
              <w:bottom w:val="single" w:color="auto" w:sz="8" w:space="0"/>
              <w:right w:val="single" w:color="auto" w:sz="4" w:space="0"/>
            </w:tcBorders>
            <w:vAlign w:val="center"/>
          </w:tcPr>
          <w:p w14:paraId="0FA535C9">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当外线停电时，及时断开配电箱中外电总闸和加油站内设备及照明的电源开关。按发电操作规程启动发电设备。</w:t>
            </w:r>
          </w:p>
        </w:tc>
        <w:tc>
          <w:tcPr>
            <w:tcW w:w="1535" w:type="dxa"/>
            <w:tcBorders>
              <w:top w:val="single" w:color="auto" w:sz="4" w:space="0"/>
              <w:left w:val="nil"/>
              <w:bottom w:val="single" w:color="auto" w:sz="4" w:space="0"/>
              <w:right w:val="single" w:color="auto" w:sz="4" w:space="0"/>
            </w:tcBorders>
            <w:vAlign w:val="center"/>
          </w:tcPr>
          <w:p w14:paraId="7722A4B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不涉及</w:t>
            </w:r>
          </w:p>
        </w:tc>
        <w:tc>
          <w:tcPr>
            <w:tcW w:w="790" w:type="dxa"/>
            <w:tcBorders>
              <w:top w:val="single" w:color="auto" w:sz="4" w:space="0"/>
              <w:left w:val="nil"/>
              <w:bottom w:val="single" w:color="auto" w:sz="4" w:space="0"/>
              <w:right w:val="single" w:color="auto" w:sz="4" w:space="0"/>
            </w:tcBorders>
            <w:vAlign w:val="center"/>
          </w:tcPr>
          <w:p w14:paraId="1584518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w:t>
            </w:r>
          </w:p>
        </w:tc>
      </w:tr>
      <w:tr w14:paraId="698991A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D564475">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5.8</w:t>
            </w:r>
          </w:p>
        </w:tc>
        <w:tc>
          <w:tcPr>
            <w:tcW w:w="6310" w:type="dxa"/>
            <w:tcBorders>
              <w:top w:val="single" w:color="auto" w:sz="8" w:space="0"/>
              <w:left w:val="single" w:color="auto" w:sz="8" w:space="0"/>
              <w:bottom w:val="single" w:color="auto" w:sz="8" w:space="0"/>
              <w:right w:val="single" w:color="auto" w:sz="4" w:space="0"/>
            </w:tcBorders>
            <w:vAlign w:val="center"/>
          </w:tcPr>
          <w:p w14:paraId="0754AC00">
            <w:pPr>
              <w:rPr>
                <w:rFonts w:ascii="Times New Roman" w:hAnsi="Times New Roman" w:eastAsia="宋体" w:cs="宋体"/>
                <w:bCs w:val="0"/>
                <w:color w:val="auto"/>
                <w:kern w:val="2"/>
              </w:rPr>
            </w:pPr>
            <w:r>
              <w:rPr>
                <w:rFonts w:hint="eastAsia" w:ascii="Times New Roman" w:hAnsi="Times New Roman" w:eastAsia="宋体" w:cs="宋体"/>
                <w:bCs w:val="0"/>
                <w:color w:val="auto"/>
                <w:kern w:val="2"/>
              </w:rPr>
              <w:t>当外线来电时，注意观察外电指示灯及电压表变化情况，确认电压稳定后，按操作规程恢复常用电源。</w:t>
            </w:r>
          </w:p>
        </w:tc>
        <w:tc>
          <w:tcPr>
            <w:tcW w:w="1535" w:type="dxa"/>
            <w:tcBorders>
              <w:top w:val="single" w:color="auto" w:sz="4" w:space="0"/>
              <w:left w:val="nil"/>
              <w:bottom w:val="single" w:color="auto" w:sz="4" w:space="0"/>
              <w:right w:val="single" w:color="auto" w:sz="4" w:space="0"/>
            </w:tcBorders>
            <w:vAlign w:val="center"/>
          </w:tcPr>
          <w:p w14:paraId="7C813DB4">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按操作规程作业</w:t>
            </w:r>
          </w:p>
        </w:tc>
        <w:tc>
          <w:tcPr>
            <w:tcW w:w="790" w:type="dxa"/>
            <w:tcBorders>
              <w:top w:val="single" w:color="auto" w:sz="4" w:space="0"/>
              <w:left w:val="nil"/>
              <w:bottom w:val="single" w:color="auto" w:sz="4" w:space="0"/>
              <w:right w:val="single" w:color="auto" w:sz="4" w:space="0"/>
            </w:tcBorders>
            <w:vAlign w:val="center"/>
          </w:tcPr>
          <w:p w14:paraId="654E890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r w14:paraId="69C72DD0">
        <w:tblPrEx>
          <w:tblCellMar>
            <w:top w:w="0" w:type="dxa"/>
            <w:left w:w="0" w:type="dxa"/>
            <w:bottom w:w="0" w:type="dxa"/>
            <w:right w:w="0" w:type="dxa"/>
          </w:tblCellMar>
        </w:tblPrEx>
        <w:trPr>
          <w:trHeight w:val="74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D8ECB7">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5.9</w:t>
            </w:r>
          </w:p>
        </w:tc>
        <w:tc>
          <w:tcPr>
            <w:tcW w:w="6310" w:type="dxa"/>
            <w:tcBorders>
              <w:top w:val="single" w:color="auto" w:sz="8" w:space="0"/>
              <w:left w:val="single" w:color="auto" w:sz="8" w:space="0"/>
              <w:bottom w:val="single" w:color="auto" w:sz="8" w:space="0"/>
              <w:right w:val="single" w:color="auto" w:sz="4" w:space="0"/>
            </w:tcBorders>
            <w:vAlign w:val="center"/>
          </w:tcPr>
          <w:p w14:paraId="54013F2F">
            <w:pPr>
              <w:widowControl w:val="0"/>
              <w:spacing w:line="240" w:lineRule="auto"/>
              <w:jc w:val="left"/>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不应随意拉设临时线路。</w:t>
            </w:r>
          </w:p>
        </w:tc>
        <w:tc>
          <w:tcPr>
            <w:tcW w:w="1535" w:type="dxa"/>
            <w:tcBorders>
              <w:top w:val="single" w:color="auto" w:sz="4" w:space="0"/>
              <w:left w:val="nil"/>
              <w:bottom w:val="single" w:color="auto" w:sz="4" w:space="0"/>
              <w:right w:val="single" w:color="auto" w:sz="4" w:space="0"/>
            </w:tcBorders>
            <w:vAlign w:val="center"/>
          </w:tcPr>
          <w:p w14:paraId="3BE42E28">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未随意拉设临时线路</w:t>
            </w:r>
          </w:p>
        </w:tc>
        <w:tc>
          <w:tcPr>
            <w:tcW w:w="790" w:type="dxa"/>
            <w:tcBorders>
              <w:top w:val="single" w:color="auto" w:sz="4" w:space="0"/>
              <w:left w:val="nil"/>
              <w:bottom w:val="single" w:color="auto" w:sz="4" w:space="0"/>
              <w:right w:val="single" w:color="auto" w:sz="4" w:space="0"/>
            </w:tcBorders>
            <w:vAlign w:val="center"/>
          </w:tcPr>
          <w:p w14:paraId="2E6119C6">
            <w:pPr>
              <w:widowControl w:val="0"/>
              <w:spacing w:line="240" w:lineRule="auto"/>
              <w:jc w:val="center"/>
              <w:rPr>
                <w:rFonts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符合</w:t>
            </w:r>
          </w:p>
        </w:tc>
      </w:tr>
    </w:tbl>
    <w:p w14:paraId="74F26104">
      <w:pPr>
        <w:widowControl w:val="0"/>
        <w:adjustRightInd w:val="0"/>
        <w:snapToGrid w:val="0"/>
        <w:spacing w:line="600" w:lineRule="exact"/>
        <w:ind w:left="0" w:leftChars="0" w:firstLine="560" w:firstLineChars="200"/>
        <w:jc w:val="both"/>
        <w:rPr>
          <w:rFonts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评价结论：从上表可知。该加油站符合相关的规定，严格执行加油站作业规范。</w:t>
      </w:r>
    </w:p>
    <w:p w14:paraId="121745A8">
      <w:pPr>
        <w:keepNext/>
        <w:keepLines/>
        <w:pageBreakBefore w:val="0"/>
        <w:widowControl w:val="0"/>
        <w:kinsoku/>
        <w:wordWrap/>
        <w:overflowPunct/>
        <w:topLinePunct w:val="0"/>
        <w:autoSpaceDE/>
        <w:autoSpaceDN/>
        <w:bidi w:val="0"/>
        <w:adjustRightInd/>
        <w:snapToGrid/>
        <w:spacing w:line="580" w:lineRule="exact"/>
        <w:jc w:val="center"/>
        <w:textAlignment w:val="auto"/>
        <w:outlineLvl w:val="1"/>
        <w:rPr>
          <w:rFonts w:ascii="Times New Roman" w:hAnsi="Times New Roman" w:eastAsia="宋体" w:cs="Times New Roman"/>
          <w:b/>
          <w:bCs/>
          <w:color w:val="auto"/>
          <w:kern w:val="0"/>
          <w:sz w:val="30"/>
          <w:szCs w:val="30"/>
          <w:lang w:val="en-US" w:eastAsia="zh-CN" w:bidi="ar-SA"/>
        </w:rPr>
      </w:pPr>
      <w:bookmarkStart w:id="188" w:name="_Toc92712597"/>
      <w:bookmarkStart w:id="189" w:name="_Toc12046"/>
      <w:bookmarkStart w:id="190" w:name="_Toc23537"/>
      <w:bookmarkStart w:id="191" w:name="_Toc9462"/>
      <w:r>
        <w:rPr>
          <w:rFonts w:hint="eastAsia" w:ascii="Times New Roman" w:hAnsi="Times New Roman" w:eastAsia="宋体" w:cs="Times New Roman"/>
          <w:b/>
          <w:bCs/>
          <w:color w:val="auto"/>
          <w:kern w:val="0"/>
          <w:sz w:val="30"/>
          <w:szCs w:val="30"/>
          <w:lang w:val="en-US" w:eastAsia="zh-CN" w:bidi="ar-SA"/>
        </w:rPr>
        <w:t>5.11 重点监管的危险化学品安全措施落实情况</w:t>
      </w:r>
      <w:bookmarkEnd w:id="188"/>
      <w:bookmarkEnd w:id="189"/>
      <w:bookmarkEnd w:id="190"/>
    </w:p>
    <w:p w14:paraId="0170EE1A">
      <w:pPr>
        <w:pageBreakBefore w:val="0"/>
        <w:widowControl w:val="0"/>
        <w:kinsoku/>
        <w:wordWrap/>
        <w:overflowPunct/>
        <w:topLinePunct w:val="0"/>
        <w:autoSpaceDE/>
        <w:autoSpaceDN/>
        <w:bidi w:val="0"/>
        <w:adjustRightInd/>
        <w:snapToGrid/>
        <w:spacing w:line="580" w:lineRule="exact"/>
        <w:ind w:firstLine="570"/>
        <w:textAlignment w:val="auto"/>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根据《</w:t>
      </w:r>
      <w:r>
        <w:rPr>
          <w:rFonts w:hint="eastAsia" w:ascii="Times New Roman" w:hAnsi="Times New Roman" w:eastAsia="宋体" w:cs="Calibri"/>
          <w:bCs w:val="0"/>
          <w:color w:val="auto"/>
          <w:kern w:val="2"/>
          <w:sz w:val="28"/>
          <w:szCs w:val="28"/>
        </w:rPr>
        <w:t>国家安全监管总局关于公布首批重点监管的危险化学品名录的通知</w:t>
      </w:r>
      <w:r>
        <w:rPr>
          <w:rFonts w:ascii="Times New Roman" w:hAnsi="Times New Roman" w:eastAsia="宋体" w:cs="Calibri"/>
          <w:bCs w:val="0"/>
          <w:color w:val="auto"/>
          <w:kern w:val="2"/>
          <w:sz w:val="28"/>
          <w:szCs w:val="28"/>
        </w:rPr>
        <w:t>》</w:t>
      </w:r>
      <w:r>
        <w:rPr>
          <w:rFonts w:hint="eastAsia" w:ascii="Times New Roman" w:hAnsi="Times New Roman" w:eastAsia="宋体" w:cs="Calibri"/>
          <w:bCs w:val="0"/>
          <w:color w:val="auto"/>
          <w:kern w:val="2"/>
          <w:sz w:val="28"/>
          <w:szCs w:val="28"/>
        </w:rPr>
        <w:t>（安监总管三〔2011〕95号</w:t>
      </w:r>
      <w:r>
        <w:rPr>
          <w:rFonts w:hint="eastAsia" w:ascii="Times New Roman" w:hAnsi="Times New Roman" w:eastAsia="宋体" w:cs="Calibri"/>
          <w:bCs w:val="0"/>
          <w:color w:val="auto"/>
          <w:kern w:val="2"/>
          <w:sz w:val="28"/>
          <w:szCs w:val="28"/>
          <w:lang w:eastAsia="zh-CN"/>
        </w:rPr>
        <w:t>）和</w:t>
      </w:r>
      <w:r>
        <w:rPr>
          <w:rFonts w:hint="eastAsia" w:ascii="Times New Roman" w:hAnsi="Times New Roman" w:eastAsia="宋体" w:cs="Calibri"/>
          <w:bCs w:val="0"/>
          <w:color w:val="auto"/>
          <w:kern w:val="2"/>
          <w:sz w:val="28"/>
          <w:szCs w:val="28"/>
        </w:rPr>
        <w:t>《国家安全监管总局办公厅关于印发首批重点监管的危险化学品安全措施和应急处置原则的通知》（安监总厅管三〔2011〕142号）、《国家安全监管总局关于公布第二批重点监管危险化学品名录的通知》（安监总管三〔2013〕12号）</w:t>
      </w:r>
      <w:r>
        <w:rPr>
          <w:rFonts w:ascii="Times New Roman" w:hAnsi="Times New Roman" w:eastAsia="宋体" w:cs="Calibri"/>
          <w:bCs w:val="0"/>
          <w:color w:val="auto"/>
          <w:kern w:val="2"/>
          <w:sz w:val="28"/>
          <w:szCs w:val="28"/>
        </w:rPr>
        <w:t>制定检查表，对</w:t>
      </w:r>
      <w:r>
        <w:rPr>
          <w:rFonts w:hint="eastAsia" w:ascii="Times New Roman" w:hAnsi="Times New Roman" w:eastAsia="宋体" w:cs="Calibri"/>
          <w:bCs w:val="0"/>
          <w:color w:val="auto"/>
          <w:kern w:val="2"/>
          <w:sz w:val="28"/>
          <w:szCs w:val="28"/>
        </w:rPr>
        <w:t>该加油站重点监管的危险化学品的安全措施落实情况</w:t>
      </w:r>
      <w:r>
        <w:rPr>
          <w:rFonts w:ascii="Times New Roman" w:hAnsi="Times New Roman" w:eastAsia="宋体" w:cs="Calibri"/>
          <w:bCs w:val="0"/>
          <w:color w:val="auto"/>
          <w:kern w:val="2"/>
          <w:sz w:val="28"/>
          <w:szCs w:val="28"/>
        </w:rPr>
        <w:t>进行评价，</w:t>
      </w:r>
      <w:r>
        <w:rPr>
          <w:rFonts w:hint="eastAsia" w:ascii="Times New Roman" w:hAnsi="Times New Roman" w:eastAsia="宋体" w:cs="Calibri"/>
          <w:bCs w:val="0"/>
          <w:color w:val="auto"/>
          <w:kern w:val="2"/>
          <w:sz w:val="28"/>
          <w:szCs w:val="28"/>
        </w:rPr>
        <w:t>该站</w:t>
      </w:r>
      <w:r>
        <w:rPr>
          <w:rFonts w:hint="eastAsia" w:ascii="Times New Roman" w:hAnsi="Times New Roman" w:eastAsia="宋体" w:cs="Calibri"/>
          <w:bCs w:val="0"/>
          <w:color w:val="auto"/>
          <w:kern w:val="2"/>
          <w:sz w:val="28"/>
          <w:szCs w:val="28"/>
          <w:lang w:val="en-US" w:eastAsia="zh-CN"/>
        </w:rPr>
        <w:t>涉及的</w:t>
      </w:r>
      <w:r>
        <w:rPr>
          <w:rFonts w:hint="eastAsia" w:ascii="Times New Roman" w:hAnsi="Times New Roman" w:eastAsia="宋体" w:cs="Calibri"/>
          <w:bCs w:val="0"/>
          <w:color w:val="auto"/>
          <w:kern w:val="2"/>
          <w:sz w:val="28"/>
          <w:szCs w:val="28"/>
        </w:rPr>
        <w:t>汽油</w:t>
      </w:r>
      <w:r>
        <w:rPr>
          <w:rFonts w:hint="eastAsia" w:ascii="Times New Roman" w:hAnsi="Times New Roman" w:eastAsia="宋体" w:cs="Calibri"/>
          <w:bCs w:val="0"/>
          <w:color w:val="auto"/>
          <w:kern w:val="2"/>
          <w:sz w:val="28"/>
          <w:szCs w:val="28"/>
          <w:lang w:val="en-US" w:eastAsia="zh-CN"/>
        </w:rPr>
        <w:t>为</w:t>
      </w:r>
      <w:r>
        <w:rPr>
          <w:rFonts w:hint="eastAsia" w:ascii="Times New Roman" w:hAnsi="Times New Roman" w:eastAsia="宋体" w:cs="Calibri"/>
          <w:bCs w:val="0"/>
          <w:color w:val="auto"/>
          <w:kern w:val="2"/>
          <w:sz w:val="28"/>
          <w:szCs w:val="28"/>
        </w:rPr>
        <w:t>重点监管的危险化学品，</w:t>
      </w:r>
      <w:r>
        <w:rPr>
          <w:rFonts w:ascii="Times New Roman" w:hAnsi="Times New Roman" w:eastAsia="宋体" w:cs="Calibri"/>
          <w:bCs w:val="0"/>
          <w:color w:val="auto"/>
          <w:kern w:val="2"/>
          <w:sz w:val="28"/>
          <w:szCs w:val="28"/>
        </w:rPr>
        <w:t>评价结果见下表</w:t>
      </w:r>
      <w:r>
        <w:rPr>
          <w:rFonts w:hint="eastAsia" w:ascii="Times New Roman" w:hAnsi="Times New Roman" w:eastAsia="宋体" w:cs="Calibri"/>
          <w:bCs w:val="0"/>
          <w:color w:val="auto"/>
          <w:kern w:val="2"/>
          <w:sz w:val="28"/>
          <w:szCs w:val="28"/>
        </w:rPr>
        <w:t>5.10-1</w:t>
      </w:r>
      <w:r>
        <w:rPr>
          <w:rFonts w:ascii="Times New Roman" w:hAnsi="Times New Roman" w:eastAsia="宋体" w:cs="Calibri"/>
          <w:bCs w:val="0"/>
          <w:color w:val="auto"/>
          <w:kern w:val="2"/>
          <w:sz w:val="28"/>
          <w:szCs w:val="28"/>
        </w:rPr>
        <w:t>。</w:t>
      </w:r>
    </w:p>
    <w:p w14:paraId="4E630382">
      <w:pPr>
        <w:pageBreakBefore w:val="0"/>
        <w:widowControl w:val="0"/>
        <w:kinsoku/>
        <w:wordWrap/>
        <w:overflowPunct/>
        <w:topLinePunct w:val="0"/>
        <w:autoSpaceDE/>
        <w:autoSpaceDN/>
        <w:bidi w:val="0"/>
        <w:adjustRightInd/>
        <w:snapToGrid/>
        <w:spacing w:line="580" w:lineRule="exact"/>
        <w:jc w:val="center"/>
        <w:textAlignment w:val="auto"/>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w:t>
      </w:r>
      <w:r>
        <w:rPr>
          <w:rFonts w:hint="eastAsia" w:ascii="Times New Roman" w:hAnsi="Times New Roman" w:eastAsia="宋体" w:cs="Calibri"/>
          <w:bCs w:val="0"/>
          <w:color w:val="auto"/>
          <w:kern w:val="2"/>
          <w:sz w:val="28"/>
          <w:szCs w:val="28"/>
        </w:rPr>
        <w:t xml:space="preserve">5.10-1 </w:t>
      </w:r>
      <w:r>
        <w:rPr>
          <w:rFonts w:ascii="Times New Roman" w:hAnsi="Times New Roman" w:eastAsia="宋体" w:cs="Calibri"/>
          <w:bCs w:val="0"/>
          <w:color w:val="auto"/>
          <w:kern w:val="2"/>
          <w:sz w:val="28"/>
          <w:szCs w:val="28"/>
        </w:rPr>
        <w:t xml:space="preserve"> 重</w:t>
      </w:r>
      <w:r>
        <w:rPr>
          <w:rFonts w:hint="eastAsia" w:ascii="Times New Roman" w:hAnsi="Times New Roman" w:eastAsia="宋体" w:cs="Calibri"/>
          <w:bCs w:val="0"/>
          <w:color w:val="auto"/>
          <w:kern w:val="2"/>
          <w:sz w:val="30"/>
          <w:szCs w:val="30"/>
        </w:rPr>
        <w:t>点监管的危险化学品安全措施落实情况</w:t>
      </w:r>
      <w:r>
        <w:rPr>
          <w:rFonts w:ascii="Times New Roman" w:hAnsi="Times New Roman" w:eastAsia="宋体" w:cs="Calibri"/>
          <w:bCs w:val="0"/>
          <w:color w:val="auto"/>
          <w:kern w:val="2"/>
          <w:sz w:val="28"/>
          <w:szCs w:val="28"/>
        </w:rPr>
        <w:t>安全检查表</w:t>
      </w:r>
    </w:p>
    <w:tbl>
      <w:tblPr>
        <w:tblStyle w:val="7"/>
        <w:tblW w:w="501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4"/>
        <w:gridCol w:w="5402"/>
        <w:gridCol w:w="2442"/>
        <w:gridCol w:w="680"/>
      </w:tblGrid>
      <w:tr w14:paraId="52EB7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7" w:hRule="atLeast"/>
        </w:trPr>
        <w:tc>
          <w:tcPr>
            <w:tcW w:w="426" w:type="pct"/>
            <w:vAlign w:val="center"/>
          </w:tcPr>
          <w:p w14:paraId="70AF5C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序号</w:t>
            </w:r>
          </w:p>
        </w:tc>
        <w:tc>
          <w:tcPr>
            <w:tcW w:w="2898" w:type="pct"/>
            <w:vAlign w:val="center"/>
          </w:tcPr>
          <w:p w14:paraId="174F7B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检查内容</w:t>
            </w:r>
          </w:p>
        </w:tc>
        <w:tc>
          <w:tcPr>
            <w:tcW w:w="1310" w:type="pct"/>
            <w:vAlign w:val="center"/>
          </w:tcPr>
          <w:p w14:paraId="2A8BCC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检查记录</w:t>
            </w:r>
          </w:p>
        </w:tc>
        <w:tc>
          <w:tcPr>
            <w:tcW w:w="364" w:type="pct"/>
            <w:vAlign w:val="center"/>
          </w:tcPr>
          <w:p w14:paraId="54E0981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检查结果</w:t>
            </w:r>
          </w:p>
        </w:tc>
      </w:tr>
      <w:tr w14:paraId="1DC33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53E949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1</w:t>
            </w:r>
          </w:p>
        </w:tc>
        <w:tc>
          <w:tcPr>
            <w:tcW w:w="4573" w:type="pct"/>
            <w:gridSpan w:val="3"/>
            <w:vAlign w:val="center"/>
          </w:tcPr>
          <w:p w14:paraId="45ECEC1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安全措施</w:t>
            </w:r>
          </w:p>
        </w:tc>
      </w:tr>
      <w:tr w14:paraId="250B8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0ED72F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w:t>
            </w:r>
          </w:p>
        </w:tc>
        <w:tc>
          <w:tcPr>
            <w:tcW w:w="4573" w:type="pct"/>
            <w:gridSpan w:val="3"/>
            <w:vAlign w:val="center"/>
          </w:tcPr>
          <w:p w14:paraId="0A56EE3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【一般要求】</w:t>
            </w:r>
          </w:p>
        </w:tc>
      </w:tr>
      <w:tr w14:paraId="4A7D6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426" w:type="pct"/>
            <w:vAlign w:val="center"/>
          </w:tcPr>
          <w:p w14:paraId="45A942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1.1.1</w:t>
            </w:r>
          </w:p>
        </w:tc>
        <w:tc>
          <w:tcPr>
            <w:tcW w:w="2898" w:type="pct"/>
            <w:vAlign w:val="center"/>
          </w:tcPr>
          <w:p w14:paraId="67CA1BC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操作人员必须经过专门培训，严格遵守操作规程，熟练掌握操作技能，具备应急处置知识。</w:t>
            </w:r>
          </w:p>
        </w:tc>
        <w:tc>
          <w:tcPr>
            <w:tcW w:w="1310" w:type="pct"/>
            <w:vAlign w:val="center"/>
          </w:tcPr>
          <w:p w14:paraId="24EF55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全员经过培训合格。</w:t>
            </w:r>
          </w:p>
        </w:tc>
        <w:tc>
          <w:tcPr>
            <w:tcW w:w="364" w:type="pct"/>
            <w:vAlign w:val="center"/>
          </w:tcPr>
          <w:p w14:paraId="45E430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6D2A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89" w:hRule="atLeast"/>
        </w:trPr>
        <w:tc>
          <w:tcPr>
            <w:tcW w:w="426" w:type="pct"/>
            <w:vAlign w:val="center"/>
          </w:tcPr>
          <w:p w14:paraId="1D7F6F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1.1.2</w:t>
            </w:r>
          </w:p>
        </w:tc>
        <w:tc>
          <w:tcPr>
            <w:tcW w:w="2898" w:type="pct"/>
            <w:vAlign w:val="center"/>
          </w:tcPr>
          <w:p w14:paraId="1A84DF4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密闭操作，防止泄漏，工作场所全面通风。远离火种、热源，工作场所严禁吸烟。配备易燃气体泄漏监测报警仪，使用防爆型通风系统和设备，配备两套以上重型防护服。操作人员穿防静电工作服，戴耐油橡胶手套。</w:t>
            </w:r>
          </w:p>
        </w:tc>
        <w:tc>
          <w:tcPr>
            <w:tcW w:w="1310" w:type="pct"/>
            <w:vAlign w:val="center"/>
          </w:tcPr>
          <w:p w14:paraId="723D94C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密闭卸油、密闭加油，有油气回收系统。</w:t>
            </w:r>
          </w:p>
        </w:tc>
        <w:tc>
          <w:tcPr>
            <w:tcW w:w="364" w:type="pct"/>
            <w:vAlign w:val="center"/>
          </w:tcPr>
          <w:p w14:paraId="5F55266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FD56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trPr>
        <w:tc>
          <w:tcPr>
            <w:tcW w:w="426" w:type="pct"/>
            <w:vAlign w:val="center"/>
          </w:tcPr>
          <w:p w14:paraId="28B5CC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1.1.3</w:t>
            </w:r>
          </w:p>
        </w:tc>
        <w:tc>
          <w:tcPr>
            <w:tcW w:w="2898" w:type="pct"/>
            <w:vAlign w:val="center"/>
          </w:tcPr>
          <w:p w14:paraId="4D08B907">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储罐等容器和设备应设置液位计、温度计，并应装有带液位、温度远传记录和报警功能的安全装置。</w:t>
            </w:r>
          </w:p>
        </w:tc>
        <w:tc>
          <w:tcPr>
            <w:tcW w:w="1310" w:type="pct"/>
            <w:vAlign w:val="center"/>
          </w:tcPr>
          <w:p w14:paraId="7ED1C3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油罐配备有液位监视报警仪，监控储罐液位，并远传到站房。</w:t>
            </w:r>
          </w:p>
        </w:tc>
        <w:tc>
          <w:tcPr>
            <w:tcW w:w="364" w:type="pct"/>
            <w:vAlign w:val="center"/>
          </w:tcPr>
          <w:p w14:paraId="3CBA394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5CDC66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73949EC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1.1.4</w:t>
            </w:r>
          </w:p>
        </w:tc>
        <w:tc>
          <w:tcPr>
            <w:tcW w:w="2898" w:type="pct"/>
            <w:vAlign w:val="center"/>
          </w:tcPr>
          <w:p w14:paraId="1883CBA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避免与氧化剂接触。</w:t>
            </w:r>
          </w:p>
        </w:tc>
        <w:tc>
          <w:tcPr>
            <w:tcW w:w="1310" w:type="pct"/>
            <w:vAlign w:val="center"/>
          </w:tcPr>
          <w:p w14:paraId="5A1B333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站内无氧化剂。</w:t>
            </w:r>
          </w:p>
        </w:tc>
        <w:tc>
          <w:tcPr>
            <w:tcW w:w="364" w:type="pct"/>
            <w:vAlign w:val="center"/>
          </w:tcPr>
          <w:p w14:paraId="1E7F7B9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9B28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89" w:hRule="atLeast"/>
        </w:trPr>
        <w:tc>
          <w:tcPr>
            <w:tcW w:w="426" w:type="pct"/>
            <w:vAlign w:val="center"/>
          </w:tcPr>
          <w:p w14:paraId="788FCB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1.1.5</w:t>
            </w:r>
          </w:p>
        </w:tc>
        <w:tc>
          <w:tcPr>
            <w:tcW w:w="2898" w:type="pct"/>
            <w:vAlign w:val="center"/>
          </w:tcPr>
          <w:p w14:paraId="7754FCE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生产、储存区域应设置安全警示标志。灌装时应控制流速，且有接地装置，防止静电积聚。搬运时要轻装轻卸，防止包装及容器损坏。配备相应品种和数量的消防器材及泄漏应急处理设备。</w:t>
            </w:r>
          </w:p>
        </w:tc>
        <w:tc>
          <w:tcPr>
            <w:tcW w:w="1310" w:type="pct"/>
            <w:vAlign w:val="center"/>
          </w:tcPr>
          <w:p w14:paraId="1255A437">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有警示标志。有加油操作规程。静电接地完善。</w:t>
            </w:r>
          </w:p>
        </w:tc>
        <w:tc>
          <w:tcPr>
            <w:tcW w:w="364" w:type="pct"/>
            <w:vAlign w:val="center"/>
          </w:tcPr>
          <w:p w14:paraId="612008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C93B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426" w:type="pct"/>
            <w:vAlign w:val="center"/>
          </w:tcPr>
          <w:p w14:paraId="531CB6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1.2</w:t>
            </w:r>
          </w:p>
        </w:tc>
        <w:tc>
          <w:tcPr>
            <w:tcW w:w="4573" w:type="pct"/>
            <w:gridSpan w:val="3"/>
            <w:vAlign w:val="center"/>
          </w:tcPr>
          <w:p w14:paraId="5C1CF95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【特殊要求】</w:t>
            </w:r>
          </w:p>
          <w:p w14:paraId="01545F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无</w:t>
            </w:r>
            <w:r>
              <w:rPr>
                <w:rFonts w:ascii="Times New Roman" w:hAnsi="Times New Roman" w:eastAsia="宋体" w:cs="Calibri"/>
                <w:bCs w:val="0"/>
                <w:color w:val="auto"/>
                <w:kern w:val="2"/>
              </w:rPr>
              <w:t>特殊要求</w:t>
            </w:r>
            <w:r>
              <w:rPr>
                <w:rFonts w:hint="eastAsia" w:ascii="Times New Roman" w:hAnsi="Times New Roman" w:eastAsia="宋体" w:cs="Calibri"/>
                <w:bCs w:val="0"/>
                <w:color w:val="auto"/>
                <w:kern w:val="2"/>
              </w:rPr>
              <w:t>。</w:t>
            </w:r>
          </w:p>
        </w:tc>
      </w:tr>
      <w:tr w14:paraId="714D7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5075A0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w:t>
            </w:r>
          </w:p>
        </w:tc>
        <w:tc>
          <w:tcPr>
            <w:tcW w:w="4573" w:type="pct"/>
            <w:gridSpan w:val="3"/>
            <w:vAlign w:val="center"/>
          </w:tcPr>
          <w:p w14:paraId="1763835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【操作安全】</w:t>
            </w:r>
          </w:p>
        </w:tc>
      </w:tr>
      <w:tr w14:paraId="32DDC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14158A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1.3.1</w:t>
            </w:r>
          </w:p>
        </w:tc>
        <w:tc>
          <w:tcPr>
            <w:tcW w:w="2898" w:type="pct"/>
            <w:vAlign w:val="center"/>
          </w:tcPr>
          <w:p w14:paraId="1A60236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（1）油罐及贮存桶装汽油附近要严禁烟火。禁止将汽油与其他易燃物放在一起。</w:t>
            </w:r>
          </w:p>
        </w:tc>
        <w:tc>
          <w:tcPr>
            <w:tcW w:w="1310" w:type="pct"/>
            <w:vAlign w:val="center"/>
          </w:tcPr>
          <w:p w14:paraId="375EDBC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埋地油罐。</w:t>
            </w:r>
          </w:p>
        </w:tc>
        <w:tc>
          <w:tcPr>
            <w:tcW w:w="364" w:type="pct"/>
            <w:vAlign w:val="center"/>
          </w:tcPr>
          <w:p w14:paraId="039C337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36F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77" w:hRule="atLeast"/>
        </w:trPr>
        <w:tc>
          <w:tcPr>
            <w:tcW w:w="426" w:type="pct"/>
            <w:vAlign w:val="center"/>
          </w:tcPr>
          <w:p w14:paraId="42520F8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1.3.2</w:t>
            </w:r>
          </w:p>
        </w:tc>
        <w:tc>
          <w:tcPr>
            <w:tcW w:w="2898" w:type="pct"/>
            <w:vAlign w:val="center"/>
          </w:tcPr>
          <w:p w14:paraId="521DA4C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tc>
        <w:tc>
          <w:tcPr>
            <w:tcW w:w="1310" w:type="pct"/>
            <w:vAlign w:val="center"/>
          </w:tcPr>
          <w:p w14:paraId="716944E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进油管按规范设计。油手套等回收至指定地点。</w:t>
            </w:r>
          </w:p>
        </w:tc>
        <w:tc>
          <w:tcPr>
            <w:tcW w:w="364" w:type="pct"/>
            <w:vAlign w:val="center"/>
          </w:tcPr>
          <w:p w14:paraId="22D2CA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90E2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trPr>
        <w:tc>
          <w:tcPr>
            <w:tcW w:w="426" w:type="pct"/>
            <w:vAlign w:val="center"/>
          </w:tcPr>
          <w:p w14:paraId="29EABD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1.3.3</w:t>
            </w:r>
          </w:p>
        </w:tc>
        <w:tc>
          <w:tcPr>
            <w:tcW w:w="2898" w:type="pct"/>
            <w:vAlign w:val="center"/>
          </w:tcPr>
          <w:p w14:paraId="019CFD2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（3）当进行灌装汽油时，邻近的汽车、拖拉机的排气管要戴上防火帽后才能发动，存汽油地点附近严禁检修车辆。</w:t>
            </w:r>
          </w:p>
        </w:tc>
        <w:tc>
          <w:tcPr>
            <w:tcW w:w="1310" w:type="pct"/>
            <w:vAlign w:val="center"/>
          </w:tcPr>
          <w:p w14:paraId="21FFD78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有加油操作规程并督促司机遵守。附近无汽修间。</w:t>
            </w:r>
          </w:p>
        </w:tc>
        <w:tc>
          <w:tcPr>
            <w:tcW w:w="364" w:type="pct"/>
            <w:vAlign w:val="center"/>
          </w:tcPr>
          <w:p w14:paraId="124F97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3175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3" w:hRule="atLeast"/>
        </w:trPr>
        <w:tc>
          <w:tcPr>
            <w:tcW w:w="426" w:type="pct"/>
            <w:vAlign w:val="center"/>
          </w:tcPr>
          <w:p w14:paraId="51274E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1.3.4</w:t>
            </w:r>
          </w:p>
        </w:tc>
        <w:tc>
          <w:tcPr>
            <w:tcW w:w="2898" w:type="pct"/>
            <w:vAlign w:val="center"/>
          </w:tcPr>
          <w:p w14:paraId="3F14613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（4）汽油油罐和贮存汽油区的上空，不应有电线通过。油罐、库房与电线的距离要为电杆长度的 1.5 倍以上。</w:t>
            </w:r>
          </w:p>
        </w:tc>
        <w:tc>
          <w:tcPr>
            <w:tcW w:w="1310" w:type="pct"/>
            <w:vAlign w:val="center"/>
          </w:tcPr>
          <w:p w14:paraId="336FEAD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加油站上空无电线通过。</w:t>
            </w:r>
          </w:p>
        </w:tc>
        <w:tc>
          <w:tcPr>
            <w:tcW w:w="364" w:type="pct"/>
            <w:vAlign w:val="center"/>
          </w:tcPr>
          <w:p w14:paraId="6A0D7D4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57C0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6" w:hRule="atLeast"/>
        </w:trPr>
        <w:tc>
          <w:tcPr>
            <w:tcW w:w="426" w:type="pct"/>
            <w:vAlign w:val="center"/>
          </w:tcPr>
          <w:p w14:paraId="46BA11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1.3.5</w:t>
            </w:r>
          </w:p>
        </w:tc>
        <w:tc>
          <w:tcPr>
            <w:tcW w:w="2898" w:type="pct"/>
            <w:vAlign w:val="center"/>
          </w:tcPr>
          <w:p w14:paraId="5C1E85B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（5）注意仓库及操作场所的通风，使油蒸气容易逸散。</w:t>
            </w:r>
          </w:p>
        </w:tc>
        <w:tc>
          <w:tcPr>
            <w:tcW w:w="1310" w:type="pct"/>
            <w:vAlign w:val="center"/>
          </w:tcPr>
          <w:p w14:paraId="734A0A1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加油区三面通风，罩棚高</w:t>
            </w:r>
            <w:r>
              <w:rPr>
                <w:rFonts w:hint="eastAsia" w:ascii="Times New Roman" w:hAnsi="Times New Roman" w:eastAsia="宋体" w:cs="Calibri"/>
                <w:bCs w:val="0"/>
                <w:color w:val="auto"/>
                <w:kern w:val="2"/>
                <w:lang w:val="en-US" w:eastAsia="zh-CN"/>
              </w:rPr>
              <w:t>7.5</w:t>
            </w:r>
            <w:r>
              <w:rPr>
                <w:rFonts w:hint="eastAsia" w:ascii="Times New Roman" w:hAnsi="Times New Roman" w:eastAsia="宋体" w:cs="Calibri"/>
                <w:bCs w:val="0"/>
                <w:color w:val="auto"/>
                <w:kern w:val="2"/>
              </w:rPr>
              <w:t>米。</w:t>
            </w:r>
          </w:p>
        </w:tc>
        <w:tc>
          <w:tcPr>
            <w:tcW w:w="364" w:type="pct"/>
            <w:vAlign w:val="center"/>
          </w:tcPr>
          <w:p w14:paraId="34E1821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8A04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755CABF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1.4</w:t>
            </w:r>
          </w:p>
        </w:tc>
        <w:tc>
          <w:tcPr>
            <w:tcW w:w="4573" w:type="pct"/>
            <w:gridSpan w:val="3"/>
            <w:vAlign w:val="center"/>
          </w:tcPr>
          <w:p w14:paraId="376F18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【储存安全】</w:t>
            </w:r>
          </w:p>
        </w:tc>
      </w:tr>
      <w:tr w14:paraId="57B49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trPr>
        <w:tc>
          <w:tcPr>
            <w:tcW w:w="426" w:type="pct"/>
            <w:vAlign w:val="center"/>
          </w:tcPr>
          <w:p w14:paraId="66879A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p>
        </w:tc>
        <w:tc>
          <w:tcPr>
            <w:tcW w:w="2898" w:type="pct"/>
            <w:vAlign w:val="center"/>
          </w:tcPr>
          <w:p w14:paraId="0A8F86F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（1）储存于阴凉、通风的库房。远离火种、热源。库房温度不宜超过 30</w:t>
            </w:r>
            <w:r>
              <w:rPr>
                <w:rFonts w:hint="eastAsia" w:ascii="Times New Roman" w:hAnsi="Times New Roman" w:eastAsia="宋体" w:cs="宋体"/>
                <w:bCs w:val="0"/>
                <w:color w:val="auto"/>
                <w:kern w:val="2"/>
              </w:rPr>
              <w:t>℃</w:t>
            </w:r>
            <w:r>
              <w:rPr>
                <w:rFonts w:ascii="Times New Roman" w:hAnsi="Times New Roman" w:eastAsia="宋体" w:cs="Calibri"/>
                <w:bCs w:val="0"/>
                <w:color w:val="auto"/>
                <w:kern w:val="2"/>
              </w:rPr>
              <w:t>。炎热季节应采取喷淋、通风等降温措施。</w:t>
            </w:r>
          </w:p>
        </w:tc>
        <w:tc>
          <w:tcPr>
            <w:tcW w:w="1310" w:type="pct"/>
            <w:vAlign w:val="center"/>
          </w:tcPr>
          <w:p w14:paraId="7204812C">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无库房。埋地油罐储存，对油罐内温度监控报警。</w:t>
            </w:r>
          </w:p>
        </w:tc>
        <w:tc>
          <w:tcPr>
            <w:tcW w:w="364" w:type="pct"/>
            <w:vAlign w:val="center"/>
          </w:tcPr>
          <w:p w14:paraId="6A2CA69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D3B8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trPr>
        <w:tc>
          <w:tcPr>
            <w:tcW w:w="426" w:type="pct"/>
            <w:vAlign w:val="center"/>
          </w:tcPr>
          <w:p w14:paraId="2FDDEC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p>
        </w:tc>
        <w:tc>
          <w:tcPr>
            <w:tcW w:w="2898" w:type="pct"/>
            <w:vAlign w:val="center"/>
          </w:tcPr>
          <w:p w14:paraId="667106F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（2）应与氧化剂分开存放，切忌混储。用储罐、铁桶等容器盛装，不要用塑料桶来存放汽油。盛装时，切不可充满，要留出必要的安全空间。</w:t>
            </w:r>
          </w:p>
        </w:tc>
        <w:tc>
          <w:tcPr>
            <w:tcW w:w="1310" w:type="pct"/>
            <w:vAlign w:val="center"/>
          </w:tcPr>
          <w:p w14:paraId="537FDFF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站内无氧化剂。</w:t>
            </w:r>
          </w:p>
        </w:tc>
        <w:tc>
          <w:tcPr>
            <w:tcW w:w="364" w:type="pct"/>
            <w:vAlign w:val="center"/>
          </w:tcPr>
          <w:p w14:paraId="13C44B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39CE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89" w:hRule="atLeast"/>
        </w:trPr>
        <w:tc>
          <w:tcPr>
            <w:tcW w:w="426" w:type="pct"/>
            <w:vAlign w:val="center"/>
          </w:tcPr>
          <w:p w14:paraId="39722F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p>
        </w:tc>
        <w:tc>
          <w:tcPr>
            <w:tcW w:w="2898" w:type="pct"/>
            <w:tcBorders>
              <w:right w:val="single" w:color="auto" w:sz="4" w:space="0"/>
            </w:tcBorders>
            <w:vAlign w:val="center"/>
          </w:tcPr>
          <w:p w14:paraId="47DF09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（3）采用防爆型照明、通风设施。禁止使用易产生火花的机械设备和工具。储存区应备有泄漏应急处理设备和合适的收容材料。罐储时要有防火防爆技术措施。对于 1000m</w:t>
            </w:r>
            <w:r>
              <w:rPr>
                <w:rFonts w:ascii="Times New Roman" w:hAnsi="Times New Roman" w:eastAsia="宋体" w:cs="Calibri"/>
                <w:bCs w:val="0"/>
                <w:color w:val="auto"/>
                <w:kern w:val="2"/>
                <w:vertAlign w:val="superscript"/>
              </w:rPr>
              <w:t>3</w:t>
            </w:r>
            <w:r>
              <w:rPr>
                <w:rFonts w:ascii="Times New Roman" w:hAnsi="Times New Roman" w:eastAsia="宋体" w:cs="Calibri"/>
                <w:bCs w:val="0"/>
                <w:color w:val="auto"/>
                <w:kern w:val="2"/>
              </w:rPr>
              <w:t>及以上的储罐顶部应有泡沫灭火设施等。</w:t>
            </w:r>
          </w:p>
        </w:tc>
        <w:tc>
          <w:tcPr>
            <w:tcW w:w="1310" w:type="pct"/>
            <w:tcBorders>
              <w:left w:val="single" w:color="auto" w:sz="4" w:space="0"/>
              <w:right w:val="single" w:color="auto" w:sz="4" w:space="0"/>
            </w:tcBorders>
            <w:vAlign w:val="center"/>
          </w:tcPr>
          <w:p w14:paraId="1F602AB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照明设在爆炸危险区域外。油罐，潜油泵、监控仪表等均是防爆型。</w:t>
            </w:r>
          </w:p>
        </w:tc>
        <w:tc>
          <w:tcPr>
            <w:tcW w:w="364" w:type="pct"/>
            <w:tcBorders>
              <w:left w:val="single" w:color="auto" w:sz="4" w:space="0"/>
            </w:tcBorders>
            <w:vAlign w:val="center"/>
          </w:tcPr>
          <w:p w14:paraId="087D69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34C7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230E82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1.4</w:t>
            </w:r>
          </w:p>
        </w:tc>
        <w:tc>
          <w:tcPr>
            <w:tcW w:w="2898" w:type="pct"/>
            <w:tcBorders>
              <w:right w:val="single" w:color="auto" w:sz="4" w:space="0"/>
            </w:tcBorders>
            <w:vAlign w:val="center"/>
          </w:tcPr>
          <w:p w14:paraId="61738D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【运输安全】</w:t>
            </w:r>
          </w:p>
        </w:tc>
        <w:tc>
          <w:tcPr>
            <w:tcW w:w="1310" w:type="pct"/>
            <w:tcBorders>
              <w:left w:val="single" w:color="auto" w:sz="4" w:space="0"/>
              <w:right w:val="single" w:color="auto" w:sz="4" w:space="0"/>
            </w:tcBorders>
            <w:vAlign w:val="center"/>
          </w:tcPr>
          <w:p w14:paraId="401BD13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第三方运输</w:t>
            </w:r>
          </w:p>
        </w:tc>
        <w:tc>
          <w:tcPr>
            <w:tcW w:w="364" w:type="pct"/>
            <w:tcBorders>
              <w:left w:val="single" w:color="auto" w:sz="4" w:space="0"/>
            </w:tcBorders>
            <w:vAlign w:val="center"/>
          </w:tcPr>
          <w:p w14:paraId="572B08F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45C07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6FEF05D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2</w:t>
            </w:r>
          </w:p>
        </w:tc>
        <w:tc>
          <w:tcPr>
            <w:tcW w:w="4573" w:type="pct"/>
            <w:gridSpan w:val="3"/>
            <w:vAlign w:val="center"/>
          </w:tcPr>
          <w:p w14:paraId="1D1B9FB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应急处置原则</w:t>
            </w:r>
          </w:p>
        </w:tc>
      </w:tr>
      <w:tr w14:paraId="09FD2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5E6D64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2.1</w:t>
            </w:r>
          </w:p>
        </w:tc>
        <w:tc>
          <w:tcPr>
            <w:tcW w:w="4573" w:type="pct"/>
            <w:gridSpan w:val="3"/>
            <w:vAlign w:val="center"/>
          </w:tcPr>
          <w:p w14:paraId="6E7A21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【急救措施】</w:t>
            </w:r>
          </w:p>
        </w:tc>
      </w:tr>
      <w:tr w14:paraId="28456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791398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2.1.1</w:t>
            </w:r>
          </w:p>
        </w:tc>
        <w:tc>
          <w:tcPr>
            <w:tcW w:w="2898" w:type="pct"/>
            <w:vAlign w:val="center"/>
          </w:tcPr>
          <w:p w14:paraId="1B11FB9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吸入：迅速脱离现场至空气新鲜处。保持呼吸道通畅。如呼吸困难，给氧。如呼吸停止，立即进行人工呼吸。就医。</w:t>
            </w:r>
          </w:p>
        </w:tc>
        <w:tc>
          <w:tcPr>
            <w:tcW w:w="1310" w:type="pct"/>
            <w:vMerge w:val="restart"/>
            <w:vAlign w:val="center"/>
          </w:tcPr>
          <w:p w14:paraId="013F0834">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全员接受了救援、急救知识培训并演练。配有急救箱。</w:t>
            </w:r>
          </w:p>
        </w:tc>
        <w:tc>
          <w:tcPr>
            <w:tcW w:w="364" w:type="pct"/>
            <w:vAlign w:val="center"/>
          </w:tcPr>
          <w:p w14:paraId="652A54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B69E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1D48158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2.1.2</w:t>
            </w:r>
          </w:p>
        </w:tc>
        <w:tc>
          <w:tcPr>
            <w:tcW w:w="2898" w:type="pct"/>
            <w:vAlign w:val="center"/>
          </w:tcPr>
          <w:p w14:paraId="763D633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食入：给饮牛奶或用植物油洗胃和灌肠。就医。</w:t>
            </w:r>
          </w:p>
        </w:tc>
        <w:tc>
          <w:tcPr>
            <w:tcW w:w="1310" w:type="pct"/>
            <w:vMerge w:val="continue"/>
            <w:vAlign w:val="center"/>
          </w:tcPr>
          <w:p w14:paraId="160CD08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p>
        </w:tc>
        <w:tc>
          <w:tcPr>
            <w:tcW w:w="364" w:type="pct"/>
            <w:vAlign w:val="center"/>
          </w:tcPr>
          <w:p w14:paraId="752F47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CD8D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375236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2.1.3</w:t>
            </w:r>
          </w:p>
        </w:tc>
        <w:tc>
          <w:tcPr>
            <w:tcW w:w="2898" w:type="pct"/>
            <w:vAlign w:val="center"/>
          </w:tcPr>
          <w:p w14:paraId="031FC7C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皮肤接触：立即脱去污染的衣着，用肥皂水和清水彻底冲洗皮肤。就医。</w:t>
            </w:r>
          </w:p>
        </w:tc>
        <w:tc>
          <w:tcPr>
            <w:tcW w:w="1310" w:type="pct"/>
            <w:vMerge w:val="continue"/>
            <w:vAlign w:val="center"/>
          </w:tcPr>
          <w:p w14:paraId="17B10F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p>
        </w:tc>
        <w:tc>
          <w:tcPr>
            <w:tcW w:w="364" w:type="pct"/>
            <w:vAlign w:val="center"/>
          </w:tcPr>
          <w:p w14:paraId="7805B4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C16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058CB7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2.1.4</w:t>
            </w:r>
          </w:p>
        </w:tc>
        <w:tc>
          <w:tcPr>
            <w:tcW w:w="2898" w:type="pct"/>
            <w:vAlign w:val="center"/>
          </w:tcPr>
          <w:p w14:paraId="28F4B5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眼睛接触：立即提起眼睑，用大量流动清水或生理盐水彻底冲洗至少 15分钟。就医</w:t>
            </w:r>
            <w:r>
              <w:rPr>
                <w:rFonts w:hint="eastAsia" w:ascii="Times New Roman" w:hAnsi="Times New Roman" w:eastAsia="宋体" w:cs="Calibri"/>
                <w:bCs w:val="0"/>
                <w:color w:val="auto"/>
                <w:kern w:val="2"/>
              </w:rPr>
              <w:t>。</w:t>
            </w:r>
          </w:p>
        </w:tc>
        <w:tc>
          <w:tcPr>
            <w:tcW w:w="1310" w:type="pct"/>
            <w:vMerge w:val="continue"/>
            <w:vAlign w:val="center"/>
          </w:tcPr>
          <w:p w14:paraId="50AFD5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p>
        </w:tc>
        <w:tc>
          <w:tcPr>
            <w:tcW w:w="364" w:type="pct"/>
            <w:vAlign w:val="center"/>
          </w:tcPr>
          <w:p w14:paraId="0C3951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7559E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23E9B7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2.2</w:t>
            </w:r>
          </w:p>
        </w:tc>
        <w:tc>
          <w:tcPr>
            <w:tcW w:w="4573" w:type="pct"/>
            <w:gridSpan w:val="3"/>
            <w:vAlign w:val="center"/>
          </w:tcPr>
          <w:p w14:paraId="1551834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【灭火方法】</w:t>
            </w:r>
          </w:p>
        </w:tc>
      </w:tr>
      <w:tr w14:paraId="06281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7CAC51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2.2.1</w:t>
            </w:r>
          </w:p>
        </w:tc>
        <w:tc>
          <w:tcPr>
            <w:tcW w:w="2898" w:type="pct"/>
            <w:vAlign w:val="center"/>
          </w:tcPr>
          <w:p w14:paraId="79814F6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喷水冷却容器，尽可能将容器从火场移至空旷处。</w:t>
            </w:r>
          </w:p>
        </w:tc>
        <w:tc>
          <w:tcPr>
            <w:tcW w:w="1310" w:type="pct"/>
            <w:vAlign w:val="center"/>
          </w:tcPr>
          <w:p w14:paraId="2D3F5F4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埋地油罐</w:t>
            </w:r>
          </w:p>
        </w:tc>
        <w:tc>
          <w:tcPr>
            <w:tcW w:w="364" w:type="pct"/>
            <w:vAlign w:val="center"/>
          </w:tcPr>
          <w:p w14:paraId="642D0B4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4881E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426" w:type="pct"/>
            <w:vAlign w:val="center"/>
          </w:tcPr>
          <w:p w14:paraId="069B71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2.2.2</w:t>
            </w:r>
          </w:p>
        </w:tc>
        <w:tc>
          <w:tcPr>
            <w:tcW w:w="2898" w:type="pct"/>
            <w:vAlign w:val="center"/>
          </w:tcPr>
          <w:p w14:paraId="2E37A49C">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灭火剂：泡沫、干粉、二氧化碳。用水灭火无效。</w:t>
            </w:r>
          </w:p>
        </w:tc>
        <w:tc>
          <w:tcPr>
            <w:tcW w:w="1310" w:type="pct"/>
            <w:vAlign w:val="center"/>
          </w:tcPr>
          <w:p w14:paraId="37996FF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油罐区、加油区配备了干粉灭火器。</w:t>
            </w:r>
          </w:p>
        </w:tc>
        <w:tc>
          <w:tcPr>
            <w:tcW w:w="364" w:type="pct"/>
            <w:vAlign w:val="center"/>
          </w:tcPr>
          <w:p w14:paraId="2629EC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57FB2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trPr>
        <w:tc>
          <w:tcPr>
            <w:tcW w:w="426" w:type="pct"/>
            <w:vAlign w:val="center"/>
          </w:tcPr>
          <w:p w14:paraId="7326F7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2.3</w:t>
            </w:r>
          </w:p>
        </w:tc>
        <w:tc>
          <w:tcPr>
            <w:tcW w:w="4573" w:type="pct"/>
            <w:gridSpan w:val="3"/>
            <w:vAlign w:val="center"/>
          </w:tcPr>
          <w:p w14:paraId="5DC16B3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【泄漏应急处置】</w:t>
            </w:r>
          </w:p>
        </w:tc>
      </w:tr>
      <w:tr w14:paraId="01D6A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720" w:hRule="atLeast"/>
        </w:trPr>
        <w:tc>
          <w:tcPr>
            <w:tcW w:w="426" w:type="pct"/>
            <w:vAlign w:val="center"/>
          </w:tcPr>
          <w:p w14:paraId="713703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2.3.1</w:t>
            </w:r>
          </w:p>
        </w:tc>
        <w:tc>
          <w:tcPr>
            <w:tcW w:w="2898" w:type="pct"/>
            <w:vAlign w:val="center"/>
          </w:tcPr>
          <w:p w14:paraId="5397F3E0">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w:t>
            </w:r>
          </w:p>
        </w:tc>
        <w:tc>
          <w:tcPr>
            <w:tcW w:w="1310" w:type="pct"/>
            <w:vAlign w:val="center"/>
          </w:tcPr>
          <w:p w14:paraId="22222D0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制定了禁烟、禁火制度并有效实施。</w:t>
            </w:r>
          </w:p>
          <w:p w14:paraId="6281483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卸油、加油设备均配备了防拉脱设施。</w:t>
            </w:r>
          </w:p>
          <w:p w14:paraId="0EE133C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设置了消防器材柜。</w:t>
            </w:r>
          </w:p>
          <w:p w14:paraId="137F5AA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卸油区、加油区设置了环保沟，隔油池。</w:t>
            </w:r>
          </w:p>
        </w:tc>
        <w:tc>
          <w:tcPr>
            <w:tcW w:w="364" w:type="pct"/>
            <w:vAlign w:val="center"/>
          </w:tcPr>
          <w:p w14:paraId="27BB62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3D01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trPr>
        <w:tc>
          <w:tcPr>
            <w:tcW w:w="426" w:type="pct"/>
            <w:vAlign w:val="center"/>
          </w:tcPr>
          <w:p w14:paraId="52155E3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2.3.2</w:t>
            </w:r>
          </w:p>
        </w:tc>
        <w:tc>
          <w:tcPr>
            <w:tcW w:w="2898" w:type="pct"/>
            <w:vAlign w:val="center"/>
          </w:tcPr>
          <w:p w14:paraId="53C5E14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小量泄漏：用砂土或</w:t>
            </w:r>
            <w:r>
              <w:rPr>
                <w:rFonts w:hint="eastAsia" w:ascii="Times New Roman" w:hAnsi="Times New Roman" w:eastAsia="宋体" w:cs="Calibri"/>
                <w:bCs w:val="0"/>
                <w:color w:val="auto"/>
                <w:kern w:val="2"/>
                <w:lang w:eastAsia="zh-CN"/>
              </w:rPr>
              <w:t>其他不</w:t>
            </w:r>
            <w:r>
              <w:rPr>
                <w:rFonts w:ascii="Times New Roman" w:hAnsi="Times New Roman" w:eastAsia="宋体" w:cs="Calibri"/>
                <w:bCs w:val="0"/>
                <w:color w:val="auto"/>
                <w:kern w:val="2"/>
              </w:rPr>
              <w:t>燃材料吸收。使用洁净的无火花工具收集吸收材料。</w:t>
            </w:r>
          </w:p>
        </w:tc>
        <w:tc>
          <w:tcPr>
            <w:tcW w:w="1310" w:type="pct"/>
            <w:vAlign w:val="center"/>
          </w:tcPr>
          <w:p w14:paraId="15CDE69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配备了灭火毯、消防桶等。卸油区、加油区设置了环保沟，隔油池。</w:t>
            </w:r>
          </w:p>
        </w:tc>
        <w:tc>
          <w:tcPr>
            <w:tcW w:w="364" w:type="pct"/>
            <w:vAlign w:val="center"/>
          </w:tcPr>
          <w:p w14:paraId="4F32755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5812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trPr>
        <w:tc>
          <w:tcPr>
            <w:tcW w:w="426" w:type="pct"/>
            <w:vAlign w:val="center"/>
          </w:tcPr>
          <w:p w14:paraId="4A6595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2.3.3</w:t>
            </w:r>
          </w:p>
        </w:tc>
        <w:tc>
          <w:tcPr>
            <w:tcW w:w="2898" w:type="pct"/>
            <w:vAlign w:val="center"/>
          </w:tcPr>
          <w:p w14:paraId="475FB6A7">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大量泄漏：构筑围堤或挖坑收容。用泡沫覆盖，减少蒸发。喷水雾能减少蒸发，但不能降低泄漏物在受限制空间内的易燃性。用防爆泵转移至槽车或专用收集器内。</w:t>
            </w:r>
          </w:p>
        </w:tc>
        <w:tc>
          <w:tcPr>
            <w:tcW w:w="1310" w:type="pct"/>
            <w:vAlign w:val="center"/>
          </w:tcPr>
          <w:p w14:paraId="1E38EA7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SF双层储罐</w:t>
            </w:r>
          </w:p>
        </w:tc>
        <w:tc>
          <w:tcPr>
            <w:tcW w:w="364" w:type="pct"/>
            <w:vAlign w:val="center"/>
          </w:tcPr>
          <w:p w14:paraId="55DFAD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9B807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1" w:hRule="atLeast"/>
        </w:trPr>
        <w:tc>
          <w:tcPr>
            <w:tcW w:w="426" w:type="pct"/>
            <w:vAlign w:val="center"/>
          </w:tcPr>
          <w:p w14:paraId="018FE0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2.3.4</w:t>
            </w:r>
          </w:p>
        </w:tc>
        <w:tc>
          <w:tcPr>
            <w:tcW w:w="2898" w:type="pct"/>
            <w:vAlign w:val="center"/>
          </w:tcPr>
          <w:p w14:paraId="1ADA963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作为一项紧急预防措施，泄漏隔离距离至少为 50m。如果为大量泄漏，下风向的初始疏散距离应至少为 300m。</w:t>
            </w:r>
          </w:p>
        </w:tc>
        <w:tc>
          <w:tcPr>
            <w:tcW w:w="1310" w:type="pct"/>
            <w:vAlign w:val="center"/>
          </w:tcPr>
          <w:p w14:paraId="525BA2F0">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制定了应急预案并备案，按要求定期组织了演练。</w:t>
            </w:r>
          </w:p>
        </w:tc>
        <w:tc>
          <w:tcPr>
            <w:tcW w:w="364" w:type="pct"/>
            <w:vAlign w:val="center"/>
          </w:tcPr>
          <w:p w14:paraId="34ABF5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bl>
    <w:p w14:paraId="7E668DCC">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评价结论：</w:t>
      </w:r>
      <w:r>
        <w:rPr>
          <w:rFonts w:hint="eastAsia" w:ascii="Times New Roman" w:hAnsi="Times New Roman" w:eastAsia="宋体" w:cs="Calibri"/>
          <w:bCs w:val="0"/>
          <w:color w:val="auto"/>
          <w:kern w:val="2"/>
          <w:sz w:val="28"/>
          <w:szCs w:val="28"/>
        </w:rPr>
        <w:t>该站对重点监管的危险化学品汽油按规章要求落实了相关安全措施和应急处置要求。</w:t>
      </w:r>
    </w:p>
    <w:p w14:paraId="7413E044">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92" w:name="_Toc92712598"/>
      <w:bookmarkStart w:id="193" w:name="_Toc8063"/>
      <w:bookmarkStart w:id="194" w:name="_Toc20598"/>
      <w:r>
        <w:rPr>
          <w:rFonts w:hint="eastAsia" w:ascii="Times New Roman" w:hAnsi="Times New Roman" w:eastAsia="宋体" w:cs="Times New Roman"/>
          <w:b/>
          <w:bCs/>
          <w:color w:val="auto"/>
          <w:kern w:val="0"/>
          <w:sz w:val="30"/>
          <w:szCs w:val="30"/>
          <w:lang w:val="en-US" w:eastAsia="zh-CN" w:bidi="ar-SA"/>
        </w:rPr>
        <w:t>5.12 重大事故隐患情况分析</w:t>
      </w:r>
      <w:bookmarkEnd w:id="191"/>
      <w:bookmarkEnd w:id="192"/>
      <w:bookmarkEnd w:id="193"/>
      <w:bookmarkEnd w:id="194"/>
    </w:p>
    <w:p w14:paraId="06F4FA1B">
      <w:pPr>
        <w:spacing w:line="600" w:lineRule="exact"/>
        <w:ind w:firstLine="57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根据《危险化学品生产经营单位和化工重大生产安全事故隐患判定标准（试行）》</w:t>
      </w:r>
      <w:r>
        <w:rPr>
          <w:rFonts w:hint="eastAsia" w:ascii="Times New Roman" w:hAnsi="Times New Roman" w:eastAsia="宋体" w:cs="Calibri"/>
          <w:bCs w:val="0"/>
          <w:color w:val="auto"/>
          <w:kern w:val="2"/>
          <w:sz w:val="28"/>
          <w:szCs w:val="28"/>
        </w:rPr>
        <w:t>（安监总管三〔2017〕121号）</w:t>
      </w:r>
      <w:r>
        <w:rPr>
          <w:rFonts w:ascii="Times New Roman" w:hAnsi="Times New Roman" w:eastAsia="宋体" w:cs="Calibri"/>
          <w:bCs w:val="0"/>
          <w:color w:val="auto"/>
          <w:kern w:val="2"/>
          <w:sz w:val="28"/>
          <w:szCs w:val="28"/>
        </w:rPr>
        <w:t>制定检查表，对</w:t>
      </w:r>
      <w:r>
        <w:rPr>
          <w:rFonts w:hint="eastAsia" w:ascii="Times New Roman" w:hAnsi="Times New Roman" w:eastAsia="宋体" w:cs="Calibri"/>
          <w:bCs w:val="0"/>
          <w:color w:val="auto"/>
          <w:kern w:val="2"/>
          <w:sz w:val="28"/>
          <w:szCs w:val="28"/>
        </w:rPr>
        <w:t>该加油站</w:t>
      </w:r>
      <w:r>
        <w:rPr>
          <w:rFonts w:ascii="Times New Roman" w:hAnsi="Times New Roman" w:eastAsia="宋体" w:cs="Calibri"/>
          <w:bCs w:val="0"/>
          <w:color w:val="auto"/>
          <w:kern w:val="2"/>
          <w:sz w:val="28"/>
          <w:szCs w:val="28"/>
        </w:rPr>
        <w:t>是否存在重大安全隐患项进行评价，评价结果见下表</w:t>
      </w:r>
      <w:r>
        <w:rPr>
          <w:rFonts w:hint="eastAsia" w:ascii="Times New Roman" w:hAnsi="Times New Roman" w:eastAsia="宋体" w:cs="Calibri"/>
          <w:bCs w:val="0"/>
          <w:color w:val="auto"/>
          <w:kern w:val="2"/>
          <w:sz w:val="28"/>
          <w:szCs w:val="28"/>
        </w:rPr>
        <w:t>5.12-1</w:t>
      </w:r>
      <w:r>
        <w:rPr>
          <w:rFonts w:ascii="Times New Roman" w:hAnsi="Times New Roman" w:eastAsia="宋体" w:cs="Calibri"/>
          <w:bCs w:val="0"/>
          <w:color w:val="auto"/>
          <w:kern w:val="2"/>
          <w:sz w:val="28"/>
          <w:szCs w:val="28"/>
        </w:rPr>
        <w:t>。</w:t>
      </w:r>
    </w:p>
    <w:p w14:paraId="4ADB61F9">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w:t>
      </w:r>
      <w:r>
        <w:rPr>
          <w:rFonts w:hint="eastAsia" w:ascii="Times New Roman" w:hAnsi="Times New Roman" w:eastAsia="宋体" w:cs="Calibri"/>
          <w:bCs w:val="0"/>
          <w:color w:val="auto"/>
          <w:kern w:val="2"/>
          <w:sz w:val="28"/>
          <w:szCs w:val="28"/>
        </w:rPr>
        <w:t xml:space="preserve">5.12-1 </w:t>
      </w:r>
      <w:r>
        <w:rPr>
          <w:rFonts w:ascii="Times New Roman" w:hAnsi="Times New Roman" w:eastAsia="宋体" w:cs="Calibri"/>
          <w:bCs w:val="0"/>
          <w:color w:val="auto"/>
          <w:kern w:val="2"/>
          <w:sz w:val="28"/>
          <w:szCs w:val="28"/>
        </w:rPr>
        <w:t xml:space="preserve"> 重大事故隐患安全检查表</w:t>
      </w:r>
    </w:p>
    <w:tbl>
      <w:tblPr>
        <w:tblStyle w:val="7"/>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5254"/>
        <w:gridCol w:w="2551"/>
        <w:gridCol w:w="700"/>
      </w:tblGrid>
      <w:tr w14:paraId="3F9EF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atLeast"/>
          <w:jc w:val="center"/>
        </w:trPr>
        <w:tc>
          <w:tcPr>
            <w:tcW w:w="418" w:type="pct"/>
            <w:vAlign w:val="center"/>
          </w:tcPr>
          <w:p w14:paraId="578F176B">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序号</w:t>
            </w:r>
          </w:p>
        </w:tc>
        <w:tc>
          <w:tcPr>
            <w:tcW w:w="2830" w:type="pct"/>
            <w:vAlign w:val="center"/>
          </w:tcPr>
          <w:p w14:paraId="4A3A04A2">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项目和内容</w:t>
            </w:r>
          </w:p>
        </w:tc>
        <w:tc>
          <w:tcPr>
            <w:tcW w:w="1374" w:type="pct"/>
            <w:vAlign w:val="center"/>
          </w:tcPr>
          <w:p w14:paraId="46039F7F">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检查情况记录</w:t>
            </w:r>
          </w:p>
        </w:tc>
        <w:tc>
          <w:tcPr>
            <w:tcW w:w="377" w:type="pct"/>
            <w:vAlign w:val="center"/>
          </w:tcPr>
          <w:p w14:paraId="5AD2D93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检查结果</w:t>
            </w:r>
          </w:p>
        </w:tc>
      </w:tr>
      <w:tr w14:paraId="2EC8F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0234D876">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1B22D5ED">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一、危险化学品生产、经营单位主要负责人和安全生产管理人员未依法经考核合格。</w:t>
            </w:r>
          </w:p>
        </w:tc>
        <w:tc>
          <w:tcPr>
            <w:tcW w:w="1374" w:type="pct"/>
            <w:vAlign w:val="center"/>
          </w:tcPr>
          <w:p w14:paraId="614E36C9">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主要负责人取证且在有效期内。</w:t>
            </w:r>
          </w:p>
        </w:tc>
        <w:tc>
          <w:tcPr>
            <w:tcW w:w="377" w:type="pct"/>
            <w:vAlign w:val="center"/>
          </w:tcPr>
          <w:p w14:paraId="57160CBC">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5BB5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5" w:hRule="atLeast"/>
          <w:jc w:val="center"/>
        </w:trPr>
        <w:tc>
          <w:tcPr>
            <w:tcW w:w="418" w:type="pct"/>
            <w:vAlign w:val="center"/>
          </w:tcPr>
          <w:p w14:paraId="0AA7C385">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0AC7565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二、特种作业人员未持证上岗。</w:t>
            </w:r>
          </w:p>
        </w:tc>
        <w:tc>
          <w:tcPr>
            <w:tcW w:w="1374" w:type="pct"/>
            <w:vAlign w:val="center"/>
          </w:tcPr>
          <w:p w14:paraId="368AB2ED">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站内无特种作业人员</w:t>
            </w:r>
          </w:p>
        </w:tc>
        <w:tc>
          <w:tcPr>
            <w:tcW w:w="377" w:type="pct"/>
            <w:vAlign w:val="center"/>
          </w:tcPr>
          <w:p w14:paraId="66415658">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506D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5" w:hRule="atLeast"/>
          <w:jc w:val="center"/>
        </w:trPr>
        <w:tc>
          <w:tcPr>
            <w:tcW w:w="418" w:type="pct"/>
            <w:vAlign w:val="center"/>
          </w:tcPr>
          <w:p w14:paraId="787A2C55">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188892F3">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三、涉及“两重点一重大”的生产装置、储存设施外部安全防护距离不符合国家标准要求。</w:t>
            </w:r>
          </w:p>
        </w:tc>
        <w:tc>
          <w:tcPr>
            <w:tcW w:w="1374" w:type="pct"/>
            <w:vAlign w:val="center"/>
          </w:tcPr>
          <w:p w14:paraId="74D3AEBF">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安全距离符合GB 50156-2021的要求</w:t>
            </w:r>
          </w:p>
        </w:tc>
        <w:tc>
          <w:tcPr>
            <w:tcW w:w="377" w:type="pct"/>
            <w:vAlign w:val="center"/>
          </w:tcPr>
          <w:p w14:paraId="56D0B4BB">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9DC6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5" w:hRule="atLeast"/>
          <w:jc w:val="center"/>
        </w:trPr>
        <w:tc>
          <w:tcPr>
            <w:tcW w:w="418" w:type="pct"/>
            <w:vAlign w:val="center"/>
          </w:tcPr>
          <w:p w14:paraId="640B12B1">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51DC6C9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四、涉及重点监管危险化工工艺的装置未实现自动化控制，系统未实现紧急停车功能，装备的自动化控制系统、紧急停车系统未投入使用。</w:t>
            </w:r>
          </w:p>
        </w:tc>
        <w:tc>
          <w:tcPr>
            <w:tcW w:w="1374" w:type="pct"/>
            <w:vAlign w:val="center"/>
          </w:tcPr>
          <w:p w14:paraId="2606FE2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不涉及重点监管危险化工工艺</w:t>
            </w:r>
          </w:p>
        </w:tc>
        <w:tc>
          <w:tcPr>
            <w:tcW w:w="377" w:type="pct"/>
            <w:vAlign w:val="center"/>
          </w:tcPr>
          <w:p w14:paraId="1EB90D59">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7BEE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362969D">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3CE5F0D9">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五、构成一级、二级重大危险源的危险化学品罐区未实现紧急切断功能；涉及毒性气体、液化气体、剧毒液体的一级、二级重大危险源的危险化学品罐区未配备独立的安全仪表系统。</w:t>
            </w:r>
          </w:p>
        </w:tc>
        <w:tc>
          <w:tcPr>
            <w:tcW w:w="1374" w:type="pct"/>
            <w:vAlign w:val="center"/>
          </w:tcPr>
          <w:p w14:paraId="5486A653">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不构成重大危险源</w:t>
            </w:r>
          </w:p>
        </w:tc>
        <w:tc>
          <w:tcPr>
            <w:tcW w:w="377" w:type="pct"/>
            <w:vAlign w:val="center"/>
          </w:tcPr>
          <w:p w14:paraId="666F500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F257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715" w:hRule="atLeast"/>
          <w:jc w:val="center"/>
        </w:trPr>
        <w:tc>
          <w:tcPr>
            <w:tcW w:w="418" w:type="pct"/>
            <w:vAlign w:val="center"/>
          </w:tcPr>
          <w:p w14:paraId="7999076B">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77D02D9E">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六、全压力式液化烃储罐未按国家标准设置注水措施。</w:t>
            </w:r>
          </w:p>
        </w:tc>
        <w:tc>
          <w:tcPr>
            <w:tcW w:w="1374" w:type="pct"/>
            <w:vAlign w:val="center"/>
          </w:tcPr>
          <w:p w14:paraId="554291A9">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不涉及液化烃储罐</w:t>
            </w:r>
          </w:p>
        </w:tc>
        <w:tc>
          <w:tcPr>
            <w:tcW w:w="377" w:type="pct"/>
            <w:vAlign w:val="center"/>
          </w:tcPr>
          <w:p w14:paraId="263C158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1224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A8C5E4B">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6355B0FE">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七、液化烃、液氨、液氯等易燃易爆、有毒有害液化气体的充装未使用万向管道充装系统。</w:t>
            </w:r>
          </w:p>
        </w:tc>
        <w:tc>
          <w:tcPr>
            <w:tcW w:w="1374" w:type="pct"/>
            <w:vAlign w:val="center"/>
          </w:tcPr>
          <w:p w14:paraId="39190794">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不涉及液化气体充装</w:t>
            </w:r>
          </w:p>
        </w:tc>
        <w:tc>
          <w:tcPr>
            <w:tcW w:w="377" w:type="pct"/>
            <w:vAlign w:val="center"/>
          </w:tcPr>
          <w:p w14:paraId="7EEA256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CD43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775F5D10">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67D73BCB">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八、光气、氯气等剧毒气体及硫化氢气体管道穿越除厂区</w:t>
            </w:r>
            <w:r>
              <w:rPr>
                <w:rFonts w:hint="eastAsia" w:ascii="Times New Roman" w:hAnsi="Times New Roman" w:eastAsia="宋体" w:cs="Calibri"/>
                <w:bCs w:val="0"/>
                <w:color w:val="auto"/>
                <w:kern w:val="2"/>
                <w:lang w:eastAsia="zh-CN"/>
              </w:rPr>
              <w:t>（</w:t>
            </w:r>
            <w:r>
              <w:rPr>
                <w:rFonts w:hint="eastAsia" w:ascii="Times New Roman" w:hAnsi="Times New Roman" w:eastAsia="宋体" w:cs="Calibri"/>
                <w:bCs w:val="0"/>
                <w:color w:val="auto"/>
                <w:kern w:val="2"/>
              </w:rPr>
              <w:t>包括化工园区、工业园区）外的公共区域。</w:t>
            </w:r>
          </w:p>
        </w:tc>
        <w:tc>
          <w:tcPr>
            <w:tcW w:w="1374" w:type="pct"/>
            <w:vAlign w:val="center"/>
          </w:tcPr>
          <w:p w14:paraId="21D87AFC">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不涉及剧毒气体及硫化氢气体管道</w:t>
            </w:r>
          </w:p>
        </w:tc>
        <w:tc>
          <w:tcPr>
            <w:tcW w:w="377" w:type="pct"/>
            <w:vAlign w:val="center"/>
          </w:tcPr>
          <w:p w14:paraId="72CF812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A2BD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0FB179FF">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279254A1">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九、地区架空电力线路穿越生产区且不符合国家标准要求。</w:t>
            </w:r>
          </w:p>
        </w:tc>
        <w:tc>
          <w:tcPr>
            <w:tcW w:w="1374" w:type="pct"/>
            <w:vAlign w:val="center"/>
          </w:tcPr>
          <w:p w14:paraId="08A294C3">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架空电力线从站外架空通过，未穿越生产区</w:t>
            </w:r>
          </w:p>
        </w:tc>
        <w:tc>
          <w:tcPr>
            <w:tcW w:w="377" w:type="pct"/>
            <w:vAlign w:val="center"/>
          </w:tcPr>
          <w:p w14:paraId="10FF5C3A">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2CEF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8A66EC8">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6A8C1A8A">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十、在役化工装置未经正规设计且未进行安全设计诊断。</w:t>
            </w:r>
          </w:p>
        </w:tc>
        <w:tc>
          <w:tcPr>
            <w:tcW w:w="1374" w:type="pct"/>
            <w:vAlign w:val="center"/>
          </w:tcPr>
          <w:p w14:paraId="63A9D533">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海湾工程有限公司（石化甲级）进行安全设计诊断</w:t>
            </w:r>
          </w:p>
        </w:tc>
        <w:tc>
          <w:tcPr>
            <w:tcW w:w="377" w:type="pct"/>
            <w:vAlign w:val="center"/>
          </w:tcPr>
          <w:p w14:paraId="688091F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04A6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BBBE3B0">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1599246E">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十一、使用淘汰落后安全技术工艺、设备目录列出的工艺、设备。</w:t>
            </w:r>
          </w:p>
        </w:tc>
        <w:tc>
          <w:tcPr>
            <w:tcW w:w="1374" w:type="pct"/>
            <w:vAlign w:val="center"/>
          </w:tcPr>
          <w:p w14:paraId="39DDD99B">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未使用淘汰落后安全技术工艺、设备目录列出的工艺、设备</w:t>
            </w:r>
          </w:p>
        </w:tc>
        <w:tc>
          <w:tcPr>
            <w:tcW w:w="377" w:type="pct"/>
            <w:vAlign w:val="center"/>
          </w:tcPr>
          <w:p w14:paraId="5DDC8408">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5780A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66124E6">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3D10D064">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十二、涉及可燃和有毒有害气体泄漏的场所未按国家标准设置检测报警装置，爆炸危险场所未按国家标准安装使用防爆电气设备。</w:t>
            </w:r>
          </w:p>
        </w:tc>
        <w:tc>
          <w:tcPr>
            <w:tcW w:w="1374" w:type="pct"/>
            <w:vAlign w:val="center"/>
          </w:tcPr>
          <w:p w14:paraId="6CA8903C">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按国家标准设置检测报警装置，</w:t>
            </w:r>
            <w:r>
              <w:rPr>
                <w:rFonts w:ascii="Times New Roman" w:hAnsi="Times New Roman" w:eastAsia="宋体" w:cs="Calibri"/>
                <w:bCs w:val="0"/>
                <w:color w:val="auto"/>
                <w:kern w:val="2"/>
              </w:rPr>
              <w:t>按照国家标准安装使用防爆电气设备</w:t>
            </w:r>
          </w:p>
        </w:tc>
        <w:tc>
          <w:tcPr>
            <w:tcW w:w="377" w:type="pct"/>
            <w:vAlign w:val="center"/>
          </w:tcPr>
          <w:p w14:paraId="420DFF12">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0A13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627765D">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6648D32A">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十三、控制室或机柜间面向具有火灾、爆炸危险性装置一侧不满足国家标准关于防火防爆的要求。</w:t>
            </w:r>
          </w:p>
        </w:tc>
        <w:tc>
          <w:tcPr>
            <w:tcW w:w="1374" w:type="pct"/>
            <w:vAlign w:val="center"/>
          </w:tcPr>
          <w:p w14:paraId="46A7CA11">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不涉及控制室或机柜间</w:t>
            </w:r>
          </w:p>
        </w:tc>
        <w:tc>
          <w:tcPr>
            <w:tcW w:w="377" w:type="pct"/>
            <w:vAlign w:val="center"/>
          </w:tcPr>
          <w:p w14:paraId="34B0023F">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0B3D0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66BD3A5">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1356FE1F">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十四、化工生产装置未按国家标准要求设置双重电源供电，自动化控制系统未设置不间断电源。</w:t>
            </w:r>
          </w:p>
        </w:tc>
        <w:tc>
          <w:tcPr>
            <w:tcW w:w="1374" w:type="pct"/>
            <w:vAlign w:val="center"/>
          </w:tcPr>
          <w:p w14:paraId="5B004087">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lang w:val="en-US" w:eastAsia="zh-CN"/>
              </w:rPr>
              <w:t>经整改后</w:t>
            </w:r>
            <w:r>
              <w:rPr>
                <w:rFonts w:hint="eastAsia" w:ascii="Times New Roman" w:hAnsi="Times New Roman" w:eastAsia="宋体" w:cs="Calibri"/>
                <w:bCs w:val="0"/>
                <w:color w:val="auto"/>
                <w:kern w:val="2"/>
              </w:rPr>
              <w:t>配备UPS电源</w:t>
            </w:r>
          </w:p>
        </w:tc>
        <w:tc>
          <w:tcPr>
            <w:tcW w:w="377" w:type="pct"/>
            <w:vAlign w:val="center"/>
          </w:tcPr>
          <w:p w14:paraId="547930F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4D818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778E946">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18080142">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十五、安全阀、爆破片等安全附件未正常投用。</w:t>
            </w:r>
          </w:p>
        </w:tc>
        <w:tc>
          <w:tcPr>
            <w:tcW w:w="1374" w:type="pct"/>
            <w:vAlign w:val="center"/>
          </w:tcPr>
          <w:p w14:paraId="2346A0DC">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不涉及使用安全阀、爆破片等安全附件。通气管上阻火器正常投用。</w:t>
            </w:r>
          </w:p>
        </w:tc>
        <w:tc>
          <w:tcPr>
            <w:tcW w:w="377" w:type="pct"/>
            <w:vAlign w:val="center"/>
          </w:tcPr>
          <w:p w14:paraId="01D3479C">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1CE6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6DD6A07F">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0742A0AD">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十六、未建立与岗位相匹配的全员安全生产责任制或者未制定实施生产安全事故隐患排查治理制度。</w:t>
            </w:r>
          </w:p>
        </w:tc>
        <w:tc>
          <w:tcPr>
            <w:tcW w:w="1374" w:type="pct"/>
            <w:vAlign w:val="center"/>
          </w:tcPr>
          <w:p w14:paraId="001978D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建立了与岗位相匹配的全员安全生产责任制，</w:t>
            </w:r>
            <w:r>
              <w:rPr>
                <w:rFonts w:hint="eastAsia" w:ascii="Times New Roman" w:hAnsi="Times New Roman" w:eastAsia="宋体" w:cs="Calibri"/>
                <w:bCs w:val="0"/>
                <w:color w:val="auto"/>
                <w:kern w:val="2"/>
                <w:lang w:eastAsia="zh-CN"/>
              </w:rPr>
              <w:t>制定</w:t>
            </w:r>
            <w:r>
              <w:rPr>
                <w:rFonts w:hint="eastAsia" w:ascii="Times New Roman" w:hAnsi="Times New Roman" w:eastAsia="宋体" w:cs="Calibri"/>
                <w:bCs w:val="0"/>
                <w:color w:val="auto"/>
                <w:kern w:val="2"/>
              </w:rPr>
              <w:t>并有效实施生产安全事故隐患排查治理制度。</w:t>
            </w:r>
          </w:p>
        </w:tc>
        <w:tc>
          <w:tcPr>
            <w:tcW w:w="377" w:type="pct"/>
            <w:vAlign w:val="center"/>
          </w:tcPr>
          <w:p w14:paraId="36C4C774">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25793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jc w:val="center"/>
        </w:trPr>
        <w:tc>
          <w:tcPr>
            <w:tcW w:w="418" w:type="pct"/>
            <w:vAlign w:val="center"/>
          </w:tcPr>
          <w:p w14:paraId="63CFEE88">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443F7BF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十七、未制定操作规程和工艺控制指标。</w:t>
            </w:r>
          </w:p>
        </w:tc>
        <w:tc>
          <w:tcPr>
            <w:tcW w:w="1374" w:type="pct"/>
            <w:vAlign w:val="center"/>
          </w:tcPr>
          <w:p w14:paraId="1A0672E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制定了操作规程</w:t>
            </w:r>
          </w:p>
        </w:tc>
        <w:tc>
          <w:tcPr>
            <w:tcW w:w="377" w:type="pct"/>
            <w:vAlign w:val="center"/>
          </w:tcPr>
          <w:p w14:paraId="17BD5E91">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65E46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5" w:hRule="atLeast"/>
          <w:jc w:val="center"/>
        </w:trPr>
        <w:tc>
          <w:tcPr>
            <w:tcW w:w="418" w:type="pct"/>
            <w:vAlign w:val="center"/>
          </w:tcPr>
          <w:p w14:paraId="3428B970">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350BE93C">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十八、未按照国家标准制定动火、进入受限空间等特殊作业管理制度，或者制度未有效执行。</w:t>
            </w:r>
          </w:p>
        </w:tc>
        <w:tc>
          <w:tcPr>
            <w:tcW w:w="1374" w:type="pct"/>
            <w:vAlign w:val="center"/>
          </w:tcPr>
          <w:p w14:paraId="242D7216">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制定了特殊危险作业管理制度并有效执行。</w:t>
            </w:r>
          </w:p>
        </w:tc>
        <w:tc>
          <w:tcPr>
            <w:tcW w:w="377" w:type="pct"/>
            <w:vAlign w:val="center"/>
          </w:tcPr>
          <w:p w14:paraId="3260B4F4">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1886D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15" w:hRule="atLeast"/>
          <w:jc w:val="center"/>
        </w:trPr>
        <w:tc>
          <w:tcPr>
            <w:tcW w:w="418" w:type="pct"/>
            <w:vAlign w:val="center"/>
          </w:tcPr>
          <w:p w14:paraId="15B633D5">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7C4A3B86">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十九、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1374" w:type="pct"/>
            <w:vAlign w:val="center"/>
          </w:tcPr>
          <w:p w14:paraId="10447317">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不涉及生产工艺过程</w:t>
            </w:r>
          </w:p>
        </w:tc>
        <w:tc>
          <w:tcPr>
            <w:tcW w:w="377" w:type="pct"/>
            <w:vAlign w:val="center"/>
          </w:tcPr>
          <w:p w14:paraId="70D20F61">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r w14:paraId="32AAE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CAD0300">
            <w:pPr>
              <w:keepNext w:val="0"/>
              <w:keepLines w:val="0"/>
              <w:pageBreakBefore w:val="0"/>
              <w:widowControl w:val="0"/>
              <w:numPr>
                <w:ilvl w:val="0"/>
                <w:numId w:val="12"/>
              </w:numPr>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p>
        </w:tc>
        <w:tc>
          <w:tcPr>
            <w:tcW w:w="2830" w:type="pct"/>
            <w:vAlign w:val="center"/>
          </w:tcPr>
          <w:p w14:paraId="798852F1">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二十、未按国家标准分区分类储存危险化学品，超量、超品种储存危险化学品，相互禁配物质混放混存。</w:t>
            </w:r>
          </w:p>
        </w:tc>
        <w:tc>
          <w:tcPr>
            <w:tcW w:w="1374" w:type="pct"/>
            <w:vAlign w:val="center"/>
          </w:tcPr>
          <w:p w14:paraId="053AA0C9">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现场未发现超量、超品种储存危险化学品，相互禁配物质混放混存</w:t>
            </w:r>
          </w:p>
        </w:tc>
        <w:tc>
          <w:tcPr>
            <w:tcW w:w="377" w:type="pct"/>
            <w:vAlign w:val="center"/>
          </w:tcPr>
          <w:p w14:paraId="686DA756">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tc>
      </w:tr>
    </w:tbl>
    <w:p w14:paraId="7CDAF34F">
      <w:pPr>
        <w:spacing w:line="600" w:lineRule="exact"/>
        <w:ind w:firstLine="560" w:firstLineChars="20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评价结论：</w:t>
      </w:r>
      <w:r>
        <w:rPr>
          <w:rFonts w:hint="eastAsia" w:ascii="Times New Roman" w:hAnsi="Times New Roman" w:eastAsia="宋体" w:cs="Calibri"/>
          <w:bCs w:val="0"/>
          <w:color w:val="auto"/>
          <w:kern w:val="2"/>
          <w:sz w:val="28"/>
          <w:szCs w:val="28"/>
        </w:rPr>
        <w:t>根据</w:t>
      </w:r>
      <w:r>
        <w:rPr>
          <w:rFonts w:ascii="Times New Roman" w:hAnsi="Times New Roman" w:eastAsia="宋体" w:cs="Calibri"/>
          <w:bCs w:val="0"/>
          <w:color w:val="auto"/>
          <w:kern w:val="2"/>
          <w:sz w:val="28"/>
          <w:szCs w:val="28"/>
        </w:rPr>
        <w:t>上表所述，</w:t>
      </w:r>
      <w:r>
        <w:rPr>
          <w:rFonts w:hint="eastAsia" w:ascii="Times New Roman" w:hAnsi="Times New Roman" w:eastAsia="宋体" w:cs="Calibri"/>
          <w:bCs w:val="0"/>
          <w:color w:val="auto"/>
          <w:kern w:val="2"/>
          <w:sz w:val="28"/>
          <w:szCs w:val="28"/>
        </w:rPr>
        <w:t>该加油站未发现重大隐患</w:t>
      </w:r>
      <w:r>
        <w:rPr>
          <w:rFonts w:ascii="Times New Roman" w:hAnsi="Times New Roman" w:eastAsia="宋体" w:cs="Calibri"/>
          <w:bCs w:val="0"/>
          <w:color w:val="auto"/>
          <w:kern w:val="2"/>
          <w:sz w:val="28"/>
          <w:szCs w:val="28"/>
        </w:rPr>
        <w:t>。</w:t>
      </w:r>
    </w:p>
    <w:p w14:paraId="68B07015">
      <w:pPr>
        <w:keepNext/>
        <w:keepLines/>
        <w:widowControl w:val="0"/>
        <w:spacing w:line="600" w:lineRule="exact"/>
        <w:jc w:val="center"/>
        <w:outlineLvl w:val="1"/>
        <w:rPr>
          <w:rFonts w:ascii="Times New Roman" w:hAnsi="Times New Roman" w:eastAsia="宋体" w:cs="Times New Roman"/>
          <w:b/>
          <w:bCs/>
          <w:color w:val="auto"/>
          <w:kern w:val="0"/>
          <w:sz w:val="30"/>
          <w:szCs w:val="30"/>
          <w:lang w:val="en-US" w:eastAsia="zh-CN" w:bidi="ar-SA"/>
        </w:rPr>
      </w:pPr>
      <w:bookmarkStart w:id="195" w:name="_Toc14134"/>
      <w:bookmarkStart w:id="196" w:name="_Toc32166"/>
      <w:bookmarkStart w:id="197" w:name="_Toc92712599"/>
      <w:bookmarkStart w:id="198" w:name="_Toc20583"/>
      <w:r>
        <w:rPr>
          <w:rFonts w:hint="eastAsia" w:ascii="Times New Roman" w:hAnsi="Times New Roman" w:eastAsia="宋体" w:cs="Times New Roman"/>
          <w:b/>
          <w:bCs/>
          <w:color w:val="auto"/>
          <w:kern w:val="0"/>
          <w:sz w:val="30"/>
          <w:szCs w:val="30"/>
          <w:lang w:val="en-US" w:eastAsia="zh-CN" w:bidi="ar-SA"/>
        </w:rPr>
        <w:t>5.13 安全分类整治评价</w:t>
      </w:r>
      <w:bookmarkEnd w:id="195"/>
      <w:bookmarkEnd w:id="196"/>
      <w:bookmarkEnd w:id="197"/>
      <w:bookmarkEnd w:id="198"/>
    </w:p>
    <w:p w14:paraId="6A2A0C27">
      <w:pPr>
        <w:spacing w:line="600" w:lineRule="exact"/>
        <w:ind w:firstLine="57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根据《应急管理部关于印发危险化学品企业安全分类整治目录（2020年）的通知》（应急〔2020〕84号）内危险化学品企业安全分类整治目录（2020年）编制检查表，对该加油站的安全分类整治情况进行评价，评价结果见下表5.13-1。</w:t>
      </w:r>
    </w:p>
    <w:p w14:paraId="008FF84D">
      <w:pPr>
        <w:spacing w:line="60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w:t>
      </w:r>
      <w:r>
        <w:rPr>
          <w:rFonts w:hint="eastAsia" w:ascii="Times New Roman" w:hAnsi="Times New Roman" w:eastAsia="宋体" w:cs="Calibri"/>
          <w:bCs w:val="0"/>
          <w:color w:val="auto"/>
          <w:kern w:val="2"/>
          <w:sz w:val="28"/>
          <w:szCs w:val="28"/>
        </w:rPr>
        <w:t xml:space="preserve">5.13-1 </w:t>
      </w:r>
      <w:r>
        <w:rPr>
          <w:rFonts w:ascii="Times New Roman" w:hAnsi="Times New Roman" w:eastAsia="宋体" w:cs="Calibri"/>
          <w:bCs w:val="0"/>
          <w:color w:val="auto"/>
          <w:kern w:val="2"/>
          <w:sz w:val="28"/>
          <w:szCs w:val="28"/>
        </w:rPr>
        <w:t xml:space="preserve"> </w:t>
      </w:r>
      <w:r>
        <w:rPr>
          <w:rFonts w:hint="eastAsia" w:ascii="Times New Roman" w:hAnsi="Times New Roman" w:eastAsia="宋体" w:cs="Calibri"/>
          <w:bCs w:val="0"/>
          <w:color w:val="auto"/>
          <w:kern w:val="2"/>
          <w:sz w:val="28"/>
          <w:szCs w:val="28"/>
        </w:rPr>
        <w:t>危险化学品企业安全分类整治</w:t>
      </w:r>
      <w:r>
        <w:rPr>
          <w:rFonts w:ascii="Times New Roman" w:hAnsi="Times New Roman" w:eastAsia="宋体" w:cs="Calibri"/>
          <w:bCs w:val="0"/>
          <w:color w:val="auto"/>
          <w:kern w:val="2"/>
          <w:sz w:val="28"/>
          <w:szCs w:val="28"/>
        </w:rPr>
        <w:t>检查表</w:t>
      </w:r>
    </w:p>
    <w:tbl>
      <w:tblPr>
        <w:tblStyle w:val="7"/>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32"/>
        <w:gridCol w:w="2448"/>
        <w:gridCol w:w="2595"/>
        <w:gridCol w:w="1645"/>
        <w:gridCol w:w="1335"/>
        <w:gridCol w:w="726"/>
      </w:tblGrid>
      <w:tr w14:paraId="76183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5DCA699">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1319" w:type="pct"/>
            <w:vAlign w:val="center"/>
          </w:tcPr>
          <w:p w14:paraId="741CDBA3">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分类内容</w:t>
            </w:r>
          </w:p>
        </w:tc>
        <w:tc>
          <w:tcPr>
            <w:tcW w:w="1398" w:type="pct"/>
            <w:vAlign w:val="center"/>
          </w:tcPr>
          <w:p w14:paraId="358A24B9">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违法依据</w:t>
            </w:r>
          </w:p>
        </w:tc>
        <w:tc>
          <w:tcPr>
            <w:tcW w:w="886" w:type="pct"/>
            <w:vAlign w:val="center"/>
          </w:tcPr>
          <w:p w14:paraId="35FA6CF2">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处理依据</w:t>
            </w:r>
          </w:p>
        </w:tc>
        <w:tc>
          <w:tcPr>
            <w:tcW w:w="719" w:type="pct"/>
            <w:vAlign w:val="center"/>
          </w:tcPr>
          <w:p w14:paraId="4672CCBC">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检查</w:t>
            </w:r>
            <w:r>
              <w:rPr>
                <w:rFonts w:hint="eastAsia" w:ascii="Times New Roman" w:hAnsi="Times New Roman" w:eastAsia="宋体" w:cs="Calibri"/>
                <w:b/>
                <w:bCs w:val="0"/>
                <w:color w:val="auto"/>
                <w:kern w:val="2"/>
              </w:rPr>
              <w:t>记录</w:t>
            </w:r>
          </w:p>
        </w:tc>
        <w:tc>
          <w:tcPr>
            <w:tcW w:w="388" w:type="pct"/>
            <w:vAlign w:val="center"/>
          </w:tcPr>
          <w:p w14:paraId="08ED62A6">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检查</w:t>
            </w:r>
          </w:p>
          <w:p w14:paraId="3A711164">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结果</w:t>
            </w:r>
          </w:p>
        </w:tc>
      </w:tr>
      <w:tr w14:paraId="2A11B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CB71A6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
                <w:bCs w:val="0"/>
                <w:color w:val="auto"/>
                <w:kern w:val="2"/>
              </w:rPr>
              <w:t>一、暂扣或吊销安全生产许可证类</w:t>
            </w:r>
          </w:p>
        </w:tc>
      </w:tr>
      <w:tr w14:paraId="31D6F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1B36564">
            <w:pPr>
              <w:keepNext w:val="0"/>
              <w:keepLines w:val="0"/>
              <w:pageBreakBefore w:val="0"/>
              <w:widowControl w:val="0"/>
              <w:numPr>
                <w:ilvl w:val="0"/>
                <w:numId w:val="13"/>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F4CB70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spacing w:val="-11"/>
                <w:kern w:val="2"/>
                <w:sz w:val="21"/>
              </w:rPr>
              <w:t>新建、改建、扩建生产危险化学品的建设项目未经具备国家规定资质的单位设计、制造和施工建设；涉及危险化工工艺、重点监管危险化学品的危险化学品生产装置，未经具有综合甲级资质或者化工石化专业甲级设计资质的化工石化设计单位设计。</w:t>
            </w:r>
          </w:p>
        </w:tc>
        <w:tc>
          <w:tcPr>
            <w:tcW w:w="1398" w:type="pct"/>
            <w:vAlign w:val="center"/>
          </w:tcPr>
          <w:p w14:paraId="1270CCD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《危险化学品生产企业安全生产许可证实施办法》第九条第一款。</w:t>
            </w:r>
          </w:p>
        </w:tc>
        <w:tc>
          <w:tcPr>
            <w:tcW w:w="886" w:type="pct"/>
            <w:vAlign w:val="center"/>
          </w:tcPr>
          <w:p w14:paraId="6D6588B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17ECE64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海湾工程有限公司（石化甲级）进行安全设计诊断</w:t>
            </w:r>
          </w:p>
        </w:tc>
        <w:tc>
          <w:tcPr>
            <w:tcW w:w="388" w:type="pct"/>
            <w:vAlign w:val="center"/>
          </w:tcPr>
          <w:p w14:paraId="75A05885">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18A772EE">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24199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0DCA427">
            <w:pPr>
              <w:keepNext w:val="0"/>
              <w:keepLines w:val="0"/>
              <w:pageBreakBefore w:val="0"/>
              <w:widowControl w:val="0"/>
              <w:numPr>
                <w:ilvl w:val="0"/>
                <w:numId w:val="13"/>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7E0C331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使用国家明令淘汰落后安全技术工艺、设备目录列出的工艺、设备。</w:t>
            </w:r>
          </w:p>
        </w:tc>
        <w:tc>
          <w:tcPr>
            <w:tcW w:w="1398" w:type="pct"/>
            <w:vAlign w:val="center"/>
          </w:tcPr>
          <w:p w14:paraId="6FE85BC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《安全生产法》第三十五条；</w:t>
            </w:r>
          </w:p>
          <w:p w14:paraId="3C64F86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《危险化学品生产企业安全生产许可证实施办法》第九条第二款；</w:t>
            </w:r>
          </w:p>
          <w:p w14:paraId="1A188D7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《化工和危险化学品生产经营单位重大生产安全事故隐患判定标准（试行）》第十一条。</w:t>
            </w:r>
          </w:p>
        </w:tc>
        <w:tc>
          <w:tcPr>
            <w:tcW w:w="886" w:type="pct"/>
            <w:vAlign w:val="center"/>
          </w:tcPr>
          <w:p w14:paraId="26AEC82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《安全生产许可证条例》第十四条第二款；</w:t>
            </w:r>
          </w:p>
          <w:p w14:paraId="6D20D07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051B759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未使用</w:t>
            </w:r>
            <w:r>
              <w:rPr>
                <w:rFonts w:ascii="Times New Roman" w:hAnsi="Times New Roman" w:eastAsia="宋体" w:cs="Calibri"/>
                <w:bCs w:val="0"/>
                <w:color w:val="auto"/>
                <w:kern w:val="2"/>
              </w:rPr>
              <w:t>国家明令淘汰落后安全技术工艺、设备目录列出的工艺、设备</w:t>
            </w:r>
          </w:p>
        </w:tc>
        <w:tc>
          <w:tcPr>
            <w:tcW w:w="388" w:type="pct"/>
            <w:vAlign w:val="center"/>
          </w:tcPr>
          <w:p w14:paraId="21070B2C">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03CBABBB">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7C0ED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F23E88">
            <w:pPr>
              <w:keepNext w:val="0"/>
              <w:keepLines w:val="0"/>
              <w:pageBreakBefore w:val="0"/>
              <w:widowControl w:val="0"/>
              <w:numPr>
                <w:ilvl w:val="0"/>
                <w:numId w:val="13"/>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660D9F6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涉及“两重点一重大”的生产装置、储存设施外部安全防护距离不符合国家标准要求，且无法整改的。</w:t>
            </w:r>
          </w:p>
        </w:tc>
        <w:tc>
          <w:tcPr>
            <w:tcW w:w="1398" w:type="pct"/>
            <w:vAlign w:val="center"/>
          </w:tcPr>
          <w:p w14:paraId="21E6CCA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《安全生产法》第十七条；</w:t>
            </w:r>
          </w:p>
          <w:p w14:paraId="108C5B2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《危险化学品生产企业安全生产许可证实施办法》第八条第二款、第九条第五款；</w:t>
            </w:r>
          </w:p>
          <w:p w14:paraId="37765BD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《化工和危险化学品生产经营单位重大生产安全事故隐患判定标准（试行）》第三条。</w:t>
            </w:r>
          </w:p>
        </w:tc>
        <w:tc>
          <w:tcPr>
            <w:tcW w:w="886" w:type="pct"/>
            <w:vAlign w:val="center"/>
          </w:tcPr>
          <w:p w14:paraId="6D9D6F5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《安全生产许可证条例》第十四条第二款；</w:t>
            </w:r>
          </w:p>
          <w:p w14:paraId="3D00DDD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03A1386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安全距离符合</w:t>
            </w:r>
            <w:r>
              <w:rPr>
                <w:rFonts w:hint="eastAsia" w:ascii="Times New Roman" w:hAnsi="Times New Roman" w:eastAsia="宋体" w:cs="Calibri"/>
                <w:bCs w:val="0"/>
                <w:color w:val="auto"/>
                <w:kern w:val="2"/>
              </w:rPr>
              <w:t>GB 50156-2021的</w:t>
            </w:r>
            <w:r>
              <w:rPr>
                <w:rFonts w:ascii="Times New Roman" w:hAnsi="Times New Roman" w:eastAsia="宋体" w:cs="Calibri"/>
                <w:bCs w:val="0"/>
                <w:color w:val="auto"/>
                <w:kern w:val="2"/>
              </w:rPr>
              <w:t>要求</w:t>
            </w:r>
          </w:p>
        </w:tc>
        <w:tc>
          <w:tcPr>
            <w:tcW w:w="388" w:type="pct"/>
            <w:vAlign w:val="center"/>
          </w:tcPr>
          <w:p w14:paraId="55939777">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02B72C79">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1C58B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2A108D5">
            <w:pPr>
              <w:keepNext w:val="0"/>
              <w:keepLines w:val="0"/>
              <w:pageBreakBefore w:val="0"/>
              <w:widowControl w:val="0"/>
              <w:numPr>
                <w:ilvl w:val="0"/>
                <w:numId w:val="13"/>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140EF5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涉及重点监管危险化工工艺的装置未装设自动化控制系统。</w:t>
            </w:r>
          </w:p>
        </w:tc>
        <w:tc>
          <w:tcPr>
            <w:tcW w:w="1398" w:type="pct"/>
            <w:vAlign w:val="center"/>
          </w:tcPr>
          <w:p w14:paraId="56D8B4C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《危险化学品生产企业安全生产许可证实施办法》第九条第三款；</w:t>
            </w:r>
          </w:p>
          <w:p w14:paraId="7B09CB3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《化工和危险化学品生产经营单位重大生产安全事故隐患判定标准（试行）》第四条。</w:t>
            </w:r>
          </w:p>
        </w:tc>
        <w:tc>
          <w:tcPr>
            <w:tcW w:w="886" w:type="pct"/>
            <w:vAlign w:val="center"/>
          </w:tcPr>
          <w:p w14:paraId="5D970AC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《安全生产许可证条例》第十四条第二款；</w:t>
            </w:r>
          </w:p>
          <w:p w14:paraId="2466DF7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30B16B2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重点监管危险化工工艺</w:t>
            </w:r>
          </w:p>
        </w:tc>
        <w:tc>
          <w:tcPr>
            <w:tcW w:w="388" w:type="pct"/>
            <w:vAlign w:val="center"/>
          </w:tcPr>
          <w:p w14:paraId="0F5C544F">
            <w:pPr>
              <w:keepNext w:val="0"/>
              <w:keepLines w:val="0"/>
              <w:pageBreakBefore w:val="0"/>
              <w:widowControl w:val="0"/>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242C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298D4F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
                <w:bCs w:val="0"/>
                <w:color w:val="auto"/>
                <w:kern w:val="2"/>
              </w:rPr>
              <w:t>二、停产停业整顿或暂时停产停业、停止使用相关设施设备类</w:t>
            </w:r>
          </w:p>
        </w:tc>
      </w:tr>
      <w:tr w14:paraId="2FA44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8312E47">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648BD17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未取得安全生产许可证、安全使用许可证（试生产期间除外）、危险化学品经营许可证或超许可范围从事危险化学品生产经营活动。</w:t>
            </w:r>
          </w:p>
        </w:tc>
        <w:tc>
          <w:tcPr>
            <w:tcW w:w="1398" w:type="pct"/>
            <w:vAlign w:val="center"/>
          </w:tcPr>
          <w:p w14:paraId="6EF80E3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《危险化学品安全管理条例》第十四条、第二十九条、第三十三条。</w:t>
            </w:r>
          </w:p>
        </w:tc>
        <w:tc>
          <w:tcPr>
            <w:tcW w:w="886" w:type="pct"/>
            <w:vAlign w:val="center"/>
          </w:tcPr>
          <w:p w14:paraId="371B5FC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《危险化学品安全管理条例》第七十七条；</w:t>
            </w:r>
          </w:p>
          <w:p w14:paraId="78F1354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《危险化学品生产企业安全生产许可证实施办法》第四十五条；</w:t>
            </w:r>
          </w:p>
          <w:p w14:paraId="2F2526E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《危险化学品安全使用许可证管理办法》第三十七条。</w:t>
            </w:r>
          </w:p>
        </w:tc>
        <w:tc>
          <w:tcPr>
            <w:tcW w:w="719" w:type="pct"/>
            <w:vAlign w:val="center"/>
          </w:tcPr>
          <w:p w14:paraId="0119647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取得</w:t>
            </w:r>
            <w:r>
              <w:rPr>
                <w:rFonts w:ascii="Times New Roman" w:hAnsi="Times New Roman" w:eastAsia="宋体" w:cs="Calibri"/>
                <w:bCs w:val="0"/>
                <w:color w:val="auto"/>
                <w:kern w:val="2"/>
              </w:rPr>
              <w:t>危险化学品经营许可证</w:t>
            </w:r>
            <w:r>
              <w:rPr>
                <w:rFonts w:hint="eastAsia" w:ascii="Times New Roman" w:hAnsi="Times New Roman" w:eastAsia="宋体" w:cs="Calibri"/>
                <w:bCs w:val="0"/>
                <w:color w:val="auto"/>
                <w:kern w:val="2"/>
              </w:rPr>
              <w:t>，未超出</w:t>
            </w:r>
            <w:r>
              <w:rPr>
                <w:rFonts w:ascii="Times New Roman" w:hAnsi="Times New Roman" w:eastAsia="宋体" w:cs="Calibri"/>
                <w:bCs w:val="0"/>
                <w:color w:val="auto"/>
                <w:kern w:val="2"/>
              </w:rPr>
              <w:t>许可范围</w:t>
            </w:r>
          </w:p>
        </w:tc>
        <w:tc>
          <w:tcPr>
            <w:tcW w:w="388" w:type="pct"/>
            <w:vAlign w:val="center"/>
          </w:tcPr>
          <w:p w14:paraId="6D94CDA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1E40E76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013DF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75A6903">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A1E781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spacing w:val="-11"/>
                <w:kern w:val="2"/>
                <w:sz w:val="21"/>
              </w:rPr>
            </w:pPr>
            <w:r>
              <w:rPr>
                <w:rFonts w:ascii="Times New Roman" w:hAnsi="Times New Roman" w:eastAsia="宋体" w:cs="Calibri"/>
                <w:bCs w:val="0"/>
                <w:color w:val="auto"/>
                <w:spacing w:val="-11"/>
                <w:kern w:val="2"/>
                <w:sz w:val="21"/>
              </w:rPr>
              <w:t>新开发的危险化学品生产工艺未经小试、中试、工业化试验直接进行工业化生产，且重大事故隐患排除前或者排除过程中无法保证安全的；国内首次使用的化工工艺，未经过省级人民政府有关部门组织的安全可靠性论证，且重大事故隐患排除前或者排除过程中无法保证安全的。</w:t>
            </w:r>
          </w:p>
        </w:tc>
        <w:tc>
          <w:tcPr>
            <w:tcW w:w="1398" w:type="pct"/>
            <w:vAlign w:val="center"/>
          </w:tcPr>
          <w:p w14:paraId="392DD94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5A7D717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《危险化学品生产企业安全生产许可证实施办法》第九条第二款；</w:t>
            </w:r>
          </w:p>
          <w:p w14:paraId="43AA33E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 xml:space="preserve">《化工和危险化学品生产经营单位重大生产安全事故隐患判定标准（试行）》第十九条。 </w:t>
            </w:r>
          </w:p>
        </w:tc>
        <w:tc>
          <w:tcPr>
            <w:tcW w:w="886" w:type="pct"/>
            <w:vAlign w:val="center"/>
          </w:tcPr>
          <w:p w14:paraId="7D4D895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5A4D0AD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不涉及生产工艺过程</w:t>
            </w:r>
          </w:p>
        </w:tc>
        <w:tc>
          <w:tcPr>
            <w:tcW w:w="388" w:type="pct"/>
            <w:vAlign w:val="center"/>
          </w:tcPr>
          <w:p w14:paraId="4340143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688DD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F0AD01">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118F27E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spacing w:val="-11"/>
                <w:kern w:val="2"/>
                <w:sz w:val="21"/>
              </w:rPr>
            </w:pPr>
            <w:r>
              <w:rPr>
                <w:rFonts w:ascii="Times New Roman" w:hAnsi="Times New Roman" w:eastAsia="宋体" w:cs="Calibri"/>
                <w:bCs w:val="0"/>
                <w:color w:val="auto"/>
                <w:spacing w:val="-11"/>
                <w:kern w:val="2"/>
                <w:sz w:val="21"/>
              </w:rPr>
              <w:t>一级或者二级重大危险源不具备紧急停车功能，对重大危险源中的毒性气体、剧毒液体和易燃气体等重点设施未设置紧急切断装置，涉及毒性气体、液化气体、剧毒液体的一级、二级重大危险源未配备独立的安全仪表系统，且重大事故隐患排除前或者排除过程中无法保证安全的。</w:t>
            </w:r>
          </w:p>
        </w:tc>
        <w:tc>
          <w:tcPr>
            <w:tcW w:w="1398" w:type="pct"/>
            <w:vAlign w:val="center"/>
          </w:tcPr>
          <w:p w14:paraId="0A90985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5A8C916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《危险化学品重大危险源监督管理暂行规定》第十三条；</w:t>
            </w:r>
          </w:p>
          <w:p w14:paraId="7A38989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《化工和危险化学品生产经营单位重大生产安全事故隐患判定标准（试行）》第五条。</w:t>
            </w:r>
          </w:p>
        </w:tc>
        <w:tc>
          <w:tcPr>
            <w:tcW w:w="886" w:type="pct"/>
            <w:vAlign w:val="center"/>
          </w:tcPr>
          <w:p w14:paraId="2011CC6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1A23725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不涉及重大危险源</w:t>
            </w:r>
          </w:p>
        </w:tc>
        <w:tc>
          <w:tcPr>
            <w:tcW w:w="388" w:type="pct"/>
            <w:vAlign w:val="center"/>
          </w:tcPr>
          <w:p w14:paraId="2A70DDC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32E03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1BD9F0AE">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224C97E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重点监管危险化工工艺的装置未实现自动化控制，系统未实现紧急停车功能，且重大事故隐患排除前或者排除过程中无法保证安全的；装备的自动化控制系统、紧急停车系统未投入使用，且重大事故隐患排除前或者排除过程中无法保证安全的。</w:t>
            </w:r>
          </w:p>
        </w:tc>
        <w:tc>
          <w:tcPr>
            <w:tcW w:w="1398" w:type="pct"/>
            <w:vAlign w:val="center"/>
          </w:tcPr>
          <w:p w14:paraId="5A149A7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3C194C7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《危险化学品生产企业安全生产许可证实施办法》第九条第三款；</w:t>
            </w:r>
          </w:p>
          <w:p w14:paraId="1A3AD92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《危险化学品安全使用许可证管理办法》第七条第三款；</w:t>
            </w:r>
          </w:p>
          <w:p w14:paraId="693AAA3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《化工和危险化学品生产经营单位重大生产安全事故隐患判定标准（试行）》第四条。</w:t>
            </w:r>
          </w:p>
        </w:tc>
        <w:tc>
          <w:tcPr>
            <w:tcW w:w="886" w:type="pct"/>
            <w:vAlign w:val="center"/>
          </w:tcPr>
          <w:p w14:paraId="1B284F5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0585ACD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p w14:paraId="6F7DB94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p>
        </w:tc>
        <w:tc>
          <w:tcPr>
            <w:tcW w:w="719" w:type="pct"/>
            <w:vAlign w:val="center"/>
          </w:tcPr>
          <w:p w14:paraId="6A495BA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重点监管危险化工工艺</w:t>
            </w:r>
          </w:p>
        </w:tc>
        <w:tc>
          <w:tcPr>
            <w:tcW w:w="388" w:type="pct"/>
            <w:vAlign w:val="center"/>
          </w:tcPr>
          <w:p w14:paraId="1CE8933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F31D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C17C5BA">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771DED3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装置的控制室、机柜间、变配电所、化验室、办公室等不得与设有甲、乙A类设备的房间布置在同一建筑物内。</w:t>
            </w:r>
          </w:p>
        </w:tc>
        <w:tc>
          <w:tcPr>
            <w:tcW w:w="1398" w:type="pct"/>
            <w:vAlign w:val="center"/>
          </w:tcPr>
          <w:p w14:paraId="2A4B408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《危险化学品生产企业安全生产许可证实施办法》第八条第一款第三项；</w:t>
            </w:r>
          </w:p>
          <w:p w14:paraId="68CA00F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《石油化工企业设计防火标准》（GB 50160-2008）（2018年版）5.2.16。</w:t>
            </w:r>
          </w:p>
        </w:tc>
        <w:tc>
          <w:tcPr>
            <w:tcW w:w="886" w:type="pct"/>
            <w:vAlign w:val="center"/>
          </w:tcPr>
          <w:p w14:paraId="50580D7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0BE4749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配电间、站房未</w:t>
            </w:r>
            <w:r>
              <w:rPr>
                <w:rFonts w:ascii="Times New Roman" w:hAnsi="Times New Roman" w:eastAsia="宋体" w:cs="Calibri"/>
                <w:bCs w:val="0"/>
                <w:color w:val="auto"/>
                <w:kern w:val="2"/>
              </w:rPr>
              <w:t>与设有甲、乙</w:t>
            </w:r>
            <w:r>
              <w:rPr>
                <w:rFonts w:ascii="Times New Roman" w:hAnsi="Times New Roman" w:eastAsia="宋体" w:cs="Calibri"/>
                <w:bCs w:val="0"/>
                <w:color w:val="auto"/>
                <w:kern w:val="2"/>
                <w:vertAlign w:val="subscript"/>
              </w:rPr>
              <w:t>A</w:t>
            </w:r>
            <w:r>
              <w:rPr>
                <w:rFonts w:ascii="Times New Roman" w:hAnsi="Times New Roman" w:eastAsia="宋体" w:cs="Calibri"/>
                <w:bCs w:val="0"/>
                <w:color w:val="auto"/>
                <w:kern w:val="2"/>
              </w:rPr>
              <w:t>类设备的房间布置在同一建筑物内</w:t>
            </w:r>
          </w:p>
        </w:tc>
        <w:tc>
          <w:tcPr>
            <w:tcW w:w="388" w:type="pct"/>
            <w:vAlign w:val="center"/>
          </w:tcPr>
          <w:p w14:paraId="5356824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1361D50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3C125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5B7E3E7">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260ACDD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爆炸危险场所未按照国家标准安装使用防爆电气设备，且重大事故隐患排除前或者排除过程中无法保证安全的。</w:t>
            </w:r>
          </w:p>
        </w:tc>
        <w:tc>
          <w:tcPr>
            <w:tcW w:w="1398" w:type="pct"/>
            <w:vAlign w:val="center"/>
          </w:tcPr>
          <w:p w14:paraId="139FA9B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214AD30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《化工和危险化学品生产经营单位重大生产安全事故隐患判定标准（试行）》第十二条。</w:t>
            </w:r>
          </w:p>
        </w:tc>
        <w:tc>
          <w:tcPr>
            <w:tcW w:w="886" w:type="pct"/>
            <w:vAlign w:val="center"/>
          </w:tcPr>
          <w:p w14:paraId="3D43591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158B11A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加油机等</w:t>
            </w:r>
            <w:r>
              <w:rPr>
                <w:rFonts w:ascii="Times New Roman" w:hAnsi="Times New Roman" w:eastAsia="宋体" w:cs="Calibri"/>
                <w:bCs w:val="0"/>
                <w:color w:val="auto"/>
                <w:kern w:val="2"/>
              </w:rPr>
              <w:t>按照国家标准安装使用防爆电气设备</w:t>
            </w:r>
          </w:p>
        </w:tc>
        <w:tc>
          <w:tcPr>
            <w:tcW w:w="388" w:type="pct"/>
            <w:vAlign w:val="center"/>
          </w:tcPr>
          <w:p w14:paraId="35DEE83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40C29F4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68133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1C5B5B1">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027977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涉及光气、氯气、硫化氢等剧毒气体管道穿越除厂区外的公共区域（包括化工园区、工业园区），且重大事故隐患排除前或者排除过程中无法保证安全的。</w:t>
            </w:r>
          </w:p>
        </w:tc>
        <w:tc>
          <w:tcPr>
            <w:tcW w:w="1398" w:type="pct"/>
            <w:vAlign w:val="center"/>
          </w:tcPr>
          <w:p w14:paraId="7A05986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7754FD1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《危险化学品输送管道安全管理规定》第七条；</w:t>
            </w:r>
          </w:p>
          <w:p w14:paraId="074CE53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《化工和危险化学品生产经营单位重大生产安全事故隐患判定标准（试行）》第八条。</w:t>
            </w:r>
          </w:p>
        </w:tc>
        <w:tc>
          <w:tcPr>
            <w:tcW w:w="886" w:type="pct"/>
            <w:vAlign w:val="center"/>
          </w:tcPr>
          <w:p w14:paraId="407D6C0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454C029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光气、氯气、硫化氢等剧毒气体管道</w:t>
            </w:r>
          </w:p>
        </w:tc>
        <w:tc>
          <w:tcPr>
            <w:tcW w:w="388" w:type="pct"/>
            <w:vAlign w:val="center"/>
          </w:tcPr>
          <w:p w14:paraId="7A3BF04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73598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72D625">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B9FCC1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全压力式液化烃球形储罐未按国家标准设置注水措施（半冷冻压力式液化烃储罐或遇水发生反应的液化烃储罐除外），且重大事故隐患排除前或者排除过程中无法保证安全的。</w:t>
            </w:r>
          </w:p>
        </w:tc>
        <w:tc>
          <w:tcPr>
            <w:tcW w:w="1398" w:type="pct"/>
            <w:vAlign w:val="center"/>
          </w:tcPr>
          <w:p w14:paraId="10F277C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056472D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《化工和危险化学品生产经营单位重大生产安全事故隐患判定标准（试行）》第六条。</w:t>
            </w:r>
          </w:p>
        </w:tc>
        <w:tc>
          <w:tcPr>
            <w:tcW w:w="886" w:type="pct"/>
            <w:vAlign w:val="center"/>
          </w:tcPr>
          <w:p w14:paraId="1092681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436A35D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液化烃球形储罐</w:t>
            </w:r>
          </w:p>
        </w:tc>
        <w:tc>
          <w:tcPr>
            <w:tcW w:w="388" w:type="pct"/>
            <w:vAlign w:val="center"/>
          </w:tcPr>
          <w:p w14:paraId="4FB4C0B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D30F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967FC0">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41B5F7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液化烃、液氨、液氯等易燃易爆、有毒有害液化气体的充装未使用万向管道充装系统，且重大事故隐患排除前或者排除过程中无法保证安全的。（液氯钢瓶充装、电子级产品充装除外）</w:t>
            </w:r>
          </w:p>
        </w:tc>
        <w:tc>
          <w:tcPr>
            <w:tcW w:w="1398" w:type="pct"/>
            <w:vAlign w:val="center"/>
          </w:tcPr>
          <w:p w14:paraId="175AD0D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6CC56B0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《化工和危险化学品生产经营单位重大生产安全事故隐患判定标准（试行）》第七条。</w:t>
            </w:r>
          </w:p>
        </w:tc>
        <w:tc>
          <w:tcPr>
            <w:tcW w:w="886" w:type="pct"/>
            <w:vAlign w:val="center"/>
          </w:tcPr>
          <w:p w14:paraId="5285846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58439ED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液化烃、液氨、液氯等易燃易爆、有毒有害液化气体</w:t>
            </w:r>
          </w:p>
        </w:tc>
        <w:tc>
          <w:tcPr>
            <w:tcW w:w="388" w:type="pct"/>
            <w:vAlign w:val="center"/>
          </w:tcPr>
          <w:p w14:paraId="0CD3509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30A5A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4041F380">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66CFE74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氯乙烯气柜的进出口管道未设远程紧急切断阀；氯乙烯气柜的压力（钟罩内）、柜位高度不能实现在线连续监测；未设置气柜压力、柜位等联锁。存在以上三种情形之一，经责令限期改正，逾期未改正且情节严重的。</w:t>
            </w:r>
          </w:p>
        </w:tc>
        <w:tc>
          <w:tcPr>
            <w:tcW w:w="1398" w:type="pct"/>
            <w:vAlign w:val="center"/>
          </w:tcPr>
          <w:p w14:paraId="018CD02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《危险化学品重大危险源监督管理暂行规定》第十三条第二、三项；</w:t>
            </w:r>
          </w:p>
          <w:p w14:paraId="29F1500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《危险化学品企业安全风险隐患排查治理导则》“9重点危险化学品特殊管控安全风险隐患排查清单（六）氯乙烯”第六、十一条。</w:t>
            </w:r>
          </w:p>
        </w:tc>
        <w:tc>
          <w:tcPr>
            <w:tcW w:w="886" w:type="pct"/>
            <w:vAlign w:val="center"/>
          </w:tcPr>
          <w:p w14:paraId="4082D83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《安全生产法》第九十六条。</w:t>
            </w:r>
          </w:p>
        </w:tc>
        <w:tc>
          <w:tcPr>
            <w:tcW w:w="719" w:type="pct"/>
            <w:vAlign w:val="center"/>
          </w:tcPr>
          <w:p w14:paraId="6F53446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氯乙烯</w:t>
            </w:r>
          </w:p>
        </w:tc>
        <w:tc>
          <w:tcPr>
            <w:tcW w:w="388" w:type="pct"/>
            <w:vAlign w:val="center"/>
          </w:tcPr>
          <w:p w14:paraId="495F192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4D2CD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C4D534">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63B357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危险化学品生产、经营、使用企业主要负责人和安全生产管理人员未依法经考核合格。</w:t>
            </w:r>
          </w:p>
        </w:tc>
        <w:tc>
          <w:tcPr>
            <w:tcW w:w="1398" w:type="pct"/>
            <w:vAlign w:val="center"/>
          </w:tcPr>
          <w:p w14:paraId="7F4A2A3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1E174A9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《危险化学品生产企业安全生产许可证实施办法》第十六条；</w:t>
            </w:r>
          </w:p>
          <w:p w14:paraId="33F78DE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《危险化学品经营许可证管理办法》第六条第一款第二项；</w:t>
            </w:r>
          </w:p>
          <w:p w14:paraId="2B92BF6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《危险化学品安全使用许可证管理办法》第九条；</w:t>
            </w:r>
          </w:p>
          <w:p w14:paraId="2998769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《化工和危险化学品生产经营单位重大生产安全事故隐患判定标准（试行）》第一条。</w:t>
            </w:r>
          </w:p>
        </w:tc>
        <w:tc>
          <w:tcPr>
            <w:tcW w:w="886" w:type="pct"/>
            <w:vAlign w:val="center"/>
          </w:tcPr>
          <w:p w14:paraId="32831CB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47D42CE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126952D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主要负责人</w:t>
            </w:r>
            <w:r>
              <w:rPr>
                <w:rFonts w:ascii="Times New Roman" w:hAnsi="Times New Roman" w:eastAsia="宋体" w:cs="Calibri"/>
                <w:bCs w:val="0"/>
                <w:color w:val="auto"/>
                <w:kern w:val="2"/>
              </w:rPr>
              <w:t>依法经考核合格</w:t>
            </w:r>
            <w:r>
              <w:rPr>
                <w:rFonts w:hint="eastAsia" w:ascii="Times New Roman" w:hAnsi="Times New Roman" w:eastAsia="宋体" w:cs="Calibri"/>
                <w:bCs w:val="0"/>
                <w:color w:val="auto"/>
                <w:kern w:val="2"/>
              </w:rPr>
              <w:t>取证</w:t>
            </w:r>
          </w:p>
        </w:tc>
        <w:tc>
          <w:tcPr>
            <w:tcW w:w="388" w:type="pct"/>
            <w:vAlign w:val="center"/>
          </w:tcPr>
          <w:p w14:paraId="079960E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6F8C67E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1B9BC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869DA33">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0E41E4C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涉及危险化工工艺的特种作业人员未取得特种作业操作证而上岗操作的。</w:t>
            </w:r>
          </w:p>
        </w:tc>
        <w:tc>
          <w:tcPr>
            <w:tcW w:w="1398" w:type="pct"/>
            <w:vAlign w:val="center"/>
          </w:tcPr>
          <w:p w14:paraId="78F618B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37C912E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《特种作业人员安全技术培训考核管理规定》第五条；</w:t>
            </w:r>
          </w:p>
          <w:p w14:paraId="012D849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《化工和危险化学品生产经营单位重大生产安全事故隐患判定标准（试行）》第二条。</w:t>
            </w:r>
          </w:p>
        </w:tc>
        <w:tc>
          <w:tcPr>
            <w:tcW w:w="886" w:type="pct"/>
            <w:vAlign w:val="center"/>
          </w:tcPr>
          <w:p w14:paraId="4090EAA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1CE3E61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危险化工工艺</w:t>
            </w:r>
          </w:p>
        </w:tc>
        <w:tc>
          <w:tcPr>
            <w:tcW w:w="388" w:type="pct"/>
            <w:vAlign w:val="center"/>
          </w:tcPr>
          <w:p w14:paraId="25253ED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6AEE1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1497960">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2084C19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未建立安全生产责任制。</w:t>
            </w:r>
          </w:p>
        </w:tc>
        <w:tc>
          <w:tcPr>
            <w:tcW w:w="1398" w:type="pct"/>
            <w:vAlign w:val="center"/>
          </w:tcPr>
          <w:p w14:paraId="448AA04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1460B28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《化工和危险化学品生产经营单位重大生产安全事故隐患判定标准（试行）》第十六条。</w:t>
            </w:r>
          </w:p>
        </w:tc>
        <w:tc>
          <w:tcPr>
            <w:tcW w:w="886" w:type="pct"/>
            <w:vAlign w:val="center"/>
          </w:tcPr>
          <w:p w14:paraId="69ECA43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3F7BCE6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建立</w:t>
            </w:r>
            <w:r>
              <w:rPr>
                <w:rFonts w:hint="eastAsia" w:ascii="Times New Roman" w:hAnsi="Times New Roman" w:eastAsia="宋体" w:cs="Calibri"/>
                <w:bCs w:val="0"/>
                <w:color w:val="auto"/>
                <w:kern w:val="2"/>
              </w:rPr>
              <w:t>了</w:t>
            </w:r>
            <w:r>
              <w:rPr>
                <w:rFonts w:ascii="Times New Roman" w:hAnsi="Times New Roman" w:eastAsia="宋体" w:cs="Calibri"/>
                <w:bCs w:val="0"/>
                <w:color w:val="auto"/>
                <w:kern w:val="2"/>
              </w:rPr>
              <w:t>安全生产责任制</w:t>
            </w:r>
          </w:p>
        </w:tc>
        <w:tc>
          <w:tcPr>
            <w:tcW w:w="388" w:type="pct"/>
            <w:vAlign w:val="center"/>
          </w:tcPr>
          <w:p w14:paraId="1A5DF7B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4A83F7F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40D20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2869F75">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4242690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未编制岗位操作规程，未明确关键工艺控制指标。</w:t>
            </w:r>
          </w:p>
        </w:tc>
        <w:tc>
          <w:tcPr>
            <w:tcW w:w="1398" w:type="pct"/>
            <w:vAlign w:val="center"/>
          </w:tcPr>
          <w:p w14:paraId="3C68728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19992DF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p w14:paraId="6526D28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《化工和危险化学品生产经营单位重大生产安全事故隐患判定标准（试行）》第十七条。</w:t>
            </w:r>
          </w:p>
        </w:tc>
        <w:tc>
          <w:tcPr>
            <w:tcW w:w="886" w:type="pct"/>
            <w:vAlign w:val="center"/>
          </w:tcPr>
          <w:p w14:paraId="381BA16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6434AA2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《危险化学品生产企业安全生产许可证实施办法》第四十三条。</w:t>
            </w:r>
          </w:p>
        </w:tc>
        <w:tc>
          <w:tcPr>
            <w:tcW w:w="719" w:type="pct"/>
            <w:vAlign w:val="center"/>
          </w:tcPr>
          <w:p w14:paraId="7ABB60C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编制</w:t>
            </w:r>
            <w:r>
              <w:rPr>
                <w:rFonts w:hint="eastAsia" w:ascii="Times New Roman" w:hAnsi="Times New Roman" w:eastAsia="宋体" w:cs="Calibri"/>
                <w:bCs w:val="0"/>
                <w:color w:val="auto"/>
                <w:kern w:val="2"/>
              </w:rPr>
              <w:t>了</w:t>
            </w:r>
            <w:r>
              <w:rPr>
                <w:rFonts w:ascii="Times New Roman" w:hAnsi="Times New Roman" w:eastAsia="宋体" w:cs="Calibri"/>
                <w:bCs w:val="0"/>
                <w:color w:val="auto"/>
                <w:kern w:val="2"/>
              </w:rPr>
              <w:t>岗位操作规程</w:t>
            </w:r>
          </w:p>
        </w:tc>
        <w:tc>
          <w:tcPr>
            <w:tcW w:w="388" w:type="pct"/>
            <w:vAlign w:val="center"/>
          </w:tcPr>
          <w:p w14:paraId="51CF2D6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6B99A8F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4B585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13CC30">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5FA421D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动火、进入受限空间等特殊作业管理制度不符合国家标准，实施特殊作业前未办理审批手续或风险控制措施未落实，且重大事故隐患排除前或者排除过程中无法保证安全的。</w:t>
            </w:r>
          </w:p>
        </w:tc>
        <w:tc>
          <w:tcPr>
            <w:tcW w:w="1398" w:type="pct"/>
            <w:vAlign w:val="center"/>
          </w:tcPr>
          <w:p w14:paraId="6E38BC9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2843B30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《化工和危险化学品生产经营单位重大生产安全事故隐患判定标准（试行）》第十八条。</w:t>
            </w:r>
          </w:p>
        </w:tc>
        <w:tc>
          <w:tcPr>
            <w:tcW w:w="886" w:type="pct"/>
            <w:vAlign w:val="center"/>
          </w:tcPr>
          <w:p w14:paraId="15FE9AD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7BF18B3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制定了特殊危险作业管理制度并有效执行。</w:t>
            </w:r>
          </w:p>
        </w:tc>
        <w:tc>
          <w:tcPr>
            <w:tcW w:w="388" w:type="pct"/>
            <w:vAlign w:val="center"/>
          </w:tcPr>
          <w:p w14:paraId="5549CCC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103A937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331A0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4CCF0BD">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146898F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列入精细化工反应安全风险评估范围的精细化工生产装置未开展评估，且重大事故隐患排除前或者排除过程中无法保证安全的。</w:t>
            </w:r>
          </w:p>
        </w:tc>
        <w:tc>
          <w:tcPr>
            <w:tcW w:w="1398" w:type="pct"/>
            <w:vAlign w:val="center"/>
          </w:tcPr>
          <w:p w14:paraId="03A544F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324D072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《化工和危险化学品生产经营单位重大生产安全事故隐患判定标准（试行）》第十九条。</w:t>
            </w:r>
          </w:p>
        </w:tc>
        <w:tc>
          <w:tcPr>
            <w:tcW w:w="886" w:type="pct"/>
            <w:vAlign w:val="center"/>
          </w:tcPr>
          <w:p w14:paraId="593ABA2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1FF1E89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精细化工生产装置</w:t>
            </w:r>
          </w:p>
        </w:tc>
        <w:tc>
          <w:tcPr>
            <w:tcW w:w="388" w:type="pct"/>
            <w:vAlign w:val="center"/>
          </w:tcPr>
          <w:p w14:paraId="2585A43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4E73C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2966350">
            <w:pPr>
              <w:keepNext w:val="0"/>
              <w:keepLines w:val="0"/>
              <w:pageBreakBefore w:val="0"/>
              <w:widowControl w:val="0"/>
              <w:numPr>
                <w:ilvl w:val="0"/>
                <w:numId w:val="14"/>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4DD532D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未按国家标准分区分类储存危险化学品，超量、超品种储存危险化学品，相互禁配物质混放混存，且重大事故隐患排除前或者排除过程中无法保证安全的。</w:t>
            </w:r>
          </w:p>
        </w:tc>
        <w:tc>
          <w:tcPr>
            <w:tcW w:w="1398" w:type="pct"/>
            <w:vAlign w:val="center"/>
          </w:tcPr>
          <w:p w14:paraId="4489818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065A377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《化工和危险化学品生产经营单位重大生产安全事故隐患判定标准（试行）》第二十条。</w:t>
            </w:r>
          </w:p>
        </w:tc>
        <w:tc>
          <w:tcPr>
            <w:tcW w:w="886" w:type="pct"/>
            <w:vAlign w:val="center"/>
          </w:tcPr>
          <w:p w14:paraId="66CEF88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17F8B52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《危险化学品安全管理条例》第八十条第五款。</w:t>
            </w:r>
          </w:p>
        </w:tc>
        <w:tc>
          <w:tcPr>
            <w:tcW w:w="719" w:type="pct"/>
            <w:vAlign w:val="center"/>
          </w:tcPr>
          <w:p w14:paraId="1CBF3D4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lang w:eastAsia="zh-CN"/>
              </w:rPr>
              <w:t>现场勘查</w:t>
            </w:r>
            <w:r>
              <w:rPr>
                <w:rFonts w:hint="eastAsia" w:ascii="Times New Roman" w:hAnsi="Times New Roman" w:eastAsia="宋体" w:cs="Calibri"/>
                <w:bCs w:val="0"/>
                <w:color w:val="auto"/>
                <w:kern w:val="2"/>
              </w:rPr>
              <w:t>未发现</w:t>
            </w:r>
            <w:r>
              <w:rPr>
                <w:rFonts w:ascii="Times New Roman" w:hAnsi="Times New Roman" w:eastAsia="宋体" w:cs="Calibri"/>
                <w:bCs w:val="0"/>
                <w:color w:val="auto"/>
                <w:kern w:val="2"/>
              </w:rPr>
              <w:t>超量、超品种储存危险化学品，相互禁配物质混放混存</w:t>
            </w:r>
          </w:p>
        </w:tc>
        <w:tc>
          <w:tcPr>
            <w:tcW w:w="388" w:type="pct"/>
            <w:vAlign w:val="center"/>
          </w:tcPr>
          <w:p w14:paraId="3EF8F19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779CDAB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169F16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5000" w:type="pct"/>
            <w:gridSpan w:val="6"/>
            <w:vAlign w:val="center"/>
          </w:tcPr>
          <w:p w14:paraId="3C174EC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
                <w:bCs w:val="0"/>
                <w:color w:val="auto"/>
                <w:kern w:val="2"/>
              </w:rPr>
            </w:pPr>
            <w:r>
              <w:rPr>
                <w:rFonts w:ascii="Times New Roman" w:hAnsi="Times New Roman" w:eastAsia="宋体" w:cs="Calibri"/>
                <w:b/>
                <w:bCs w:val="0"/>
                <w:color w:val="auto"/>
                <w:kern w:val="2"/>
              </w:rPr>
              <w:t>三、限期改正类</w:t>
            </w:r>
          </w:p>
        </w:tc>
      </w:tr>
      <w:tr w14:paraId="370A0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9A0D3D1">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3742432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涉及“两重点一重大”建设项目未按要求组织开展危险与可操作性分析（HAZOP）。</w:t>
            </w:r>
          </w:p>
        </w:tc>
        <w:tc>
          <w:tcPr>
            <w:tcW w:w="1398" w:type="pct"/>
            <w:vAlign w:val="center"/>
          </w:tcPr>
          <w:p w14:paraId="664CD0F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《安全生产法》第三十八条；</w:t>
            </w:r>
          </w:p>
          <w:p w14:paraId="4E68AB7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《危险化学品企业安全风险隐患排查治理导则》3.2.3。</w:t>
            </w:r>
          </w:p>
        </w:tc>
        <w:tc>
          <w:tcPr>
            <w:tcW w:w="886" w:type="pct"/>
            <w:vAlign w:val="center"/>
          </w:tcPr>
          <w:p w14:paraId="60EA168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《安全生产法》第九十九条。</w:t>
            </w:r>
          </w:p>
        </w:tc>
        <w:tc>
          <w:tcPr>
            <w:tcW w:w="719" w:type="pct"/>
            <w:vAlign w:val="center"/>
          </w:tcPr>
          <w:p w14:paraId="6FB32C5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涉及重点监管危险化学品汽油，但加油站不涉及生产工艺过程</w:t>
            </w:r>
          </w:p>
        </w:tc>
        <w:tc>
          <w:tcPr>
            <w:tcW w:w="388" w:type="pct"/>
            <w:vAlign w:val="center"/>
          </w:tcPr>
          <w:p w14:paraId="7008020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3CA583F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0B1B0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66ED6B3">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0E2C735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重大危险源未按国家标准配备温度、压力、液位、流量、组分等信息的不间断采集和监测系统以及可燃气体和有毒有害气体泄漏检测报警装置，并具备信息远传、连续记录、事故预警、信息储存（不少于30天）等功能。</w:t>
            </w:r>
          </w:p>
        </w:tc>
        <w:tc>
          <w:tcPr>
            <w:tcW w:w="1398" w:type="pct"/>
            <w:vAlign w:val="center"/>
          </w:tcPr>
          <w:p w14:paraId="12A311B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《危险化学品重大危险源监督管理暂行规定》第十三条第一项。</w:t>
            </w:r>
          </w:p>
        </w:tc>
        <w:tc>
          <w:tcPr>
            <w:tcW w:w="886" w:type="pct"/>
            <w:vAlign w:val="center"/>
          </w:tcPr>
          <w:p w14:paraId="2A382A0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《危险化学品重大危险源监督管理暂行规定》第三十二条第三项。</w:t>
            </w:r>
          </w:p>
        </w:tc>
        <w:tc>
          <w:tcPr>
            <w:tcW w:w="719" w:type="pct"/>
            <w:vAlign w:val="center"/>
          </w:tcPr>
          <w:p w14:paraId="6D1B013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重大危险源</w:t>
            </w:r>
          </w:p>
        </w:tc>
        <w:tc>
          <w:tcPr>
            <w:tcW w:w="388" w:type="pct"/>
            <w:vAlign w:val="center"/>
          </w:tcPr>
          <w:p w14:paraId="35D93FA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79CD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DA55F08">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0BAE37A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spacing w:val="-6"/>
                <w:kern w:val="2"/>
                <w:sz w:val="21"/>
              </w:rPr>
              <w:t>现有涉及硝化、氯化、氟化、重氮化、过氧化工艺的精细化工生产装置未完成有关产品生产工艺全流程的反应安全风险评估，同时未按照《关于加强精细化工反应安全风险评估工作的指导意见》（安监总管三〔2017〕1号）的有关方法对相关原料、中间产品、产品及副产物进行热稳定性测试和蒸馏、干燥、储存等单元操作的风险评估；已开展反应安全风险评估的企业未根据反应危险度等级和评估建议设置相应的安全设施，补充完善安全管控措施的。</w:t>
            </w:r>
          </w:p>
        </w:tc>
        <w:tc>
          <w:tcPr>
            <w:tcW w:w="1398" w:type="pct"/>
            <w:vAlign w:val="center"/>
          </w:tcPr>
          <w:p w14:paraId="650E19E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78CA4D0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《化工和危险化学品生产经营单位重大生产安全事故隐患判定标准（试行）》第十九条。</w:t>
            </w:r>
          </w:p>
        </w:tc>
        <w:tc>
          <w:tcPr>
            <w:tcW w:w="886" w:type="pct"/>
            <w:vAlign w:val="center"/>
          </w:tcPr>
          <w:p w14:paraId="4625455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75C9856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硝化、氯化、氟化、重氮化、过氧化工艺</w:t>
            </w:r>
          </w:p>
        </w:tc>
        <w:tc>
          <w:tcPr>
            <w:tcW w:w="388" w:type="pct"/>
            <w:vAlign w:val="center"/>
          </w:tcPr>
          <w:p w14:paraId="310D909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036CE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50B2E83">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463F9B6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爆炸危险性化学品的生产装置控制室、交接班室布置在装置区内，且未完成搬迁的；涉及甲乙类火灾危险性的生产装置控制室、交接班室布置在装置区内，但未按照《石油化工控制室抗爆设计规范》（GB50779）完成抗爆设计、建设和加固的。</w:t>
            </w:r>
          </w:p>
        </w:tc>
        <w:tc>
          <w:tcPr>
            <w:tcW w:w="1398" w:type="pct"/>
            <w:vAlign w:val="center"/>
          </w:tcPr>
          <w:p w14:paraId="257C099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《安全生产法》第三十八条；</w:t>
            </w:r>
          </w:p>
          <w:p w14:paraId="1B8D246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《危险化学品生产企业安全生产许可证实施办法》第八条第三款，第九条第四</w:t>
            </w:r>
            <w:r>
              <w:rPr>
                <w:rFonts w:hint="eastAsia" w:ascii="Times New Roman" w:hAnsi="Times New Roman" w:eastAsia="宋体" w:cs="Calibri"/>
                <w:bCs w:val="0"/>
                <w:color w:val="auto"/>
                <w:kern w:val="2"/>
                <w:lang w:eastAsia="zh-CN"/>
              </w:rPr>
              <w:t>、第</w:t>
            </w:r>
            <w:r>
              <w:rPr>
                <w:rFonts w:ascii="Times New Roman" w:hAnsi="Times New Roman" w:eastAsia="宋体" w:cs="Calibri"/>
                <w:bCs w:val="0"/>
                <w:color w:val="auto"/>
                <w:kern w:val="2"/>
              </w:rPr>
              <w:t>五款；</w:t>
            </w:r>
          </w:p>
          <w:p w14:paraId="2D888C8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《危险化学品企业安全风险隐患排查治理导则》附件《安全风险隐患排查表》“2设计与总图安全风险隐患排查表（二）总图布局”第七项。</w:t>
            </w:r>
          </w:p>
        </w:tc>
        <w:tc>
          <w:tcPr>
            <w:tcW w:w="886" w:type="pct"/>
            <w:vAlign w:val="center"/>
          </w:tcPr>
          <w:p w14:paraId="0E173D0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《安全生产法》第九十九条。</w:t>
            </w:r>
          </w:p>
        </w:tc>
        <w:tc>
          <w:tcPr>
            <w:tcW w:w="719" w:type="pct"/>
            <w:vAlign w:val="center"/>
          </w:tcPr>
          <w:p w14:paraId="5B7B676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生产</w:t>
            </w:r>
            <w:r>
              <w:rPr>
                <w:rFonts w:hint="eastAsia" w:ascii="Times New Roman" w:hAnsi="Times New Roman" w:eastAsia="宋体" w:cs="Calibri"/>
                <w:bCs w:val="0"/>
                <w:color w:val="auto"/>
                <w:kern w:val="2"/>
              </w:rPr>
              <w:t>装置</w:t>
            </w:r>
          </w:p>
        </w:tc>
        <w:tc>
          <w:tcPr>
            <w:tcW w:w="388" w:type="pct"/>
            <w:vAlign w:val="center"/>
          </w:tcPr>
          <w:p w14:paraId="5ECB46F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0542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687DB8">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7DE0BED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涉及硝化、氯化、氟化、重氮化、过氧化工艺装置的上下游配套装置未实现自动化控制。</w:t>
            </w:r>
          </w:p>
        </w:tc>
        <w:tc>
          <w:tcPr>
            <w:tcW w:w="1398" w:type="pct"/>
            <w:vAlign w:val="center"/>
          </w:tcPr>
          <w:p w14:paraId="2C5DFF0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《安全生产法》第三十八条；</w:t>
            </w:r>
          </w:p>
          <w:p w14:paraId="3968B93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w:t>
            </w:r>
          </w:p>
          <w:p w14:paraId="4AA354A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《危险化学品安全使用许可证管理办法》第七条第三款。</w:t>
            </w:r>
          </w:p>
        </w:tc>
        <w:tc>
          <w:tcPr>
            <w:tcW w:w="886" w:type="pct"/>
            <w:vAlign w:val="center"/>
          </w:tcPr>
          <w:p w14:paraId="13D2714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《安全生产法》第九十九条。</w:t>
            </w:r>
          </w:p>
        </w:tc>
        <w:tc>
          <w:tcPr>
            <w:tcW w:w="719" w:type="pct"/>
            <w:vAlign w:val="center"/>
          </w:tcPr>
          <w:p w14:paraId="31618C7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硝化、氯化、氟化、重氮化、过氧化工艺</w:t>
            </w:r>
          </w:p>
        </w:tc>
        <w:tc>
          <w:tcPr>
            <w:tcW w:w="388" w:type="pct"/>
            <w:vAlign w:val="center"/>
          </w:tcPr>
          <w:p w14:paraId="6601ECF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02DB0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855EBC2">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71E83E1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控制室或机柜间面向具有火灾、爆炸危险性装置一侧不满足国家标准关于防火防爆的要求。</w:t>
            </w:r>
          </w:p>
        </w:tc>
        <w:tc>
          <w:tcPr>
            <w:tcW w:w="1398" w:type="pct"/>
            <w:vAlign w:val="center"/>
          </w:tcPr>
          <w:p w14:paraId="4969B432">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0DACAC5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《化工和危险化学品生产经营单位重大生产安全事故隐患判定标准（试行）》第十三条。</w:t>
            </w:r>
          </w:p>
        </w:tc>
        <w:tc>
          <w:tcPr>
            <w:tcW w:w="886" w:type="pct"/>
            <w:vAlign w:val="center"/>
          </w:tcPr>
          <w:p w14:paraId="09DB6BE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1E869B7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控制室或机柜间</w:t>
            </w:r>
          </w:p>
        </w:tc>
        <w:tc>
          <w:tcPr>
            <w:tcW w:w="388" w:type="pct"/>
            <w:vAlign w:val="center"/>
          </w:tcPr>
          <w:p w14:paraId="4B4866A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207E1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C891580">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1885839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未按照标准设置、使用有毒有害、可燃气体泄漏检测报警系统；可燃气体和有毒气体检测报警信号未发送至有人值守的现场控制室、中心控制室等进行显示报警。</w:t>
            </w:r>
          </w:p>
        </w:tc>
        <w:tc>
          <w:tcPr>
            <w:tcW w:w="1398" w:type="pct"/>
            <w:vAlign w:val="center"/>
          </w:tcPr>
          <w:p w14:paraId="6216052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6E9DD5A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《危险化学品生产企业安全生产许可证实施办法》第九条第一款第三项；</w:t>
            </w:r>
          </w:p>
          <w:p w14:paraId="70EEDB5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《化工和危险化学品生产经营单位重大生产安全事故隐患判定标准（试行）》第十二条。</w:t>
            </w:r>
          </w:p>
        </w:tc>
        <w:tc>
          <w:tcPr>
            <w:tcW w:w="886" w:type="pct"/>
            <w:vAlign w:val="center"/>
          </w:tcPr>
          <w:p w14:paraId="419687E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518AFE6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按照标准设置</w:t>
            </w:r>
            <w:r>
              <w:rPr>
                <w:rFonts w:hint="eastAsia" w:ascii="Times New Roman" w:hAnsi="Times New Roman" w:eastAsia="宋体" w:cs="Calibri"/>
                <w:bCs w:val="0"/>
                <w:color w:val="auto"/>
                <w:kern w:val="2"/>
              </w:rPr>
              <w:t>了油气</w:t>
            </w:r>
            <w:r>
              <w:rPr>
                <w:rFonts w:ascii="Times New Roman" w:hAnsi="Times New Roman" w:eastAsia="宋体" w:cs="Calibri"/>
                <w:bCs w:val="0"/>
                <w:color w:val="auto"/>
                <w:kern w:val="2"/>
              </w:rPr>
              <w:t>泄漏检测报警系统</w:t>
            </w:r>
            <w:r>
              <w:rPr>
                <w:rFonts w:hint="eastAsia" w:ascii="Times New Roman" w:hAnsi="Times New Roman" w:eastAsia="宋体" w:cs="Calibri"/>
                <w:bCs w:val="0"/>
                <w:color w:val="auto"/>
                <w:kern w:val="2"/>
              </w:rPr>
              <w:t>，</w:t>
            </w:r>
            <w:r>
              <w:rPr>
                <w:rFonts w:ascii="Times New Roman" w:hAnsi="Times New Roman" w:eastAsia="宋体" w:cs="Calibri"/>
                <w:bCs w:val="0"/>
                <w:color w:val="auto"/>
                <w:kern w:val="2"/>
              </w:rPr>
              <w:t>信号</w:t>
            </w:r>
            <w:r>
              <w:rPr>
                <w:rFonts w:hint="eastAsia" w:ascii="Times New Roman" w:hAnsi="Times New Roman" w:eastAsia="宋体" w:cs="Calibri"/>
                <w:bCs w:val="0"/>
                <w:color w:val="auto"/>
                <w:kern w:val="2"/>
              </w:rPr>
              <w:t>远传至站房内</w:t>
            </w:r>
          </w:p>
        </w:tc>
        <w:tc>
          <w:tcPr>
            <w:tcW w:w="388" w:type="pct"/>
            <w:vAlign w:val="center"/>
          </w:tcPr>
          <w:p w14:paraId="328897C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50BFBB0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7571F7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266549">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1E3E082B">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地区架空电力线路穿越生产区且不符合国家标准要求。</w:t>
            </w:r>
          </w:p>
        </w:tc>
        <w:tc>
          <w:tcPr>
            <w:tcW w:w="1398" w:type="pct"/>
            <w:vAlign w:val="center"/>
          </w:tcPr>
          <w:p w14:paraId="650C4A2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1ADD276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《化工和危险化学品生产经营单位重大生产安全事故隐患判定标准（试行）》第九条。</w:t>
            </w:r>
          </w:p>
        </w:tc>
        <w:tc>
          <w:tcPr>
            <w:tcW w:w="886" w:type="pct"/>
            <w:vAlign w:val="center"/>
          </w:tcPr>
          <w:p w14:paraId="52F69CF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46A2F13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架空电力线路</w:t>
            </w:r>
            <w:r>
              <w:rPr>
                <w:rFonts w:hint="eastAsia" w:ascii="Times New Roman" w:hAnsi="Times New Roman" w:eastAsia="宋体" w:cs="Calibri"/>
                <w:bCs w:val="0"/>
                <w:color w:val="auto"/>
                <w:kern w:val="2"/>
              </w:rPr>
              <w:t>未</w:t>
            </w:r>
            <w:r>
              <w:rPr>
                <w:rFonts w:ascii="Times New Roman" w:hAnsi="Times New Roman" w:eastAsia="宋体" w:cs="Calibri"/>
                <w:bCs w:val="0"/>
                <w:color w:val="auto"/>
                <w:kern w:val="2"/>
              </w:rPr>
              <w:t>穿越</w:t>
            </w:r>
            <w:r>
              <w:rPr>
                <w:rFonts w:hint="eastAsia" w:ascii="Times New Roman" w:hAnsi="Times New Roman" w:eastAsia="宋体" w:cs="Calibri"/>
                <w:bCs w:val="0"/>
                <w:color w:val="auto"/>
                <w:kern w:val="2"/>
              </w:rPr>
              <w:t>加油站</w:t>
            </w:r>
          </w:p>
        </w:tc>
        <w:tc>
          <w:tcPr>
            <w:tcW w:w="388" w:type="pct"/>
            <w:vAlign w:val="center"/>
          </w:tcPr>
          <w:p w14:paraId="5419CC7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01CF3F6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1EBA1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D997D44">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2B5035F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化工生产装置未按国家标准要求设置双重电源供电。</w:t>
            </w:r>
          </w:p>
        </w:tc>
        <w:tc>
          <w:tcPr>
            <w:tcW w:w="1398" w:type="pct"/>
            <w:vAlign w:val="center"/>
          </w:tcPr>
          <w:p w14:paraId="7CEE6C0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p w14:paraId="4B5FBDB1">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《化工和危险化学品生产经营单位重大生产安全事故隐患判定标准（试行）》第十四条；</w:t>
            </w:r>
          </w:p>
          <w:p w14:paraId="62A8DED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《供配电系统设计规范》（GB50052-2009）3.0.2；</w:t>
            </w:r>
          </w:p>
          <w:p w14:paraId="3CF5D96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《石油化工企业生产装置电力设计技术规范》（SH3038-2000）4.1、4.2。</w:t>
            </w:r>
          </w:p>
        </w:tc>
        <w:tc>
          <w:tcPr>
            <w:tcW w:w="886" w:type="pct"/>
            <w:vAlign w:val="center"/>
          </w:tcPr>
          <w:p w14:paraId="15703A43">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《安全生产法》第六十二条。</w:t>
            </w:r>
          </w:p>
        </w:tc>
        <w:tc>
          <w:tcPr>
            <w:tcW w:w="719" w:type="pct"/>
            <w:vAlign w:val="center"/>
          </w:tcPr>
          <w:p w14:paraId="221F6B2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化工生产装置</w:t>
            </w:r>
          </w:p>
        </w:tc>
        <w:tc>
          <w:tcPr>
            <w:tcW w:w="388" w:type="pct"/>
            <w:vAlign w:val="center"/>
          </w:tcPr>
          <w:p w14:paraId="7D04EB3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14B7C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C5145C4">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13D5870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未建立安全风险研判与承诺公告制度，董事长或总经理等主要负责人未每天作出安全承诺并向社会公告。</w:t>
            </w:r>
          </w:p>
        </w:tc>
        <w:tc>
          <w:tcPr>
            <w:tcW w:w="1398" w:type="pct"/>
            <w:vAlign w:val="center"/>
          </w:tcPr>
          <w:p w14:paraId="7A6C04E5">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《危险化学品企业安全风险隐患排查治理导则》4.1.5。</w:t>
            </w:r>
          </w:p>
        </w:tc>
        <w:tc>
          <w:tcPr>
            <w:tcW w:w="886" w:type="pct"/>
            <w:vAlign w:val="center"/>
          </w:tcPr>
          <w:p w14:paraId="72C59028">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《安全生产法》第九十九条。</w:t>
            </w:r>
          </w:p>
        </w:tc>
        <w:tc>
          <w:tcPr>
            <w:tcW w:w="719" w:type="pct"/>
            <w:vAlign w:val="center"/>
          </w:tcPr>
          <w:p w14:paraId="21F51AE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建立</w:t>
            </w:r>
            <w:r>
              <w:rPr>
                <w:rFonts w:hint="eastAsia" w:ascii="Times New Roman" w:hAnsi="Times New Roman" w:eastAsia="宋体" w:cs="Calibri"/>
                <w:bCs w:val="0"/>
                <w:color w:val="auto"/>
                <w:kern w:val="2"/>
              </w:rPr>
              <w:t>了</w:t>
            </w:r>
            <w:r>
              <w:rPr>
                <w:rFonts w:ascii="Times New Roman" w:hAnsi="Times New Roman" w:eastAsia="宋体" w:cs="Calibri"/>
                <w:bCs w:val="0"/>
                <w:color w:val="auto"/>
                <w:kern w:val="2"/>
              </w:rPr>
              <w:t>安全风险研判与承诺公告制度，每天作出安全承诺并向社会公告</w:t>
            </w:r>
          </w:p>
        </w:tc>
        <w:tc>
          <w:tcPr>
            <w:tcW w:w="388" w:type="pct"/>
            <w:vAlign w:val="center"/>
          </w:tcPr>
          <w:p w14:paraId="2DF95ADD">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78AE868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3F584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E3797D1">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0F76E75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危险化学品生产企业未提供化学品安全技术说明书，未在包装（包括外包装件）上粘贴、拴挂化学品安全标签。</w:t>
            </w:r>
          </w:p>
        </w:tc>
        <w:tc>
          <w:tcPr>
            <w:tcW w:w="1398" w:type="pct"/>
            <w:vAlign w:val="center"/>
          </w:tcPr>
          <w:p w14:paraId="6BA89B8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《危险化学品安全管理条例》第十五条。</w:t>
            </w:r>
          </w:p>
        </w:tc>
        <w:tc>
          <w:tcPr>
            <w:tcW w:w="886" w:type="pct"/>
            <w:vAlign w:val="center"/>
          </w:tcPr>
          <w:p w14:paraId="5650402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《危险化学品安全管理条例》第七十八条。</w:t>
            </w:r>
          </w:p>
        </w:tc>
        <w:tc>
          <w:tcPr>
            <w:tcW w:w="719" w:type="pct"/>
            <w:vAlign w:val="center"/>
          </w:tcPr>
          <w:p w14:paraId="22B9D06C">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w:t>
            </w:r>
            <w:r>
              <w:rPr>
                <w:rFonts w:ascii="Times New Roman" w:hAnsi="Times New Roman" w:eastAsia="宋体" w:cs="Calibri"/>
                <w:bCs w:val="0"/>
                <w:color w:val="auto"/>
                <w:kern w:val="2"/>
              </w:rPr>
              <w:t>生产</w:t>
            </w:r>
            <w:r>
              <w:rPr>
                <w:rFonts w:hint="eastAsia" w:ascii="Times New Roman" w:hAnsi="Times New Roman" w:eastAsia="宋体" w:cs="Calibri"/>
                <w:bCs w:val="0"/>
                <w:color w:val="auto"/>
                <w:kern w:val="2"/>
              </w:rPr>
              <w:t>工艺过程</w:t>
            </w:r>
          </w:p>
        </w:tc>
        <w:tc>
          <w:tcPr>
            <w:tcW w:w="388" w:type="pct"/>
            <w:vAlign w:val="center"/>
          </w:tcPr>
          <w:p w14:paraId="617CEE0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w:t>
            </w:r>
          </w:p>
        </w:tc>
      </w:tr>
      <w:tr w14:paraId="78E53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94AD587">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72F29B0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未将工艺、设备、生产组织方式等方面发生的变化纳入变更管理，或在变更时未进行安全风险分析。</w:t>
            </w:r>
          </w:p>
        </w:tc>
        <w:tc>
          <w:tcPr>
            <w:tcW w:w="1398" w:type="pct"/>
            <w:vAlign w:val="center"/>
          </w:tcPr>
          <w:p w14:paraId="2FF25594">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《危险化学品企业安全风险隐患排查治理导则》4.12。</w:t>
            </w:r>
          </w:p>
        </w:tc>
        <w:tc>
          <w:tcPr>
            <w:tcW w:w="886" w:type="pct"/>
            <w:vAlign w:val="center"/>
          </w:tcPr>
          <w:p w14:paraId="70FE70B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《安全生产法》第九十九条。</w:t>
            </w:r>
          </w:p>
        </w:tc>
        <w:tc>
          <w:tcPr>
            <w:tcW w:w="719" w:type="pct"/>
            <w:vAlign w:val="center"/>
          </w:tcPr>
          <w:p w14:paraId="4B7E130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设有变更</w:t>
            </w:r>
            <w:r>
              <w:rPr>
                <w:rFonts w:ascii="Times New Roman" w:hAnsi="Times New Roman" w:eastAsia="宋体" w:cs="Calibri"/>
                <w:bCs w:val="0"/>
                <w:color w:val="auto"/>
                <w:kern w:val="2"/>
              </w:rPr>
              <w:t>管理</w:t>
            </w:r>
            <w:r>
              <w:rPr>
                <w:rFonts w:hint="eastAsia" w:ascii="Times New Roman" w:hAnsi="Times New Roman" w:eastAsia="宋体" w:cs="Calibri"/>
                <w:bCs w:val="0"/>
                <w:color w:val="auto"/>
                <w:kern w:val="2"/>
              </w:rPr>
              <w:t>制度和安全风险评价管理制度</w:t>
            </w:r>
          </w:p>
        </w:tc>
        <w:tc>
          <w:tcPr>
            <w:tcW w:w="388" w:type="pct"/>
            <w:vAlign w:val="center"/>
          </w:tcPr>
          <w:p w14:paraId="55AAF6DE">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262B522A">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r w14:paraId="62FE67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B3B29C0">
            <w:pPr>
              <w:keepNext w:val="0"/>
              <w:keepLines w:val="0"/>
              <w:pageBreakBefore w:val="0"/>
              <w:widowControl w:val="0"/>
              <w:numPr>
                <w:ilvl w:val="0"/>
                <w:numId w:val="15"/>
              </w:numPr>
              <w:kinsoku/>
              <w:wordWrap w:val="0"/>
              <w:overflowPunct/>
              <w:topLinePunct w:val="0"/>
              <w:autoSpaceDE/>
              <w:autoSpaceDN/>
              <w:bidi w:val="0"/>
              <w:adjustRightInd/>
              <w:snapToGrid/>
              <w:spacing w:line="260" w:lineRule="exact"/>
              <w:jc w:val="center"/>
              <w:textAlignment w:val="auto"/>
              <w:rPr>
                <w:rFonts w:ascii="Times New Roman" w:hAnsi="Times New Roman" w:eastAsia="宋体" w:cs="Calibri"/>
                <w:bCs w:val="0"/>
                <w:color w:val="auto"/>
                <w:kern w:val="2"/>
              </w:rPr>
            </w:pPr>
          </w:p>
        </w:tc>
        <w:tc>
          <w:tcPr>
            <w:tcW w:w="1319" w:type="pct"/>
            <w:vAlign w:val="center"/>
          </w:tcPr>
          <w:p w14:paraId="53E8A78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未按照《危险化学品单位应急救援物资配备要求》配备应急救援物资。</w:t>
            </w:r>
          </w:p>
        </w:tc>
        <w:tc>
          <w:tcPr>
            <w:tcW w:w="1398" w:type="pct"/>
            <w:vAlign w:val="center"/>
          </w:tcPr>
          <w:p w14:paraId="42989ED9">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《安全生产法》第七十九条；</w:t>
            </w:r>
          </w:p>
          <w:p w14:paraId="2930150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《危险化学品单位应急救援物资配备要求》（GB 30077-2013）。</w:t>
            </w:r>
          </w:p>
        </w:tc>
        <w:tc>
          <w:tcPr>
            <w:tcW w:w="886" w:type="pct"/>
            <w:vAlign w:val="center"/>
          </w:tcPr>
          <w:p w14:paraId="4E59E0C7">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《生产安全事故应急预案管理办法》第四十四条第七款。</w:t>
            </w:r>
          </w:p>
        </w:tc>
        <w:tc>
          <w:tcPr>
            <w:tcW w:w="719" w:type="pct"/>
            <w:vAlign w:val="center"/>
          </w:tcPr>
          <w:p w14:paraId="0C1500CF">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ascii="Times New Roman" w:hAnsi="Times New Roman" w:eastAsia="宋体" w:cs="Calibri"/>
                <w:bCs w:val="0"/>
                <w:color w:val="auto"/>
                <w:kern w:val="2"/>
              </w:rPr>
              <w:t>配备</w:t>
            </w:r>
            <w:r>
              <w:rPr>
                <w:rFonts w:hint="eastAsia" w:ascii="Times New Roman" w:hAnsi="Times New Roman" w:eastAsia="宋体" w:cs="Calibri"/>
                <w:bCs w:val="0"/>
                <w:color w:val="auto"/>
                <w:kern w:val="2"/>
              </w:rPr>
              <w:t>相关</w:t>
            </w:r>
            <w:r>
              <w:rPr>
                <w:rFonts w:ascii="Times New Roman" w:hAnsi="Times New Roman" w:eastAsia="宋体" w:cs="Calibri"/>
                <w:bCs w:val="0"/>
                <w:color w:val="auto"/>
                <w:kern w:val="2"/>
              </w:rPr>
              <w:t>应急救援物资</w:t>
            </w:r>
          </w:p>
        </w:tc>
        <w:tc>
          <w:tcPr>
            <w:tcW w:w="388" w:type="pct"/>
            <w:vAlign w:val="center"/>
          </w:tcPr>
          <w:p w14:paraId="602EE156">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w:t>
            </w:r>
          </w:p>
          <w:p w14:paraId="3AF7B870">
            <w:pPr>
              <w:keepNext w:val="0"/>
              <w:keepLines w:val="0"/>
              <w:pageBreakBefore w:val="0"/>
              <w:widowControl w:val="0"/>
              <w:kinsoku/>
              <w:wordWrap w:val="0"/>
              <w:overflowPunct/>
              <w:topLinePunct w:val="0"/>
              <w:autoSpaceDE/>
              <w:autoSpaceDN/>
              <w:bidi w:val="0"/>
              <w:adjustRightInd/>
              <w:snapToGrid/>
              <w:spacing w:line="260" w:lineRule="exact"/>
              <w:textAlignment w:val="auto"/>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要求</w:t>
            </w:r>
          </w:p>
        </w:tc>
      </w:tr>
    </w:tbl>
    <w:p w14:paraId="754F5433">
      <w:pPr>
        <w:spacing w:line="560" w:lineRule="exact"/>
        <w:ind w:firstLine="560" w:firstLineChars="200"/>
        <w:rPr>
          <w:rFonts w:ascii="Times New Roman" w:hAnsi="Times New Roman" w:eastAsia="宋体" w:cs="Calibri"/>
          <w:bCs w:val="0"/>
          <w:color w:val="auto"/>
          <w:kern w:val="2"/>
          <w:sz w:val="30"/>
          <w:szCs w:val="30"/>
        </w:rPr>
      </w:pPr>
      <w:r>
        <w:rPr>
          <w:rFonts w:ascii="Times New Roman" w:hAnsi="Times New Roman" w:eastAsia="宋体" w:cs="Calibri"/>
          <w:bCs w:val="0"/>
          <w:color w:val="auto"/>
          <w:kern w:val="2"/>
          <w:sz w:val="28"/>
          <w:szCs w:val="28"/>
        </w:rPr>
        <w:t>评价结论：</w:t>
      </w:r>
      <w:r>
        <w:rPr>
          <w:rFonts w:hint="eastAsia" w:ascii="Times New Roman" w:hAnsi="Times New Roman" w:eastAsia="宋体" w:cs="Calibri"/>
          <w:bCs w:val="0"/>
          <w:color w:val="auto"/>
          <w:kern w:val="2"/>
          <w:sz w:val="28"/>
          <w:szCs w:val="28"/>
        </w:rPr>
        <w:t>根据</w:t>
      </w:r>
      <w:r>
        <w:rPr>
          <w:rFonts w:ascii="Times New Roman" w:hAnsi="Times New Roman" w:eastAsia="宋体" w:cs="Calibri"/>
          <w:bCs w:val="0"/>
          <w:color w:val="auto"/>
          <w:kern w:val="2"/>
          <w:sz w:val="28"/>
          <w:szCs w:val="28"/>
        </w:rPr>
        <w:t>上表所述</w:t>
      </w:r>
      <w:r>
        <w:rPr>
          <w:rFonts w:hint="eastAsia" w:ascii="Times New Roman" w:hAnsi="Times New Roman" w:eastAsia="宋体" w:cs="Calibri"/>
          <w:bCs w:val="0"/>
          <w:color w:val="auto"/>
          <w:kern w:val="2"/>
          <w:sz w:val="28"/>
          <w:szCs w:val="28"/>
        </w:rPr>
        <w:t>，均符合要求</w:t>
      </w:r>
      <w:r>
        <w:rPr>
          <w:rFonts w:ascii="Times New Roman" w:hAnsi="Times New Roman" w:eastAsia="宋体" w:cs="Calibri"/>
          <w:bCs w:val="0"/>
          <w:color w:val="auto"/>
          <w:kern w:val="2"/>
          <w:sz w:val="28"/>
          <w:szCs w:val="28"/>
        </w:rPr>
        <w:t>。</w:t>
      </w:r>
      <w:bookmarkStart w:id="199" w:name="_Toc92712600"/>
      <w:bookmarkStart w:id="200" w:name="_Toc12089"/>
      <w:bookmarkStart w:id="201" w:name="_Toc25641"/>
    </w:p>
    <w:p w14:paraId="5392B596">
      <w:pPr>
        <w:keepNext/>
        <w:keepLines/>
        <w:widowControl w:val="0"/>
        <w:spacing w:line="560" w:lineRule="exact"/>
        <w:jc w:val="center"/>
        <w:outlineLvl w:val="1"/>
        <w:rPr>
          <w:rFonts w:ascii="Times New Roman" w:hAnsi="Times New Roman" w:eastAsia="宋体" w:cs="Times New Roman"/>
          <w:b/>
          <w:bCs/>
          <w:color w:val="auto"/>
          <w:kern w:val="0"/>
          <w:sz w:val="30"/>
          <w:szCs w:val="30"/>
          <w:lang w:val="en-US" w:eastAsia="zh-CN" w:bidi="ar-SA"/>
        </w:rPr>
      </w:pPr>
      <w:bookmarkStart w:id="202" w:name="_Toc8132"/>
      <w:r>
        <w:rPr>
          <w:rFonts w:hint="eastAsia" w:ascii="Times New Roman" w:hAnsi="Times New Roman" w:eastAsia="宋体" w:cs="Times New Roman"/>
          <w:b/>
          <w:bCs/>
          <w:color w:val="auto"/>
          <w:kern w:val="0"/>
          <w:sz w:val="30"/>
          <w:szCs w:val="30"/>
          <w:lang w:val="en-US" w:eastAsia="zh-CN" w:bidi="ar-SA"/>
        </w:rPr>
        <w:t>5.14 安全经营条件评价</w:t>
      </w:r>
      <w:bookmarkEnd w:id="199"/>
      <w:bookmarkEnd w:id="200"/>
      <w:bookmarkEnd w:id="201"/>
      <w:bookmarkEnd w:id="202"/>
    </w:p>
    <w:p w14:paraId="25406E4C">
      <w:pPr>
        <w:spacing w:line="560" w:lineRule="exact"/>
        <w:ind w:firstLine="560" w:firstLineChars="200"/>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根据</w:t>
      </w:r>
      <w:r>
        <w:rPr>
          <w:rFonts w:ascii="Times New Roman" w:hAnsi="Times New Roman" w:eastAsia="宋体" w:cs="Calibri"/>
          <w:bCs w:val="0"/>
          <w:color w:val="auto"/>
          <w:kern w:val="2"/>
          <w:sz w:val="28"/>
          <w:szCs w:val="28"/>
        </w:rPr>
        <w:t>《危险化学品经营许可证管理办法》</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安监总局55号令</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第79号修正</w:t>
      </w:r>
      <w:r>
        <w:rPr>
          <w:rFonts w:hint="eastAsia" w:ascii="Times New Roman" w:hAnsi="Times New Roman" w:eastAsia="宋体" w:cs="Calibri"/>
          <w:bCs w:val="0"/>
          <w:color w:val="auto"/>
          <w:kern w:val="2"/>
          <w:sz w:val="28"/>
          <w:szCs w:val="28"/>
        </w:rPr>
        <w:t>）</w:t>
      </w:r>
      <w:r>
        <w:rPr>
          <w:rFonts w:ascii="Times New Roman" w:hAnsi="Times New Roman" w:eastAsia="宋体" w:cs="Calibri"/>
          <w:bCs w:val="0"/>
          <w:color w:val="auto"/>
          <w:kern w:val="2"/>
          <w:sz w:val="28"/>
          <w:szCs w:val="28"/>
        </w:rPr>
        <w:t>的要求</w:t>
      </w:r>
      <w:r>
        <w:rPr>
          <w:rFonts w:hint="eastAsia" w:ascii="Times New Roman" w:hAnsi="Times New Roman" w:eastAsia="宋体" w:cs="Calibri"/>
          <w:bCs w:val="0"/>
          <w:color w:val="auto"/>
          <w:kern w:val="2"/>
          <w:sz w:val="28"/>
          <w:szCs w:val="28"/>
        </w:rPr>
        <w:t>编制如下</w:t>
      </w:r>
      <w:r>
        <w:rPr>
          <w:rFonts w:ascii="Times New Roman" w:hAnsi="Times New Roman" w:eastAsia="宋体" w:cs="Calibri"/>
          <w:bCs w:val="0"/>
          <w:color w:val="auto"/>
          <w:kern w:val="2"/>
          <w:sz w:val="28"/>
          <w:szCs w:val="28"/>
        </w:rPr>
        <w:t>安全</w:t>
      </w:r>
      <w:r>
        <w:rPr>
          <w:rFonts w:hint="eastAsia" w:ascii="Times New Roman" w:hAnsi="Times New Roman" w:eastAsia="宋体" w:cs="Calibri"/>
          <w:bCs w:val="0"/>
          <w:color w:val="auto"/>
          <w:kern w:val="2"/>
          <w:sz w:val="28"/>
          <w:szCs w:val="28"/>
        </w:rPr>
        <w:t>经营</w:t>
      </w:r>
      <w:r>
        <w:rPr>
          <w:rFonts w:ascii="Times New Roman" w:hAnsi="Times New Roman" w:eastAsia="宋体" w:cs="Calibri"/>
          <w:bCs w:val="0"/>
          <w:color w:val="auto"/>
          <w:kern w:val="2"/>
          <w:sz w:val="28"/>
          <w:szCs w:val="28"/>
        </w:rPr>
        <w:t>条件</w:t>
      </w:r>
      <w:r>
        <w:rPr>
          <w:rFonts w:hint="eastAsia" w:ascii="Times New Roman" w:hAnsi="Times New Roman" w:eastAsia="宋体" w:cs="Calibri"/>
          <w:bCs w:val="0"/>
          <w:color w:val="auto"/>
          <w:kern w:val="2"/>
          <w:sz w:val="28"/>
          <w:szCs w:val="28"/>
        </w:rPr>
        <w:t>检查</w:t>
      </w:r>
      <w:r>
        <w:rPr>
          <w:rFonts w:ascii="Times New Roman" w:hAnsi="Times New Roman" w:eastAsia="宋体" w:cs="Calibri"/>
          <w:bCs w:val="0"/>
          <w:color w:val="auto"/>
          <w:kern w:val="2"/>
          <w:sz w:val="28"/>
          <w:szCs w:val="28"/>
        </w:rPr>
        <w:t>表</w:t>
      </w:r>
      <w:r>
        <w:rPr>
          <w:rFonts w:hint="eastAsia" w:ascii="Times New Roman" w:hAnsi="Times New Roman" w:eastAsia="宋体" w:cs="Calibri"/>
          <w:bCs w:val="0"/>
          <w:color w:val="auto"/>
          <w:kern w:val="2"/>
          <w:sz w:val="28"/>
          <w:szCs w:val="28"/>
        </w:rPr>
        <w:t>5.14-1</w:t>
      </w:r>
      <w:r>
        <w:rPr>
          <w:rFonts w:ascii="Times New Roman" w:hAnsi="Times New Roman" w:eastAsia="宋体" w:cs="Calibri"/>
          <w:bCs w:val="0"/>
          <w:color w:val="auto"/>
          <w:kern w:val="2"/>
          <w:sz w:val="28"/>
          <w:szCs w:val="28"/>
        </w:rPr>
        <w:t>。</w:t>
      </w:r>
    </w:p>
    <w:p w14:paraId="5F1C13A1">
      <w:pPr>
        <w:spacing w:line="560" w:lineRule="exact"/>
        <w:jc w:val="center"/>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表</w:t>
      </w:r>
      <w:r>
        <w:rPr>
          <w:rFonts w:hint="eastAsia" w:ascii="Times New Roman" w:hAnsi="Times New Roman" w:eastAsia="宋体" w:cs="Calibri"/>
          <w:bCs w:val="0"/>
          <w:color w:val="auto"/>
          <w:kern w:val="2"/>
          <w:sz w:val="28"/>
          <w:szCs w:val="28"/>
        </w:rPr>
        <w:t>5.14-1  安全经营条件评价</w:t>
      </w:r>
      <w:r>
        <w:rPr>
          <w:rFonts w:ascii="Times New Roman" w:hAnsi="Times New Roman" w:eastAsia="宋体" w:cs="Calibri"/>
          <w:bCs w:val="0"/>
          <w:color w:val="auto"/>
          <w:kern w:val="2"/>
          <w:sz w:val="28"/>
          <w:szCs w:val="28"/>
        </w:rPr>
        <w:t>符合性评价表</w:t>
      </w:r>
    </w:p>
    <w:tbl>
      <w:tblPr>
        <w:tblStyle w:val="7"/>
        <w:tblW w:w="504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6"/>
        <w:gridCol w:w="5182"/>
        <w:gridCol w:w="1109"/>
        <w:gridCol w:w="1620"/>
        <w:gridCol w:w="601"/>
      </w:tblGrid>
      <w:tr w14:paraId="31082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68" w:type="pct"/>
            <w:vAlign w:val="center"/>
          </w:tcPr>
          <w:p w14:paraId="4619C0EC">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序号</w:t>
            </w:r>
          </w:p>
        </w:tc>
        <w:tc>
          <w:tcPr>
            <w:tcW w:w="2818" w:type="pct"/>
            <w:vAlign w:val="center"/>
          </w:tcPr>
          <w:p w14:paraId="29430C48">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检查内容</w:t>
            </w:r>
          </w:p>
        </w:tc>
        <w:tc>
          <w:tcPr>
            <w:tcW w:w="603" w:type="pct"/>
            <w:vAlign w:val="center"/>
          </w:tcPr>
          <w:p w14:paraId="53BE3B94">
            <w:pPr>
              <w:jc w:val="center"/>
              <w:rPr>
                <w:rFonts w:ascii="Times New Roman" w:hAnsi="Times New Roman" w:eastAsia="宋体" w:cs="Calibri"/>
                <w:b/>
                <w:bCs w:val="0"/>
                <w:color w:val="auto"/>
                <w:kern w:val="2"/>
              </w:rPr>
            </w:pPr>
            <w:r>
              <w:rPr>
                <w:rFonts w:hint="eastAsia" w:ascii="Times New Roman" w:hAnsi="Times New Roman" w:eastAsia="宋体" w:cs="Calibri"/>
                <w:b/>
                <w:bCs w:val="0"/>
                <w:color w:val="auto"/>
                <w:kern w:val="2"/>
              </w:rPr>
              <w:t>检查依据</w:t>
            </w:r>
          </w:p>
        </w:tc>
        <w:tc>
          <w:tcPr>
            <w:tcW w:w="881" w:type="pct"/>
            <w:vAlign w:val="center"/>
          </w:tcPr>
          <w:p w14:paraId="096762F2">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检查记录</w:t>
            </w:r>
          </w:p>
        </w:tc>
        <w:tc>
          <w:tcPr>
            <w:tcW w:w="326" w:type="pct"/>
            <w:vAlign w:val="center"/>
          </w:tcPr>
          <w:p w14:paraId="3DBB2730">
            <w:pPr>
              <w:jc w:val="center"/>
              <w:rPr>
                <w:rFonts w:ascii="Times New Roman" w:hAnsi="Times New Roman" w:eastAsia="宋体" w:cs="Calibri"/>
                <w:b/>
                <w:bCs w:val="0"/>
                <w:color w:val="auto"/>
                <w:kern w:val="2"/>
              </w:rPr>
            </w:pPr>
            <w:r>
              <w:rPr>
                <w:rFonts w:ascii="Times New Roman" w:hAnsi="Times New Roman" w:eastAsia="宋体" w:cs="Calibri"/>
                <w:b/>
                <w:bCs w:val="0"/>
                <w:color w:val="auto"/>
                <w:kern w:val="2"/>
              </w:rPr>
              <w:t>结论</w:t>
            </w:r>
          </w:p>
        </w:tc>
      </w:tr>
      <w:tr w14:paraId="2EB85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16C96E07">
            <w:pPr>
              <w:jc w:val="center"/>
              <w:rPr>
                <w:rFonts w:ascii="Times New Roman" w:hAnsi="Times New Roman" w:eastAsia="宋体" w:cs="Calibri"/>
                <w:bCs w:val="0"/>
                <w:color w:val="auto"/>
                <w:kern w:val="2"/>
              </w:rPr>
            </w:pPr>
            <w:r>
              <w:rPr>
                <w:rFonts w:ascii="Times New Roman" w:hAnsi="Times New Roman" w:eastAsia="宋体" w:cs="Calibri"/>
                <w:bCs w:val="0"/>
                <w:color w:val="auto"/>
                <w:kern w:val="2"/>
              </w:rPr>
              <w:t>1</w:t>
            </w:r>
          </w:p>
        </w:tc>
        <w:tc>
          <w:tcPr>
            <w:tcW w:w="2818" w:type="pct"/>
            <w:vAlign w:val="center"/>
          </w:tcPr>
          <w:p w14:paraId="6CACCC5E">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从事危险化学品经营的单位（以下统称申请人）应当依法登记注册为企业，并具备下列基本条件：</w:t>
            </w:r>
          </w:p>
        </w:tc>
        <w:tc>
          <w:tcPr>
            <w:tcW w:w="603" w:type="pct"/>
            <w:tcBorders>
              <w:bottom w:val="single" w:color="auto" w:sz="4" w:space="0"/>
            </w:tcBorders>
            <w:vAlign w:val="center"/>
          </w:tcPr>
          <w:p w14:paraId="5E15CBF8">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第六条</w:t>
            </w:r>
          </w:p>
        </w:tc>
        <w:tc>
          <w:tcPr>
            <w:tcW w:w="1208" w:type="pct"/>
            <w:gridSpan w:val="2"/>
            <w:vAlign w:val="center"/>
          </w:tcPr>
          <w:p w14:paraId="2E2E4B08">
            <w:pPr>
              <w:rPr>
                <w:rFonts w:ascii="Times New Roman" w:hAnsi="Times New Roman" w:eastAsia="宋体" w:cs="Calibri"/>
                <w:bCs w:val="0"/>
                <w:color w:val="auto"/>
                <w:kern w:val="2"/>
              </w:rPr>
            </w:pPr>
          </w:p>
        </w:tc>
      </w:tr>
      <w:tr w14:paraId="76C35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4B0026F3">
            <w:pPr>
              <w:spacing w:line="34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1.1</w:t>
            </w:r>
          </w:p>
        </w:tc>
        <w:tc>
          <w:tcPr>
            <w:tcW w:w="2818" w:type="pct"/>
            <w:vAlign w:val="center"/>
          </w:tcPr>
          <w:p w14:paraId="63E4FBDB">
            <w:pPr>
              <w:spacing w:line="34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（一）经营和储存场所、设施、建筑物符合《汽车加油加气加氢站技术标准》（GB 50156-2021）、《建筑设计防火规范》（GB 50016）、《石油化工企业设计防火规范》（GB 50160）、《石油库设计规范》（GB 50074）等相关国家标准、行业标准的规定。</w:t>
            </w:r>
          </w:p>
        </w:tc>
        <w:tc>
          <w:tcPr>
            <w:tcW w:w="603" w:type="pct"/>
            <w:vMerge w:val="restart"/>
            <w:tcBorders>
              <w:top w:val="single" w:color="auto" w:sz="4" w:space="0"/>
            </w:tcBorders>
            <w:vAlign w:val="center"/>
          </w:tcPr>
          <w:p w14:paraId="1E1AE90D">
            <w:pPr>
              <w:spacing w:line="340" w:lineRule="exact"/>
              <w:jc w:val="center"/>
              <w:rPr>
                <w:rFonts w:ascii="Times New Roman" w:hAnsi="Times New Roman" w:eastAsia="宋体" w:cs="Calibri"/>
                <w:bCs w:val="0"/>
                <w:color w:val="auto"/>
                <w:kern w:val="2"/>
              </w:rPr>
            </w:pPr>
          </w:p>
        </w:tc>
        <w:tc>
          <w:tcPr>
            <w:tcW w:w="881" w:type="pct"/>
            <w:vAlign w:val="center"/>
          </w:tcPr>
          <w:p w14:paraId="436495DF">
            <w:pPr>
              <w:spacing w:line="34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经营和储存场所、设施、建筑物符合相关国家标准、行业标准的规定</w:t>
            </w:r>
          </w:p>
        </w:tc>
        <w:tc>
          <w:tcPr>
            <w:tcW w:w="326" w:type="pct"/>
            <w:vAlign w:val="center"/>
          </w:tcPr>
          <w:p w14:paraId="0462042B">
            <w:pPr>
              <w:spacing w:line="34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符合要求</w:t>
            </w:r>
          </w:p>
        </w:tc>
      </w:tr>
      <w:tr w14:paraId="3BC76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5646583">
            <w:pPr>
              <w:spacing w:line="34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1.2</w:t>
            </w:r>
          </w:p>
        </w:tc>
        <w:tc>
          <w:tcPr>
            <w:tcW w:w="2818" w:type="pct"/>
            <w:vAlign w:val="center"/>
          </w:tcPr>
          <w:p w14:paraId="0C1EE977">
            <w:pPr>
              <w:spacing w:line="34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二）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w:t>
            </w:r>
          </w:p>
        </w:tc>
        <w:tc>
          <w:tcPr>
            <w:tcW w:w="603" w:type="pct"/>
            <w:vMerge w:val="continue"/>
            <w:vAlign w:val="center"/>
          </w:tcPr>
          <w:p w14:paraId="6EBA0E01">
            <w:pPr>
              <w:spacing w:line="340" w:lineRule="exact"/>
              <w:jc w:val="center"/>
              <w:rPr>
                <w:rFonts w:ascii="Times New Roman" w:hAnsi="Times New Roman" w:eastAsia="宋体" w:cs="Calibri"/>
                <w:bCs w:val="0"/>
                <w:color w:val="auto"/>
                <w:kern w:val="2"/>
              </w:rPr>
            </w:pPr>
          </w:p>
        </w:tc>
        <w:tc>
          <w:tcPr>
            <w:tcW w:w="881" w:type="pct"/>
            <w:vAlign w:val="center"/>
          </w:tcPr>
          <w:p w14:paraId="5D055394">
            <w:pPr>
              <w:spacing w:line="340" w:lineRule="exact"/>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主要负责人和安全生产管理人员考核合格并取证</w:t>
            </w:r>
          </w:p>
        </w:tc>
        <w:tc>
          <w:tcPr>
            <w:tcW w:w="326" w:type="pct"/>
            <w:vAlign w:val="center"/>
          </w:tcPr>
          <w:p w14:paraId="5ABF1833">
            <w:pPr>
              <w:spacing w:line="340" w:lineRule="exact"/>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符合要求</w:t>
            </w:r>
          </w:p>
        </w:tc>
      </w:tr>
      <w:tr w14:paraId="1E4B4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75A7C356">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1.3</w:t>
            </w:r>
          </w:p>
        </w:tc>
        <w:tc>
          <w:tcPr>
            <w:tcW w:w="2818" w:type="pct"/>
            <w:vAlign w:val="center"/>
          </w:tcPr>
          <w:p w14:paraId="2E4F8D10">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（三）有健全的安全生产规章制度和岗位操作规程。</w:t>
            </w:r>
          </w:p>
        </w:tc>
        <w:tc>
          <w:tcPr>
            <w:tcW w:w="603" w:type="pct"/>
            <w:vMerge w:val="continue"/>
            <w:vAlign w:val="center"/>
          </w:tcPr>
          <w:p w14:paraId="0C229489">
            <w:pPr>
              <w:jc w:val="center"/>
              <w:rPr>
                <w:rFonts w:ascii="Times New Roman" w:hAnsi="Times New Roman" w:eastAsia="宋体" w:cs="Calibri"/>
                <w:bCs w:val="0"/>
                <w:color w:val="auto"/>
                <w:kern w:val="2"/>
              </w:rPr>
            </w:pPr>
          </w:p>
        </w:tc>
        <w:tc>
          <w:tcPr>
            <w:tcW w:w="881" w:type="pct"/>
            <w:vAlign w:val="center"/>
          </w:tcPr>
          <w:p w14:paraId="4B5659A9">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建立了制度和规程</w:t>
            </w:r>
          </w:p>
        </w:tc>
        <w:tc>
          <w:tcPr>
            <w:tcW w:w="326" w:type="pct"/>
            <w:vAlign w:val="center"/>
          </w:tcPr>
          <w:p w14:paraId="20BDD44D">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符合要求</w:t>
            </w:r>
          </w:p>
        </w:tc>
      </w:tr>
      <w:tr w14:paraId="6A37F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A654D20">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1.4</w:t>
            </w:r>
          </w:p>
        </w:tc>
        <w:tc>
          <w:tcPr>
            <w:tcW w:w="2818" w:type="pct"/>
            <w:vAlign w:val="center"/>
          </w:tcPr>
          <w:p w14:paraId="37E3C2A3">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（四）有符合国家规定的危险化学品事故应急预案，并配备必要的应急救援器材、设备。</w:t>
            </w:r>
          </w:p>
        </w:tc>
        <w:tc>
          <w:tcPr>
            <w:tcW w:w="603" w:type="pct"/>
            <w:vMerge w:val="continue"/>
            <w:vAlign w:val="center"/>
          </w:tcPr>
          <w:p w14:paraId="4158A1D6">
            <w:pPr>
              <w:jc w:val="center"/>
              <w:rPr>
                <w:rFonts w:ascii="Times New Roman" w:hAnsi="Times New Roman" w:eastAsia="宋体" w:cs="Calibri"/>
                <w:bCs w:val="0"/>
                <w:color w:val="auto"/>
                <w:kern w:val="2"/>
              </w:rPr>
            </w:pPr>
          </w:p>
        </w:tc>
        <w:tc>
          <w:tcPr>
            <w:tcW w:w="881" w:type="pct"/>
            <w:vAlign w:val="center"/>
          </w:tcPr>
          <w:p w14:paraId="78F3412A">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有事故应急预案并备案，配备必要的应急救援器材、设备</w:t>
            </w:r>
          </w:p>
        </w:tc>
        <w:tc>
          <w:tcPr>
            <w:tcW w:w="326" w:type="pct"/>
            <w:vAlign w:val="center"/>
          </w:tcPr>
          <w:p w14:paraId="20EB6509">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符合要求</w:t>
            </w:r>
          </w:p>
        </w:tc>
      </w:tr>
      <w:tr w14:paraId="1FA1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21A3578B">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1.5</w:t>
            </w:r>
          </w:p>
        </w:tc>
        <w:tc>
          <w:tcPr>
            <w:tcW w:w="2818" w:type="pct"/>
            <w:vAlign w:val="center"/>
          </w:tcPr>
          <w:p w14:paraId="24947EAF">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（五）法律、法规和国家标准或者行业标准规定的其他安全生产条件。</w:t>
            </w:r>
          </w:p>
          <w:p w14:paraId="6E03130F">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tc>
        <w:tc>
          <w:tcPr>
            <w:tcW w:w="603" w:type="pct"/>
            <w:vMerge w:val="continue"/>
            <w:vAlign w:val="center"/>
          </w:tcPr>
          <w:p w14:paraId="7950186D">
            <w:pPr>
              <w:jc w:val="center"/>
              <w:rPr>
                <w:rFonts w:ascii="Times New Roman" w:hAnsi="Times New Roman" w:eastAsia="宋体" w:cs="Calibri"/>
                <w:bCs w:val="0"/>
                <w:color w:val="auto"/>
                <w:kern w:val="2"/>
              </w:rPr>
            </w:pPr>
          </w:p>
        </w:tc>
        <w:tc>
          <w:tcPr>
            <w:tcW w:w="881" w:type="pct"/>
            <w:vAlign w:val="center"/>
          </w:tcPr>
          <w:p w14:paraId="292FE841">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有相关安全生产规章制度</w:t>
            </w:r>
          </w:p>
        </w:tc>
        <w:tc>
          <w:tcPr>
            <w:tcW w:w="326" w:type="pct"/>
            <w:vAlign w:val="center"/>
          </w:tcPr>
          <w:p w14:paraId="71351305">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符合要求</w:t>
            </w:r>
          </w:p>
        </w:tc>
      </w:tr>
      <w:tr w14:paraId="7F98E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05FF680C">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2</w:t>
            </w:r>
          </w:p>
        </w:tc>
        <w:tc>
          <w:tcPr>
            <w:tcW w:w="2818" w:type="pct"/>
            <w:vAlign w:val="center"/>
          </w:tcPr>
          <w:p w14:paraId="6D432DF7">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申请人经营剧毒化学品的，除符合本办法第六条规定的条件外，还应当建立剧毒化学品双人验收、双人保管、双人发货、双把锁、双本账等管理制度。</w:t>
            </w:r>
          </w:p>
        </w:tc>
        <w:tc>
          <w:tcPr>
            <w:tcW w:w="603" w:type="pct"/>
            <w:vAlign w:val="center"/>
          </w:tcPr>
          <w:p w14:paraId="27886DEB">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第七条</w:t>
            </w:r>
          </w:p>
        </w:tc>
        <w:tc>
          <w:tcPr>
            <w:tcW w:w="881" w:type="pct"/>
            <w:vAlign w:val="center"/>
          </w:tcPr>
          <w:p w14:paraId="3AA88267">
            <w:pP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不涉及经营剧毒化学品</w:t>
            </w:r>
          </w:p>
        </w:tc>
        <w:tc>
          <w:tcPr>
            <w:tcW w:w="326" w:type="pct"/>
            <w:vAlign w:val="center"/>
          </w:tcPr>
          <w:p w14:paraId="338081EF">
            <w:pPr>
              <w:jc w:val="center"/>
              <w:rPr>
                <w:rFonts w:ascii="Times New Roman" w:hAnsi="Times New Roman" w:eastAsia="宋体" w:cs="Calibri"/>
                <w:bCs w:val="0"/>
                <w:color w:val="auto"/>
                <w:kern w:val="2"/>
              </w:rPr>
            </w:pPr>
            <w:r>
              <w:rPr>
                <w:rFonts w:hint="eastAsia" w:ascii="Times New Roman" w:hAnsi="Times New Roman" w:eastAsia="宋体" w:cs="Calibri"/>
                <w:bCs w:val="0"/>
                <w:color w:val="auto"/>
                <w:kern w:val="2"/>
              </w:rPr>
              <w:t>符合要求</w:t>
            </w:r>
          </w:p>
        </w:tc>
      </w:tr>
    </w:tbl>
    <w:p w14:paraId="0E5CFF6C">
      <w:pPr>
        <w:spacing w:line="560" w:lineRule="exact"/>
        <w:ind w:firstLine="560" w:firstLineChars="200"/>
        <w:rPr>
          <w:rFonts w:ascii="Times New Roman" w:hAnsi="Times New Roman" w:eastAsia="宋体" w:cs="Calibri"/>
          <w:bCs w:val="0"/>
          <w:color w:val="auto"/>
          <w:kern w:val="2"/>
          <w:sz w:val="28"/>
          <w:szCs w:val="28"/>
        </w:rPr>
      </w:pPr>
      <w:r>
        <w:rPr>
          <w:rFonts w:ascii="Times New Roman" w:hAnsi="Times New Roman" w:eastAsia="宋体" w:cs="Calibri"/>
          <w:bCs w:val="0"/>
          <w:color w:val="auto"/>
          <w:kern w:val="2"/>
          <w:sz w:val="28"/>
          <w:szCs w:val="28"/>
        </w:rPr>
        <w:t>评价结论：</w:t>
      </w:r>
      <w:r>
        <w:rPr>
          <w:rFonts w:hint="eastAsia" w:ascii="Times New Roman" w:hAnsi="Times New Roman" w:eastAsia="宋体" w:cs="Calibri"/>
          <w:bCs w:val="0"/>
          <w:color w:val="auto"/>
          <w:kern w:val="2"/>
          <w:sz w:val="28"/>
          <w:szCs w:val="28"/>
        </w:rPr>
        <w:t>该加油站的安全经营条件评价符合要求</w:t>
      </w:r>
      <w:r>
        <w:rPr>
          <w:rFonts w:ascii="Times New Roman" w:hAnsi="Times New Roman" w:eastAsia="宋体" w:cs="Calibri"/>
          <w:bCs w:val="0"/>
          <w:color w:val="auto"/>
          <w:kern w:val="2"/>
          <w:sz w:val="28"/>
          <w:szCs w:val="28"/>
        </w:rPr>
        <w:t>。</w:t>
      </w:r>
    </w:p>
    <w:p w14:paraId="4CF4D4EA">
      <w:pPr>
        <w:keepNext/>
        <w:keepLines/>
        <w:widowControl w:val="0"/>
        <w:spacing w:line="560" w:lineRule="exact"/>
        <w:jc w:val="center"/>
        <w:outlineLvl w:val="1"/>
        <w:rPr>
          <w:rFonts w:ascii="Times New Roman" w:hAnsi="Times New Roman" w:eastAsia="宋体" w:cs="Times New Roman"/>
          <w:b/>
          <w:bCs/>
          <w:color w:val="auto"/>
          <w:kern w:val="0"/>
          <w:sz w:val="30"/>
          <w:szCs w:val="30"/>
          <w:lang w:val="en-US" w:eastAsia="zh-CN" w:bidi="ar-SA"/>
        </w:rPr>
      </w:pPr>
      <w:bookmarkStart w:id="203" w:name="_Toc4370"/>
      <w:bookmarkStart w:id="204" w:name="_Toc15085"/>
      <w:r>
        <w:rPr>
          <w:rFonts w:hint="eastAsia" w:ascii="Times New Roman" w:hAnsi="Times New Roman" w:eastAsia="宋体" w:cs="Times New Roman"/>
          <w:b/>
          <w:bCs/>
          <w:color w:val="auto"/>
          <w:kern w:val="0"/>
          <w:sz w:val="30"/>
          <w:szCs w:val="30"/>
          <w:lang w:val="en-US" w:eastAsia="zh-CN" w:bidi="ar-SA"/>
        </w:rPr>
        <w:t>5.15 安全设施符合性诊断及整改设计提出的对策措施采纳情况</w:t>
      </w:r>
      <w:bookmarkEnd w:id="203"/>
    </w:p>
    <w:p w14:paraId="722B85D2">
      <w:pPr>
        <w:widowControl/>
        <w:tabs>
          <w:tab w:val="left" w:pos="7140"/>
        </w:tabs>
        <w:spacing w:line="560" w:lineRule="exact"/>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对照《中国石化销售股份有限公司</w:t>
      </w:r>
      <w:r>
        <w:rPr>
          <w:rFonts w:hint="eastAsia" w:ascii="Times New Roman" w:hAnsi="Times New Roman" w:eastAsia="宋体" w:cs="宋体"/>
          <w:bCs w:val="0"/>
          <w:color w:val="auto"/>
          <w:kern w:val="2"/>
          <w:sz w:val="28"/>
          <w:szCs w:val="28"/>
          <w:lang w:eastAsia="zh-CN"/>
        </w:rPr>
        <w:t>江西赣州兴国石油分公司南坑加油站</w:t>
      </w:r>
      <w:r>
        <w:rPr>
          <w:rFonts w:hint="eastAsia" w:ascii="Times New Roman" w:hAnsi="Times New Roman" w:eastAsia="宋体" w:cs="宋体"/>
          <w:bCs w:val="0"/>
          <w:color w:val="auto"/>
          <w:kern w:val="2"/>
          <w:sz w:val="28"/>
          <w:szCs w:val="28"/>
        </w:rPr>
        <w:t>安全设施符合性诊断及整改设计》，项目诊断及整改设计中提出的安全对策措施采纳情况见下表。</w:t>
      </w:r>
    </w:p>
    <w:p w14:paraId="4298E6A5">
      <w:pPr>
        <w:jc w:val="center"/>
        <w:rPr>
          <w:rFonts w:ascii="Times New Roman" w:hAnsi="Times New Roman" w:eastAsia="宋体" w:cs="宋体"/>
          <w:b/>
          <w:bCs/>
          <w:color w:val="auto"/>
          <w:kern w:val="2"/>
        </w:rPr>
      </w:pPr>
      <w:r>
        <w:rPr>
          <w:rFonts w:hint="eastAsia" w:ascii="Times New Roman" w:hAnsi="Times New Roman" w:eastAsia="宋体" w:cs="宋体"/>
          <w:b/>
          <w:bCs/>
          <w:color w:val="auto"/>
          <w:kern w:val="2"/>
        </w:rPr>
        <w:t>表</w:t>
      </w:r>
      <w:r>
        <w:rPr>
          <w:rFonts w:hint="eastAsia" w:ascii="Times New Roman" w:hAnsi="Times New Roman" w:eastAsia="宋体" w:cs="Times New Roman"/>
          <w:b/>
          <w:bCs/>
          <w:color w:val="auto"/>
          <w:kern w:val="2"/>
        </w:rPr>
        <w:t>5</w:t>
      </w:r>
      <w:r>
        <w:rPr>
          <w:rFonts w:ascii="Times New Roman" w:hAnsi="Times New Roman" w:eastAsia="宋体" w:cs="Times New Roman"/>
          <w:b/>
          <w:bCs/>
          <w:color w:val="auto"/>
          <w:kern w:val="2"/>
        </w:rPr>
        <w:t>.</w:t>
      </w:r>
      <w:r>
        <w:rPr>
          <w:rFonts w:hint="eastAsia" w:ascii="Times New Roman" w:hAnsi="Times New Roman" w:eastAsia="宋体" w:cs="Times New Roman"/>
          <w:b/>
          <w:bCs/>
          <w:color w:val="auto"/>
          <w:kern w:val="2"/>
        </w:rPr>
        <w:t>15-1</w:t>
      </w:r>
      <w:r>
        <w:rPr>
          <w:rFonts w:ascii="Times New Roman" w:hAnsi="Times New Roman" w:eastAsia="宋体" w:cs="Times New Roman"/>
          <w:b/>
          <w:bCs/>
          <w:color w:val="auto"/>
          <w:kern w:val="2"/>
        </w:rPr>
        <w:t xml:space="preserve"> </w:t>
      </w:r>
      <w:r>
        <w:rPr>
          <w:rFonts w:hint="eastAsia" w:ascii="Times New Roman" w:hAnsi="Times New Roman" w:eastAsia="宋体" w:cs="宋体"/>
          <w:b/>
          <w:bCs/>
          <w:color w:val="auto"/>
          <w:kern w:val="2"/>
        </w:rPr>
        <w:t>安全设施符合性诊断及整改设计中提出的安全措施采纳情况一览表</w:t>
      </w:r>
    </w:p>
    <w:tbl>
      <w:tblPr>
        <w:tblStyle w:val="7"/>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5930"/>
        <w:gridCol w:w="1580"/>
        <w:gridCol w:w="870"/>
      </w:tblGrid>
      <w:tr w14:paraId="0B26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82" w:type="dxa"/>
            <w:vAlign w:val="center"/>
          </w:tcPr>
          <w:p w14:paraId="110B0D8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宋体"/>
                <w:b/>
                <w:bCs/>
                <w:color w:val="auto"/>
                <w:kern w:val="2"/>
                <w:sz w:val="18"/>
                <w:szCs w:val="18"/>
              </w:rPr>
              <w:t>序号</w:t>
            </w:r>
          </w:p>
        </w:tc>
        <w:tc>
          <w:tcPr>
            <w:tcW w:w="5930" w:type="dxa"/>
            <w:vAlign w:val="center"/>
          </w:tcPr>
          <w:p w14:paraId="7F90B3E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宋体"/>
                <w:b/>
                <w:bCs/>
                <w:color w:val="auto"/>
                <w:kern w:val="2"/>
                <w:sz w:val="18"/>
                <w:szCs w:val="18"/>
              </w:rPr>
              <w:t>诊断及整改设计中提出的安全对策措施</w:t>
            </w:r>
          </w:p>
        </w:tc>
        <w:tc>
          <w:tcPr>
            <w:tcW w:w="1580" w:type="dxa"/>
            <w:vAlign w:val="center"/>
          </w:tcPr>
          <w:p w14:paraId="62C8D70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宋体"/>
                <w:b/>
                <w:bCs/>
                <w:color w:val="auto"/>
                <w:kern w:val="2"/>
                <w:sz w:val="18"/>
                <w:szCs w:val="18"/>
              </w:rPr>
              <w:t>现场情况</w:t>
            </w:r>
          </w:p>
        </w:tc>
        <w:tc>
          <w:tcPr>
            <w:tcW w:w="870" w:type="dxa"/>
            <w:vAlign w:val="center"/>
          </w:tcPr>
          <w:p w14:paraId="18D7152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宋体"/>
                <w:b/>
                <w:bCs/>
                <w:color w:val="auto"/>
                <w:kern w:val="2"/>
                <w:sz w:val="18"/>
                <w:szCs w:val="18"/>
              </w:rPr>
              <w:t>采纳情况</w:t>
            </w:r>
          </w:p>
        </w:tc>
      </w:tr>
      <w:tr w14:paraId="77AC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82" w:type="dxa"/>
          </w:tcPr>
          <w:p w14:paraId="051524F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65BDB14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.1 </w:t>
            </w:r>
            <w:r>
              <w:rPr>
                <w:rFonts w:hint="eastAsia" w:ascii="Times New Roman" w:hAnsi="Times New Roman" w:eastAsia="宋体" w:cs="宋体"/>
                <w:b/>
                <w:bCs/>
                <w:color w:val="auto"/>
                <w:kern w:val="2"/>
                <w:sz w:val="18"/>
                <w:szCs w:val="18"/>
              </w:rPr>
              <w:t>工艺系统的安全设施设计</w:t>
            </w:r>
          </w:p>
        </w:tc>
      </w:tr>
      <w:tr w14:paraId="4BD8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2" w:type="dxa"/>
          </w:tcPr>
          <w:p w14:paraId="1325C4B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61D5531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.1.1 </w:t>
            </w:r>
            <w:r>
              <w:rPr>
                <w:rFonts w:hint="eastAsia" w:ascii="Times New Roman" w:hAnsi="Times New Roman" w:eastAsia="宋体" w:cs="宋体"/>
                <w:b/>
                <w:bCs/>
                <w:color w:val="auto"/>
                <w:kern w:val="2"/>
                <w:sz w:val="18"/>
                <w:szCs w:val="18"/>
              </w:rPr>
              <w:t>工艺过程采取的防火、防爆、防尘、防泄漏、防毒、防腐蚀等主要措施</w:t>
            </w:r>
          </w:p>
        </w:tc>
      </w:tr>
      <w:tr w14:paraId="4C37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2487BD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Cs w:val="0"/>
                <w:color w:val="auto"/>
                <w:kern w:val="2"/>
                <w:sz w:val="18"/>
                <w:szCs w:val="18"/>
                <w:lang w:val="en-US" w:eastAsia="zh-CN"/>
              </w:rPr>
              <w:t>1、</w:t>
            </w:r>
            <w:r>
              <w:rPr>
                <w:rFonts w:hint="eastAsia" w:ascii="Times New Roman" w:hAnsi="Times New Roman" w:eastAsia="宋体" w:cs="宋体"/>
                <w:bCs w:val="0"/>
                <w:color w:val="auto"/>
                <w:kern w:val="2"/>
                <w:sz w:val="18"/>
                <w:szCs w:val="18"/>
              </w:rPr>
              <w:t>防泄漏措施</w:t>
            </w:r>
          </w:p>
        </w:tc>
        <w:tc>
          <w:tcPr>
            <w:tcW w:w="5930" w:type="dxa"/>
            <w:vAlign w:val="center"/>
          </w:tcPr>
          <w:p w14:paraId="068E2F3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项目根据工艺技术特点，加油系统采用常压、常温操作，且保持密闭生产，油罐设置液位计以及高液位报警及卸油防溢阀，以减少汽油、柴油的泄漏。</w:t>
            </w:r>
          </w:p>
        </w:tc>
        <w:tc>
          <w:tcPr>
            <w:tcW w:w="1580" w:type="dxa"/>
            <w:vAlign w:val="center"/>
          </w:tcPr>
          <w:p w14:paraId="79A745A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加油系统常压常温操作，油罐设置液位报警及防溢阀等措施</w:t>
            </w:r>
          </w:p>
        </w:tc>
        <w:tc>
          <w:tcPr>
            <w:tcW w:w="870" w:type="dxa"/>
            <w:vAlign w:val="center"/>
          </w:tcPr>
          <w:p w14:paraId="2B9863A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8C0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682" w:type="dxa"/>
            <w:vMerge w:val="continue"/>
            <w:vAlign w:val="center"/>
          </w:tcPr>
          <w:p w14:paraId="22E48E8E">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0A1084F1">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对于设备及管道严格按规范要求确定设计压力及设计温度，按规</w:t>
            </w:r>
          </w:p>
          <w:p w14:paraId="3942A1B7">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范要求进行设备选型，项目油罐采用内钢外玻璃纤维增强塑料双层油罐</w:t>
            </w:r>
          </w:p>
          <w:p w14:paraId="7C53DFD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（SF双层罐，Φ2.6×6m，V=30m³），内层钢制罐体的厚度至少为7mm，</w:t>
            </w:r>
          </w:p>
          <w:p w14:paraId="12BBBAA5">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tc>
        <w:tc>
          <w:tcPr>
            <w:tcW w:w="1580" w:type="dxa"/>
            <w:vAlign w:val="center"/>
          </w:tcPr>
          <w:p w14:paraId="5A8EE52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Cs w:val="0"/>
                <w:color w:val="auto"/>
                <w:kern w:val="2"/>
              </w:rPr>
              <w:t>SF双层储罐</w:t>
            </w:r>
          </w:p>
        </w:tc>
        <w:tc>
          <w:tcPr>
            <w:tcW w:w="870" w:type="dxa"/>
            <w:vAlign w:val="center"/>
          </w:tcPr>
          <w:p w14:paraId="1887BDB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751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682" w:type="dxa"/>
            <w:vMerge w:val="continue"/>
            <w:vAlign w:val="center"/>
          </w:tcPr>
          <w:p w14:paraId="2A050E65">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04B9BFB0">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油、柴油输油管道选用双层复合管线（无孔隙聚乙烯材料）在双层复合管线低点设置泄漏检测点，可定时查看。埋地部分的热塑性塑料管道采用配套的专用连接管件电熔连接，热塑性塑料管道与无缝钢管之间采用配套的专用钢塑转换接头连接；通气管和露出地面以上的管道采用无缝钢管，无缝钢管的公称壁厚不小于4mm，埋地钢管的连接采用焊接。</w:t>
            </w:r>
          </w:p>
        </w:tc>
        <w:tc>
          <w:tcPr>
            <w:tcW w:w="1580" w:type="dxa"/>
            <w:vAlign w:val="center"/>
          </w:tcPr>
          <w:p w14:paraId="27DBD5E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按要求设置；工艺管道按要求进行选型</w:t>
            </w:r>
          </w:p>
        </w:tc>
        <w:tc>
          <w:tcPr>
            <w:tcW w:w="870" w:type="dxa"/>
            <w:vAlign w:val="center"/>
          </w:tcPr>
          <w:p w14:paraId="25FB112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432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D6285FE">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43DE56D0">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柴油通气管、汽油通气管分开设置，通气管管口高出地面4m，柴油设置阻火通气帽，汽油通气管设置机械呼吸阀（带阻火器）。</w:t>
            </w:r>
          </w:p>
        </w:tc>
        <w:tc>
          <w:tcPr>
            <w:tcW w:w="1580" w:type="dxa"/>
            <w:vAlign w:val="center"/>
          </w:tcPr>
          <w:p w14:paraId="6E9FDDA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汽油和柴油通气管分开设置，通气管管口</w:t>
            </w:r>
            <w:r>
              <w:rPr>
                <w:rFonts w:hint="eastAsia" w:ascii="Times New Roman" w:hAnsi="Times New Roman" w:eastAsia="宋体" w:cs="Times New Roman"/>
                <w:bCs w:val="0"/>
                <w:color w:val="auto"/>
                <w:kern w:val="2"/>
                <w:sz w:val="18"/>
                <w:szCs w:val="18"/>
                <w:lang w:val="zh-CN" w:eastAsia="zh-CN"/>
              </w:rPr>
              <w:t>高出地面4m</w:t>
            </w:r>
            <w:r>
              <w:rPr>
                <w:rFonts w:hint="eastAsia" w:ascii="Times New Roman" w:hAnsi="Times New Roman" w:eastAsia="宋体" w:cs="Times New Roman"/>
                <w:bCs w:val="0"/>
                <w:color w:val="auto"/>
                <w:kern w:val="2"/>
                <w:sz w:val="18"/>
                <w:szCs w:val="18"/>
              </w:rPr>
              <w:t>，柴油设置阻火通气帽，汽油通气管设置机械呼吸阀（带阻火器）。</w:t>
            </w:r>
          </w:p>
        </w:tc>
        <w:tc>
          <w:tcPr>
            <w:tcW w:w="870" w:type="dxa"/>
            <w:vAlign w:val="center"/>
          </w:tcPr>
          <w:p w14:paraId="4F7CB9C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5DE8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6241E0">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3ADB10D3">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卸油管道设有防溢阀，防止因油量过满导致泄漏，另外站房内设有液位控制器，对油罐的液位进行实时监控，油料达到油罐容量90%时，能触动高液位报警装置；汽油卸油时采用阳接头接口，柴油卸油</w:t>
            </w:r>
            <w:r>
              <w:rPr>
                <w:rFonts w:hint="eastAsia" w:ascii="Times New Roman" w:hAnsi="Times New Roman" w:eastAsia="宋体" w:cs="Times New Roman"/>
                <w:bCs w:val="0"/>
                <w:color w:val="auto"/>
                <w:kern w:val="2"/>
                <w:sz w:val="18"/>
                <w:szCs w:val="18"/>
                <w:lang w:eastAsia="zh-CN"/>
              </w:rPr>
              <w:t>时</w:t>
            </w:r>
            <w:r>
              <w:rPr>
                <w:rFonts w:hint="eastAsia" w:ascii="Times New Roman" w:hAnsi="Times New Roman" w:eastAsia="宋体" w:cs="Times New Roman"/>
                <w:bCs w:val="0"/>
                <w:color w:val="auto"/>
                <w:kern w:val="2"/>
                <w:sz w:val="18"/>
                <w:szCs w:val="18"/>
              </w:rPr>
              <w:t>采用阴接头接口，卸油管道设有防溢阀，油料达到油罐容量95%时，自动停止油品继续进罐。</w:t>
            </w:r>
          </w:p>
        </w:tc>
        <w:tc>
          <w:tcPr>
            <w:tcW w:w="1580" w:type="dxa"/>
            <w:vAlign w:val="center"/>
          </w:tcPr>
          <w:p w14:paraId="73D843B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卸油管道设有防溢阀；油罐设置液位仪，高限报警，高高限停止进料</w:t>
            </w:r>
          </w:p>
        </w:tc>
        <w:tc>
          <w:tcPr>
            <w:tcW w:w="870" w:type="dxa"/>
            <w:vAlign w:val="center"/>
          </w:tcPr>
          <w:p w14:paraId="34915D6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59C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76557C">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4D155CF9">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油罐人孔上设置高液位报警，当油料达到油罐容量的90%时，能触动高液位报警装置；当油料达到油罐容量的95%时，卸油管线处设置的卸油防溢阀能自动停止油料继续进入油罐。</w:t>
            </w:r>
          </w:p>
        </w:tc>
        <w:tc>
          <w:tcPr>
            <w:tcW w:w="1580" w:type="dxa"/>
            <w:vAlign w:val="center"/>
          </w:tcPr>
          <w:p w14:paraId="488DC61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油罐设置液位仪，高限报警，高高限停止进料</w:t>
            </w:r>
          </w:p>
        </w:tc>
        <w:tc>
          <w:tcPr>
            <w:tcW w:w="870" w:type="dxa"/>
            <w:vAlign w:val="center"/>
          </w:tcPr>
          <w:p w14:paraId="2E62584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8C8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B957FE0">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0D48600A">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汽油加油枪的流量不大于50L/min</w:t>
            </w:r>
          </w:p>
        </w:tc>
        <w:tc>
          <w:tcPr>
            <w:tcW w:w="1580" w:type="dxa"/>
            <w:vAlign w:val="center"/>
          </w:tcPr>
          <w:p w14:paraId="718C119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采用自封式加油枪，有防溢油措施</w:t>
            </w:r>
          </w:p>
        </w:tc>
        <w:tc>
          <w:tcPr>
            <w:tcW w:w="870" w:type="dxa"/>
            <w:vAlign w:val="center"/>
          </w:tcPr>
          <w:p w14:paraId="6F723F4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975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99C083A">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331CE551">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项目采用卸油油气回收与加油油气回收系统，减少在卸油和加油过程中产生的油气挥发至大气中</w:t>
            </w:r>
          </w:p>
        </w:tc>
        <w:tc>
          <w:tcPr>
            <w:tcW w:w="1580" w:type="dxa"/>
            <w:vAlign w:val="center"/>
          </w:tcPr>
          <w:p w14:paraId="6E23457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该项目采用卸油及加油油气回收系统。</w:t>
            </w:r>
          </w:p>
        </w:tc>
        <w:tc>
          <w:tcPr>
            <w:tcW w:w="870" w:type="dxa"/>
            <w:vAlign w:val="center"/>
          </w:tcPr>
          <w:p w14:paraId="120FCF5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14B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F0F1463">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764F55BE">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装有潜油泵的油罐人孔操作井、卸油口井、加油机底槽等可能发生油品渗漏的部位，采取收集槽进行防渗。人孔操作井刷防水涂层。</w:t>
            </w:r>
          </w:p>
        </w:tc>
        <w:tc>
          <w:tcPr>
            <w:tcW w:w="1580" w:type="dxa"/>
            <w:vAlign w:val="center"/>
          </w:tcPr>
          <w:p w14:paraId="6D4797D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易发生油罐渗漏的部位进行防渗处理。</w:t>
            </w:r>
          </w:p>
        </w:tc>
        <w:tc>
          <w:tcPr>
            <w:tcW w:w="870" w:type="dxa"/>
            <w:vAlign w:val="center"/>
          </w:tcPr>
          <w:p w14:paraId="2B51C39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E9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BE5CC3C">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735E911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项目所有设备、管道、管件和仪表要求向有资质的生产企业采购、安装，提高安装质量，要求严格按项目操作规程进行，杜绝跑、冒、滴、漏。</w:t>
            </w:r>
          </w:p>
        </w:tc>
        <w:tc>
          <w:tcPr>
            <w:tcW w:w="1580" w:type="dxa"/>
            <w:vAlign w:val="center"/>
          </w:tcPr>
          <w:p w14:paraId="0E7BC0E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均由有资质生产企业采购，现场检查时未发现跑冒滴漏。</w:t>
            </w:r>
          </w:p>
        </w:tc>
        <w:tc>
          <w:tcPr>
            <w:tcW w:w="870" w:type="dxa"/>
            <w:vAlign w:val="center"/>
          </w:tcPr>
          <w:p w14:paraId="3755A2C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016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82" w:type="dxa"/>
            <w:vMerge w:val="continue"/>
            <w:vAlign w:val="center"/>
          </w:tcPr>
          <w:p w14:paraId="04C2F2D9">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3F8A1B62">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制定严格的安全管理制度，工艺规程，并严格要求操作人员自觉遵守各项规章制度及操作规程，杜绝“三违”。定期对设备、管道、管件、仪表、法兰连接进行全面检验，通过预防性地更换改进零部件、密封件，消除泄漏隐患。</w:t>
            </w:r>
          </w:p>
        </w:tc>
        <w:tc>
          <w:tcPr>
            <w:tcW w:w="1580" w:type="dxa"/>
            <w:vAlign w:val="center"/>
          </w:tcPr>
          <w:p w14:paraId="153B711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企业制定相应的管理制度</w:t>
            </w:r>
          </w:p>
        </w:tc>
        <w:tc>
          <w:tcPr>
            <w:tcW w:w="870" w:type="dxa"/>
            <w:vAlign w:val="center"/>
          </w:tcPr>
          <w:p w14:paraId="7099868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4660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D66BC5">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0DE1FEC8">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加油机底部管道上设置安全剪切阀，加油软管上设安全拉断阀。</w:t>
            </w:r>
          </w:p>
        </w:tc>
        <w:tc>
          <w:tcPr>
            <w:tcW w:w="1580" w:type="dxa"/>
            <w:vAlign w:val="center"/>
          </w:tcPr>
          <w:p w14:paraId="5ACD044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加油机底部设有安全剪切阀，加油软管上设有安全拉断阀</w:t>
            </w:r>
          </w:p>
        </w:tc>
        <w:tc>
          <w:tcPr>
            <w:tcW w:w="870" w:type="dxa"/>
            <w:vAlign w:val="center"/>
          </w:tcPr>
          <w:p w14:paraId="6F97ECC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23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8A47E05">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430DE0AE">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本加油站设置了2个紧急停车按钮，事故状态下能手动切断加油机控制箱电源，停加油机及潜油泵。事故紧急切断系统带失效保护功能，只能手动复位</w:t>
            </w:r>
          </w:p>
        </w:tc>
        <w:tc>
          <w:tcPr>
            <w:tcW w:w="1580" w:type="dxa"/>
            <w:vAlign w:val="center"/>
          </w:tcPr>
          <w:p w14:paraId="167DC49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设置2个紧急停车按钮，只能手动复位</w:t>
            </w:r>
          </w:p>
        </w:tc>
        <w:tc>
          <w:tcPr>
            <w:tcW w:w="870" w:type="dxa"/>
            <w:vAlign w:val="center"/>
          </w:tcPr>
          <w:p w14:paraId="06137CA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15A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0656CC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Cs w:val="0"/>
                <w:color w:val="auto"/>
                <w:kern w:val="2"/>
                <w:sz w:val="18"/>
                <w:szCs w:val="18"/>
                <w:lang w:val="en-US" w:eastAsia="zh-CN"/>
              </w:rPr>
              <w:t>2、</w:t>
            </w:r>
            <w:r>
              <w:rPr>
                <w:rFonts w:hint="eastAsia" w:ascii="Times New Roman" w:hAnsi="Times New Roman" w:eastAsia="宋体" w:cs="宋体"/>
                <w:bCs w:val="0"/>
                <w:color w:val="auto"/>
                <w:kern w:val="2"/>
                <w:sz w:val="18"/>
                <w:szCs w:val="18"/>
              </w:rPr>
              <w:t>防火、防爆措施</w:t>
            </w:r>
          </w:p>
        </w:tc>
        <w:tc>
          <w:tcPr>
            <w:tcW w:w="5930" w:type="dxa"/>
            <w:vAlign w:val="center"/>
          </w:tcPr>
          <w:p w14:paraId="53A5546E">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根据《汽车加油加气加氢站技术标准》GB50156-2021，本加油站汽油、柴油贮罐设置为埋地式，减少发生火灾的可能性和危险性。</w:t>
            </w:r>
          </w:p>
        </w:tc>
        <w:tc>
          <w:tcPr>
            <w:tcW w:w="1580" w:type="dxa"/>
            <w:vAlign w:val="center"/>
          </w:tcPr>
          <w:p w14:paraId="200F410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埋地油罐</w:t>
            </w:r>
          </w:p>
        </w:tc>
        <w:tc>
          <w:tcPr>
            <w:tcW w:w="870" w:type="dxa"/>
            <w:vAlign w:val="center"/>
          </w:tcPr>
          <w:p w14:paraId="48241E7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22C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67CCA3">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74CEC9FA">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站内除通气管等必须露出地面的管道外，管道、油罐均埋地敷设，且埋地管沟用中性沙子或细土填满、填实，防止油气聚集，柴油通气管、汽油通气管分开设置，通气管管口高出地面4m，柴油设置阻火通气帽，汽油通气管设置机械呼吸阀（带阻火器）。</w:t>
            </w:r>
          </w:p>
        </w:tc>
        <w:tc>
          <w:tcPr>
            <w:tcW w:w="1580" w:type="dxa"/>
            <w:shd w:val="clear" w:color="auto" w:fill="auto"/>
            <w:vAlign w:val="center"/>
          </w:tcPr>
          <w:p w14:paraId="6C791A5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汽油及柴油通气管分开布置，</w:t>
            </w:r>
            <w:r>
              <w:rPr>
                <w:rFonts w:hint="eastAsia" w:ascii="Times New Roman" w:hAnsi="Times New Roman" w:eastAsia="宋体" w:cs="Times New Roman"/>
                <w:bCs w:val="0"/>
                <w:color w:val="auto"/>
                <w:kern w:val="2"/>
                <w:sz w:val="18"/>
                <w:szCs w:val="18"/>
                <w:lang w:val="zh-CN" w:eastAsia="zh-CN"/>
              </w:rPr>
              <w:t>高出地面4m</w:t>
            </w:r>
            <w:r>
              <w:rPr>
                <w:rFonts w:hint="eastAsia" w:ascii="Times New Roman" w:hAnsi="Times New Roman" w:eastAsia="宋体" w:cs="Times New Roman"/>
                <w:bCs w:val="0"/>
                <w:color w:val="auto"/>
                <w:kern w:val="2"/>
                <w:sz w:val="18"/>
                <w:szCs w:val="18"/>
              </w:rPr>
              <w:t>；其余管道及油罐埋地敷设</w:t>
            </w:r>
          </w:p>
        </w:tc>
        <w:tc>
          <w:tcPr>
            <w:tcW w:w="870" w:type="dxa"/>
            <w:shd w:val="clear" w:color="auto" w:fill="auto"/>
            <w:vAlign w:val="center"/>
          </w:tcPr>
          <w:p w14:paraId="6FB73AA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7A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2D3481">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146A4CF4">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根据《化工工艺设计施工图内容和深度统一规定》（HG/T20519-2009）的要求，工艺管道输送易燃液体时，根据易燃液体输送时的最大流量，选用适合管径，使其在安全流速范围（3m/s）内。</w:t>
            </w:r>
          </w:p>
        </w:tc>
        <w:tc>
          <w:tcPr>
            <w:tcW w:w="1580" w:type="dxa"/>
            <w:shd w:val="clear" w:color="auto" w:fill="auto"/>
            <w:vAlign w:val="center"/>
          </w:tcPr>
          <w:p w14:paraId="2FFBAD0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选用合适管径</w:t>
            </w:r>
          </w:p>
        </w:tc>
        <w:tc>
          <w:tcPr>
            <w:tcW w:w="870" w:type="dxa"/>
            <w:shd w:val="clear" w:color="auto" w:fill="auto"/>
            <w:vAlign w:val="center"/>
          </w:tcPr>
          <w:p w14:paraId="320EC1F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BB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A6D35EB">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6DC6EB5E">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根据《汽车加油加气加氢站技术标准》GB50156-2021，加油站卸油和加油设置了卸油油气回收系统和加油油气回收系统，可有效减少卸油和加油时产生的油气，降低火灾爆炸的可能性和危险性。</w:t>
            </w:r>
          </w:p>
        </w:tc>
        <w:tc>
          <w:tcPr>
            <w:tcW w:w="1580" w:type="dxa"/>
            <w:vAlign w:val="center"/>
          </w:tcPr>
          <w:p w14:paraId="2DAC089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本项目设置卸油油气回收系统及加油油气回收系统</w:t>
            </w:r>
          </w:p>
        </w:tc>
        <w:tc>
          <w:tcPr>
            <w:tcW w:w="870" w:type="dxa"/>
            <w:vAlign w:val="center"/>
          </w:tcPr>
          <w:p w14:paraId="328CA1D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1EA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4DEF53E">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5827FCF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加油岛前后出口两端设置钢管防撞柱，其钢管直径不小于100mm，高度大于0.5m，防止意外撞击发生火灾爆炸。</w:t>
            </w:r>
          </w:p>
        </w:tc>
        <w:tc>
          <w:tcPr>
            <w:tcW w:w="1580" w:type="dxa"/>
            <w:vAlign w:val="center"/>
          </w:tcPr>
          <w:p w14:paraId="3754042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加油机两侧设置防撞柱</w:t>
            </w:r>
          </w:p>
        </w:tc>
        <w:tc>
          <w:tcPr>
            <w:tcW w:w="870" w:type="dxa"/>
            <w:vAlign w:val="center"/>
          </w:tcPr>
          <w:p w14:paraId="3B6AD87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342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1468833">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588C4E19">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加油机加油软管上设置安全拉断阀，预防事故时及时切断加油。</w:t>
            </w:r>
          </w:p>
        </w:tc>
        <w:tc>
          <w:tcPr>
            <w:tcW w:w="1580" w:type="dxa"/>
            <w:vAlign w:val="center"/>
          </w:tcPr>
          <w:p w14:paraId="034CCB7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加油软管设置安全拉断阀</w:t>
            </w:r>
          </w:p>
        </w:tc>
        <w:tc>
          <w:tcPr>
            <w:tcW w:w="870" w:type="dxa"/>
            <w:vAlign w:val="center"/>
          </w:tcPr>
          <w:p w14:paraId="7625936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4CF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4B72F7B">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3B87B199">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加油机底部连接的输油管道上设置防撞事故自动切断阀，当加油机被撞或起火时，阀门自动关闭，防止火灾蔓延扩散。</w:t>
            </w:r>
          </w:p>
        </w:tc>
        <w:tc>
          <w:tcPr>
            <w:tcW w:w="1580" w:type="dxa"/>
            <w:vAlign w:val="center"/>
          </w:tcPr>
          <w:p w14:paraId="152B714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底部设置自动切断阀</w:t>
            </w:r>
          </w:p>
        </w:tc>
        <w:tc>
          <w:tcPr>
            <w:tcW w:w="870" w:type="dxa"/>
            <w:vAlign w:val="center"/>
          </w:tcPr>
          <w:p w14:paraId="2C91B53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473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FB99F30">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6867D0F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为了防止静电引起火灾爆炸事故，油罐的接合管采用金属材质；油罐进油管伸至罐内距罐底50mm～100mm处，进油立管的底端采用45°斜管口；量油口下部的接合管向下伸至罐内距罐底200mm处。</w:t>
            </w:r>
          </w:p>
        </w:tc>
        <w:tc>
          <w:tcPr>
            <w:tcW w:w="1580" w:type="dxa"/>
            <w:vAlign w:val="center"/>
          </w:tcPr>
          <w:p w14:paraId="4963479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油罐底部进料</w:t>
            </w:r>
          </w:p>
        </w:tc>
        <w:tc>
          <w:tcPr>
            <w:tcW w:w="870" w:type="dxa"/>
            <w:vAlign w:val="center"/>
          </w:tcPr>
          <w:p w14:paraId="2819D90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03AE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76C3F3">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7EC56A12">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在站内设置防雷、防静电设施，设备、管道按照《石油化工静电接地设计规范》SH/T3097-2017进行静电接地</w:t>
            </w:r>
          </w:p>
        </w:tc>
        <w:tc>
          <w:tcPr>
            <w:tcW w:w="1580" w:type="dxa"/>
            <w:vAlign w:val="center"/>
          </w:tcPr>
          <w:p w14:paraId="1B76C62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进行静电接地</w:t>
            </w:r>
          </w:p>
        </w:tc>
        <w:tc>
          <w:tcPr>
            <w:tcW w:w="870" w:type="dxa"/>
            <w:vAlign w:val="center"/>
          </w:tcPr>
          <w:p w14:paraId="00DEF11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CB8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B07F37">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48DD790A">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本加油站设置了2个紧急停车按钮，位于站房面向罩棚的外墙上和站内收银台旁，事故状态下能手动切断加油机控制箱电源，停加油机及潜油泵。事故紧急切断系统带失效保护功能，只能手动复位。</w:t>
            </w:r>
          </w:p>
        </w:tc>
        <w:tc>
          <w:tcPr>
            <w:tcW w:w="1580" w:type="dxa"/>
            <w:vAlign w:val="center"/>
          </w:tcPr>
          <w:p w14:paraId="4661694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设置2个紧急停车按钮，只能手动复位</w:t>
            </w:r>
          </w:p>
        </w:tc>
        <w:tc>
          <w:tcPr>
            <w:tcW w:w="870" w:type="dxa"/>
            <w:vAlign w:val="center"/>
          </w:tcPr>
          <w:p w14:paraId="01A07B2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432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2E5DDBD">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2467A5A5">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加油过程禁止使用手机、禁止给塑料容器加油等，加油机使用自封式加油枪。</w:t>
            </w:r>
          </w:p>
        </w:tc>
        <w:tc>
          <w:tcPr>
            <w:tcW w:w="1580" w:type="dxa"/>
            <w:vAlign w:val="center"/>
          </w:tcPr>
          <w:p w14:paraId="0616D67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自封式加油枪；禁止使用手机，禁止给塑料容器加油等</w:t>
            </w:r>
          </w:p>
        </w:tc>
        <w:tc>
          <w:tcPr>
            <w:tcW w:w="870" w:type="dxa"/>
            <w:vAlign w:val="center"/>
          </w:tcPr>
          <w:p w14:paraId="17427CD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896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85432DD">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7160908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油品罐车卸车场地内设置人体静电导除装置及静电接地报警装置，另外用于防静电跨接的固定接地装置，不设置在爆炸危险1区，距离卸油口1.5m。加油机自带人体防静电触摸装置，加油机</w:t>
            </w:r>
            <w:r>
              <w:rPr>
                <w:rFonts w:hint="eastAsia" w:ascii="Times New Roman" w:hAnsi="Times New Roman" w:eastAsia="宋体" w:cs="Times New Roman"/>
                <w:bCs w:val="0"/>
                <w:color w:val="auto"/>
                <w:kern w:val="2"/>
                <w:sz w:val="18"/>
                <w:szCs w:val="18"/>
                <w:lang w:eastAsia="zh-CN"/>
              </w:rPr>
              <w:t>防静电接地</w:t>
            </w:r>
            <w:r>
              <w:rPr>
                <w:rFonts w:ascii="Times New Roman" w:hAnsi="Times New Roman" w:eastAsia="宋体" w:cs="Times New Roman"/>
                <w:bCs w:val="0"/>
                <w:color w:val="auto"/>
                <w:kern w:val="2"/>
                <w:sz w:val="18"/>
                <w:szCs w:val="18"/>
              </w:rPr>
              <w:t>与全站接地网</w:t>
            </w:r>
            <w:r>
              <w:rPr>
                <w:rFonts w:hint="eastAsia" w:ascii="Times New Roman" w:hAnsi="Times New Roman" w:eastAsia="宋体" w:cs="Times New Roman"/>
                <w:bCs w:val="0"/>
                <w:color w:val="auto"/>
                <w:kern w:val="2"/>
                <w:sz w:val="18"/>
                <w:szCs w:val="18"/>
                <w:lang w:eastAsia="zh-CN"/>
              </w:rPr>
              <w:t>相连</w:t>
            </w:r>
            <w:r>
              <w:rPr>
                <w:rFonts w:ascii="Times New Roman" w:hAnsi="Times New Roman" w:eastAsia="宋体" w:cs="Times New Roman"/>
                <w:bCs w:val="0"/>
                <w:color w:val="auto"/>
                <w:kern w:val="2"/>
                <w:sz w:val="18"/>
                <w:szCs w:val="18"/>
              </w:rPr>
              <w:t>，法兰、胶管两端等连接处，采用金属线跨接，防止静电发生爆炸事故。</w:t>
            </w:r>
          </w:p>
        </w:tc>
        <w:tc>
          <w:tcPr>
            <w:tcW w:w="1580" w:type="dxa"/>
            <w:vAlign w:val="center"/>
          </w:tcPr>
          <w:p w14:paraId="07BFE597">
            <w:pPr>
              <w:keepNext w:val="0"/>
              <w:keepLines w:val="0"/>
              <w:pageBreakBefore w:val="0"/>
              <w:kinsoku/>
              <w:wordWrap/>
              <w:overflowPunct/>
              <w:topLinePunct w:val="0"/>
              <w:autoSpaceDE/>
              <w:autoSpaceDN/>
              <w:bidi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w:t>
            </w:r>
            <w:r>
              <w:rPr>
                <w:rFonts w:ascii="Times New Roman" w:hAnsi="Times New Roman" w:eastAsia="宋体" w:cs="Times New Roman"/>
                <w:bCs w:val="0"/>
                <w:color w:val="auto"/>
                <w:kern w:val="2"/>
                <w:sz w:val="18"/>
                <w:szCs w:val="18"/>
              </w:rPr>
              <w:t>人体静电导除装置及静电接地报警装置</w:t>
            </w:r>
            <w:r>
              <w:rPr>
                <w:rFonts w:hint="eastAsia" w:ascii="Times New Roman" w:hAnsi="Times New Roman" w:eastAsia="宋体" w:cs="Times New Roman"/>
                <w:bCs w:val="0"/>
                <w:color w:val="auto"/>
                <w:kern w:val="2"/>
                <w:sz w:val="18"/>
                <w:szCs w:val="18"/>
              </w:rPr>
              <w:t>，未设置在爆炸1区；进行静电跨接</w:t>
            </w:r>
          </w:p>
        </w:tc>
        <w:tc>
          <w:tcPr>
            <w:tcW w:w="870" w:type="dxa"/>
            <w:vAlign w:val="center"/>
          </w:tcPr>
          <w:p w14:paraId="11AC8DD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355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82" w:type="dxa"/>
            <w:vMerge w:val="continue"/>
            <w:vAlign w:val="center"/>
          </w:tcPr>
          <w:p w14:paraId="646F1103">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7DC0D62F">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加油机采用自封式加油枪，枪身设计的自封装置能够确保在容器加满时自动关闭油枪，防止介质外溢。汽油加油枪的流量设计不大于50L/min</w:t>
            </w:r>
          </w:p>
        </w:tc>
        <w:tc>
          <w:tcPr>
            <w:tcW w:w="1580" w:type="dxa"/>
            <w:shd w:val="clear" w:color="auto" w:fill="auto"/>
            <w:vAlign w:val="center"/>
          </w:tcPr>
          <w:p w14:paraId="397A5BB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采用自封式加油枪，有防溢油措施</w:t>
            </w:r>
          </w:p>
        </w:tc>
        <w:tc>
          <w:tcPr>
            <w:tcW w:w="870" w:type="dxa"/>
            <w:shd w:val="clear" w:color="auto" w:fill="auto"/>
            <w:vAlign w:val="center"/>
          </w:tcPr>
          <w:p w14:paraId="7FDD54D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22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682" w:type="dxa"/>
            <w:vMerge w:val="continue"/>
            <w:vAlign w:val="center"/>
          </w:tcPr>
          <w:p w14:paraId="1A5B2415">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520D3EC3">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卸油区设置醒目标志牌和危险标识牌，卸油口采用箱盖式，只有卸油过程才打开，平时上锁。卸油时停止车辆加油，防止事故发生。</w:t>
            </w:r>
          </w:p>
        </w:tc>
        <w:tc>
          <w:tcPr>
            <w:tcW w:w="1580" w:type="dxa"/>
            <w:vAlign w:val="center"/>
          </w:tcPr>
          <w:p w14:paraId="7141FCC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设有标志牌；卸油时停止车辆加油，卸油口上锁</w:t>
            </w:r>
          </w:p>
        </w:tc>
        <w:tc>
          <w:tcPr>
            <w:tcW w:w="870" w:type="dxa"/>
            <w:vAlign w:val="center"/>
          </w:tcPr>
          <w:p w14:paraId="26488BE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已</w:t>
            </w:r>
            <w:r>
              <w:rPr>
                <w:rFonts w:hint="eastAsia" w:ascii="Times New Roman" w:hAnsi="Times New Roman" w:eastAsia="宋体" w:cs="Times New Roman"/>
                <w:bCs w:val="0"/>
                <w:color w:val="auto"/>
                <w:kern w:val="2"/>
                <w:sz w:val="18"/>
                <w:szCs w:val="18"/>
              </w:rPr>
              <w:t>落实</w:t>
            </w:r>
          </w:p>
        </w:tc>
      </w:tr>
      <w:tr w14:paraId="13F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82" w:type="dxa"/>
            <w:vMerge w:val="continue"/>
            <w:vAlign w:val="center"/>
          </w:tcPr>
          <w:p w14:paraId="36216ABB">
            <w:pPr>
              <w:keepNext w:val="0"/>
              <w:keepLines w:val="0"/>
              <w:pageBreakBefore w:val="0"/>
              <w:widowControl/>
              <w:kinsoku/>
              <w:wordWrap/>
              <w:overflowPunct/>
              <w:topLinePunct w:val="0"/>
              <w:autoSpaceDE/>
              <w:autoSpaceDN/>
              <w:bidi w:val="0"/>
              <w:spacing w:line="280" w:lineRule="exact"/>
              <w:jc w:val="left"/>
              <w:textAlignment w:val="auto"/>
              <w:rPr>
                <w:rFonts w:ascii="Times New Roman" w:hAnsi="Times New Roman" w:eastAsia="宋体" w:cs="Times New Roman"/>
                <w:bCs w:val="0"/>
                <w:color w:val="auto"/>
                <w:kern w:val="2"/>
                <w:sz w:val="18"/>
                <w:szCs w:val="18"/>
              </w:rPr>
            </w:pPr>
          </w:p>
        </w:tc>
        <w:tc>
          <w:tcPr>
            <w:tcW w:w="5930" w:type="dxa"/>
            <w:vAlign w:val="center"/>
          </w:tcPr>
          <w:p w14:paraId="2B6D8A40">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加油区采用不发火花混凝土地面，爆炸危险区域内的地坪采用不发火花地面，减少发生火灾的可能性和危险性。</w:t>
            </w:r>
          </w:p>
        </w:tc>
        <w:tc>
          <w:tcPr>
            <w:tcW w:w="1580" w:type="dxa"/>
            <w:vAlign w:val="center"/>
          </w:tcPr>
          <w:p w14:paraId="28FE44A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采用不发火花地面</w:t>
            </w:r>
          </w:p>
        </w:tc>
        <w:tc>
          <w:tcPr>
            <w:tcW w:w="870" w:type="dxa"/>
            <w:vAlign w:val="center"/>
          </w:tcPr>
          <w:p w14:paraId="772C73E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3C2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76188A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lang w:val="en-US" w:eastAsia="zh-CN"/>
              </w:rPr>
              <w:t>3、</w:t>
            </w:r>
            <w:r>
              <w:rPr>
                <w:rFonts w:hint="eastAsia" w:ascii="Times New Roman" w:hAnsi="Times New Roman" w:eastAsia="宋体" w:cs="Calibri"/>
                <w:bCs w:val="0"/>
                <w:color w:val="auto"/>
                <w:kern w:val="2"/>
                <w:sz w:val="18"/>
                <w:szCs w:val="18"/>
              </w:rPr>
              <w:t>清罐过程的防火、防爆、防窒息措施</w:t>
            </w:r>
          </w:p>
        </w:tc>
        <w:tc>
          <w:tcPr>
            <w:tcW w:w="5930" w:type="dxa"/>
            <w:vAlign w:val="center"/>
          </w:tcPr>
          <w:p w14:paraId="543A2E9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每隔3-5年，对油罐进行一次清洗。加油站请专业的公司采用油罐清洗车进行油罐清洗。油罐清洗前加油站停止加油，在油罐周围划出警戒区域，并标识</w:t>
            </w:r>
          </w:p>
        </w:tc>
        <w:tc>
          <w:tcPr>
            <w:tcW w:w="1580" w:type="dxa"/>
            <w:vAlign w:val="center"/>
          </w:tcPr>
          <w:p w14:paraId="6083B40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清罐作业由专业的公司进行清洗；</w:t>
            </w:r>
            <w:r>
              <w:rPr>
                <w:rFonts w:ascii="Times New Roman" w:hAnsi="Times New Roman" w:eastAsia="宋体" w:cs="Times New Roman"/>
                <w:bCs w:val="0"/>
                <w:color w:val="auto"/>
                <w:kern w:val="2"/>
                <w:sz w:val="18"/>
                <w:szCs w:val="18"/>
              </w:rPr>
              <w:t>油罐清洗前加油站停止加油</w:t>
            </w:r>
            <w:r>
              <w:rPr>
                <w:rFonts w:hint="eastAsia" w:ascii="Times New Roman" w:hAnsi="Times New Roman" w:eastAsia="宋体" w:cs="Times New Roman"/>
                <w:bCs w:val="0"/>
                <w:color w:val="auto"/>
                <w:kern w:val="2"/>
                <w:sz w:val="18"/>
                <w:szCs w:val="18"/>
              </w:rPr>
              <w:t>，并划出警戒区域</w:t>
            </w:r>
          </w:p>
        </w:tc>
        <w:tc>
          <w:tcPr>
            <w:tcW w:w="870" w:type="dxa"/>
            <w:vAlign w:val="center"/>
          </w:tcPr>
          <w:p w14:paraId="4966521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CB0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36B32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2B0D8184">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清除罐区内的杂草、树叶等易燃物，确保罐区干净整洁。</w:t>
            </w:r>
          </w:p>
        </w:tc>
        <w:tc>
          <w:tcPr>
            <w:tcW w:w="1580" w:type="dxa"/>
            <w:vAlign w:val="center"/>
          </w:tcPr>
          <w:p w14:paraId="34927D6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罐区干净整洁</w:t>
            </w:r>
          </w:p>
        </w:tc>
        <w:tc>
          <w:tcPr>
            <w:tcW w:w="870" w:type="dxa"/>
            <w:vAlign w:val="center"/>
          </w:tcPr>
          <w:p w14:paraId="0ECFCA6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9F7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11D8EC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6E7D4F8F">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禁止明火作业，禁止吸烟和使用手机等可能产生火花的物品。使用防爆型电器设备。</w:t>
            </w:r>
          </w:p>
        </w:tc>
        <w:tc>
          <w:tcPr>
            <w:tcW w:w="1580" w:type="dxa"/>
            <w:vAlign w:val="center"/>
          </w:tcPr>
          <w:p w14:paraId="4B801F7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现场禁止明火作业，禁止吸烟和使用手机</w:t>
            </w:r>
          </w:p>
        </w:tc>
        <w:tc>
          <w:tcPr>
            <w:tcW w:w="870" w:type="dxa"/>
            <w:vAlign w:val="center"/>
          </w:tcPr>
          <w:p w14:paraId="7050EB9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012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62BAD2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6FA46455">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控制油流速度，减少静电产生。确保清罐的输油管插入容器底部，避免油流冲击和旋转搅动。</w:t>
            </w:r>
          </w:p>
        </w:tc>
        <w:tc>
          <w:tcPr>
            <w:tcW w:w="1580" w:type="dxa"/>
            <w:vAlign w:val="center"/>
          </w:tcPr>
          <w:p w14:paraId="1C3FE56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控制流速</w:t>
            </w:r>
          </w:p>
        </w:tc>
        <w:tc>
          <w:tcPr>
            <w:tcW w:w="870" w:type="dxa"/>
            <w:vAlign w:val="center"/>
          </w:tcPr>
          <w:p w14:paraId="7340D97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559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01A75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1F3DD684">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使用防爆工具和设备</w:t>
            </w:r>
          </w:p>
        </w:tc>
        <w:tc>
          <w:tcPr>
            <w:tcW w:w="1580" w:type="dxa"/>
            <w:vAlign w:val="center"/>
          </w:tcPr>
          <w:p w14:paraId="1C4E88C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使用防爆工具及设备</w:t>
            </w:r>
          </w:p>
        </w:tc>
        <w:tc>
          <w:tcPr>
            <w:tcW w:w="870" w:type="dxa"/>
            <w:vAlign w:val="center"/>
          </w:tcPr>
          <w:p w14:paraId="64234BA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F6F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82" w:type="dxa"/>
            <w:vMerge w:val="continue"/>
            <w:vAlign w:val="center"/>
          </w:tcPr>
          <w:p w14:paraId="7C5DAF4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0485C628">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进行清罐作业时，必须进行充分通风，安装风向标以便及时发现有害气体</w:t>
            </w:r>
          </w:p>
        </w:tc>
        <w:tc>
          <w:tcPr>
            <w:tcW w:w="1580" w:type="dxa"/>
            <w:vAlign w:val="center"/>
          </w:tcPr>
          <w:p w14:paraId="66CA415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操作规程有相应的要求</w:t>
            </w:r>
          </w:p>
        </w:tc>
        <w:tc>
          <w:tcPr>
            <w:tcW w:w="870" w:type="dxa"/>
            <w:vAlign w:val="center"/>
          </w:tcPr>
          <w:p w14:paraId="564CD0A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805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82" w:type="dxa"/>
            <w:vMerge w:val="continue"/>
            <w:vAlign w:val="center"/>
          </w:tcPr>
          <w:p w14:paraId="1851A51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2CA7921F">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进入罐内作业时，必须佩戴隔离式呼吸面具和防护服，避免皮肤直接接触油料。</w:t>
            </w:r>
          </w:p>
        </w:tc>
        <w:tc>
          <w:tcPr>
            <w:tcW w:w="1580" w:type="dxa"/>
            <w:vAlign w:val="center"/>
          </w:tcPr>
          <w:p w14:paraId="1A9E5B1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操作规程有相应的要求</w:t>
            </w:r>
          </w:p>
        </w:tc>
        <w:tc>
          <w:tcPr>
            <w:tcW w:w="870" w:type="dxa"/>
            <w:vAlign w:val="center"/>
          </w:tcPr>
          <w:p w14:paraId="4940EB0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421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8F27DB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2FCD9B19">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进罐作业时，必须有专人监护，进罐时间不宜过长，一般为15至20分钟，并轮班作业。</w:t>
            </w:r>
          </w:p>
        </w:tc>
        <w:tc>
          <w:tcPr>
            <w:tcW w:w="1580" w:type="dxa"/>
            <w:vAlign w:val="center"/>
          </w:tcPr>
          <w:p w14:paraId="39364F2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操作规程有相应的要求</w:t>
            </w:r>
          </w:p>
        </w:tc>
        <w:tc>
          <w:tcPr>
            <w:tcW w:w="870" w:type="dxa"/>
            <w:vAlign w:val="center"/>
          </w:tcPr>
          <w:p w14:paraId="339E377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5B36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82" w:type="dxa"/>
            <w:vMerge w:val="restart"/>
            <w:vAlign w:val="center"/>
          </w:tcPr>
          <w:p w14:paraId="0CE9A94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Cs w:val="0"/>
                <w:color w:val="auto"/>
                <w:kern w:val="2"/>
                <w:sz w:val="18"/>
                <w:szCs w:val="18"/>
                <w:lang w:val="en-US" w:eastAsia="zh-CN"/>
              </w:rPr>
              <w:t>4、</w:t>
            </w:r>
            <w:r>
              <w:rPr>
                <w:rFonts w:hint="eastAsia" w:ascii="Times New Roman" w:hAnsi="Times New Roman" w:eastAsia="宋体" w:cs="宋体"/>
                <w:bCs w:val="0"/>
                <w:color w:val="auto"/>
                <w:kern w:val="2"/>
                <w:sz w:val="18"/>
                <w:szCs w:val="18"/>
              </w:rPr>
              <w:t>防毒措施</w:t>
            </w:r>
          </w:p>
        </w:tc>
        <w:tc>
          <w:tcPr>
            <w:tcW w:w="5930" w:type="dxa"/>
            <w:vAlign w:val="center"/>
          </w:tcPr>
          <w:p w14:paraId="031B7E3A">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加油区设计为敞开式，采用自然通风；油罐区埋地设置，油罐设置在埋地罐池内，汽油通气管分开设置，通气管管口高出地面4m，柴油设置阻火通气帽，汽油通气管设置机械呼吸阀（带阻火器）。</w:t>
            </w:r>
          </w:p>
        </w:tc>
        <w:tc>
          <w:tcPr>
            <w:tcW w:w="1580" w:type="dxa"/>
            <w:vAlign w:val="center"/>
          </w:tcPr>
          <w:p w14:paraId="44BBDF1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加油区自然通风，油罐埋地设置；通气管分开布置</w:t>
            </w:r>
          </w:p>
        </w:tc>
        <w:tc>
          <w:tcPr>
            <w:tcW w:w="870" w:type="dxa"/>
            <w:vAlign w:val="center"/>
          </w:tcPr>
          <w:p w14:paraId="2AA5799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01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F87C67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77EDAF41">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根据汽油、柴油的健康危害特性，在本加油站站房配备相应的防护设备、急救用品，设置应急撤离通道以及风向标。站房内设置有呼吸器与防毒面具。</w:t>
            </w:r>
          </w:p>
        </w:tc>
        <w:tc>
          <w:tcPr>
            <w:tcW w:w="1580" w:type="dxa"/>
            <w:vAlign w:val="center"/>
          </w:tcPr>
          <w:p w14:paraId="72C0F07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配备相应的防护器具</w:t>
            </w:r>
          </w:p>
        </w:tc>
        <w:tc>
          <w:tcPr>
            <w:tcW w:w="870" w:type="dxa"/>
            <w:vAlign w:val="center"/>
          </w:tcPr>
          <w:p w14:paraId="508D14A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7C3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682" w:type="dxa"/>
            <w:vAlign w:val="center"/>
          </w:tcPr>
          <w:p w14:paraId="3C63813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Cs w:val="0"/>
                <w:color w:val="auto"/>
                <w:kern w:val="2"/>
                <w:sz w:val="18"/>
                <w:szCs w:val="18"/>
                <w:lang w:val="en-US" w:eastAsia="zh-CN"/>
              </w:rPr>
              <w:t>5、</w:t>
            </w:r>
            <w:r>
              <w:rPr>
                <w:rFonts w:hint="eastAsia" w:ascii="Times New Roman" w:hAnsi="Times New Roman" w:eastAsia="宋体" w:cs="宋体"/>
                <w:bCs w:val="0"/>
                <w:color w:val="auto"/>
                <w:kern w:val="2"/>
                <w:sz w:val="18"/>
                <w:szCs w:val="18"/>
              </w:rPr>
              <w:t>防腐蚀</w:t>
            </w:r>
            <w:r>
              <w:rPr>
                <w:rFonts w:ascii="Times New Roman" w:hAnsi="Times New Roman" w:eastAsia="宋体" w:cs="宋体"/>
                <w:bCs w:val="0"/>
                <w:color w:val="auto"/>
                <w:kern w:val="2"/>
                <w:sz w:val="18"/>
                <w:szCs w:val="18"/>
              </w:rPr>
              <w:t xml:space="preserve"> </w:t>
            </w:r>
          </w:p>
        </w:tc>
        <w:tc>
          <w:tcPr>
            <w:tcW w:w="5930" w:type="dxa"/>
            <w:vAlign w:val="center"/>
          </w:tcPr>
          <w:p w14:paraId="4D8C4BF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本加油站地上钢制管线、防撞弯管采用除锈后，刷环氧富锌防腐底漆（两遍）、环氧防腐面漆（两遍）进行防腐施工；埋地设置的钢制管线要求进行加强级防腐处理：除锈后先刷防锈红丹漆两遍，再用环氧沥青漆加缠玻璃布，要求总厚度达3mm。加油机出厂时均做了防腐蚀处理。储罐、管道采用双层的防腐蚀措施。</w:t>
            </w:r>
          </w:p>
        </w:tc>
        <w:tc>
          <w:tcPr>
            <w:tcW w:w="1580" w:type="dxa"/>
            <w:vAlign w:val="center"/>
          </w:tcPr>
          <w:p w14:paraId="02A313E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进行相应的防腐</w:t>
            </w:r>
          </w:p>
        </w:tc>
        <w:tc>
          <w:tcPr>
            <w:tcW w:w="870" w:type="dxa"/>
            <w:vAlign w:val="center"/>
          </w:tcPr>
          <w:p w14:paraId="4277281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6FBF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82" w:type="dxa"/>
          </w:tcPr>
          <w:p w14:paraId="7B2252D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31652D4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.1.2 </w:t>
            </w:r>
            <w:r>
              <w:rPr>
                <w:rFonts w:hint="eastAsia" w:ascii="Times New Roman" w:hAnsi="Times New Roman" w:eastAsia="宋体" w:cs="宋体"/>
                <w:b/>
                <w:bCs/>
                <w:color w:val="auto"/>
                <w:kern w:val="2"/>
                <w:sz w:val="18"/>
                <w:szCs w:val="18"/>
              </w:rPr>
              <w:t>正常工况与非正常工况下危险物料的安全控制措施</w:t>
            </w:r>
          </w:p>
        </w:tc>
      </w:tr>
      <w:tr w14:paraId="27CE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82" w:type="dxa"/>
            <w:vMerge w:val="restart"/>
            <w:vAlign w:val="center"/>
          </w:tcPr>
          <w:p w14:paraId="609EA38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p>
        </w:tc>
        <w:tc>
          <w:tcPr>
            <w:tcW w:w="5930" w:type="dxa"/>
            <w:vAlign w:val="center"/>
          </w:tcPr>
          <w:p w14:paraId="1E672D09">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油罐车卸油必须采用密闭卸油方式。每个油罐各自设置卸油管道和卸油接口。各卸油接口及油气回收接口，做明显的标识，且分阴阳快速接口（汽油为阳接口，柴油为阴接口）。卸油接口装设快速接头及密封盖。</w:t>
            </w:r>
          </w:p>
        </w:tc>
        <w:tc>
          <w:tcPr>
            <w:tcW w:w="1580" w:type="dxa"/>
            <w:vAlign w:val="center"/>
          </w:tcPr>
          <w:p w14:paraId="0E3BB49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密闭卸油，卸油口设有快速接头和密封盖</w:t>
            </w:r>
          </w:p>
        </w:tc>
        <w:tc>
          <w:tcPr>
            <w:tcW w:w="870" w:type="dxa"/>
            <w:vAlign w:val="center"/>
          </w:tcPr>
          <w:p w14:paraId="77FBECD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093B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E2CC8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p>
        </w:tc>
        <w:tc>
          <w:tcPr>
            <w:tcW w:w="5930" w:type="dxa"/>
            <w:vAlign w:val="center"/>
          </w:tcPr>
          <w:p w14:paraId="1B8EA959">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汽油罐车向站内油罐卸油采用平衡式密闭油气回收系统，各汽油罐共用一根卸油油气回收主管，回收主管的公称直径为100mm；卸油油气回收管道的接口采用自闭式快速接头。</w:t>
            </w:r>
          </w:p>
        </w:tc>
        <w:tc>
          <w:tcPr>
            <w:tcW w:w="1580" w:type="dxa"/>
            <w:vAlign w:val="center"/>
          </w:tcPr>
          <w:p w14:paraId="6D1D207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卸油、加油均设有油气回收系统，卸油油气回收主管直径DN100</w:t>
            </w:r>
          </w:p>
        </w:tc>
        <w:tc>
          <w:tcPr>
            <w:tcW w:w="870" w:type="dxa"/>
            <w:vAlign w:val="center"/>
          </w:tcPr>
          <w:p w14:paraId="2BDFDD83">
            <w:pPr>
              <w:keepNext w:val="0"/>
              <w:keepLines w:val="0"/>
              <w:pageBreakBefore w:val="0"/>
              <w:kinsoku/>
              <w:wordWrap/>
              <w:overflowPunct/>
              <w:topLinePunct w:val="0"/>
              <w:autoSpaceDE/>
              <w:autoSpaceDN/>
              <w:bidi w:val="0"/>
              <w:spacing w:line="280" w:lineRule="exact"/>
              <w:jc w:val="left"/>
              <w:textAlignment w:val="auto"/>
              <w:rPr>
                <w:rFonts w:ascii="Times New Roman" w:hAnsi="Times New Roman" w:eastAsia="宋体" w:cs="Calibri"/>
                <w:bCs w:val="0"/>
                <w:color w:val="auto"/>
                <w:kern w:val="2"/>
              </w:rPr>
            </w:pPr>
            <w:r>
              <w:rPr>
                <w:rFonts w:hint="eastAsia" w:ascii="Times New Roman" w:hAnsi="Times New Roman" w:eastAsia="宋体" w:cs="宋体"/>
                <w:bCs w:val="0"/>
                <w:color w:val="auto"/>
                <w:kern w:val="2"/>
                <w:sz w:val="18"/>
                <w:szCs w:val="18"/>
              </w:rPr>
              <w:t>已落实</w:t>
            </w:r>
          </w:p>
        </w:tc>
      </w:tr>
      <w:tr w14:paraId="5B23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82" w:type="dxa"/>
            <w:vMerge w:val="continue"/>
            <w:vAlign w:val="center"/>
          </w:tcPr>
          <w:p w14:paraId="310CC73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p>
        </w:tc>
        <w:tc>
          <w:tcPr>
            <w:tcW w:w="5930" w:type="dxa"/>
            <w:vAlign w:val="center"/>
          </w:tcPr>
          <w:p w14:paraId="6388B93F">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本站采用油罐装设潜油泵的一泵供多机</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枪</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的加油工艺。为了防止加油过程错加油，加油机上的放枪位设置油品文字标识和语音提示，加油机应采用自封式加油枪，汽油加油枪的流量不大于50L/min。防止油品泄漏。</w:t>
            </w:r>
          </w:p>
        </w:tc>
        <w:tc>
          <w:tcPr>
            <w:tcW w:w="1580" w:type="dxa"/>
            <w:vAlign w:val="center"/>
          </w:tcPr>
          <w:p w14:paraId="15B5191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一泵供多枪</w:t>
            </w:r>
          </w:p>
        </w:tc>
        <w:tc>
          <w:tcPr>
            <w:tcW w:w="870" w:type="dxa"/>
            <w:vAlign w:val="center"/>
          </w:tcPr>
          <w:p w14:paraId="50171E5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2D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386A3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p>
        </w:tc>
        <w:tc>
          <w:tcPr>
            <w:tcW w:w="5930" w:type="dxa"/>
            <w:vAlign w:val="center"/>
          </w:tcPr>
          <w:p w14:paraId="378A116D">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本加油站工艺装置按照规范要求设计有液位、卸油防溢阀等监控和报警装置</w:t>
            </w:r>
          </w:p>
        </w:tc>
        <w:tc>
          <w:tcPr>
            <w:tcW w:w="1580" w:type="dxa"/>
            <w:vAlign w:val="center"/>
          </w:tcPr>
          <w:p w14:paraId="1A94AB9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按要求设置</w:t>
            </w:r>
          </w:p>
        </w:tc>
        <w:tc>
          <w:tcPr>
            <w:tcW w:w="870" w:type="dxa"/>
            <w:vAlign w:val="center"/>
          </w:tcPr>
          <w:p w14:paraId="0920FCD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1C6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6AE8A2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01C383B5">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汽油罐的通气管管口装设阻火通气帽和机械呼吸阀，机械呼吸阀的工作正压为2kPa~3kPa，工作负压为1.5kPa~2kPa。</w:t>
            </w:r>
          </w:p>
        </w:tc>
        <w:tc>
          <w:tcPr>
            <w:tcW w:w="1580" w:type="dxa"/>
            <w:vAlign w:val="center"/>
          </w:tcPr>
          <w:p w14:paraId="73FDF8D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设阻火通气帽和机械呼吸阀</w:t>
            </w:r>
          </w:p>
        </w:tc>
        <w:tc>
          <w:tcPr>
            <w:tcW w:w="870" w:type="dxa"/>
            <w:vAlign w:val="center"/>
          </w:tcPr>
          <w:p w14:paraId="18C9591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B35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81E2C7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0E496BCB">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卸油管道、卸油油气回收管道、加油油气回收管道和油罐通气管横管，均坡向埋地油罐。卸油管道的坡度不小于2‰，卸油油气回收管道、加油油气回收管道和油罐通气管横管的坡度，不小于1%</w:t>
            </w:r>
          </w:p>
        </w:tc>
        <w:tc>
          <w:tcPr>
            <w:tcW w:w="1580" w:type="dxa"/>
            <w:vAlign w:val="center"/>
          </w:tcPr>
          <w:p w14:paraId="1B1061E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坡向埋地油罐</w:t>
            </w:r>
          </w:p>
        </w:tc>
        <w:tc>
          <w:tcPr>
            <w:tcW w:w="870" w:type="dxa"/>
            <w:vAlign w:val="center"/>
          </w:tcPr>
          <w:p w14:paraId="189B73C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46F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B1262E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2DC0C20B">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汽油罐车至站内油罐埋地卸油管道的埋设深度设置为0.4-1.0m，油罐至加油机埋地输油管道的埋设深度设置为0.4-1.0m</w:t>
            </w:r>
          </w:p>
        </w:tc>
        <w:tc>
          <w:tcPr>
            <w:tcW w:w="1580" w:type="dxa"/>
            <w:vAlign w:val="center"/>
          </w:tcPr>
          <w:p w14:paraId="328F230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按要求进行埋深</w:t>
            </w:r>
          </w:p>
        </w:tc>
        <w:tc>
          <w:tcPr>
            <w:tcW w:w="870" w:type="dxa"/>
            <w:vAlign w:val="center"/>
          </w:tcPr>
          <w:p w14:paraId="577A668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DAA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3686D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5DF8AF30">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埋地油罐（SF双层罐，Φ2.6×6m，V=30m³）采用内钢外玻璃纤维增强塑料双层油罐进行防渗，其内层钢制罐体的厚度不小于7mm，封头不小于8mm，外层玻璃纤维增强塑料的外层厚度不小于5mm，封头不小于6mm，并且内外层之间留有泄漏检测间隙，采购具有相应资质的单位生产的合格产品。</w:t>
            </w:r>
          </w:p>
        </w:tc>
        <w:tc>
          <w:tcPr>
            <w:tcW w:w="1580" w:type="dxa"/>
            <w:vAlign w:val="center"/>
          </w:tcPr>
          <w:p w14:paraId="03C63DB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SF双层储罐</w:t>
            </w:r>
          </w:p>
        </w:tc>
        <w:tc>
          <w:tcPr>
            <w:tcW w:w="870" w:type="dxa"/>
            <w:vAlign w:val="center"/>
          </w:tcPr>
          <w:p w14:paraId="6A41855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07CB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DB6972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5306FD3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站区工艺管道系统设置卸油和加油</w:t>
            </w:r>
            <w:r>
              <w:rPr>
                <w:rFonts w:hint="eastAsia" w:ascii="Times New Roman" w:hAnsi="Times New Roman" w:eastAsia="宋体" w:cs="Times New Roman"/>
                <w:bCs w:val="0"/>
                <w:color w:val="auto"/>
                <w:kern w:val="2"/>
                <w:sz w:val="18"/>
                <w:szCs w:val="18"/>
                <w:lang w:eastAsia="zh-CN"/>
              </w:rPr>
              <w:t>油气</w:t>
            </w:r>
            <w:r>
              <w:rPr>
                <w:rFonts w:hint="eastAsia" w:ascii="Times New Roman" w:hAnsi="Times New Roman" w:eastAsia="宋体" w:cs="Times New Roman"/>
                <w:bCs w:val="0"/>
                <w:color w:val="auto"/>
                <w:kern w:val="2"/>
                <w:sz w:val="18"/>
                <w:szCs w:val="18"/>
              </w:rPr>
              <w:t>回收系统，以达到环保要求</w:t>
            </w:r>
          </w:p>
        </w:tc>
        <w:tc>
          <w:tcPr>
            <w:tcW w:w="1580" w:type="dxa"/>
            <w:vAlign w:val="center"/>
          </w:tcPr>
          <w:p w14:paraId="55ED6EB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设有油气回收系统</w:t>
            </w:r>
          </w:p>
        </w:tc>
        <w:tc>
          <w:tcPr>
            <w:tcW w:w="870" w:type="dxa"/>
            <w:vAlign w:val="center"/>
          </w:tcPr>
          <w:p w14:paraId="7711F0D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DE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EB11FF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67616CB8">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在站内设置防雷、防静电设施，设备、管道必须按照《石油化工静电接地设计规范》SH/T3097-2017进行静电接地</w:t>
            </w:r>
          </w:p>
        </w:tc>
        <w:tc>
          <w:tcPr>
            <w:tcW w:w="1580" w:type="dxa"/>
            <w:vAlign w:val="center"/>
          </w:tcPr>
          <w:p w14:paraId="7815041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进行静电接地</w:t>
            </w:r>
          </w:p>
        </w:tc>
        <w:tc>
          <w:tcPr>
            <w:tcW w:w="870" w:type="dxa"/>
            <w:vAlign w:val="center"/>
          </w:tcPr>
          <w:p w14:paraId="0701132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B73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04F2DA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765562B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w:t>
            </w:r>
          </w:p>
        </w:tc>
        <w:tc>
          <w:tcPr>
            <w:tcW w:w="1580" w:type="dxa"/>
            <w:vAlign w:val="center"/>
          </w:tcPr>
          <w:p w14:paraId="78CBBE4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自封式加油枪</w:t>
            </w:r>
          </w:p>
        </w:tc>
        <w:tc>
          <w:tcPr>
            <w:tcW w:w="870" w:type="dxa"/>
            <w:vAlign w:val="center"/>
          </w:tcPr>
          <w:p w14:paraId="1987518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30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54C2A3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0000FF"/>
                <w:kern w:val="2"/>
                <w:sz w:val="18"/>
                <w:szCs w:val="18"/>
              </w:rPr>
            </w:pPr>
          </w:p>
        </w:tc>
        <w:tc>
          <w:tcPr>
            <w:tcW w:w="5930" w:type="dxa"/>
            <w:vAlign w:val="center"/>
          </w:tcPr>
          <w:p w14:paraId="10268E6F">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本加油站设置卸油防溢阀，渗漏检测传感器、阻火通气帽和机械呼吸阀，带高位报警的自动液位仪及渗漏检测仪等安全监控防护措施。加油软管上设安全拉断阀，加油机底部管道上设置安全剪切阀。</w:t>
            </w:r>
          </w:p>
        </w:tc>
        <w:tc>
          <w:tcPr>
            <w:tcW w:w="1580" w:type="dxa"/>
            <w:vAlign w:val="center"/>
          </w:tcPr>
          <w:p w14:paraId="442CB80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设有防溢阀、液位仪等安全措施；加油软管上设置安全拉断阀，加油机底部管道上设有安全剪切阀</w:t>
            </w:r>
          </w:p>
        </w:tc>
        <w:tc>
          <w:tcPr>
            <w:tcW w:w="870" w:type="dxa"/>
            <w:vAlign w:val="center"/>
          </w:tcPr>
          <w:p w14:paraId="586F05A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9C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0F1916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4BAD49B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.1.3 </w:t>
            </w:r>
            <w:r>
              <w:rPr>
                <w:rFonts w:hint="eastAsia" w:ascii="Times New Roman" w:hAnsi="Times New Roman" w:eastAsia="宋体" w:cs="宋体"/>
                <w:b/>
                <w:bCs/>
                <w:color w:val="auto"/>
                <w:kern w:val="2"/>
                <w:sz w:val="18"/>
                <w:szCs w:val="18"/>
              </w:rPr>
              <w:t>采取的其他工艺安全措施</w:t>
            </w:r>
          </w:p>
        </w:tc>
      </w:tr>
      <w:tr w14:paraId="6CC2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72F686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065FA38E">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在项目进出口分别设置入口指示牌、出口指示牌，设置车辆行驶标识，限速五公里</w:t>
            </w:r>
            <w:r>
              <w:rPr>
                <w:rFonts w:hint="eastAsia" w:ascii="Times New Roman" w:hAnsi="Times New Roman" w:eastAsia="宋体" w:cs="Times New Roman"/>
                <w:bCs w:val="0"/>
                <w:color w:val="auto"/>
                <w:kern w:val="2"/>
                <w:sz w:val="18"/>
                <w:szCs w:val="18"/>
                <w:lang w:eastAsia="zh-CN"/>
              </w:rPr>
              <w:t>，在</w:t>
            </w:r>
            <w:r>
              <w:rPr>
                <w:rFonts w:hint="eastAsia" w:ascii="Times New Roman" w:hAnsi="Times New Roman" w:eastAsia="宋体" w:cs="Times New Roman"/>
                <w:bCs w:val="0"/>
                <w:color w:val="auto"/>
                <w:kern w:val="2"/>
                <w:sz w:val="18"/>
                <w:szCs w:val="18"/>
              </w:rPr>
              <w:t>加油区张贴摩托车熄火加油，且设置减速带。</w:t>
            </w:r>
          </w:p>
        </w:tc>
        <w:tc>
          <w:tcPr>
            <w:tcW w:w="1580" w:type="dxa"/>
            <w:vAlign w:val="center"/>
          </w:tcPr>
          <w:p w14:paraId="4EB12A9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进出口设置指示牌和减速带</w:t>
            </w:r>
          </w:p>
        </w:tc>
        <w:tc>
          <w:tcPr>
            <w:tcW w:w="870" w:type="dxa"/>
            <w:vAlign w:val="center"/>
          </w:tcPr>
          <w:p w14:paraId="4095AA4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53A6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AB763D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2</w:t>
            </w:r>
          </w:p>
        </w:tc>
        <w:tc>
          <w:tcPr>
            <w:tcW w:w="5930" w:type="dxa"/>
            <w:vAlign w:val="center"/>
          </w:tcPr>
          <w:p w14:paraId="097DB142">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在加油区、油罐区等爆炸危险区域的醒目位置张贴严禁烟火、严禁拨打手机等安全标识。卸油区设置危险周知牌，卸油操作规程等。</w:t>
            </w:r>
          </w:p>
        </w:tc>
        <w:tc>
          <w:tcPr>
            <w:tcW w:w="1580" w:type="dxa"/>
            <w:vAlign w:val="center"/>
          </w:tcPr>
          <w:p w14:paraId="0A0B751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设置安全标识</w:t>
            </w:r>
          </w:p>
        </w:tc>
        <w:tc>
          <w:tcPr>
            <w:tcW w:w="870" w:type="dxa"/>
            <w:vAlign w:val="center"/>
          </w:tcPr>
          <w:p w14:paraId="5A4F5BB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3C2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745C8D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3</w:t>
            </w:r>
          </w:p>
        </w:tc>
        <w:tc>
          <w:tcPr>
            <w:tcW w:w="5930" w:type="dxa"/>
            <w:vAlign w:val="center"/>
          </w:tcPr>
          <w:p w14:paraId="5531629B">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各加油机上标识所加油品的种类，采用一机多油品的加油机，加油机上的放枪位有各油品的文字标识，加油机有语音提示功能，加油枪有颜色标识。</w:t>
            </w:r>
          </w:p>
        </w:tc>
        <w:tc>
          <w:tcPr>
            <w:tcW w:w="1580" w:type="dxa"/>
            <w:vAlign w:val="center"/>
          </w:tcPr>
          <w:p w14:paraId="0D2E843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设有标识</w:t>
            </w:r>
          </w:p>
        </w:tc>
        <w:tc>
          <w:tcPr>
            <w:tcW w:w="870" w:type="dxa"/>
            <w:vAlign w:val="center"/>
          </w:tcPr>
          <w:p w14:paraId="1D42AEF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6926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9B554A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4</w:t>
            </w:r>
          </w:p>
        </w:tc>
        <w:tc>
          <w:tcPr>
            <w:tcW w:w="5930" w:type="dxa"/>
            <w:vAlign w:val="center"/>
          </w:tcPr>
          <w:p w14:paraId="5A2C71FB">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输油管道不穿过站房等建、构筑物。</w:t>
            </w:r>
          </w:p>
        </w:tc>
        <w:tc>
          <w:tcPr>
            <w:tcW w:w="1580" w:type="dxa"/>
            <w:vAlign w:val="center"/>
          </w:tcPr>
          <w:p w14:paraId="6204C59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输油管道不穿过建构筑物</w:t>
            </w:r>
          </w:p>
        </w:tc>
        <w:tc>
          <w:tcPr>
            <w:tcW w:w="870" w:type="dxa"/>
            <w:vAlign w:val="center"/>
          </w:tcPr>
          <w:p w14:paraId="47414CF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656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0AA0C8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5</w:t>
            </w:r>
          </w:p>
        </w:tc>
        <w:tc>
          <w:tcPr>
            <w:tcW w:w="5930" w:type="dxa"/>
            <w:vAlign w:val="center"/>
          </w:tcPr>
          <w:p w14:paraId="77E56FF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本站在站区</w:t>
            </w:r>
            <w:r>
              <w:rPr>
                <w:rFonts w:hint="eastAsia" w:ascii="Times New Roman" w:hAnsi="Times New Roman" w:eastAsia="宋体" w:cs="Times New Roman"/>
                <w:bCs w:val="0"/>
                <w:color w:val="auto"/>
                <w:kern w:val="2"/>
                <w:sz w:val="18"/>
                <w:szCs w:val="18"/>
                <w:lang w:val="en-US" w:eastAsia="zh-CN"/>
              </w:rPr>
              <w:t>北</w:t>
            </w:r>
            <w:r>
              <w:rPr>
                <w:rFonts w:hint="eastAsia" w:ascii="Times New Roman" w:hAnsi="Times New Roman" w:eastAsia="宋体" w:cs="Times New Roman"/>
                <w:bCs w:val="0"/>
                <w:color w:val="auto"/>
                <w:kern w:val="2"/>
                <w:sz w:val="18"/>
                <w:szCs w:val="18"/>
              </w:rPr>
              <w:t>侧</w:t>
            </w:r>
            <w:r>
              <w:rPr>
                <w:rFonts w:hint="eastAsia" w:ascii="Times New Roman" w:hAnsi="Times New Roman" w:eastAsia="宋体" w:cs="Times New Roman"/>
                <w:bCs w:val="0"/>
                <w:color w:val="auto"/>
                <w:kern w:val="2"/>
                <w:sz w:val="18"/>
                <w:szCs w:val="18"/>
                <w:lang w:val="en-US" w:eastAsia="zh-CN"/>
              </w:rPr>
              <w:t>绿化带</w:t>
            </w:r>
            <w:r>
              <w:rPr>
                <w:rFonts w:hint="eastAsia" w:ascii="Times New Roman" w:hAnsi="Times New Roman" w:eastAsia="宋体" w:cs="Times New Roman"/>
                <w:bCs w:val="0"/>
                <w:color w:val="auto"/>
                <w:kern w:val="2"/>
                <w:sz w:val="18"/>
                <w:szCs w:val="18"/>
              </w:rPr>
              <w:t>设置隔油池，隔油池设置盖板。</w:t>
            </w:r>
          </w:p>
        </w:tc>
        <w:tc>
          <w:tcPr>
            <w:tcW w:w="1580" w:type="dxa"/>
            <w:vAlign w:val="center"/>
          </w:tcPr>
          <w:p w14:paraId="2D535E1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设置隔油池</w:t>
            </w:r>
          </w:p>
        </w:tc>
        <w:tc>
          <w:tcPr>
            <w:tcW w:w="870" w:type="dxa"/>
            <w:vAlign w:val="center"/>
          </w:tcPr>
          <w:p w14:paraId="5B05A9C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1E6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B3C458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6</w:t>
            </w:r>
          </w:p>
        </w:tc>
        <w:tc>
          <w:tcPr>
            <w:tcW w:w="5930" w:type="dxa"/>
            <w:vAlign w:val="center"/>
          </w:tcPr>
          <w:p w14:paraId="50BB569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为了区别各种类型的管道，用不同颜色的颜料涂在管道的保护层表面。管道上的标志包括色环、字样和箭头。字样一般表示出介质名称和管道代号，管道代号与工艺管道和仪表流程图中编号一致。</w:t>
            </w:r>
          </w:p>
        </w:tc>
        <w:tc>
          <w:tcPr>
            <w:tcW w:w="1580" w:type="dxa"/>
            <w:vAlign w:val="center"/>
          </w:tcPr>
          <w:p w14:paraId="4462ACC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管道上设置安全色及代号</w:t>
            </w:r>
          </w:p>
        </w:tc>
        <w:tc>
          <w:tcPr>
            <w:tcW w:w="870" w:type="dxa"/>
            <w:vAlign w:val="center"/>
          </w:tcPr>
          <w:p w14:paraId="78CF1C4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35B2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5CE27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7</w:t>
            </w:r>
          </w:p>
        </w:tc>
        <w:tc>
          <w:tcPr>
            <w:tcW w:w="5930" w:type="dxa"/>
            <w:vAlign w:val="center"/>
          </w:tcPr>
          <w:p w14:paraId="23006E9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加油机使用自封式加油枪，卸油管口法兰静电接地，在油罐区张贴危险告知牌</w:t>
            </w:r>
          </w:p>
        </w:tc>
        <w:tc>
          <w:tcPr>
            <w:tcW w:w="1580" w:type="dxa"/>
            <w:vAlign w:val="center"/>
          </w:tcPr>
          <w:p w14:paraId="51E8213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自封式加油枪，油罐区有危险告知牌</w:t>
            </w:r>
          </w:p>
        </w:tc>
        <w:tc>
          <w:tcPr>
            <w:tcW w:w="870" w:type="dxa"/>
            <w:vAlign w:val="center"/>
          </w:tcPr>
          <w:p w14:paraId="7BB9F9B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48D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F6C79C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8</w:t>
            </w:r>
          </w:p>
        </w:tc>
        <w:tc>
          <w:tcPr>
            <w:tcW w:w="5930" w:type="dxa"/>
            <w:vAlign w:val="center"/>
          </w:tcPr>
          <w:p w14:paraId="22F2260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汽油储罐和柴油储罐分别设置通气管，通气管高出地面4m。汽油储罐的通气管上部分别设置球阀，通气管口分别设置机械呼吸阀和阻火通气帽，设机械呼吸阀通气管球阀属于常开状态，另一根球阀常闭状态。柴油储罐通气管在高出地面1.0m位置设置球阀，球阀属于常开状态。保证事故状态下能及时放空，降低风险。</w:t>
            </w:r>
          </w:p>
        </w:tc>
        <w:tc>
          <w:tcPr>
            <w:tcW w:w="1580" w:type="dxa"/>
            <w:vAlign w:val="center"/>
          </w:tcPr>
          <w:p w14:paraId="2F637C7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通气管按要求设置</w:t>
            </w:r>
          </w:p>
        </w:tc>
        <w:tc>
          <w:tcPr>
            <w:tcW w:w="870" w:type="dxa"/>
            <w:vAlign w:val="center"/>
          </w:tcPr>
          <w:p w14:paraId="60D672A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7A9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54EB3B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0000FF"/>
                <w:kern w:val="2"/>
                <w:sz w:val="18"/>
                <w:szCs w:val="18"/>
              </w:rPr>
            </w:pPr>
          </w:p>
        </w:tc>
        <w:tc>
          <w:tcPr>
            <w:tcW w:w="8380" w:type="dxa"/>
            <w:gridSpan w:val="3"/>
            <w:vAlign w:val="center"/>
          </w:tcPr>
          <w:p w14:paraId="72BF152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2 </w:t>
            </w:r>
            <w:r>
              <w:rPr>
                <w:rFonts w:hint="eastAsia" w:ascii="Times New Roman" w:hAnsi="Times New Roman" w:eastAsia="宋体" w:cs="宋体"/>
                <w:b/>
                <w:bCs/>
                <w:color w:val="auto"/>
                <w:kern w:val="2"/>
                <w:sz w:val="18"/>
                <w:szCs w:val="18"/>
              </w:rPr>
              <w:t>总平面布置</w:t>
            </w:r>
          </w:p>
        </w:tc>
      </w:tr>
      <w:tr w14:paraId="6FA9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F90D5A7">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0838A03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.2.1</w:t>
            </w:r>
            <w:r>
              <w:rPr>
                <w:rFonts w:hint="eastAsia" w:ascii="Times New Roman" w:hAnsi="Times New Roman" w:eastAsia="宋体" w:cs="宋体"/>
                <w:b/>
                <w:bCs/>
                <w:color w:val="auto"/>
                <w:kern w:val="2"/>
                <w:sz w:val="18"/>
                <w:szCs w:val="18"/>
              </w:rPr>
              <w:t>建筑项目与厂</w:t>
            </w:r>
            <w:r>
              <w:rPr>
                <w:rFonts w:ascii="Times New Roman" w:hAnsi="Times New Roman" w:eastAsia="宋体" w:cs="Calibri"/>
                <w:b/>
                <w:bCs/>
                <w:color w:val="auto"/>
                <w:kern w:val="2"/>
                <w:sz w:val="18"/>
                <w:szCs w:val="18"/>
              </w:rPr>
              <w:t>/</w:t>
            </w:r>
            <w:r>
              <w:rPr>
                <w:rFonts w:hint="eastAsia" w:ascii="Times New Roman" w:hAnsi="Times New Roman" w:eastAsia="宋体" w:cs="宋体"/>
                <w:b/>
                <w:bCs/>
                <w:color w:val="auto"/>
                <w:kern w:val="2"/>
                <w:sz w:val="18"/>
                <w:szCs w:val="18"/>
              </w:rPr>
              <w:t>界外设施的主要间距、标准规范符合性及采取的防护措施</w:t>
            </w:r>
          </w:p>
        </w:tc>
      </w:tr>
      <w:tr w14:paraId="5142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6E91FE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1</w:t>
            </w:r>
          </w:p>
        </w:tc>
        <w:tc>
          <w:tcPr>
            <w:tcW w:w="5930" w:type="dxa"/>
            <w:vAlign w:val="center"/>
          </w:tcPr>
          <w:p w14:paraId="7454A193">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加油站与敏感场所、区域的距离的安全防火间距满足《汽车加油加气加氢站技术标准》（GB50156-2021）第4章第4.0.4条及第5章第5.0.13条的要求。</w:t>
            </w:r>
          </w:p>
        </w:tc>
        <w:tc>
          <w:tcPr>
            <w:tcW w:w="1580" w:type="dxa"/>
            <w:vAlign w:val="center"/>
          </w:tcPr>
          <w:p w14:paraId="7C2B047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站区与周边建构筑物之间的距离满足要求</w:t>
            </w:r>
          </w:p>
        </w:tc>
        <w:tc>
          <w:tcPr>
            <w:tcW w:w="870" w:type="dxa"/>
            <w:vAlign w:val="center"/>
          </w:tcPr>
          <w:p w14:paraId="41C0854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330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8943F5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0000FF"/>
                <w:kern w:val="2"/>
                <w:sz w:val="18"/>
                <w:szCs w:val="18"/>
              </w:rPr>
            </w:pPr>
          </w:p>
        </w:tc>
        <w:tc>
          <w:tcPr>
            <w:tcW w:w="8380" w:type="dxa"/>
            <w:gridSpan w:val="3"/>
            <w:vAlign w:val="center"/>
          </w:tcPr>
          <w:p w14:paraId="09F1101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.2.2</w:t>
            </w:r>
            <w:r>
              <w:rPr>
                <w:rFonts w:hint="eastAsia" w:ascii="Times New Roman" w:hAnsi="Times New Roman" w:eastAsia="宋体" w:cs="宋体"/>
                <w:b/>
                <w:bCs/>
                <w:color w:val="auto"/>
                <w:kern w:val="2"/>
                <w:sz w:val="18"/>
                <w:szCs w:val="18"/>
              </w:rPr>
              <w:t>全厂及装置（设施）平面及竖向布置的主要安全考虑</w:t>
            </w:r>
          </w:p>
        </w:tc>
      </w:tr>
      <w:tr w14:paraId="0089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A233B9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w:t>
            </w:r>
          </w:p>
        </w:tc>
        <w:tc>
          <w:tcPr>
            <w:tcW w:w="5930" w:type="dxa"/>
            <w:vAlign w:val="center"/>
          </w:tcPr>
          <w:p w14:paraId="15B148CA">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加油站站内停车位为平坡，道路坡度不大于</w:t>
            </w:r>
            <w:r>
              <w:rPr>
                <w:rFonts w:hint="eastAsia" w:ascii="Times New Roman" w:hAnsi="Times New Roman" w:eastAsia="宋体" w:cs="宋体"/>
                <w:bCs w:val="0"/>
                <w:color w:val="auto"/>
                <w:kern w:val="2"/>
                <w:sz w:val="18"/>
                <w:szCs w:val="18"/>
                <w:lang w:val="en-US" w:eastAsia="zh-CN"/>
              </w:rPr>
              <w:t>8</w:t>
            </w:r>
            <w:r>
              <w:rPr>
                <w:rFonts w:hint="eastAsia" w:ascii="Times New Roman" w:hAnsi="Times New Roman" w:eastAsia="宋体" w:cs="宋体"/>
                <w:bCs w:val="0"/>
                <w:color w:val="auto"/>
                <w:kern w:val="2"/>
                <w:sz w:val="18"/>
                <w:szCs w:val="18"/>
              </w:rPr>
              <w:t>%，且坡向站外。</w:t>
            </w:r>
          </w:p>
        </w:tc>
        <w:tc>
          <w:tcPr>
            <w:tcW w:w="1580" w:type="dxa"/>
            <w:vAlign w:val="center"/>
          </w:tcPr>
          <w:p w14:paraId="072EFE6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坡向站外</w:t>
            </w:r>
          </w:p>
        </w:tc>
        <w:tc>
          <w:tcPr>
            <w:tcW w:w="870" w:type="dxa"/>
            <w:vAlign w:val="center"/>
          </w:tcPr>
          <w:p w14:paraId="140E003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08A5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FD13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2</w:t>
            </w:r>
          </w:p>
        </w:tc>
        <w:tc>
          <w:tcPr>
            <w:tcW w:w="5930" w:type="dxa"/>
            <w:vAlign w:val="center"/>
          </w:tcPr>
          <w:p w14:paraId="59B0BCAC">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加油站出入口与站外道路贯通，并设置减速带和限速标志。</w:t>
            </w:r>
          </w:p>
        </w:tc>
        <w:tc>
          <w:tcPr>
            <w:tcW w:w="1580" w:type="dxa"/>
            <w:vAlign w:val="center"/>
          </w:tcPr>
          <w:p w14:paraId="7B66709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设有</w:t>
            </w:r>
            <w:r>
              <w:rPr>
                <w:rFonts w:hint="eastAsia" w:ascii="Times New Roman" w:hAnsi="Times New Roman" w:eastAsia="宋体" w:cs="宋体"/>
                <w:bCs w:val="0"/>
                <w:color w:val="auto"/>
                <w:kern w:val="2"/>
                <w:sz w:val="18"/>
                <w:szCs w:val="18"/>
              </w:rPr>
              <w:t>减速带和限速标志</w:t>
            </w:r>
          </w:p>
        </w:tc>
        <w:tc>
          <w:tcPr>
            <w:tcW w:w="870" w:type="dxa"/>
            <w:vAlign w:val="center"/>
          </w:tcPr>
          <w:p w14:paraId="097E762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62C3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757C50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67BFB05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5.2.3 平面布置的主要防火间距及标准规范符合情况</w:t>
            </w:r>
          </w:p>
        </w:tc>
      </w:tr>
      <w:tr w14:paraId="0E63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C9FB8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19B012DB">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站内设施之间的安全间距符合《汽车加油加气加氢站技术标准》GB50156-2021 的要求。</w:t>
            </w:r>
          </w:p>
        </w:tc>
        <w:tc>
          <w:tcPr>
            <w:tcW w:w="1580" w:type="dxa"/>
            <w:vAlign w:val="center"/>
          </w:tcPr>
          <w:p w14:paraId="0987053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站内设施防火间距符合要求</w:t>
            </w:r>
          </w:p>
        </w:tc>
        <w:tc>
          <w:tcPr>
            <w:tcW w:w="870" w:type="dxa"/>
            <w:vAlign w:val="center"/>
          </w:tcPr>
          <w:p w14:paraId="3E5137D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24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90A6F0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587817D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2.</w:t>
            </w:r>
            <w:r>
              <w:rPr>
                <w:rFonts w:hint="eastAsia" w:ascii="Times New Roman" w:hAnsi="Times New Roman" w:eastAsia="宋体" w:cs="Calibri"/>
                <w:b/>
                <w:bCs/>
                <w:color w:val="auto"/>
                <w:kern w:val="2"/>
                <w:sz w:val="18"/>
                <w:szCs w:val="18"/>
              </w:rPr>
              <w:t>4</w:t>
            </w:r>
            <w:r>
              <w:rPr>
                <w:rFonts w:hint="eastAsia" w:ascii="Times New Roman" w:hAnsi="Times New Roman" w:eastAsia="宋体" w:cs="宋体"/>
                <w:b/>
                <w:bCs/>
                <w:color w:val="auto"/>
                <w:kern w:val="2"/>
                <w:sz w:val="18"/>
                <w:szCs w:val="18"/>
              </w:rPr>
              <w:t>站区消防道路、安全疏散通道及出口的设置情况</w:t>
            </w:r>
          </w:p>
        </w:tc>
      </w:tr>
      <w:tr w14:paraId="00D0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E4C0D5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3B61FA58">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站区道路布置：站内道路布置与站外道路贯通，利于站区安全和消防。</w:t>
            </w:r>
          </w:p>
        </w:tc>
        <w:tc>
          <w:tcPr>
            <w:tcW w:w="1580" w:type="dxa"/>
            <w:vAlign w:val="center"/>
          </w:tcPr>
          <w:p w14:paraId="35CD3AE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站区道路按要求设置</w:t>
            </w:r>
          </w:p>
        </w:tc>
        <w:tc>
          <w:tcPr>
            <w:tcW w:w="870" w:type="dxa"/>
            <w:vAlign w:val="center"/>
          </w:tcPr>
          <w:p w14:paraId="3BAF833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9A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3B515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2</w:t>
            </w:r>
          </w:p>
        </w:tc>
        <w:tc>
          <w:tcPr>
            <w:tcW w:w="5930" w:type="dxa"/>
            <w:vAlign w:val="center"/>
          </w:tcPr>
          <w:p w14:paraId="1A3222A7">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站区道路均为混凝土路面，站区道路设计通畅，能保证车辆交错时的正常通行。</w:t>
            </w:r>
          </w:p>
        </w:tc>
        <w:tc>
          <w:tcPr>
            <w:tcW w:w="1580" w:type="dxa"/>
            <w:vAlign w:val="center"/>
          </w:tcPr>
          <w:p w14:paraId="164311E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混凝土路面，道路畅通</w:t>
            </w:r>
          </w:p>
        </w:tc>
        <w:tc>
          <w:tcPr>
            <w:tcW w:w="870" w:type="dxa"/>
            <w:vAlign w:val="center"/>
          </w:tcPr>
          <w:p w14:paraId="1F6D106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368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383137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3</w:t>
            </w:r>
          </w:p>
        </w:tc>
        <w:tc>
          <w:tcPr>
            <w:tcW w:w="5930" w:type="dxa"/>
            <w:vAlign w:val="center"/>
          </w:tcPr>
          <w:p w14:paraId="16727052">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站内车道宽度按车辆类型确定。单车道宽度不小于4m，双车道宽度不小于6m。站内的道路转弯半径按行驶车型确定，且不宜小于9m。</w:t>
            </w:r>
          </w:p>
        </w:tc>
        <w:tc>
          <w:tcPr>
            <w:tcW w:w="1580" w:type="dxa"/>
            <w:vAlign w:val="center"/>
          </w:tcPr>
          <w:p w14:paraId="0669AA8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道路按要求布置</w:t>
            </w:r>
          </w:p>
        </w:tc>
        <w:tc>
          <w:tcPr>
            <w:tcW w:w="870" w:type="dxa"/>
            <w:vAlign w:val="center"/>
          </w:tcPr>
          <w:p w14:paraId="7FC64CC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E37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85E45A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4</w:t>
            </w:r>
          </w:p>
        </w:tc>
        <w:tc>
          <w:tcPr>
            <w:tcW w:w="5930" w:type="dxa"/>
            <w:vAlign w:val="center"/>
          </w:tcPr>
          <w:p w14:paraId="2929A2D1">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站内停车位为平坡，道路坡度不大于</w:t>
            </w:r>
            <w:r>
              <w:rPr>
                <w:rFonts w:hint="eastAsia" w:ascii="Times New Roman" w:hAnsi="Times New Roman" w:eastAsia="宋体" w:cs="Times New Roman"/>
                <w:bCs w:val="0"/>
                <w:color w:val="auto"/>
                <w:kern w:val="2"/>
                <w:sz w:val="18"/>
                <w:szCs w:val="18"/>
                <w:lang w:val="en-US" w:eastAsia="zh-CN"/>
              </w:rPr>
              <w:t>6</w:t>
            </w:r>
            <w:r>
              <w:rPr>
                <w:rFonts w:hint="eastAsia" w:ascii="Times New Roman" w:hAnsi="Times New Roman" w:eastAsia="宋体" w:cs="Times New Roman"/>
                <w:bCs w:val="0"/>
                <w:color w:val="auto"/>
                <w:kern w:val="2"/>
                <w:sz w:val="18"/>
                <w:szCs w:val="18"/>
              </w:rPr>
              <w:t>%，且宜坡向站外。</w:t>
            </w:r>
          </w:p>
        </w:tc>
        <w:tc>
          <w:tcPr>
            <w:tcW w:w="1580" w:type="dxa"/>
            <w:vAlign w:val="center"/>
          </w:tcPr>
          <w:p w14:paraId="03F5ED4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坡向站外</w:t>
            </w:r>
          </w:p>
        </w:tc>
        <w:tc>
          <w:tcPr>
            <w:tcW w:w="870" w:type="dxa"/>
            <w:vAlign w:val="center"/>
          </w:tcPr>
          <w:p w14:paraId="0571503E">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A87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A00D0F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8380" w:type="dxa"/>
            <w:gridSpan w:val="3"/>
            <w:vAlign w:val="center"/>
          </w:tcPr>
          <w:p w14:paraId="45413844">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
                <w:bCs/>
                <w:color w:val="auto"/>
                <w:kern w:val="2"/>
                <w:sz w:val="18"/>
                <w:szCs w:val="18"/>
              </w:rPr>
              <w:t>5.2.</w:t>
            </w:r>
            <w:r>
              <w:rPr>
                <w:rFonts w:hint="eastAsia" w:ascii="Times New Roman" w:hAnsi="Times New Roman" w:eastAsia="宋体" w:cs="Times New Roman"/>
                <w:b/>
                <w:bCs/>
                <w:color w:val="auto"/>
                <w:kern w:val="2"/>
                <w:sz w:val="18"/>
                <w:szCs w:val="18"/>
                <w:lang w:val="en-US" w:eastAsia="zh-CN"/>
              </w:rPr>
              <w:t>5问题及隐患整改设计采取的措施</w:t>
            </w:r>
          </w:p>
        </w:tc>
      </w:tr>
      <w:tr w14:paraId="08CD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ADBA9D">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Calibri"/>
                <w:bCs w:val="0"/>
                <w:color w:val="auto"/>
                <w:kern w:val="2"/>
                <w:sz w:val="18"/>
                <w:szCs w:val="18"/>
                <w:lang w:val="en-US" w:eastAsia="zh-CN"/>
              </w:rPr>
            </w:pPr>
            <w:r>
              <w:rPr>
                <w:rFonts w:hint="eastAsia" w:ascii="Times New Roman" w:hAnsi="Times New Roman" w:eastAsia="宋体" w:cs="Calibri"/>
                <w:bCs w:val="0"/>
                <w:color w:val="auto"/>
                <w:kern w:val="2"/>
                <w:sz w:val="18"/>
                <w:szCs w:val="18"/>
                <w:lang w:val="en-US" w:eastAsia="zh-CN"/>
              </w:rPr>
              <w:t>1</w:t>
            </w:r>
          </w:p>
        </w:tc>
        <w:tc>
          <w:tcPr>
            <w:tcW w:w="5930" w:type="dxa"/>
            <w:vAlign w:val="center"/>
          </w:tcPr>
          <w:p w14:paraId="3F6287EB">
            <w:pPr>
              <w:keepNext w:val="0"/>
              <w:keepLines w:val="0"/>
              <w:pageBreakBefore w:val="0"/>
              <w:kinsoku/>
              <w:wordWrap/>
              <w:overflowPunct/>
              <w:topLinePunct w:val="0"/>
              <w:autoSpaceDE/>
              <w:autoSpaceDN/>
              <w:bidi w:val="0"/>
              <w:adjustRightInd w:val="0"/>
              <w:snapToGrid w:val="0"/>
              <w:spacing w:line="28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针对缺少安全设计专篇和相关图纸，如工艺流程图、消防器材布置图、视频监控、爆炸危险区域划分图等图纸的问题，采取补充安全设计专篇（本专篇），补充相关图纸，如工艺流程图、消防器材布置图、视频监控、爆炸危险区域划分图、防雷防静电图等图纸。</w:t>
            </w:r>
          </w:p>
        </w:tc>
        <w:tc>
          <w:tcPr>
            <w:tcW w:w="1580" w:type="dxa"/>
            <w:vAlign w:val="center"/>
          </w:tcPr>
          <w:p w14:paraId="51468E18">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lang w:val="en-US" w:eastAsia="zh-CN"/>
              </w:rPr>
            </w:pPr>
            <w:r>
              <w:rPr>
                <w:rFonts w:hint="eastAsia" w:ascii="Times New Roman" w:hAnsi="Times New Roman" w:eastAsia="宋体" w:cs="Times New Roman"/>
                <w:bCs w:val="0"/>
                <w:color w:val="auto"/>
                <w:kern w:val="2"/>
                <w:sz w:val="18"/>
                <w:szCs w:val="18"/>
                <w:lang w:val="en-US" w:eastAsia="zh-CN"/>
              </w:rPr>
              <w:t>已补充安全设计专篇和相关图纸</w:t>
            </w:r>
          </w:p>
        </w:tc>
        <w:tc>
          <w:tcPr>
            <w:tcW w:w="870" w:type="dxa"/>
            <w:vAlign w:val="center"/>
          </w:tcPr>
          <w:p w14:paraId="3C8B3CF1">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0EF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5BBEA6B">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Calibri"/>
                <w:bCs w:val="0"/>
                <w:color w:val="auto"/>
                <w:kern w:val="2"/>
                <w:sz w:val="18"/>
                <w:szCs w:val="18"/>
                <w:lang w:val="en-US" w:eastAsia="zh-CN"/>
              </w:rPr>
            </w:pPr>
            <w:r>
              <w:rPr>
                <w:rFonts w:hint="eastAsia" w:ascii="Times New Roman" w:hAnsi="Times New Roman" w:eastAsia="宋体" w:cs="Calibri"/>
                <w:bCs w:val="0"/>
                <w:color w:val="auto"/>
                <w:kern w:val="2"/>
                <w:sz w:val="18"/>
                <w:szCs w:val="18"/>
                <w:lang w:val="en-US" w:eastAsia="zh-CN"/>
              </w:rPr>
              <w:t>2</w:t>
            </w:r>
          </w:p>
        </w:tc>
        <w:tc>
          <w:tcPr>
            <w:tcW w:w="5930" w:type="dxa"/>
            <w:vAlign w:val="center"/>
          </w:tcPr>
          <w:p w14:paraId="0436C77A">
            <w:pPr>
              <w:keepNext w:val="0"/>
              <w:keepLines w:val="0"/>
              <w:pageBreakBefore w:val="0"/>
              <w:kinsoku/>
              <w:wordWrap/>
              <w:overflowPunct/>
              <w:topLinePunct w:val="0"/>
              <w:autoSpaceDE/>
              <w:autoSpaceDN/>
              <w:bidi w:val="0"/>
              <w:adjustRightInd w:val="0"/>
              <w:snapToGrid w:val="0"/>
              <w:spacing w:line="28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针对加油站内汽油加油机距离 X456 县道不满足5m距离要求，采取调整加油机与 X456 县道位置保证5米安全距离。</w:t>
            </w:r>
          </w:p>
        </w:tc>
        <w:tc>
          <w:tcPr>
            <w:tcW w:w="1580" w:type="dxa"/>
            <w:vAlign w:val="center"/>
          </w:tcPr>
          <w:p w14:paraId="6ADEDA9C">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满足5m距离要求</w:t>
            </w:r>
          </w:p>
        </w:tc>
        <w:tc>
          <w:tcPr>
            <w:tcW w:w="870" w:type="dxa"/>
            <w:vAlign w:val="center"/>
          </w:tcPr>
          <w:p w14:paraId="3E1991DD">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1DF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923DBD2">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Calibri"/>
                <w:bCs w:val="0"/>
                <w:color w:val="auto"/>
                <w:kern w:val="2"/>
                <w:sz w:val="18"/>
                <w:szCs w:val="18"/>
                <w:lang w:val="en-US" w:eastAsia="zh-CN"/>
              </w:rPr>
            </w:pPr>
            <w:r>
              <w:rPr>
                <w:rFonts w:hint="eastAsia" w:ascii="Times New Roman" w:hAnsi="Times New Roman" w:eastAsia="宋体" w:cs="Calibri"/>
                <w:bCs w:val="0"/>
                <w:color w:val="auto"/>
                <w:kern w:val="2"/>
                <w:sz w:val="18"/>
                <w:szCs w:val="18"/>
                <w:lang w:val="en-US" w:eastAsia="zh-CN"/>
              </w:rPr>
              <w:t>3</w:t>
            </w:r>
          </w:p>
        </w:tc>
        <w:tc>
          <w:tcPr>
            <w:tcW w:w="5930" w:type="dxa"/>
            <w:vAlign w:val="center"/>
          </w:tcPr>
          <w:p w14:paraId="73312A10">
            <w:pPr>
              <w:keepNext w:val="0"/>
              <w:keepLines w:val="0"/>
              <w:pageBreakBefore w:val="0"/>
              <w:kinsoku/>
              <w:wordWrap/>
              <w:overflowPunct/>
              <w:topLinePunct w:val="0"/>
              <w:autoSpaceDE/>
              <w:autoSpaceDN/>
              <w:bidi w:val="0"/>
              <w:adjustRightInd w:val="0"/>
              <w:snapToGrid w:val="0"/>
              <w:spacing w:line="28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针对站区内实体围墙高度不足的问题，采取将实体围墙增高至2.2米。</w:t>
            </w:r>
          </w:p>
        </w:tc>
        <w:tc>
          <w:tcPr>
            <w:tcW w:w="1580" w:type="dxa"/>
            <w:vAlign w:val="center"/>
          </w:tcPr>
          <w:p w14:paraId="1CF55029">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增高至2.2米</w:t>
            </w:r>
          </w:p>
        </w:tc>
        <w:tc>
          <w:tcPr>
            <w:tcW w:w="870" w:type="dxa"/>
            <w:vAlign w:val="center"/>
          </w:tcPr>
          <w:p w14:paraId="15BCCAFC">
            <w:pPr>
              <w:keepNext w:val="0"/>
              <w:keepLines w:val="0"/>
              <w:pageBreakBefore w:val="0"/>
              <w:kinsoku/>
              <w:wordWrap/>
              <w:overflowPunct/>
              <w:topLinePunct w:val="0"/>
              <w:autoSpaceDE/>
              <w:autoSpaceDN/>
              <w:bidi w:val="0"/>
              <w:spacing w:line="28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53E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5BEFB76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75F7081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.3 </w:t>
            </w:r>
            <w:r>
              <w:rPr>
                <w:rFonts w:hint="eastAsia" w:ascii="Times New Roman" w:hAnsi="Times New Roman" w:eastAsia="宋体" w:cs="宋体"/>
                <w:b/>
                <w:bCs/>
                <w:color w:val="auto"/>
                <w:kern w:val="2"/>
                <w:sz w:val="18"/>
                <w:szCs w:val="18"/>
              </w:rPr>
              <w:t>设备及管道的安全措施</w:t>
            </w:r>
          </w:p>
        </w:tc>
      </w:tr>
      <w:tr w14:paraId="29FB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8D1CBAF">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04FDA4E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本加油站埋地油罐采用内钢外玻璃纤维增强塑料双层油罐（SF双层罐，Φ2</w:t>
            </w:r>
            <w:r>
              <w:rPr>
                <w:rFonts w:hint="eastAsia" w:ascii="Times New Roman" w:hAnsi="Times New Roman" w:eastAsia="宋体" w:cs="Times New Roman"/>
                <w:bCs w:val="0"/>
                <w:color w:val="auto"/>
                <w:kern w:val="2"/>
                <w:sz w:val="18"/>
                <w:szCs w:val="18"/>
              </w:rPr>
              <w:t>.6</w:t>
            </w:r>
            <w:r>
              <w:rPr>
                <w:rFonts w:ascii="Times New Roman" w:hAnsi="Times New Roman" w:eastAsia="宋体" w:cs="Times New Roman"/>
                <w:bCs w:val="0"/>
                <w:color w:val="auto"/>
                <w:kern w:val="2"/>
                <w:sz w:val="18"/>
                <w:szCs w:val="18"/>
              </w:rPr>
              <w:t>×</w:t>
            </w:r>
            <w:r>
              <w:rPr>
                <w:rFonts w:hint="eastAsia" w:ascii="Times New Roman" w:hAnsi="Times New Roman" w:eastAsia="宋体" w:cs="Times New Roman"/>
                <w:bCs w:val="0"/>
                <w:color w:val="auto"/>
                <w:kern w:val="2"/>
                <w:sz w:val="18"/>
                <w:szCs w:val="18"/>
              </w:rPr>
              <w:t>6</w:t>
            </w:r>
            <w:r>
              <w:rPr>
                <w:rFonts w:ascii="Times New Roman" w:hAnsi="Times New Roman" w:eastAsia="宋体" w:cs="Times New Roman"/>
                <w:bCs w:val="0"/>
                <w:color w:val="auto"/>
                <w:kern w:val="2"/>
                <w:sz w:val="18"/>
                <w:szCs w:val="18"/>
              </w:rPr>
              <w:t>m，V=</w:t>
            </w:r>
            <w:r>
              <w:rPr>
                <w:rFonts w:hint="eastAsia" w:ascii="Times New Roman" w:hAnsi="Times New Roman" w:eastAsia="宋体" w:cs="Times New Roman"/>
                <w:bCs w:val="0"/>
                <w:color w:val="auto"/>
                <w:kern w:val="2"/>
                <w:sz w:val="18"/>
                <w:szCs w:val="18"/>
              </w:rPr>
              <w:t>3</w:t>
            </w:r>
            <w:r>
              <w:rPr>
                <w:rFonts w:ascii="Times New Roman" w:hAnsi="Times New Roman" w:eastAsia="宋体" w:cs="Times New Roman"/>
                <w:bCs w:val="0"/>
                <w:color w:val="auto"/>
                <w:kern w:val="2"/>
                <w:sz w:val="18"/>
                <w:szCs w:val="18"/>
              </w:rPr>
              <w:t>0m³），内层钢制罐体的厚度至少为7mm，封头厚度至少为8mm，且外层玻璃纤维增强塑料的外层壁厚不小于5mm，封头厚度至少为6mm；内层钢制油罐的设计内压不低于0.08MPa，双层油罐上</w:t>
            </w:r>
            <w:r>
              <w:rPr>
                <w:rFonts w:hint="eastAsia" w:ascii="Times New Roman" w:hAnsi="Times New Roman" w:eastAsia="宋体" w:cs="Times New Roman"/>
                <w:bCs w:val="0"/>
                <w:color w:val="auto"/>
                <w:kern w:val="2"/>
                <w:sz w:val="18"/>
                <w:szCs w:val="18"/>
                <w:lang w:eastAsia="zh-CN"/>
              </w:rPr>
              <w:t>设置</w:t>
            </w:r>
            <w:r>
              <w:rPr>
                <w:rFonts w:ascii="Times New Roman" w:hAnsi="Times New Roman" w:eastAsia="宋体" w:cs="Times New Roman"/>
                <w:bCs w:val="0"/>
                <w:color w:val="auto"/>
                <w:kern w:val="2"/>
                <w:sz w:val="18"/>
                <w:szCs w:val="18"/>
              </w:rPr>
              <w:t>渗漏检测立管，并配备防渗漏检测仪，防止内层罐的油品泄漏。本加油站采用的油罐选用符合《加油站用埋地钢-玻璃纤维增强塑料双层油罐工程技术规范》SH/T3178-2015 的设备，并应有质量证明文件。</w:t>
            </w:r>
          </w:p>
        </w:tc>
        <w:tc>
          <w:tcPr>
            <w:tcW w:w="1580" w:type="dxa"/>
            <w:vAlign w:val="center"/>
          </w:tcPr>
          <w:p w14:paraId="5034100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SF双层储罐</w:t>
            </w:r>
          </w:p>
        </w:tc>
        <w:tc>
          <w:tcPr>
            <w:tcW w:w="870" w:type="dxa"/>
            <w:vAlign w:val="center"/>
          </w:tcPr>
          <w:p w14:paraId="3D567748">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96C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F41840F">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2</w:t>
            </w:r>
          </w:p>
        </w:tc>
        <w:tc>
          <w:tcPr>
            <w:tcW w:w="5930" w:type="dxa"/>
            <w:vAlign w:val="center"/>
          </w:tcPr>
          <w:p w14:paraId="25DFEC8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本加油站加油机选用符合国家标准《机动车燃油加油机》GB/T9081-2023的成套设备，并应有质量证明文件。</w:t>
            </w:r>
          </w:p>
          <w:p w14:paraId="11CEFE0A">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（1）加油软管上设安全拉断阀。</w:t>
            </w:r>
          </w:p>
          <w:p w14:paraId="0D76B02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（2）采用一机多油品的加油机，加油机上的放枪位设有各油品的文字标识和语音提示功能，加油枪配有颜色标识。</w:t>
            </w:r>
          </w:p>
          <w:p w14:paraId="6E73AF9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（3）加油机底部管道上设置安全剪切阀。</w:t>
            </w:r>
          </w:p>
        </w:tc>
        <w:tc>
          <w:tcPr>
            <w:tcW w:w="1580" w:type="dxa"/>
            <w:vAlign w:val="center"/>
          </w:tcPr>
          <w:p w14:paraId="46911AA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加油软管设有安全拉断阀；加油机设有文字标识及颜色标识；加油机底部设有安全剪切阀</w:t>
            </w:r>
          </w:p>
        </w:tc>
        <w:tc>
          <w:tcPr>
            <w:tcW w:w="870" w:type="dxa"/>
            <w:vAlign w:val="center"/>
          </w:tcPr>
          <w:p w14:paraId="016B69D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5D55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D73FBE2">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735DABF2">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本加油站工艺管道采用如下材质：</w:t>
            </w:r>
          </w:p>
          <w:p w14:paraId="5A2FF2E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 xml:space="preserve">卸油管道（地上部分）采用无缝钢管，卸油管道（地下部分）及卸油油气回收管道采用单层导静电热塑性塑料管；加油管道采用双层导静电热塑性塑料管，加油油气回收管道采用单层导静电热塑性塑料管；通气管道采用无缝钢管。 </w:t>
            </w:r>
          </w:p>
          <w:p w14:paraId="6C72087A">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（1）导静热塑性塑料双层管道的主体结构层为无孔隙聚乙烯材料，壁厚不小于 4mm，并有质量证明文件。埋地部分的热塑性塑料管道采用配套的专用连接管件电熔连接，导静电热塑性塑料管道导静电衬层的体电阻率小于 10 8Ω•m，表面电阻率小于 10 10Ω•m。热塑性塑料管道选用符合</w:t>
            </w:r>
          </w:p>
          <w:p w14:paraId="76261A5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 xml:space="preserve">《流体输送用热塑性塑料管材公称外径和公称压力》GB/T 4217-2008、《热 </w:t>
            </w:r>
          </w:p>
          <w:p w14:paraId="71D1A08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 xml:space="preserve">塑性塑料管材通用壁厚表》GB/T 10798-2001 的管材及配件，并有质量证 </w:t>
            </w:r>
          </w:p>
          <w:p w14:paraId="5420F85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lang w:val="en-US" w:eastAsia="zh-CN"/>
              </w:rPr>
            </w:pPr>
            <w:r>
              <w:rPr>
                <w:rFonts w:hint="eastAsia" w:ascii="Times New Roman" w:hAnsi="Times New Roman" w:eastAsia="宋体" w:cs="Times New Roman"/>
                <w:bCs w:val="0"/>
                <w:color w:val="auto"/>
                <w:kern w:val="2"/>
                <w:sz w:val="18"/>
                <w:szCs w:val="18"/>
                <w:lang w:val="en-US" w:eastAsia="zh-CN"/>
              </w:rPr>
              <w:t>明文件。另外在双层复合管线低点设置泄漏检测点，可定时查看。</w:t>
            </w:r>
          </w:p>
          <w:p w14:paraId="779EC9C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Cs w:val="0"/>
                <w:color w:val="auto"/>
                <w:kern w:val="2"/>
                <w:sz w:val="18"/>
                <w:szCs w:val="18"/>
                <w:lang w:val="en-US" w:eastAsia="zh-CN"/>
              </w:rPr>
            </w:pPr>
            <w:r>
              <w:rPr>
                <w:rFonts w:hint="eastAsia" w:ascii="Times New Roman" w:hAnsi="Times New Roman" w:eastAsia="宋体" w:cs="Times New Roman"/>
                <w:bCs w:val="0"/>
                <w:color w:val="auto"/>
                <w:kern w:val="2"/>
                <w:sz w:val="18"/>
                <w:szCs w:val="18"/>
                <w:lang w:val="en-US" w:eastAsia="zh-CN"/>
              </w:rPr>
              <w:t>（2）无缝钢管的公称壁厚不小于 4mm，埋地钢管的连接采用焊接。通气管道和露出地面的管道采用焊接或法兰连接，本加油站采用的无缝钢管选用符合现行国家标准《输送流体用无缝钢管》GB/T8163-2018 的管材及配件。</w:t>
            </w:r>
          </w:p>
        </w:tc>
        <w:tc>
          <w:tcPr>
            <w:tcW w:w="1580" w:type="dxa"/>
            <w:vAlign w:val="center"/>
          </w:tcPr>
          <w:p w14:paraId="42891502">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bCs w:val="0"/>
                <w:color w:val="auto"/>
                <w:kern w:val="2"/>
                <w:sz w:val="18"/>
                <w:szCs w:val="18"/>
                <w:lang w:val="en-US" w:eastAsia="zh-CN"/>
              </w:rPr>
            </w:pPr>
            <w:r>
              <w:rPr>
                <w:rFonts w:hint="eastAsia" w:ascii="Times New Roman" w:hAnsi="Times New Roman" w:eastAsia="宋体" w:cs="Times New Roman"/>
                <w:bCs w:val="0"/>
                <w:color w:val="auto"/>
                <w:kern w:val="2"/>
                <w:sz w:val="18"/>
                <w:szCs w:val="18"/>
                <w:lang w:val="en-US" w:eastAsia="zh-CN"/>
              </w:rPr>
              <w:t>按要求设置工艺管道</w:t>
            </w:r>
          </w:p>
        </w:tc>
        <w:tc>
          <w:tcPr>
            <w:tcW w:w="870" w:type="dxa"/>
            <w:vAlign w:val="center"/>
          </w:tcPr>
          <w:p w14:paraId="06863109">
            <w:pPr>
              <w:keepNext w:val="0"/>
              <w:keepLines w:val="0"/>
              <w:pageBreakBefore w:val="0"/>
              <w:widowControl w:val="0"/>
              <w:kinsoku/>
              <w:wordWrap/>
              <w:overflowPunct/>
              <w:topLinePunct w:val="0"/>
              <w:autoSpaceDE/>
              <w:autoSpaceDN/>
              <w:bidi w:val="0"/>
              <w:spacing w:line="240" w:lineRule="exact"/>
              <w:jc w:val="center"/>
              <w:textAlignment w:val="auto"/>
              <w:rPr>
                <w:rFonts w:hint="eastAsia"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2D5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7104ABC">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3</w:t>
            </w:r>
          </w:p>
        </w:tc>
        <w:tc>
          <w:tcPr>
            <w:tcW w:w="5930" w:type="dxa"/>
            <w:vAlign w:val="center"/>
          </w:tcPr>
          <w:p w14:paraId="7427DFD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1、油罐</w:t>
            </w:r>
          </w:p>
          <w:p w14:paraId="1CED99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油罐采用内钢外玻璃纤维增强塑料双层油罐（SF 双层罐，Φ2.</w:t>
            </w:r>
            <w:r>
              <w:rPr>
                <w:rFonts w:hint="eastAsia" w:ascii="Times New Roman" w:hAnsi="Times New Roman" w:eastAsia="宋体" w:cs="Times New Roman"/>
                <w:bCs w:val="0"/>
                <w:color w:val="auto"/>
                <w:kern w:val="2"/>
                <w:sz w:val="18"/>
                <w:szCs w:val="18"/>
              </w:rPr>
              <w:t>6</w:t>
            </w:r>
            <w:r>
              <w:rPr>
                <w:rFonts w:ascii="Times New Roman" w:hAnsi="Times New Roman" w:eastAsia="宋体" w:cs="Times New Roman"/>
                <w:bCs w:val="0"/>
                <w:color w:val="auto"/>
                <w:kern w:val="2"/>
                <w:sz w:val="18"/>
                <w:szCs w:val="18"/>
              </w:rPr>
              <w:t>×</w:t>
            </w:r>
            <w:r>
              <w:rPr>
                <w:rFonts w:hint="eastAsia" w:ascii="Times New Roman" w:hAnsi="Times New Roman" w:eastAsia="宋体" w:cs="Times New Roman"/>
                <w:bCs w:val="0"/>
                <w:color w:val="auto"/>
                <w:kern w:val="2"/>
                <w:sz w:val="18"/>
                <w:szCs w:val="18"/>
              </w:rPr>
              <w:t>6</w:t>
            </w:r>
            <w:r>
              <w:rPr>
                <w:rFonts w:ascii="Times New Roman" w:hAnsi="Times New Roman" w:eastAsia="宋体" w:cs="Times New Roman"/>
                <w:bCs w:val="0"/>
                <w:color w:val="auto"/>
                <w:kern w:val="2"/>
                <w:sz w:val="18"/>
                <w:szCs w:val="18"/>
              </w:rPr>
              <w:t>m，V=</w:t>
            </w:r>
            <w:r>
              <w:rPr>
                <w:rFonts w:hint="eastAsia" w:ascii="Times New Roman" w:hAnsi="Times New Roman" w:eastAsia="宋体" w:cs="Times New Roman"/>
                <w:bCs w:val="0"/>
                <w:color w:val="auto"/>
                <w:kern w:val="2"/>
                <w:sz w:val="18"/>
                <w:szCs w:val="18"/>
              </w:rPr>
              <w:t>3</w:t>
            </w:r>
            <w:r>
              <w:rPr>
                <w:rFonts w:ascii="Times New Roman" w:hAnsi="Times New Roman" w:eastAsia="宋体" w:cs="Times New Roman"/>
                <w:bCs w:val="0"/>
                <w:color w:val="auto"/>
                <w:kern w:val="2"/>
                <w:sz w:val="18"/>
                <w:szCs w:val="18"/>
              </w:rPr>
              <w:t>0m³），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p w14:paraId="05DCA4D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1）双层油罐内壁与外壁之间有满足渗漏检测要求的贯通间隙。</w:t>
            </w:r>
          </w:p>
          <w:p w14:paraId="544171D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2）双层油罐上设置渗漏检测立管，并符合下列规定：</w:t>
            </w:r>
          </w:p>
          <w:p w14:paraId="09B7AC4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a.检测立管采用钢管，直径宜为80mm，壁厚不小于4mm。</w:t>
            </w:r>
          </w:p>
          <w:p w14:paraId="7A02BA8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b.检测立管位于油罐顶部的纵向中心线上。</w:t>
            </w:r>
          </w:p>
          <w:p w14:paraId="56537DC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c.检测立管的底部管口与油罐内、外壁间隙相连通，顶部管口装防尘盖。</w:t>
            </w:r>
          </w:p>
          <w:p w14:paraId="1204163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d.检测立管满足人工检测和在线监测的要求，并保证油罐内、外壁任何部位出现渗漏均能被发现。</w:t>
            </w:r>
          </w:p>
          <w:p w14:paraId="5F5B608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3）埋地油罐的人孔设操作井，人孔井采用加油站车道下专用的密闭井盖和井座。</w:t>
            </w:r>
          </w:p>
          <w:p w14:paraId="5045BE6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4）油罐埋地设置，罐顶低于路面1.2m。</w:t>
            </w:r>
          </w:p>
          <w:p w14:paraId="7CE5414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5）埋地油罐采取防止油罐上浮的措施。每个油罐设置3根抗浮抱带（扁钢带-80×8mm）。本加油站油罐设12条抗浮抱带。</w:t>
            </w:r>
          </w:p>
          <w:p w14:paraId="2A77C50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6）油罐的量油孔设带锁的量油帽。量油孔下部的接合管向下伸至罐内距罐底200mm处，并有检尺时使接合管内液位与罐内液位相一致的技术措施。</w:t>
            </w:r>
          </w:p>
          <w:p w14:paraId="76958B92">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7）油罐人孔井内的管道及设备，保证油罐人孔盖的可拆装性。</w:t>
            </w:r>
          </w:p>
          <w:p w14:paraId="2B01FC5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8）人孔盖上的接合管与引出井外管道的连接，采用金属软管过渡连接（包括潜油泵出油管）。</w:t>
            </w:r>
          </w:p>
          <w:p w14:paraId="1FB9339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9）油罐设置卸油防溢阀，液位检测仪，泄漏检测仪、阻火通气帽和机械呼吸阀等防护装置，油罐通气管口高出地面4m。</w:t>
            </w:r>
          </w:p>
          <w:p w14:paraId="249BCD1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10）在站内设置防雷、防静电设施，每个油罐与接地干线连接处为两处，油罐、所有设备的金属外壳、配线钢管、铠装电缆铠装层等均采用镀锌扁钢40×4与接地干线可靠接地。设备、管道按照《石油化工静电接地设计规范》SH/T3097-2017进行静电接地。</w:t>
            </w:r>
          </w:p>
        </w:tc>
        <w:tc>
          <w:tcPr>
            <w:tcW w:w="1580" w:type="dxa"/>
            <w:vAlign w:val="center"/>
          </w:tcPr>
          <w:p w14:paraId="36B6FAD8">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bCs w:val="0"/>
                <w:color w:val="auto"/>
                <w:kern w:val="2"/>
                <w:sz w:val="18"/>
                <w:szCs w:val="18"/>
                <w:lang w:val="en-US" w:eastAsia="zh-CN"/>
              </w:rPr>
            </w:pPr>
            <w:r>
              <w:rPr>
                <w:rFonts w:hint="eastAsia" w:ascii="Times New Roman" w:hAnsi="Times New Roman" w:eastAsia="宋体" w:cs="Times New Roman"/>
                <w:bCs w:val="0"/>
                <w:color w:val="auto"/>
                <w:kern w:val="2"/>
                <w:sz w:val="18"/>
                <w:szCs w:val="18"/>
              </w:rPr>
              <w:t>采用SF双层储罐</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lang w:val="en-US" w:eastAsia="zh-CN"/>
              </w:rPr>
              <w:t>油罐设有泄漏检测仪但未投入使用</w:t>
            </w:r>
          </w:p>
        </w:tc>
        <w:tc>
          <w:tcPr>
            <w:tcW w:w="870" w:type="dxa"/>
            <w:vAlign w:val="center"/>
          </w:tcPr>
          <w:p w14:paraId="27F4E06C">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部分未</w:t>
            </w:r>
            <w:r>
              <w:rPr>
                <w:rFonts w:hint="eastAsia" w:ascii="Times New Roman" w:hAnsi="Times New Roman" w:eastAsia="宋体" w:cs="Times New Roman"/>
                <w:bCs w:val="0"/>
                <w:color w:val="auto"/>
                <w:kern w:val="2"/>
                <w:sz w:val="18"/>
                <w:szCs w:val="18"/>
              </w:rPr>
              <w:t>落实</w:t>
            </w:r>
          </w:p>
        </w:tc>
      </w:tr>
      <w:tr w14:paraId="5F50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53DF958">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4</w:t>
            </w:r>
          </w:p>
        </w:tc>
        <w:tc>
          <w:tcPr>
            <w:tcW w:w="5930" w:type="dxa"/>
            <w:vAlign w:val="center"/>
          </w:tcPr>
          <w:p w14:paraId="5280BAC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2、加油机</w:t>
            </w:r>
          </w:p>
          <w:p w14:paraId="55ED721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1）加油软管上设安全拉断阀。</w:t>
            </w:r>
          </w:p>
          <w:p w14:paraId="7B0B084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2）采用一机单油品的加油机，使用自封式加油枪，加油机上的放枪位设有各油品的文字标识，加油枪配有颜色标识，并且有语音提示功能。</w:t>
            </w:r>
          </w:p>
          <w:p w14:paraId="1DA90B4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3）加油岛高出加油区停车地坪0.2m，加油岛宽度1.3m，加油岛前后出入口两端设有防撞柱，防止汽车对加油机破坏，防撞柱采用100mm钢管，高度0.5m。</w:t>
            </w:r>
          </w:p>
          <w:p w14:paraId="255AC15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4）加油机底部管道上设置安全剪切阀。</w:t>
            </w:r>
          </w:p>
          <w:p w14:paraId="1323F1C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5）在加油机底部与油气回收立管的连接处，安装一个用于检测液阻和系统密闭性的三通，其旁通短管上设置公称直径为 25mm 的球阀和丝堵。</w:t>
            </w:r>
          </w:p>
          <w:p w14:paraId="2EFF5F0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6）加油机自带人体防静电触摸装置，加油机</w:t>
            </w:r>
            <w:r>
              <w:rPr>
                <w:rFonts w:hint="eastAsia" w:ascii="Times New Roman" w:hAnsi="Times New Roman" w:eastAsia="宋体" w:cs="Times New Roman"/>
                <w:bCs w:val="0"/>
                <w:color w:val="auto"/>
                <w:kern w:val="2"/>
                <w:sz w:val="18"/>
                <w:szCs w:val="18"/>
                <w:lang w:eastAsia="zh-CN"/>
              </w:rPr>
              <w:t>防静电接地</w:t>
            </w:r>
            <w:r>
              <w:rPr>
                <w:rFonts w:ascii="Times New Roman" w:hAnsi="Times New Roman" w:eastAsia="宋体" w:cs="Times New Roman"/>
                <w:bCs w:val="0"/>
                <w:color w:val="auto"/>
                <w:kern w:val="2"/>
                <w:sz w:val="18"/>
                <w:szCs w:val="18"/>
              </w:rPr>
              <w:t>与全站接地网</w:t>
            </w:r>
            <w:r>
              <w:rPr>
                <w:rFonts w:hint="eastAsia" w:ascii="Times New Roman" w:hAnsi="Times New Roman" w:eastAsia="宋体" w:cs="Times New Roman"/>
                <w:bCs w:val="0"/>
                <w:color w:val="auto"/>
                <w:kern w:val="2"/>
                <w:sz w:val="18"/>
                <w:szCs w:val="18"/>
                <w:lang w:eastAsia="zh-CN"/>
              </w:rPr>
              <w:t>相连</w:t>
            </w:r>
            <w:r>
              <w:rPr>
                <w:rFonts w:ascii="Times New Roman" w:hAnsi="Times New Roman" w:eastAsia="宋体" w:cs="Times New Roman"/>
                <w:bCs w:val="0"/>
                <w:color w:val="auto"/>
                <w:kern w:val="2"/>
                <w:sz w:val="18"/>
                <w:szCs w:val="18"/>
              </w:rPr>
              <w:t>。</w:t>
            </w:r>
          </w:p>
          <w:p w14:paraId="0E9AACD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ascii="Times New Roman" w:hAnsi="Times New Roman" w:eastAsia="宋体" w:cs="Times New Roman"/>
                <w:bCs w:val="0"/>
                <w:color w:val="auto"/>
                <w:kern w:val="2"/>
                <w:sz w:val="18"/>
                <w:szCs w:val="18"/>
              </w:rPr>
              <w:t>7）加油机采用自封式加油枪，枪身设计的自封装置能够确保在容器加满时自动关闭油枪，防止介质外溢。汽油加油枪的流量不大于50L/min。</w:t>
            </w:r>
          </w:p>
        </w:tc>
        <w:tc>
          <w:tcPr>
            <w:tcW w:w="1580" w:type="dxa"/>
            <w:vAlign w:val="center"/>
          </w:tcPr>
          <w:p w14:paraId="53E5508C">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按要求设置</w:t>
            </w:r>
          </w:p>
        </w:tc>
        <w:tc>
          <w:tcPr>
            <w:tcW w:w="870" w:type="dxa"/>
            <w:shd w:val="clear" w:color="auto" w:fill="auto"/>
            <w:vAlign w:val="center"/>
          </w:tcPr>
          <w:p w14:paraId="54ADB576">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87F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3C3E6B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164C01F3">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4 </w:t>
            </w:r>
            <w:r>
              <w:rPr>
                <w:rFonts w:hint="eastAsia" w:ascii="Times New Roman" w:hAnsi="Times New Roman" w:eastAsia="宋体" w:cs="宋体"/>
                <w:b/>
                <w:bCs/>
                <w:color w:val="auto"/>
                <w:kern w:val="2"/>
                <w:sz w:val="18"/>
                <w:szCs w:val="18"/>
              </w:rPr>
              <w:t>电气方面的安全措施</w:t>
            </w:r>
          </w:p>
        </w:tc>
      </w:tr>
      <w:tr w14:paraId="56A9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ABD249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2449410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配电房安全对策措施：</w:t>
            </w:r>
          </w:p>
          <w:p w14:paraId="186CC0D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1）配电房设</w:t>
            </w:r>
            <w:r>
              <w:rPr>
                <w:rFonts w:hint="eastAsia" w:ascii="Times New Roman" w:hAnsi="Times New Roman" w:eastAsia="宋体" w:cs="Times New Roman"/>
                <w:bCs w:val="0"/>
                <w:color w:val="auto"/>
                <w:kern w:val="2"/>
                <w:sz w:val="18"/>
                <w:szCs w:val="18"/>
                <w:lang w:eastAsia="zh-CN"/>
              </w:rPr>
              <w:t>置在</w:t>
            </w:r>
            <w:r>
              <w:rPr>
                <w:rFonts w:hint="eastAsia" w:ascii="Times New Roman" w:hAnsi="Times New Roman" w:eastAsia="宋体" w:cs="Times New Roman"/>
                <w:bCs w:val="0"/>
                <w:color w:val="auto"/>
                <w:kern w:val="2"/>
                <w:sz w:val="18"/>
                <w:szCs w:val="18"/>
              </w:rPr>
              <w:t>站房内，在爆炸危险区域之外，且与爆炸危险区域边界线的距离大于3m。</w:t>
            </w:r>
          </w:p>
          <w:p w14:paraId="17496BC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2）为保证火灾时候配电间、控制室正常照度，配电间及控制室灯具选用自带蓄电池灯具，持续供电时间不少于180分钟，采用专用回路供电。</w:t>
            </w:r>
          </w:p>
          <w:p w14:paraId="183AC9E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3）配电房配备MT7二氧化碳灭火器2具，并配置防冻手套。</w:t>
            </w:r>
          </w:p>
          <w:p w14:paraId="75A29B7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4）配电室操作人员具备相关的专业知识，具有劳动部门颁发的电工操作证。</w:t>
            </w:r>
          </w:p>
          <w:p w14:paraId="3D13B1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5）配电室张贴“机房重地闲人免进”标志，控制无关人员进入。</w:t>
            </w:r>
          </w:p>
          <w:p w14:paraId="5DB64D7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6）高低压设备设置防护栅栏，电缆沟铺设盖板。</w:t>
            </w:r>
          </w:p>
          <w:p w14:paraId="591A54F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7）配电室内不得堆放杂物及与工作无关的物品</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严禁堆放可燃物品和存放易燃易爆物品。</w:t>
            </w:r>
          </w:p>
          <w:p w14:paraId="3BBB8A6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8）安装、维修电器设备和线路时，要在电闸悬挂“正在维修、严禁合闸</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的标志牌，严格执行安全操作规程。</w:t>
            </w:r>
          </w:p>
          <w:p w14:paraId="7A640A4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9）配电室通往室外要设置挡鼠板</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墙体、门窗和通风处要安装防护网防止飞鸟、小动物进入造成短路，引起事故。</w:t>
            </w:r>
          </w:p>
          <w:p w14:paraId="79C4E2F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10）熟知消防报警程序及配电室消防器材存放位置和使用方法，严禁将消防器材挪作他用。保证消防器材处于完好有效战备状态。</w:t>
            </w:r>
          </w:p>
          <w:p w14:paraId="170E482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11）配电房门外开，配置了绝缘垫、绝缘鞋、绝缘手套等，设置工作状态牌。绝缘垫、绝缘鞋、绝缘手套需要定期检测，保证在有效期内。</w:t>
            </w:r>
          </w:p>
          <w:p w14:paraId="2E71BE4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12）配电房门采用防火门。</w:t>
            </w:r>
          </w:p>
        </w:tc>
        <w:tc>
          <w:tcPr>
            <w:tcW w:w="1580" w:type="dxa"/>
            <w:vAlign w:val="center"/>
          </w:tcPr>
          <w:p w14:paraId="73FA46CD">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配电房按要求设置，但配电房设置外开防火门</w:t>
            </w:r>
          </w:p>
        </w:tc>
        <w:tc>
          <w:tcPr>
            <w:tcW w:w="870" w:type="dxa"/>
            <w:shd w:val="clear" w:color="auto" w:fill="auto"/>
            <w:vAlign w:val="center"/>
          </w:tcPr>
          <w:p w14:paraId="2962F912">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已</w:t>
            </w:r>
            <w:r>
              <w:rPr>
                <w:rFonts w:hint="eastAsia" w:ascii="Times New Roman" w:hAnsi="Times New Roman" w:eastAsia="宋体" w:cs="Times New Roman"/>
                <w:bCs w:val="0"/>
                <w:color w:val="auto"/>
                <w:kern w:val="2"/>
                <w:sz w:val="18"/>
                <w:szCs w:val="18"/>
              </w:rPr>
              <w:t>落实</w:t>
            </w:r>
          </w:p>
        </w:tc>
      </w:tr>
      <w:tr w14:paraId="785A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5D12A2">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2</w:t>
            </w:r>
          </w:p>
        </w:tc>
        <w:tc>
          <w:tcPr>
            <w:tcW w:w="5930" w:type="dxa"/>
            <w:vAlign w:val="center"/>
          </w:tcPr>
          <w:p w14:paraId="24AE4657">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配电系统设置安全防护装置。</w:t>
            </w:r>
          </w:p>
        </w:tc>
        <w:tc>
          <w:tcPr>
            <w:tcW w:w="1580" w:type="dxa"/>
            <w:vAlign w:val="center"/>
          </w:tcPr>
          <w:p w14:paraId="17F1721A">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设置安全防护装置</w:t>
            </w:r>
          </w:p>
        </w:tc>
        <w:tc>
          <w:tcPr>
            <w:tcW w:w="870" w:type="dxa"/>
            <w:vAlign w:val="center"/>
          </w:tcPr>
          <w:p w14:paraId="5B5EA9B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1E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93CD7F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3</w:t>
            </w:r>
          </w:p>
        </w:tc>
        <w:tc>
          <w:tcPr>
            <w:tcW w:w="5930" w:type="dxa"/>
            <w:vAlign w:val="center"/>
          </w:tcPr>
          <w:p w14:paraId="40D4D1AE">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配电设备、插头开关、高低压均设明显安全的警示标志。配电间绝缘手套1套、绝缘靴1双，每半年进行一次电气性能检测。</w:t>
            </w:r>
          </w:p>
        </w:tc>
        <w:tc>
          <w:tcPr>
            <w:tcW w:w="1580" w:type="dxa"/>
            <w:vAlign w:val="center"/>
          </w:tcPr>
          <w:p w14:paraId="7A08776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设置警示标志</w:t>
            </w:r>
          </w:p>
        </w:tc>
        <w:tc>
          <w:tcPr>
            <w:tcW w:w="870" w:type="dxa"/>
            <w:vAlign w:val="center"/>
          </w:tcPr>
          <w:p w14:paraId="7A07D9D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A58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82B0BCD">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4</w:t>
            </w:r>
          </w:p>
        </w:tc>
        <w:tc>
          <w:tcPr>
            <w:tcW w:w="5930" w:type="dxa"/>
            <w:vAlign w:val="center"/>
          </w:tcPr>
          <w:p w14:paraId="28529AEA">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在可能产生静电的罐体，管路等进行可靠的防静电接地、工作接地，采用总等电位连接的共用接地。操作人员在绝缘垫或穿绝缘鞋进行电工操作，严格按安全操作规程作业。</w:t>
            </w:r>
          </w:p>
        </w:tc>
        <w:tc>
          <w:tcPr>
            <w:tcW w:w="1580" w:type="dxa"/>
            <w:vAlign w:val="center"/>
          </w:tcPr>
          <w:p w14:paraId="2430595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制定操作规程，按要求进行作业</w:t>
            </w:r>
          </w:p>
        </w:tc>
        <w:tc>
          <w:tcPr>
            <w:tcW w:w="870" w:type="dxa"/>
            <w:vAlign w:val="center"/>
          </w:tcPr>
          <w:p w14:paraId="6E68BA5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D7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EF0B1B">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5</w:t>
            </w:r>
          </w:p>
        </w:tc>
        <w:tc>
          <w:tcPr>
            <w:tcW w:w="5930" w:type="dxa"/>
            <w:vAlign w:val="center"/>
          </w:tcPr>
          <w:p w14:paraId="2DAC4226">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制定用电设备安全操作规程，对相关人员进行安全操作培训。</w:t>
            </w:r>
          </w:p>
        </w:tc>
        <w:tc>
          <w:tcPr>
            <w:tcW w:w="1580" w:type="dxa"/>
            <w:vAlign w:val="center"/>
          </w:tcPr>
          <w:p w14:paraId="4DE70AB0">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进行培训</w:t>
            </w:r>
          </w:p>
        </w:tc>
        <w:tc>
          <w:tcPr>
            <w:tcW w:w="870" w:type="dxa"/>
            <w:vAlign w:val="center"/>
          </w:tcPr>
          <w:p w14:paraId="4F18433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BB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B416A1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6</w:t>
            </w:r>
          </w:p>
        </w:tc>
        <w:tc>
          <w:tcPr>
            <w:tcW w:w="5930" w:type="dxa"/>
            <w:vAlign w:val="center"/>
          </w:tcPr>
          <w:p w14:paraId="19C064B0">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加油的电力线路采用电缆并直埋敷设。电缆穿越行车道部分，穿钢管保护。</w:t>
            </w:r>
          </w:p>
        </w:tc>
        <w:tc>
          <w:tcPr>
            <w:tcW w:w="1580" w:type="dxa"/>
            <w:vAlign w:val="center"/>
          </w:tcPr>
          <w:p w14:paraId="752AA806">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穿管保护</w:t>
            </w:r>
          </w:p>
        </w:tc>
        <w:tc>
          <w:tcPr>
            <w:tcW w:w="870" w:type="dxa"/>
            <w:vAlign w:val="center"/>
          </w:tcPr>
          <w:p w14:paraId="75374184">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2A05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1FCE65">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7</w:t>
            </w:r>
          </w:p>
        </w:tc>
        <w:tc>
          <w:tcPr>
            <w:tcW w:w="5930" w:type="dxa"/>
            <w:vAlign w:val="center"/>
          </w:tcPr>
          <w:p w14:paraId="0F960513">
            <w:pPr>
              <w:keepNext w:val="0"/>
              <w:keepLines w:val="0"/>
              <w:pageBreakBefore w:val="0"/>
              <w:kinsoku/>
              <w:wordWrap/>
              <w:overflowPunct/>
              <w:topLinePunct w:val="0"/>
              <w:autoSpaceDE/>
              <w:autoSpaceDN/>
              <w:bidi w:val="0"/>
              <w:adjustRightInd w:val="0"/>
              <w:snapToGrid w:val="0"/>
              <w:spacing w:line="28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当采用电缆沟敷设电缆时，加油作业区内的电缆沟内必须充沙填实。电缆不得与油品敷设在同一沟内。</w:t>
            </w:r>
          </w:p>
        </w:tc>
        <w:tc>
          <w:tcPr>
            <w:tcW w:w="1580" w:type="dxa"/>
            <w:vAlign w:val="center"/>
          </w:tcPr>
          <w:p w14:paraId="5300A351">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充</w:t>
            </w:r>
            <w:r>
              <w:rPr>
                <w:rFonts w:hint="eastAsia" w:ascii="Times New Roman" w:hAnsi="Times New Roman" w:eastAsia="宋体" w:cs="Times New Roman"/>
                <w:bCs w:val="0"/>
                <w:color w:val="auto"/>
                <w:kern w:val="2"/>
                <w:sz w:val="18"/>
                <w:szCs w:val="18"/>
                <w:lang w:eastAsia="zh-CN"/>
              </w:rPr>
              <w:t>砂</w:t>
            </w:r>
            <w:r>
              <w:rPr>
                <w:rFonts w:hint="eastAsia" w:ascii="Times New Roman" w:hAnsi="Times New Roman" w:eastAsia="宋体" w:cs="Times New Roman"/>
                <w:bCs w:val="0"/>
                <w:color w:val="auto"/>
                <w:kern w:val="2"/>
                <w:sz w:val="18"/>
                <w:szCs w:val="18"/>
              </w:rPr>
              <w:t>填实</w:t>
            </w:r>
          </w:p>
        </w:tc>
        <w:tc>
          <w:tcPr>
            <w:tcW w:w="870" w:type="dxa"/>
            <w:vAlign w:val="center"/>
          </w:tcPr>
          <w:p w14:paraId="5AC4F81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C3E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2205ED3">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8</w:t>
            </w:r>
          </w:p>
        </w:tc>
        <w:tc>
          <w:tcPr>
            <w:tcW w:w="5930" w:type="dxa"/>
            <w:vAlign w:val="center"/>
          </w:tcPr>
          <w:p w14:paraId="2D3D9502">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在配电柜室内配备灭火器。配电柜采用防火材质。电缆出入口处采用防火隔板或防火堵料加以封堵，以防止一旦有火灾引起蔓延。</w:t>
            </w:r>
          </w:p>
        </w:tc>
        <w:tc>
          <w:tcPr>
            <w:tcW w:w="1580" w:type="dxa"/>
            <w:vAlign w:val="center"/>
          </w:tcPr>
          <w:p w14:paraId="28E4C9A3">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设置灭火器；电缆出入口采用防火隔板封堵</w:t>
            </w:r>
          </w:p>
        </w:tc>
        <w:tc>
          <w:tcPr>
            <w:tcW w:w="870" w:type="dxa"/>
            <w:vAlign w:val="center"/>
          </w:tcPr>
          <w:p w14:paraId="7006AC6E">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FE7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581D1F0">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9</w:t>
            </w:r>
          </w:p>
        </w:tc>
        <w:tc>
          <w:tcPr>
            <w:tcW w:w="5930" w:type="dxa"/>
            <w:vAlign w:val="center"/>
          </w:tcPr>
          <w:p w14:paraId="5DDEA6F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电气安全照明及应急照明设施</w:t>
            </w:r>
          </w:p>
          <w:p w14:paraId="059F319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建筑采光照明：按《建筑照明设计标准》执行。爆炸环境中选用隔爆灯具，爆炸场所选用不低于所处环境爆炸等级的防爆型电气设备；一般环境中选用节能荧光灯具或金属卤素板块灯。照明光源按节能，寿命及显色性等要求选用。</w:t>
            </w:r>
          </w:p>
          <w:p w14:paraId="2EA75FB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照明灯具光源选择：罩棚照明采用金属卤化物灯；办公室等采用节能型日光色荧光灯。照度设计原则：加油区100Lx，办公室、营业厅300Lx。</w:t>
            </w:r>
          </w:p>
          <w:p w14:paraId="12174DD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照明电压：照明配电箱电源电压为交流 380/220V，光源电压为交流220V。</w:t>
            </w:r>
          </w:p>
          <w:p w14:paraId="638AFBC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加油区、站房内设置应急疏散照明灯具；在站房出入口设置应急疏散指示灯具。用于疏散照明的灯具持续工作的时间大于30分钟，且出入口处疏散照明照度值不低于3Lx。站房（配电柜）应急照明可维持90min照明。</w:t>
            </w:r>
          </w:p>
        </w:tc>
        <w:tc>
          <w:tcPr>
            <w:tcW w:w="1580" w:type="dxa"/>
            <w:vAlign w:val="center"/>
          </w:tcPr>
          <w:p w14:paraId="57E02E5A">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配电间应急照明灯损坏。其他</w:t>
            </w:r>
            <w:r>
              <w:rPr>
                <w:rFonts w:hint="eastAsia" w:ascii="Times New Roman" w:hAnsi="Times New Roman" w:eastAsia="宋体" w:cs="Times New Roman"/>
                <w:bCs w:val="0"/>
                <w:color w:val="auto"/>
                <w:kern w:val="2"/>
                <w:sz w:val="18"/>
                <w:szCs w:val="18"/>
              </w:rPr>
              <w:t>照明设施符合要求</w:t>
            </w:r>
          </w:p>
        </w:tc>
        <w:tc>
          <w:tcPr>
            <w:tcW w:w="870" w:type="dxa"/>
            <w:vAlign w:val="center"/>
          </w:tcPr>
          <w:p w14:paraId="05AD3FF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部分未</w:t>
            </w:r>
            <w:r>
              <w:rPr>
                <w:rFonts w:hint="eastAsia" w:ascii="Times New Roman" w:hAnsi="Times New Roman" w:eastAsia="宋体" w:cs="Times New Roman"/>
                <w:bCs w:val="0"/>
                <w:color w:val="auto"/>
                <w:kern w:val="2"/>
                <w:sz w:val="18"/>
                <w:szCs w:val="18"/>
              </w:rPr>
              <w:t>落实</w:t>
            </w:r>
          </w:p>
        </w:tc>
      </w:tr>
      <w:tr w14:paraId="4373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F5B646">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10</w:t>
            </w:r>
          </w:p>
        </w:tc>
        <w:tc>
          <w:tcPr>
            <w:tcW w:w="5930" w:type="dxa"/>
            <w:vAlign w:val="center"/>
          </w:tcPr>
          <w:p w14:paraId="1582118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紧急切断系统</w:t>
            </w:r>
          </w:p>
          <w:p w14:paraId="1EB2366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汽车加油站设置紧急切断系统，该系统能在事故状态下实现紧急停车和关闭紧急切断阀的保护功能。</w:t>
            </w:r>
          </w:p>
          <w:p w14:paraId="329C346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紧急切断系统在下列位置设置紧急切断开关：</w:t>
            </w:r>
          </w:p>
          <w:p w14:paraId="069CCC4A">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1）在汽车加油站现场工作人员容易接近且较为安全的位置，本加油站设置了2个紧急停车按钮，位于站房面向罩棚的外墙上和站内收银台旁；</w:t>
            </w:r>
          </w:p>
          <w:p w14:paraId="664BB86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2）在控制室、值班室内或站房收银台等有人员值守的位置。</w:t>
            </w:r>
          </w:p>
          <w:p w14:paraId="47DCBBC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工艺设备的电源和工艺管道上的紧急切断阀能由手动启动的远程控制切断系统操纵关闭。</w:t>
            </w:r>
          </w:p>
          <w:p w14:paraId="526FCF0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紧急切断系统只能手动复位。</w:t>
            </w:r>
          </w:p>
        </w:tc>
        <w:tc>
          <w:tcPr>
            <w:tcW w:w="1580" w:type="dxa"/>
            <w:vAlign w:val="center"/>
          </w:tcPr>
          <w:p w14:paraId="5D9B8AE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设置紧急切断系统</w:t>
            </w:r>
          </w:p>
        </w:tc>
        <w:tc>
          <w:tcPr>
            <w:tcW w:w="870" w:type="dxa"/>
            <w:vAlign w:val="center"/>
          </w:tcPr>
          <w:p w14:paraId="0AB29C70">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567B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EA45539">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434E7ABF">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.5 </w:t>
            </w:r>
            <w:r>
              <w:rPr>
                <w:rFonts w:hint="eastAsia" w:ascii="Times New Roman" w:hAnsi="Times New Roman" w:eastAsia="宋体" w:cs="宋体"/>
                <w:b/>
                <w:bCs/>
                <w:color w:val="auto"/>
                <w:kern w:val="2"/>
                <w:sz w:val="18"/>
                <w:szCs w:val="18"/>
              </w:rPr>
              <w:t>自控仪表及火灾报警</w:t>
            </w:r>
          </w:p>
        </w:tc>
      </w:tr>
      <w:tr w14:paraId="45B5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30A9627">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0DBE120E">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.5.1 </w:t>
            </w:r>
            <w:r>
              <w:rPr>
                <w:rFonts w:hint="eastAsia" w:ascii="Times New Roman" w:hAnsi="Times New Roman" w:eastAsia="宋体" w:cs="宋体"/>
                <w:b/>
                <w:bCs/>
                <w:color w:val="auto"/>
                <w:kern w:val="2"/>
                <w:sz w:val="18"/>
                <w:szCs w:val="18"/>
              </w:rPr>
              <w:t>应急或备用电源的设置</w:t>
            </w:r>
          </w:p>
        </w:tc>
      </w:tr>
      <w:tr w14:paraId="661E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1E8F56A">
            <w:pPr>
              <w:keepNext w:val="0"/>
              <w:keepLines w:val="0"/>
              <w:pageBreakBefore w:val="0"/>
              <w:widowControl w:val="0"/>
              <w:kinsoku/>
              <w:wordWrap/>
              <w:overflowPunct/>
              <w:topLinePunct w:val="0"/>
              <w:autoSpaceDE/>
              <w:autoSpaceDN/>
              <w:bidi w:val="0"/>
              <w:spacing w:line="260" w:lineRule="exact"/>
              <w:jc w:val="center"/>
              <w:textAlignment w:val="auto"/>
              <w:rPr>
                <w:rFonts w:hint="eastAsia" w:ascii="Times New Roman" w:hAnsi="Times New Roman" w:eastAsia="宋体" w:cs="Calibri"/>
                <w:bCs w:val="0"/>
                <w:color w:val="auto"/>
                <w:kern w:val="2"/>
                <w:sz w:val="18"/>
                <w:szCs w:val="18"/>
                <w:lang w:val="en-US" w:eastAsia="zh-CN"/>
              </w:rPr>
            </w:pPr>
            <w:r>
              <w:rPr>
                <w:rFonts w:hint="eastAsia" w:ascii="Times New Roman" w:hAnsi="Times New Roman" w:eastAsia="宋体" w:cs="Calibri"/>
                <w:bCs w:val="0"/>
                <w:color w:val="auto"/>
                <w:kern w:val="2"/>
                <w:sz w:val="18"/>
                <w:szCs w:val="18"/>
                <w:lang w:val="en-US" w:eastAsia="zh-CN"/>
              </w:rPr>
              <w:t>1</w:t>
            </w:r>
          </w:p>
        </w:tc>
        <w:tc>
          <w:tcPr>
            <w:tcW w:w="5930" w:type="dxa"/>
            <w:vAlign w:val="center"/>
          </w:tcPr>
          <w:p w14:paraId="09746C1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本加油站安全系统（液位监控、泄漏检测等），配置了UPS电源，当外电源中断时，UPS电源可供系统正常工作不小于60min。UPS容量为2kVA。液位监控系统集中设置在站房值班室内。</w:t>
            </w:r>
          </w:p>
        </w:tc>
        <w:tc>
          <w:tcPr>
            <w:tcW w:w="1580" w:type="dxa"/>
            <w:vAlign w:val="center"/>
          </w:tcPr>
          <w:p w14:paraId="396DEA21">
            <w:pPr>
              <w:keepNext w:val="0"/>
              <w:keepLines w:val="0"/>
              <w:pageBreakBefore w:val="0"/>
              <w:widowControl w:val="0"/>
              <w:kinsoku/>
              <w:wordWrap/>
              <w:overflowPunct/>
              <w:topLinePunct w:val="0"/>
              <w:autoSpaceDE/>
              <w:autoSpaceDN/>
              <w:bidi w:val="0"/>
              <w:spacing w:line="240" w:lineRule="exact"/>
              <w:jc w:val="center"/>
              <w:textAlignment w:val="auto"/>
              <w:rPr>
                <w:rFonts w:hint="default" w:ascii="Times New Roman" w:hAnsi="Times New Roman" w:eastAsia="宋体" w:cs="Times New Roman"/>
                <w:bCs w:val="0"/>
                <w:color w:val="auto"/>
                <w:kern w:val="2"/>
                <w:sz w:val="18"/>
                <w:szCs w:val="18"/>
                <w:lang w:val="en-US" w:eastAsia="zh-CN"/>
              </w:rPr>
            </w:pPr>
            <w:r>
              <w:rPr>
                <w:rFonts w:hint="eastAsia" w:ascii="Times New Roman" w:hAnsi="Times New Roman" w:eastAsia="宋体" w:cs="Times New Roman"/>
                <w:bCs w:val="0"/>
                <w:color w:val="auto"/>
                <w:kern w:val="2"/>
                <w:sz w:val="18"/>
                <w:szCs w:val="18"/>
              </w:rPr>
              <w:t>加油站安全系统（液位仪、泄漏检测仪），配备了UPS备用电源</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lang w:val="en-US" w:eastAsia="zh-CN"/>
              </w:rPr>
              <w:t>但未投入使用</w:t>
            </w:r>
          </w:p>
        </w:tc>
        <w:tc>
          <w:tcPr>
            <w:tcW w:w="870" w:type="dxa"/>
            <w:vAlign w:val="center"/>
          </w:tcPr>
          <w:p w14:paraId="314DEFE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lang w:val="en-US" w:eastAsia="zh-CN"/>
              </w:rPr>
              <w:t>未</w:t>
            </w:r>
            <w:r>
              <w:rPr>
                <w:rFonts w:hint="eastAsia" w:ascii="Times New Roman" w:hAnsi="Times New Roman" w:eastAsia="宋体" w:cs="Times New Roman"/>
                <w:bCs w:val="0"/>
                <w:color w:val="auto"/>
                <w:kern w:val="2"/>
                <w:sz w:val="18"/>
                <w:szCs w:val="18"/>
              </w:rPr>
              <w:t>落实</w:t>
            </w:r>
          </w:p>
        </w:tc>
      </w:tr>
      <w:tr w14:paraId="5B66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D8B30B1">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732FF91E">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.5.2 </w:t>
            </w:r>
            <w:r>
              <w:rPr>
                <w:rFonts w:hint="eastAsia" w:ascii="Times New Roman" w:hAnsi="Times New Roman" w:eastAsia="宋体" w:cs="宋体"/>
                <w:b/>
                <w:bCs/>
                <w:color w:val="auto"/>
                <w:kern w:val="2"/>
                <w:sz w:val="18"/>
                <w:szCs w:val="18"/>
              </w:rPr>
              <w:t>自动控制系统的设置和安全功能</w:t>
            </w:r>
          </w:p>
        </w:tc>
      </w:tr>
      <w:tr w14:paraId="1718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473D62E">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6218881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加油站设置卸油防溢阀，油罐渗漏检测传感器、防爆阻火通气帽和机械呼吸阀，带高低位报警的自动液位仪及油罐渗漏检测仪等安全监控防护措施。</w:t>
            </w:r>
          </w:p>
        </w:tc>
        <w:tc>
          <w:tcPr>
            <w:tcW w:w="1580" w:type="dxa"/>
            <w:vAlign w:val="center"/>
          </w:tcPr>
          <w:p w14:paraId="1B65E30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按要求设置</w:t>
            </w:r>
          </w:p>
        </w:tc>
        <w:tc>
          <w:tcPr>
            <w:tcW w:w="870" w:type="dxa"/>
            <w:vAlign w:val="center"/>
          </w:tcPr>
          <w:p w14:paraId="0BA1A352">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746D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CC426F">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2</w:t>
            </w:r>
          </w:p>
        </w:tc>
        <w:tc>
          <w:tcPr>
            <w:tcW w:w="5930" w:type="dxa"/>
            <w:vAlign w:val="center"/>
          </w:tcPr>
          <w:p w14:paraId="7DB8343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加油站在油罐设置在线泄漏检测仪，并在双层加油管道潜油泵出口最低点设置泄漏检测点。站房值班室内设有液位监测仪，对油罐的液位进行实时监控，油料达到油罐容量90%时，能触动高液位报警装置；卸油管道设有防溢阀，油料达到油罐容量95%时，自动停止油品继续进罐。液位监测仪及油罐渗漏检测仪设置在站房值班室内。</w:t>
            </w:r>
          </w:p>
        </w:tc>
        <w:tc>
          <w:tcPr>
            <w:tcW w:w="1580" w:type="dxa"/>
            <w:vAlign w:val="center"/>
          </w:tcPr>
          <w:p w14:paraId="41CA7E4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Times New Roman"/>
                <w:bCs w:val="0"/>
                <w:color w:val="auto"/>
                <w:kern w:val="2"/>
                <w:sz w:val="18"/>
                <w:szCs w:val="18"/>
              </w:rPr>
              <w:t>按要求设置</w:t>
            </w:r>
          </w:p>
        </w:tc>
        <w:tc>
          <w:tcPr>
            <w:tcW w:w="870" w:type="dxa"/>
            <w:vAlign w:val="center"/>
          </w:tcPr>
          <w:p w14:paraId="0264024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4666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2BD6DEF">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3</w:t>
            </w:r>
          </w:p>
        </w:tc>
        <w:tc>
          <w:tcPr>
            <w:tcW w:w="5930" w:type="dxa"/>
            <w:vAlign w:val="center"/>
          </w:tcPr>
          <w:p w14:paraId="450F847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本加油站设置了2个紧急停车按钮，位于站房面向罩棚的外墙上和站内收银台旁，事故状态下能手动切断加油机控制箱电源，停加油机及潜油泵。事故紧急切断系统带失效保护功能，只能手动复位。站房内设有液位报警仪1台，油罐泄漏检测报警仪1台。</w:t>
            </w:r>
          </w:p>
        </w:tc>
        <w:tc>
          <w:tcPr>
            <w:tcW w:w="1580" w:type="dxa"/>
            <w:vAlign w:val="center"/>
          </w:tcPr>
          <w:p w14:paraId="5FA25723">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Times New Roman"/>
                <w:bCs w:val="0"/>
                <w:color w:val="auto"/>
                <w:kern w:val="2"/>
                <w:sz w:val="18"/>
                <w:szCs w:val="18"/>
              </w:rPr>
              <w:t>按要求设置</w:t>
            </w:r>
          </w:p>
        </w:tc>
        <w:tc>
          <w:tcPr>
            <w:tcW w:w="870" w:type="dxa"/>
            <w:vAlign w:val="center"/>
          </w:tcPr>
          <w:p w14:paraId="58233CAF">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197E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08AAF6D">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4</w:t>
            </w:r>
          </w:p>
        </w:tc>
        <w:tc>
          <w:tcPr>
            <w:tcW w:w="5930" w:type="dxa"/>
            <w:vAlign w:val="center"/>
          </w:tcPr>
          <w:p w14:paraId="2B347AF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加油机底部管线上设置剪切阀，当加油机和输油管道受外力作用时，紧急切断阀自动断开。</w:t>
            </w:r>
          </w:p>
        </w:tc>
        <w:tc>
          <w:tcPr>
            <w:tcW w:w="1580" w:type="dxa"/>
            <w:vAlign w:val="center"/>
          </w:tcPr>
          <w:p w14:paraId="7F31EC4A">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Times New Roman"/>
                <w:bCs w:val="0"/>
                <w:color w:val="auto"/>
                <w:kern w:val="2"/>
                <w:sz w:val="18"/>
                <w:szCs w:val="18"/>
              </w:rPr>
              <w:t>按要求设置</w:t>
            </w:r>
          </w:p>
        </w:tc>
        <w:tc>
          <w:tcPr>
            <w:tcW w:w="870" w:type="dxa"/>
            <w:vAlign w:val="center"/>
          </w:tcPr>
          <w:p w14:paraId="51BF885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BD5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37E2BC">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5</w:t>
            </w:r>
          </w:p>
        </w:tc>
        <w:tc>
          <w:tcPr>
            <w:tcW w:w="5930" w:type="dxa"/>
            <w:vAlign w:val="center"/>
          </w:tcPr>
          <w:p w14:paraId="2F41FD31">
            <w:pPr>
              <w:keepNext w:val="0"/>
              <w:keepLines w:val="0"/>
              <w:pageBreakBefore w:val="0"/>
              <w:widowControl w:val="0"/>
              <w:tabs>
                <w:tab w:val="right" w:pos="6124"/>
              </w:tabs>
              <w:kinsoku/>
              <w:wordWrap/>
              <w:overflowPunct/>
              <w:topLinePunct w:val="0"/>
              <w:autoSpaceDE/>
              <w:autoSpaceDN/>
              <w:bidi w:val="0"/>
              <w:adjustRightInd w:val="0"/>
              <w:snapToGrid w:val="0"/>
              <w:spacing w:line="24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加油枪采用自封式加油枪，汽油加油枪的流速不大于50L/min，加油软管上设安全拉断阀（加油机自带）。</w:t>
            </w:r>
          </w:p>
        </w:tc>
        <w:tc>
          <w:tcPr>
            <w:tcW w:w="1580" w:type="dxa"/>
            <w:vAlign w:val="center"/>
          </w:tcPr>
          <w:p w14:paraId="4F756C1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自封式加油枪</w:t>
            </w:r>
          </w:p>
        </w:tc>
        <w:tc>
          <w:tcPr>
            <w:tcW w:w="870" w:type="dxa"/>
            <w:vAlign w:val="center"/>
          </w:tcPr>
          <w:p w14:paraId="68A078BA">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4538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20A9A34">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33FC07A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.5.</w:t>
            </w:r>
            <w:r>
              <w:rPr>
                <w:rFonts w:hint="eastAsia" w:ascii="Times New Roman" w:hAnsi="Times New Roman" w:eastAsia="宋体" w:cs="Calibri"/>
                <w:b/>
                <w:bCs/>
                <w:color w:val="auto"/>
                <w:kern w:val="2"/>
                <w:sz w:val="18"/>
                <w:szCs w:val="18"/>
              </w:rPr>
              <w:t>3</w:t>
            </w:r>
            <w:r>
              <w:rPr>
                <w:rFonts w:ascii="Times New Roman" w:hAnsi="Times New Roman" w:eastAsia="宋体" w:cs="Calibri"/>
                <w:b/>
                <w:bCs/>
                <w:color w:val="auto"/>
                <w:kern w:val="2"/>
                <w:sz w:val="18"/>
                <w:szCs w:val="18"/>
              </w:rPr>
              <w:t xml:space="preserve"> </w:t>
            </w:r>
            <w:r>
              <w:rPr>
                <w:rFonts w:hint="eastAsia" w:ascii="Times New Roman" w:hAnsi="Times New Roman" w:eastAsia="宋体" w:cs="宋体"/>
                <w:b/>
                <w:bCs/>
                <w:color w:val="auto"/>
                <w:kern w:val="2"/>
                <w:sz w:val="18"/>
                <w:szCs w:val="18"/>
              </w:rPr>
              <w:t>视频监控系统</w:t>
            </w:r>
          </w:p>
        </w:tc>
      </w:tr>
      <w:tr w14:paraId="3C3D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BD1EE1A">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1</w:t>
            </w:r>
          </w:p>
        </w:tc>
        <w:tc>
          <w:tcPr>
            <w:tcW w:w="5930" w:type="dxa"/>
            <w:vAlign w:val="center"/>
          </w:tcPr>
          <w:p w14:paraId="50B21C9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本加油站设置了视频监控系统，可监控油站各区域。</w:t>
            </w:r>
          </w:p>
          <w:p w14:paraId="0997994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本加油站</w:t>
            </w:r>
            <w:r>
              <w:rPr>
                <w:rFonts w:hint="eastAsia" w:ascii="Times New Roman" w:hAnsi="Times New Roman" w:eastAsia="宋体" w:cs="Times New Roman"/>
                <w:bCs w:val="0"/>
                <w:color w:val="auto"/>
                <w:kern w:val="2"/>
                <w:sz w:val="18"/>
                <w:szCs w:val="18"/>
                <w:lang w:val="en-US" w:eastAsia="zh-CN"/>
              </w:rPr>
              <w:t>有</w:t>
            </w:r>
            <w:r>
              <w:rPr>
                <w:rFonts w:hint="eastAsia" w:ascii="Times New Roman" w:hAnsi="Times New Roman" w:eastAsia="宋体" w:cs="Times New Roman"/>
                <w:bCs w:val="0"/>
                <w:color w:val="auto"/>
                <w:kern w:val="2"/>
                <w:sz w:val="18"/>
                <w:szCs w:val="18"/>
              </w:rPr>
              <w:t>室外网络摄像机，现场摄像</w:t>
            </w:r>
            <w:r>
              <w:rPr>
                <w:rFonts w:hint="eastAsia" w:ascii="Times New Roman" w:hAnsi="Times New Roman" w:eastAsia="宋体" w:cs="Times New Roman"/>
                <w:bCs w:val="0"/>
                <w:color w:val="auto"/>
                <w:kern w:val="2"/>
                <w:sz w:val="18"/>
                <w:szCs w:val="18"/>
                <w:lang w:eastAsia="zh-CN"/>
              </w:rPr>
              <w:t>仪将</w:t>
            </w:r>
            <w:r>
              <w:rPr>
                <w:rFonts w:hint="eastAsia" w:ascii="Times New Roman" w:hAnsi="Times New Roman" w:eastAsia="宋体" w:cs="Times New Roman"/>
                <w:bCs w:val="0"/>
                <w:color w:val="auto"/>
                <w:kern w:val="2"/>
                <w:sz w:val="18"/>
                <w:szCs w:val="18"/>
              </w:rPr>
              <w:t>视频信号引至站房。</w:t>
            </w:r>
          </w:p>
          <w:p w14:paraId="7B82204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站长室内监控主机。视频监控系统配UPS电源供电，容量为3kVA。系统中硬盘录像机储存时间大于30天。</w:t>
            </w:r>
          </w:p>
          <w:p w14:paraId="062B015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加油区罩棚高度6.5m，摄像机防护等级不低于IP67级。</w:t>
            </w:r>
          </w:p>
          <w:p w14:paraId="0CEB732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站房室内共1台监视用摄像机，设于营业厅。工作人员在值班室监视，监控器画面就可以实现对罐区、加油区、站房的全天候全方位的动态监视。</w:t>
            </w:r>
          </w:p>
        </w:tc>
        <w:tc>
          <w:tcPr>
            <w:tcW w:w="1580" w:type="dxa"/>
            <w:vAlign w:val="center"/>
          </w:tcPr>
          <w:p w14:paraId="24E21F4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按要求设置视频监控系统</w:t>
            </w:r>
          </w:p>
        </w:tc>
        <w:tc>
          <w:tcPr>
            <w:tcW w:w="870" w:type="dxa"/>
            <w:vAlign w:val="center"/>
          </w:tcPr>
          <w:p w14:paraId="01A5AA9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3312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C1A00C6">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7308C36F">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 xml:space="preserve">.6 </w:t>
            </w:r>
            <w:r>
              <w:rPr>
                <w:rFonts w:hint="eastAsia" w:ascii="Times New Roman" w:hAnsi="Times New Roman" w:eastAsia="宋体" w:cs="宋体"/>
                <w:b/>
                <w:bCs/>
                <w:color w:val="auto"/>
                <w:kern w:val="2"/>
                <w:sz w:val="18"/>
                <w:szCs w:val="18"/>
              </w:rPr>
              <w:t>建构筑物方面的安全措施</w:t>
            </w:r>
          </w:p>
        </w:tc>
      </w:tr>
      <w:tr w14:paraId="7A7B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3F1E8FF">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7FFDDAD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加油区地面采用不发火花地面。</w:t>
            </w:r>
          </w:p>
        </w:tc>
        <w:tc>
          <w:tcPr>
            <w:tcW w:w="1580" w:type="dxa"/>
            <w:vAlign w:val="center"/>
          </w:tcPr>
          <w:p w14:paraId="1EE45354">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站内采用不发火花地面</w:t>
            </w:r>
          </w:p>
        </w:tc>
        <w:tc>
          <w:tcPr>
            <w:tcW w:w="870" w:type="dxa"/>
            <w:vAlign w:val="center"/>
          </w:tcPr>
          <w:p w14:paraId="32BFCB1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2DB3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2FDC4DB">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2</w:t>
            </w:r>
          </w:p>
        </w:tc>
        <w:tc>
          <w:tcPr>
            <w:tcW w:w="5930" w:type="dxa"/>
            <w:vAlign w:val="center"/>
          </w:tcPr>
          <w:p w14:paraId="1E766CA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站内部分地面可种植耐火植被进行绿化，不得种植油性植物。</w:t>
            </w:r>
          </w:p>
        </w:tc>
        <w:tc>
          <w:tcPr>
            <w:tcW w:w="1580" w:type="dxa"/>
            <w:vAlign w:val="center"/>
          </w:tcPr>
          <w:p w14:paraId="38C8B43E">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现场检查未种植油性植物</w:t>
            </w:r>
          </w:p>
        </w:tc>
        <w:tc>
          <w:tcPr>
            <w:tcW w:w="870" w:type="dxa"/>
            <w:vAlign w:val="center"/>
          </w:tcPr>
          <w:p w14:paraId="1FFAA114">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5790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59506AD">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37F9625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.7</w:t>
            </w:r>
            <w:r>
              <w:rPr>
                <w:rFonts w:hint="eastAsia" w:ascii="Times New Roman" w:hAnsi="Times New Roman" w:eastAsia="宋体" w:cs="宋体"/>
                <w:b/>
                <w:bCs/>
                <w:color w:val="auto"/>
                <w:kern w:val="2"/>
                <w:sz w:val="18"/>
                <w:szCs w:val="18"/>
              </w:rPr>
              <w:t>其他防范措施</w:t>
            </w:r>
          </w:p>
        </w:tc>
      </w:tr>
      <w:tr w14:paraId="6693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096CDA0">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3EE3D243">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.7.1</w:t>
            </w:r>
            <w:r>
              <w:rPr>
                <w:rFonts w:hint="eastAsia" w:ascii="Times New Roman" w:hAnsi="Times New Roman" w:eastAsia="宋体" w:cs="宋体"/>
                <w:b/>
                <w:bCs/>
                <w:color w:val="auto"/>
                <w:kern w:val="2"/>
                <w:sz w:val="18"/>
                <w:szCs w:val="18"/>
              </w:rPr>
              <w:t>防洪、防台风、防地质灾害、抗震等防范自然灾害的措施</w:t>
            </w:r>
          </w:p>
        </w:tc>
      </w:tr>
      <w:tr w14:paraId="0234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78075">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ascii="Times New Roman" w:hAnsi="Times New Roman" w:eastAsia="宋体" w:cs="Calibri"/>
                <w:bCs w:val="0"/>
                <w:color w:val="auto"/>
                <w:kern w:val="2"/>
                <w:sz w:val="18"/>
                <w:szCs w:val="18"/>
              </w:rPr>
              <w:t>1</w:t>
            </w:r>
          </w:p>
        </w:tc>
        <w:tc>
          <w:tcPr>
            <w:tcW w:w="5930" w:type="dxa"/>
            <w:vAlign w:val="center"/>
          </w:tcPr>
          <w:p w14:paraId="2D7F899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防洪：加油站</w:t>
            </w:r>
            <w:r>
              <w:rPr>
                <w:rFonts w:hint="eastAsia" w:ascii="Times New Roman" w:hAnsi="Times New Roman" w:eastAsia="宋体" w:cs="Times New Roman"/>
                <w:bCs w:val="0"/>
                <w:color w:val="auto"/>
                <w:kern w:val="2"/>
                <w:sz w:val="18"/>
                <w:szCs w:val="18"/>
                <w:lang w:eastAsia="zh-CN"/>
              </w:rPr>
              <w:t>所在</w:t>
            </w:r>
            <w:r>
              <w:rPr>
                <w:rFonts w:hint="eastAsia" w:ascii="Times New Roman" w:hAnsi="Times New Roman" w:eastAsia="宋体" w:cs="Times New Roman"/>
                <w:bCs w:val="0"/>
                <w:color w:val="auto"/>
                <w:kern w:val="2"/>
                <w:sz w:val="18"/>
                <w:szCs w:val="18"/>
              </w:rPr>
              <w:t>场地受洪水、台风影响较小，在雨季来临之前，派专人对站区周围的流水通道，进行疏通，以防止堵塞流水通道。加油站也设置了排水沟和导流沟，排水顺畅。</w:t>
            </w:r>
          </w:p>
        </w:tc>
        <w:tc>
          <w:tcPr>
            <w:tcW w:w="1580" w:type="dxa"/>
            <w:vAlign w:val="center"/>
          </w:tcPr>
          <w:p w14:paraId="2B42D8E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设置排水沟和导流沟</w:t>
            </w:r>
          </w:p>
        </w:tc>
        <w:tc>
          <w:tcPr>
            <w:tcW w:w="870" w:type="dxa"/>
            <w:vAlign w:val="center"/>
          </w:tcPr>
          <w:p w14:paraId="4CC51F8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已落实</w:t>
            </w:r>
          </w:p>
        </w:tc>
      </w:tr>
      <w:tr w14:paraId="617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EC61C55">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r>
              <w:rPr>
                <w:rFonts w:hint="eastAsia" w:ascii="Times New Roman" w:hAnsi="Times New Roman" w:eastAsia="宋体" w:cs="Calibri"/>
                <w:bCs w:val="0"/>
                <w:color w:val="auto"/>
                <w:kern w:val="2"/>
                <w:sz w:val="18"/>
                <w:szCs w:val="18"/>
              </w:rPr>
              <w:t>2</w:t>
            </w:r>
          </w:p>
        </w:tc>
        <w:tc>
          <w:tcPr>
            <w:tcW w:w="5930" w:type="dxa"/>
            <w:vAlign w:val="center"/>
          </w:tcPr>
          <w:p w14:paraId="37A5896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抗震：根据国家地震局颁布的《中国地震烈度区划图》以及该地域已有工程地质初勘资料，</w:t>
            </w:r>
            <w:r>
              <w:rPr>
                <w:rFonts w:hint="eastAsia" w:ascii="Times New Roman" w:hAnsi="Times New Roman" w:eastAsia="宋体" w:cs="宋体"/>
                <w:bCs w:val="0"/>
                <w:color w:val="auto"/>
                <w:kern w:val="2"/>
                <w:sz w:val="18"/>
                <w:szCs w:val="18"/>
                <w:lang w:val="en-US" w:eastAsia="zh-CN"/>
              </w:rPr>
              <w:t>兴国县</w:t>
            </w:r>
            <w:r>
              <w:rPr>
                <w:rFonts w:hint="eastAsia" w:ascii="Times New Roman" w:hAnsi="Times New Roman" w:eastAsia="宋体" w:cs="宋体"/>
                <w:bCs w:val="0"/>
                <w:color w:val="auto"/>
                <w:kern w:val="2"/>
                <w:sz w:val="18"/>
                <w:szCs w:val="18"/>
              </w:rPr>
              <w:t>的抗震设防烈度为6度，建构筑物设计基本地震动参数加速度值为0.05g。在抗震方面，站房采用砖混结构。所有建筑均采取了6度及以上抗震设计</w:t>
            </w:r>
          </w:p>
        </w:tc>
        <w:tc>
          <w:tcPr>
            <w:tcW w:w="1580" w:type="dxa"/>
            <w:vAlign w:val="center"/>
          </w:tcPr>
          <w:p w14:paraId="3657ABA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6度抗震</w:t>
            </w:r>
          </w:p>
        </w:tc>
        <w:tc>
          <w:tcPr>
            <w:tcW w:w="870" w:type="dxa"/>
            <w:vAlign w:val="center"/>
          </w:tcPr>
          <w:p w14:paraId="6D6B6C08">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34E8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250BFF0">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
                <w:bCs/>
                <w:color w:val="auto"/>
                <w:kern w:val="2"/>
                <w:sz w:val="18"/>
                <w:szCs w:val="18"/>
              </w:rPr>
            </w:pPr>
          </w:p>
        </w:tc>
        <w:tc>
          <w:tcPr>
            <w:tcW w:w="8380" w:type="dxa"/>
            <w:gridSpan w:val="3"/>
            <w:vAlign w:val="center"/>
          </w:tcPr>
          <w:p w14:paraId="07A7A114">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Calibri"/>
                <w:b/>
                <w:bCs/>
                <w:color w:val="auto"/>
                <w:kern w:val="2"/>
                <w:sz w:val="18"/>
                <w:szCs w:val="18"/>
              </w:rPr>
              <w:t>5</w:t>
            </w:r>
            <w:r>
              <w:rPr>
                <w:rFonts w:ascii="Times New Roman" w:hAnsi="Times New Roman" w:eastAsia="宋体" w:cs="Calibri"/>
                <w:b/>
                <w:bCs/>
                <w:color w:val="auto"/>
                <w:kern w:val="2"/>
                <w:sz w:val="18"/>
                <w:szCs w:val="18"/>
              </w:rPr>
              <w:t>.7.2</w:t>
            </w:r>
            <w:r>
              <w:rPr>
                <w:rFonts w:hint="eastAsia" w:ascii="Times New Roman" w:hAnsi="Times New Roman" w:eastAsia="宋体" w:cs="宋体"/>
                <w:b/>
                <w:bCs/>
                <w:color w:val="auto"/>
                <w:kern w:val="2"/>
                <w:sz w:val="18"/>
                <w:szCs w:val="18"/>
              </w:rPr>
              <w:t>防噪音、防护栏、安全标志、风向标的设置</w:t>
            </w:r>
          </w:p>
        </w:tc>
      </w:tr>
      <w:tr w14:paraId="6336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C29978D">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Cs w:val="0"/>
                <w:color w:val="auto"/>
                <w:kern w:val="2"/>
                <w:sz w:val="18"/>
                <w:szCs w:val="18"/>
              </w:rPr>
            </w:pPr>
            <w:r>
              <w:rPr>
                <w:rFonts w:ascii="Times New Roman" w:hAnsi="Times New Roman" w:eastAsia="宋体" w:cs="Calibri"/>
                <w:bCs w:val="0"/>
                <w:color w:val="auto"/>
                <w:kern w:val="2"/>
                <w:sz w:val="18"/>
                <w:szCs w:val="18"/>
              </w:rPr>
              <w:t>1</w:t>
            </w:r>
            <w:r>
              <w:rPr>
                <w:rFonts w:hint="eastAsia" w:ascii="Times New Roman" w:hAnsi="Times New Roman" w:eastAsia="宋体" w:cs="宋体"/>
                <w:bCs w:val="0"/>
                <w:color w:val="auto"/>
                <w:kern w:val="2"/>
                <w:sz w:val="18"/>
                <w:szCs w:val="18"/>
              </w:rPr>
              <w:t>）防噪音设施</w:t>
            </w:r>
          </w:p>
        </w:tc>
        <w:tc>
          <w:tcPr>
            <w:tcW w:w="5930" w:type="dxa"/>
            <w:vAlign w:val="center"/>
          </w:tcPr>
          <w:p w14:paraId="5BE580E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本加油站中噪音较大的设备为加油机。在设计中选用低噪声低振动的设备，通过基础减振、隔振等措施，同时噪声通过建筑物、树木的吸收隔声后，厂界噪声可满足《工业企业厂界环境噪声排放标准》（GB12348-2008）中3类区标准。</w:t>
            </w:r>
          </w:p>
        </w:tc>
        <w:tc>
          <w:tcPr>
            <w:tcW w:w="1580" w:type="dxa"/>
            <w:vAlign w:val="center"/>
          </w:tcPr>
          <w:p w14:paraId="3BCD5944">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站内选用低噪声、振动设备</w:t>
            </w:r>
          </w:p>
        </w:tc>
        <w:tc>
          <w:tcPr>
            <w:tcW w:w="870" w:type="dxa"/>
            <w:vAlign w:val="center"/>
          </w:tcPr>
          <w:p w14:paraId="59C8984D">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宋体"/>
                <w:bCs w:val="0"/>
                <w:color w:val="auto"/>
                <w:kern w:val="2"/>
                <w:sz w:val="18"/>
                <w:szCs w:val="18"/>
              </w:rPr>
              <w:t>已落实</w:t>
            </w:r>
          </w:p>
        </w:tc>
      </w:tr>
      <w:tr w14:paraId="75F9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D9BF45B">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Cs w:val="0"/>
                <w:color w:val="auto"/>
                <w:kern w:val="2"/>
                <w:sz w:val="18"/>
                <w:szCs w:val="18"/>
              </w:rPr>
            </w:pPr>
            <w:r>
              <w:rPr>
                <w:rFonts w:ascii="Times New Roman" w:hAnsi="Times New Roman" w:eastAsia="宋体" w:cs="Calibri"/>
                <w:bCs w:val="0"/>
                <w:color w:val="auto"/>
                <w:kern w:val="2"/>
                <w:sz w:val="18"/>
                <w:szCs w:val="18"/>
              </w:rPr>
              <w:t>2</w:t>
            </w:r>
            <w:r>
              <w:rPr>
                <w:rFonts w:hint="eastAsia" w:ascii="Times New Roman" w:hAnsi="Times New Roman" w:eastAsia="宋体" w:cs="宋体"/>
                <w:bCs w:val="0"/>
                <w:color w:val="auto"/>
                <w:kern w:val="2"/>
                <w:sz w:val="18"/>
                <w:szCs w:val="18"/>
              </w:rPr>
              <w:t>）防护栏（网）设施</w:t>
            </w:r>
          </w:p>
        </w:tc>
        <w:tc>
          <w:tcPr>
            <w:tcW w:w="5930" w:type="dxa"/>
            <w:vAlign w:val="center"/>
          </w:tcPr>
          <w:p w14:paraId="2715212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加油岛两端设置防撞柱（DN100钢管，高0.5m）。加油岛高出地面20cm。</w:t>
            </w:r>
          </w:p>
        </w:tc>
        <w:tc>
          <w:tcPr>
            <w:tcW w:w="1580" w:type="dxa"/>
            <w:vAlign w:val="center"/>
          </w:tcPr>
          <w:p w14:paraId="7F01D34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加油机两侧设有</w:t>
            </w:r>
            <w:r>
              <w:rPr>
                <w:rFonts w:ascii="Times New Roman" w:hAnsi="Times New Roman" w:eastAsia="宋体" w:cs="Calibri"/>
                <w:bCs w:val="0"/>
                <w:color w:val="auto"/>
                <w:kern w:val="2"/>
                <w:sz w:val="18"/>
                <w:szCs w:val="18"/>
              </w:rPr>
              <w:t>DN100</w:t>
            </w:r>
            <w:r>
              <w:rPr>
                <w:rFonts w:hint="eastAsia" w:ascii="Times New Roman" w:hAnsi="Times New Roman" w:eastAsia="宋体" w:cs="宋体"/>
                <w:bCs w:val="0"/>
                <w:color w:val="auto"/>
                <w:kern w:val="2"/>
                <w:sz w:val="18"/>
                <w:szCs w:val="18"/>
              </w:rPr>
              <w:t>，高</w:t>
            </w:r>
            <w:r>
              <w:rPr>
                <w:rFonts w:ascii="Times New Roman" w:hAnsi="Times New Roman" w:eastAsia="宋体" w:cs="Calibri"/>
                <w:bCs w:val="0"/>
                <w:color w:val="auto"/>
                <w:kern w:val="2"/>
                <w:sz w:val="18"/>
                <w:szCs w:val="18"/>
              </w:rPr>
              <w:t>0.5m</w:t>
            </w:r>
            <w:r>
              <w:rPr>
                <w:rFonts w:hint="eastAsia" w:ascii="Times New Roman" w:hAnsi="Times New Roman" w:eastAsia="宋体" w:cs="宋体"/>
                <w:bCs w:val="0"/>
                <w:color w:val="auto"/>
                <w:kern w:val="2"/>
                <w:sz w:val="18"/>
                <w:szCs w:val="18"/>
              </w:rPr>
              <w:t>防撞弯管</w:t>
            </w:r>
          </w:p>
        </w:tc>
        <w:tc>
          <w:tcPr>
            <w:tcW w:w="870" w:type="dxa"/>
            <w:vAlign w:val="center"/>
          </w:tcPr>
          <w:p w14:paraId="6036CB7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
                <w:bCs/>
                <w:color w:val="auto"/>
                <w:kern w:val="2"/>
                <w:sz w:val="18"/>
                <w:szCs w:val="18"/>
              </w:rPr>
            </w:pPr>
            <w:r>
              <w:rPr>
                <w:rFonts w:hint="eastAsia" w:ascii="Times New Roman" w:hAnsi="Times New Roman" w:eastAsia="宋体" w:cs="宋体"/>
                <w:bCs w:val="0"/>
                <w:color w:val="auto"/>
                <w:kern w:val="2"/>
                <w:sz w:val="18"/>
                <w:szCs w:val="18"/>
              </w:rPr>
              <w:t>已落实</w:t>
            </w:r>
          </w:p>
        </w:tc>
      </w:tr>
      <w:tr w14:paraId="7B53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2439EBD7">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Times New Roman"/>
                <w:bCs w:val="0"/>
                <w:color w:val="auto"/>
                <w:kern w:val="2"/>
                <w:sz w:val="18"/>
                <w:szCs w:val="18"/>
              </w:rPr>
            </w:pPr>
            <w:r>
              <w:rPr>
                <w:rFonts w:ascii="Times New Roman" w:hAnsi="Times New Roman" w:eastAsia="宋体" w:cs="Calibri"/>
                <w:bCs w:val="0"/>
                <w:color w:val="auto"/>
                <w:kern w:val="2"/>
                <w:sz w:val="18"/>
                <w:szCs w:val="18"/>
              </w:rPr>
              <w:t>3</w:t>
            </w:r>
            <w:r>
              <w:rPr>
                <w:rFonts w:hint="eastAsia" w:ascii="Times New Roman" w:hAnsi="Times New Roman" w:eastAsia="宋体" w:cs="宋体"/>
                <w:bCs w:val="0"/>
                <w:color w:val="auto"/>
                <w:kern w:val="2"/>
                <w:sz w:val="18"/>
                <w:szCs w:val="18"/>
              </w:rPr>
              <w:t>）安全警示标志</w:t>
            </w:r>
          </w:p>
        </w:tc>
        <w:tc>
          <w:tcPr>
            <w:tcW w:w="5930" w:type="dxa"/>
            <w:vAlign w:val="center"/>
          </w:tcPr>
          <w:p w14:paraId="19726B7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设计要求对存在危险、有害因素的生产部位，按照《安全色》（GB2893-2008）、《安全标志及其使用导则》（GB2894-2008）和《工作场所职业病危害警示标识》（GBZ158-2003）的规定</w:t>
            </w:r>
            <w:r>
              <w:rPr>
                <w:rFonts w:hint="eastAsia" w:ascii="Times New Roman" w:hAnsi="Times New Roman" w:eastAsia="宋体" w:cs="Times New Roman"/>
                <w:bCs w:val="0"/>
                <w:color w:val="auto"/>
                <w:kern w:val="2"/>
                <w:sz w:val="18"/>
                <w:szCs w:val="18"/>
                <w:lang w:eastAsia="zh-CN"/>
              </w:rPr>
              <w:t>悬挂</w:t>
            </w:r>
            <w:r>
              <w:rPr>
                <w:rFonts w:hint="eastAsia" w:ascii="Times New Roman" w:hAnsi="Times New Roman" w:eastAsia="宋体" w:cs="Times New Roman"/>
                <w:bCs w:val="0"/>
                <w:color w:val="auto"/>
                <w:kern w:val="2"/>
                <w:sz w:val="18"/>
                <w:szCs w:val="18"/>
              </w:rPr>
              <w:t>醒目的标牌。这些标牌保证在夜间仍能起到警示作用。灭火器、火灾报警等消防用具以及严禁人员进入的危险操作区的护栏采用红色。</w:t>
            </w:r>
          </w:p>
        </w:tc>
        <w:tc>
          <w:tcPr>
            <w:tcW w:w="1580" w:type="dxa"/>
            <w:vAlign w:val="center"/>
          </w:tcPr>
          <w:p w14:paraId="5ED368E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加油站出入口，加油区设有，选用“禁止烟火</w:t>
            </w:r>
            <w:r>
              <w:rPr>
                <w:rFonts w:hint="eastAsia" w:ascii="Times New Roman" w:hAnsi="Times New Roman" w:eastAsia="宋体" w:cs="宋体"/>
                <w:bCs w:val="0"/>
                <w:color w:val="auto"/>
                <w:kern w:val="2"/>
                <w:sz w:val="18"/>
                <w:szCs w:val="18"/>
                <w:lang w:eastAsia="zh-CN"/>
              </w:rPr>
              <w:t>”“</w:t>
            </w:r>
            <w:r>
              <w:rPr>
                <w:rFonts w:hint="eastAsia" w:ascii="Times New Roman" w:hAnsi="Times New Roman" w:eastAsia="宋体" w:cs="宋体"/>
                <w:bCs w:val="0"/>
                <w:color w:val="auto"/>
                <w:kern w:val="2"/>
                <w:sz w:val="18"/>
                <w:szCs w:val="18"/>
              </w:rPr>
              <w:t>禁止使用手机</w:t>
            </w:r>
            <w:r>
              <w:rPr>
                <w:rFonts w:hint="eastAsia" w:ascii="Times New Roman" w:hAnsi="Times New Roman" w:eastAsia="宋体" w:cs="宋体"/>
                <w:bCs w:val="0"/>
                <w:color w:val="auto"/>
                <w:kern w:val="2"/>
                <w:sz w:val="18"/>
                <w:szCs w:val="18"/>
                <w:lang w:eastAsia="zh-CN"/>
              </w:rPr>
              <w:t>”“</w:t>
            </w:r>
            <w:r>
              <w:rPr>
                <w:rFonts w:hint="eastAsia" w:ascii="Times New Roman" w:hAnsi="Times New Roman" w:eastAsia="宋体" w:cs="宋体"/>
                <w:bCs w:val="0"/>
                <w:color w:val="auto"/>
                <w:kern w:val="2"/>
                <w:sz w:val="18"/>
                <w:szCs w:val="18"/>
              </w:rPr>
              <w:t>禁止鸣笛”等安全标志</w:t>
            </w:r>
          </w:p>
        </w:tc>
        <w:tc>
          <w:tcPr>
            <w:tcW w:w="870" w:type="dxa"/>
            <w:vAlign w:val="center"/>
          </w:tcPr>
          <w:p w14:paraId="6F61BAC2">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0389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D18F123">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3052729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以下情况设“禁止标志”：</w:t>
            </w:r>
          </w:p>
          <w:p w14:paraId="04F7107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①项目出入口，加油区、油罐区等爆炸危险区内，选用“禁止烟火</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禁止使用手机</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禁止鸣笛”标志；</w:t>
            </w:r>
          </w:p>
          <w:p w14:paraId="0086F1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②作业场所选用“禁放易燃品</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禁止烟火</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禁止使用手机”标志；</w:t>
            </w:r>
          </w:p>
          <w:p w14:paraId="77514A7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③可能产生静电会导致火灾爆炸危险场所，选用“禁止穿化纤服</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禁止穿带钉鞋”标志。</w:t>
            </w:r>
          </w:p>
          <w:p w14:paraId="2FF07AA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④可能产生火灾爆炸危险作业场所，选用“禁止穿带钉鞋”标志；</w:t>
            </w:r>
          </w:p>
        </w:tc>
        <w:tc>
          <w:tcPr>
            <w:tcW w:w="1580" w:type="dxa"/>
            <w:vAlign w:val="center"/>
          </w:tcPr>
          <w:p w14:paraId="6EA29E02">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按要求设置</w:t>
            </w:r>
          </w:p>
        </w:tc>
        <w:tc>
          <w:tcPr>
            <w:tcW w:w="870" w:type="dxa"/>
            <w:vAlign w:val="center"/>
          </w:tcPr>
          <w:p w14:paraId="6E2A89D1">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2BF3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37B288F">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48BEBC8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以下情况设“警告标志”：</w:t>
            </w:r>
          </w:p>
          <w:p w14:paraId="5030334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①加油作业区，选用“注意安全</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当心爆炸</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当心火灾</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当心车辆”标志；</w:t>
            </w:r>
          </w:p>
          <w:p w14:paraId="167F3E6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②可能产生触电危险的配电间和电器设备，选用“当心触电”标志</w:t>
            </w:r>
          </w:p>
        </w:tc>
        <w:tc>
          <w:tcPr>
            <w:tcW w:w="1580" w:type="dxa"/>
            <w:vAlign w:val="center"/>
          </w:tcPr>
          <w:p w14:paraId="5AAB56DF">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按要求设置</w:t>
            </w:r>
          </w:p>
        </w:tc>
        <w:tc>
          <w:tcPr>
            <w:tcW w:w="870" w:type="dxa"/>
            <w:vAlign w:val="center"/>
          </w:tcPr>
          <w:p w14:paraId="01E66CB9">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6FD8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169B08">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265C2E1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加油站出入口放置“入口</w:t>
            </w:r>
            <w:r>
              <w:rPr>
                <w:rFonts w:hint="eastAsia" w:ascii="Times New Roman" w:hAnsi="Times New Roman" w:eastAsia="宋体" w:cs="Times New Roman"/>
                <w:bCs w:val="0"/>
                <w:color w:val="auto"/>
                <w:kern w:val="2"/>
                <w:sz w:val="18"/>
                <w:szCs w:val="18"/>
                <w:lang w:eastAsia="zh-CN"/>
              </w:rPr>
              <w:t>”“</w:t>
            </w:r>
            <w:r>
              <w:rPr>
                <w:rFonts w:hint="eastAsia" w:ascii="Times New Roman" w:hAnsi="Times New Roman" w:eastAsia="宋体" w:cs="Times New Roman"/>
                <w:bCs w:val="0"/>
                <w:color w:val="auto"/>
                <w:kern w:val="2"/>
                <w:sz w:val="18"/>
                <w:szCs w:val="18"/>
              </w:rPr>
              <w:t>出口” 、“限速”标志；</w:t>
            </w:r>
          </w:p>
        </w:tc>
        <w:tc>
          <w:tcPr>
            <w:tcW w:w="1580" w:type="dxa"/>
            <w:vAlign w:val="center"/>
          </w:tcPr>
          <w:p w14:paraId="686E730A">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出入口设置限速标志</w:t>
            </w:r>
          </w:p>
        </w:tc>
        <w:tc>
          <w:tcPr>
            <w:tcW w:w="870" w:type="dxa"/>
            <w:vAlign w:val="center"/>
          </w:tcPr>
          <w:p w14:paraId="77809834">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545E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38BADC9">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78DA9A8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化工装置的管道刷色和符号执行《工业管路的基本识别色、识别符号和安全标识》（GB7231-2003）的规定。</w:t>
            </w:r>
          </w:p>
        </w:tc>
        <w:tc>
          <w:tcPr>
            <w:tcW w:w="1580" w:type="dxa"/>
            <w:vAlign w:val="center"/>
          </w:tcPr>
          <w:p w14:paraId="06D34575">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设置安全标识等</w:t>
            </w:r>
          </w:p>
        </w:tc>
        <w:tc>
          <w:tcPr>
            <w:tcW w:w="870" w:type="dxa"/>
            <w:vAlign w:val="center"/>
          </w:tcPr>
          <w:p w14:paraId="5FDB5BF7">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tr w14:paraId="0778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F826CFC">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Calibri"/>
                <w:bCs w:val="0"/>
                <w:color w:val="auto"/>
                <w:kern w:val="2"/>
                <w:sz w:val="18"/>
                <w:szCs w:val="18"/>
              </w:rPr>
            </w:pPr>
          </w:p>
        </w:tc>
        <w:tc>
          <w:tcPr>
            <w:tcW w:w="5930" w:type="dxa"/>
            <w:vAlign w:val="center"/>
          </w:tcPr>
          <w:p w14:paraId="02DD00C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eastAsia="宋体" w:cs="Times New Roman"/>
                <w:bCs w:val="0"/>
                <w:color w:val="auto"/>
                <w:kern w:val="2"/>
                <w:sz w:val="18"/>
                <w:szCs w:val="18"/>
              </w:rPr>
            </w:pPr>
            <w:r>
              <w:rPr>
                <w:rFonts w:hint="eastAsia" w:ascii="Times New Roman" w:hAnsi="Times New Roman" w:eastAsia="宋体" w:cs="Times New Roman"/>
                <w:bCs w:val="0"/>
                <w:color w:val="auto"/>
                <w:kern w:val="2"/>
                <w:sz w:val="18"/>
                <w:szCs w:val="18"/>
              </w:rPr>
              <w:t>在加油站各区域设置危害告知牌，提醒工作人员及来加油人员注意事项。</w:t>
            </w:r>
          </w:p>
        </w:tc>
        <w:tc>
          <w:tcPr>
            <w:tcW w:w="1580" w:type="dxa"/>
            <w:vAlign w:val="center"/>
          </w:tcPr>
          <w:p w14:paraId="38DD4F8D">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设置危害告知牌</w:t>
            </w:r>
          </w:p>
        </w:tc>
        <w:tc>
          <w:tcPr>
            <w:tcW w:w="870" w:type="dxa"/>
            <w:vAlign w:val="center"/>
          </w:tcPr>
          <w:p w14:paraId="50F1D636">
            <w:pPr>
              <w:keepNext w:val="0"/>
              <w:keepLines w:val="0"/>
              <w:pageBreakBefore w:val="0"/>
              <w:widowControl w:val="0"/>
              <w:kinsoku/>
              <w:wordWrap/>
              <w:overflowPunct/>
              <w:topLinePunct w:val="0"/>
              <w:autoSpaceDE/>
              <w:autoSpaceDN/>
              <w:bidi w:val="0"/>
              <w:spacing w:line="240" w:lineRule="exact"/>
              <w:jc w:val="center"/>
              <w:textAlignment w:val="auto"/>
              <w:rPr>
                <w:rFonts w:ascii="Times New Roman" w:hAnsi="Times New Roman" w:eastAsia="宋体" w:cs="宋体"/>
                <w:bCs w:val="0"/>
                <w:color w:val="auto"/>
                <w:kern w:val="2"/>
                <w:sz w:val="18"/>
                <w:szCs w:val="18"/>
              </w:rPr>
            </w:pPr>
            <w:r>
              <w:rPr>
                <w:rFonts w:hint="eastAsia" w:ascii="Times New Roman" w:hAnsi="Times New Roman" w:eastAsia="宋体" w:cs="宋体"/>
                <w:bCs w:val="0"/>
                <w:color w:val="auto"/>
                <w:kern w:val="2"/>
                <w:sz w:val="18"/>
                <w:szCs w:val="18"/>
              </w:rPr>
              <w:t>已落实</w:t>
            </w:r>
          </w:p>
        </w:tc>
      </w:tr>
      <w:bookmarkEnd w:id="204"/>
    </w:tbl>
    <w:p w14:paraId="1A1C1945">
      <w:pPr>
        <w:spacing w:line="600" w:lineRule="exact"/>
        <w:ind w:firstLine="560" w:firstLineChars="200"/>
        <w:rPr>
          <w:rFonts w:ascii="Times New Roman" w:hAnsi="Times New Roman" w:eastAsia="宋体" w:cs="宋体"/>
          <w:bCs w:val="0"/>
          <w:color w:val="auto"/>
          <w:kern w:val="2"/>
          <w:sz w:val="28"/>
          <w:szCs w:val="28"/>
        </w:rPr>
      </w:pPr>
      <w:bookmarkStart w:id="205" w:name="_Toc19100"/>
      <w:bookmarkStart w:id="206" w:name="_Toc18913"/>
      <w:bookmarkStart w:id="207" w:name="_Toc9371"/>
      <w:bookmarkStart w:id="208" w:name="_Toc16646"/>
      <w:bookmarkStart w:id="209" w:name="_Toc343692275"/>
      <w:r>
        <w:rPr>
          <w:rFonts w:hint="eastAsia" w:ascii="Times New Roman" w:hAnsi="Times New Roman" w:eastAsia="宋体" w:cs="宋体"/>
          <w:bCs w:val="0"/>
          <w:color w:val="auto"/>
          <w:kern w:val="2"/>
          <w:sz w:val="28"/>
          <w:szCs w:val="28"/>
          <w:lang w:val="en-US" w:eastAsia="zh-CN"/>
        </w:rPr>
        <w:t>经评价小组现场勘察，有3项安全对策措施未落实，经整改后</w:t>
      </w:r>
      <w:r>
        <w:rPr>
          <w:rFonts w:hint="eastAsia" w:ascii="Times New Roman" w:hAnsi="Times New Roman" w:eastAsia="宋体" w:cs="宋体"/>
          <w:bCs w:val="0"/>
          <w:color w:val="auto"/>
          <w:kern w:val="2"/>
          <w:sz w:val="28"/>
          <w:szCs w:val="28"/>
        </w:rPr>
        <w:t>，诊断及整改设计中的安全对策措施有</w:t>
      </w:r>
      <w:r>
        <w:rPr>
          <w:rFonts w:hint="eastAsia" w:ascii="Times New Roman" w:hAnsi="Times New Roman" w:eastAsia="宋体" w:cs="宋体"/>
          <w:bCs w:val="0"/>
          <w:color w:val="auto"/>
          <w:kern w:val="2"/>
          <w:sz w:val="28"/>
          <w:szCs w:val="28"/>
          <w:lang w:val="en-US" w:eastAsia="zh-CN"/>
        </w:rPr>
        <w:t>均已</w:t>
      </w:r>
      <w:r>
        <w:rPr>
          <w:rFonts w:hint="eastAsia" w:ascii="Times New Roman" w:hAnsi="Times New Roman" w:eastAsia="宋体" w:cs="宋体"/>
          <w:bCs w:val="0"/>
          <w:color w:val="auto"/>
          <w:kern w:val="2"/>
          <w:sz w:val="28"/>
          <w:szCs w:val="28"/>
        </w:rPr>
        <w:t>落实。</w:t>
      </w:r>
    </w:p>
    <w:p w14:paraId="6C079258">
      <w:pPr>
        <w:keepNext/>
        <w:keepLines/>
        <w:widowControl w:val="0"/>
        <w:spacing w:line="560" w:lineRule="exact"/>
        <w:jc w:val="center"/>
        <w:outlineLvl w:val="1"/>
        <w:rPr>
          <w:rFonts w:ascii="Times New Roman" w:hAnsi="Times New Roman" w:eastAsia="宋体" w:cs="Times New Roman"/>
          <w:b/>
          <w:bCs/>
          <w:color w:val="auto"/>
          <w:kern w:val="0"/>
          <w:sz w:val="30"/>
          <w:szCs w:val="30"/>
          <w:lang w:val="en-US" w:eastAsia="zh-CN" w:bidi="ar-SA"/>
        </w:rPr>
      </w:pPr>
      <w:bookmarkStart w:id="210" w:name="_Toc30760"/>
      <w:r>
        <w:rPr>
          <w:rFonts w:ascii="Times New Roman" w:hAnsi="Times New Roman" w:eastAsia="宋体" w:cs="Times New Roman"/>
          <w:b/>
          <w:bCs/>
          <w:color w:val="auto"/>
          <w:kern w:val="0"/>
          <w:sz w:val="30"/>
          <w:szCs w:val="30"/>
          <w:lang w:val="en-US" w:eastAsia="zh-CN" w:bidi="ar-SA"/>
        </w:rPr>
        <w:t>5.</w:t>
      </w:r>
      <w:r>
        <w:rPr>
          <w:rFonts w:hint="eastAsia" w:ascii="Times New Roman" w:hAnsi="Times New Roman" w:eastAsia="宋体" w:cs="Times New Roman"/>
          <w:b/>
          <w:bCs/>
          <w:color w:val="auto"/>
          <w:kern w:val="0"/>
          <w:sz w:val="30"/>
          <w:szCs w:val="30"/>
          <w:lang w:val="en-US" w:eastAsia="zh-CN" w:bidi="ar-SA"/>
        </w:rPr>
        <w:t>16</w:t>
      </w:r>
      <w:r>
        <w:rPr>
          <w:rFonts w:ascii="Times New Roman" w:hAnsi="Times New Roman" w:eastAsia="宋体" w:cs="Times New Roman"/>
          <w:b/>
          <w:bCs/>
          <w:color w:val="auto"/>
          <w:kern w:val="0"/>
          <w:sz w:val="30"/>
          <w:szCs w:val="30"/>
          <w:lang w:val="en-US" w:eastAsia="zh-CN" w:bidi="ar-SA"/>
        </w:rPr>
        <w:t xml:space="preserve"> 加油站安全检查表</w:t>
      </w:r>
      <w:bookmarkEnd w:id="210"/>
    </w:p>
    <w:p w14:paraId="0742293B">
      <w:pPr>
        <w:widowControl/>
        <w:spacing w:line="360" w:lineRule="auto"/>
        <w:ind w:firstLine="536" w:firstLineChars="200"/>
        <w:jc w:val="left"/>
        <w:rPr>
          <w:rFonts w:ascii="Times New Roman" w:hAnsi="Times New Roman" w:eastAsia="宋体" w:cs="Times New Roman"/>
          <w:bCs w:val="0"/>
          <w:color w:val="auto"/>
          <w:kern w:val="2"/>
          <w:sz w:val="28"/>
          <w:szCs w:val="28"/>
          <w:shd w:val="clear" w:color="auto" w:fill="FFFFFF"/>
        </w:rPr>
      </w:pPr>
      <w:r>
        <w:rPr>
          <w:rFonts w:hint="eastAsia" w:ascii="Times New Roman" w:hAnsi="Times New Roman" w:eastAsia="宋体" w:cs="Times New Roman"/>
          <w:bCs w:val="0"/>
          <w:color w:val="auto"/>
          <w:spacing w:val="-6"/>
          <w:kern w:val="2"/>
          <w:sz w:val="28"/>
          <w:szCs w:val="28"/>
          <w:shd w:val="clear" w:color="auto" w:fill="FFFFFF"/>
        </w:rPr>
        <w:t>根据《江西省应急管理厅办公室关于印发</w:t>
      </w:r>
      <w:r>
        <w:rPr>
          <w:rFonts w:hint="eastAsia" w:ascii="Times New Roman" w:hAnsi="Times New Roman" w:eastAsia="宋体" w:cs="Times New Roman"/>
          <w:bCs w:val="0"/>
          <w:color w:val="auto"/>
          <w:spacing w:val="-6"/>
          <w:kern w:val="2"/>
          <w:sz w:val="28"/>
          <w:szCs w:val="28"/>
          <w:shd w:val="clear" w:color="auto" w:fill="FFFFFF"/>
          <w:lang w:eastAsia="zh-CN"/>
        </w:rPr>
        <w:t>〈</w:t>
      </w:r>
      <w:r>
        <w:rPr>
          <w:rFonts w:hint="eastAsia" w:ascii="Times New Roman" w:hAnsi="Times New Roman" w:eastAsia="宋体" w:cs="Times New Roman"/>
          <w:bCs w:val="0"/>
          <w:color w:val="auto"/>
          <w:spacing w:val="-6"/>
          <w:kern w:val="2"/>
          <w:sz w:val="28"/>
          <w:szCs w:val="28"/>
          <w:shd w:val="clear" w:color="auto" w:fill="FFFFFF"/>
        </w:rPr>
        <w:t>加油站安全检查表</w:t>
      </w:r>
      <w:r>
        <w:rPr>
          <w:rFonts w:hint="eastAsia" w:ascii="Times New Roman" w:hAnsi="Times New Roman" w:eastAsia="宋体" w:cs="Times New Roman"/>
          <w:bCs w:val="0"/>
          <w:color w:val="auto"/>
          <w:spacing w:val="-6"/>
          <w:kern w:val="2"/>
          <w:sz w:val="28"/>
          <w:szCs w:val="28"/>
          <w:shd w:val="clear" w:color="auto" w:fill="FFFFFF"/>
          <w:lang w:eastAsia="zh-CN"/>
        </w:rPr>
        <w:t>〉的通知》</w:t>
      </w:r>
      <w:r>
        <w:rPr>
          <w:rFonts w:hint="eastAsia" w:ascii="Times New Roman" w:hAnsi="Times New Roman" w:eastAsia="宋体" w:cs="Times New Roman"/>
          <w:bCs w:val="0"/>
          <w:color w:val="auto"/>
          <w:spacing w:val="-6"/>
          <w:kern w:val="2"/>
          <w:sz w:val="28"/>
          <w:szCs w:val="28"/>
          <w:shd w:val="clear" w:color="auto" w:fill="FFFFFF"/>
        </w:rPr>
        <w:t>赣应急办字〔2023〕111号，采用《安全检查表法》进行检查，评价结果见表5.16-1。</w:t>
      </w:r>
    </w:p>
    <w:p w14:paraId="2F0796A6">
      <w:pPr>
        <w:spacing w:line="600" w:lineRule="exact"/>
        <w:jc w:val="center"/>
        <w:rPr>
          <w:rFonts w:ascii="Times New Roman" w:hAnsi="Times New Roman" w:eastAsia="宋体" w:cs="Times New Roman"/>
          <w:b/>
          <w:bCs/>
          <w:color w:val="auto"/>
          <w:kern w:val="2"/>
          <w:sz w:val="24"/>
        </w:rPr>
      </w:pPr>
      <w:r>
        <w:rPr>
          <w:rFonts w:hint="eastAsia" w:ascii="Times New Roman" w:hAnsi="Times New Roman" w:eastAsia="宋体" w:cs="Times New Roman"/>
          <w:b/>
          <w:bCs/>
          <w:color w:val="auto"/>
          <w:kern w:val="2"/>
          <w:sz w:val="24"/>
        </w:rPr>
        <w:t>5.16-1  加油站安全检查表</w:t>
      </w:r>
    </w:p>
    <w:tbl>
      <w:tblPr>
        <w:tblStyle w:val="7"/>
        <w:tblW w:w="487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9"/>
        <w:gridCol w:w="756"/>
        <w:gridCol w:w="5189"/>
        <w:gridCol w:w="843"/>
        <w:gridCol w:w="1700"/>
      </w:tblGrid>
      <w:tr w14:paraId="644F1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tcBorders>
              <w:top w:val="single" w:color="auto" w:sz="12" w:space="0"/>
              <w:left w:val="single" w:color="auto" w:sz="12" w:space="0"/>
              <w:bottom w:val="single" w:color="auto" w:sz="4" w:space="0"/>
              <w:right w:val="single" w:color="auto" w:sz="4" w:space="0"/>
            </w:tcBorders>
            <w:vAlign w:val="center"/>
          </w:tcPr>
          <w:p w14:paraId="73A88FE2">
            <w:pPr>
              <w:autoSpaceDN w:val="0"/>
              <w:spacing w:line="260" w:lineRule="exact"/>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序号</w:t>
            </w:r>
          </w:p>
        </w:tc>
        <w:tc>
          <w:tcPr>
            <w:tcW w:w="756" w:type="dxa"/>
            <w:tcBorders>
              <w:top w:val="single" w:color="auto" w:sz="12" w:space="0"/>
              <w:left w:val="single" w:color="auto" w:sz="4" w:space="0"/>
              <w:bottom w:val="single" w:color="auto" w:sz="4" w:space="0"/>
              <w:right w:val="single" w:color="auto" w:sz="4" w:space="0"/>
            </w:tcBorders>
            <w:vAlign w:val="center"/>
          </w:tcPr>
          <w:p w14:paraId="17EB3AC9">
            <w:pPr>
              <w:autoSpaceDN w:val="0"/>
              <w:spacing w:line="260" w:lineRule="exact"/>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检查项目</w:t>
            </w:r>
          </w:p>
        </w:tc>
        <w:tc>
          <w:tcPr>
            <w:tcW w:w="5189" w:type="dxa"/>
            <w:tcBorders>
              <w:top w:val="single" w:color="auto" w:sz="12" w:space="0"/>
              <w:left w:val="single" w:color="auto" w:sz="4" w:space="0"/>
              <w:bottom w:val="single" w:color="auto" w:sz="4" w:space="0"/>
              <w:right w:val="single" w:color="auto" w:sz="4" w:space="0"/>
            </w:tcBorders>
            <w:vAlign w:val="center"/>
          </w:tcPr>
          <w:p w14:paraId="5CB9D595">
            <w:pPr>
              <w:autoSpaceDN w:val="0"/>
              <w:spacing w:line="260" w:lineRule="exact"/>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检查内容</w:t>
            </w:r>
          </w:p>
        </w:tc>
        <w:tc>
          <w:tcPr>
            <w:tcW w:w="843" w:type="dxa"/>
            <w:tcBorders>
              <w:top w:val="single" w:color="auto" w:sz="12" w:space="0"/>
              <w:left w:val="single" w:color="auto" w:sz="4" w:space="0"/>
              <w:bottom w:val="single" w:color="auto" w:sz="4" w:space="0"/>
              <w:right w:val="single" w:color="auto" w:sz="4" w:space="0"/>
            </w:tcBorders>
            <w:vAlign w:val="center"/>
          </w:tcPr>
          <w:p w14:paraId="2EE6895A">
            <w:pPr>
              <w:autoSpaceDN w:val="0"/>
              <w:spacing w:line="260" w:lineRule="exact"/>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检查结果</w:t>
            </w:r>
          </w:p>
        </w:tc>
        <w:tc>
          <w:tcPr>
            <w:tcW w:w="1700" w:type="dxa"/>
            <w:tcBorders>
              <w:top w:val="single" w:color="auto" w:sz="12" w:space="0"/>
              <w:left w:val="single" w:color="auto" w:sz="4" w:space="0"/>
              <w:bottom w:val="single" w:color="auto" w:sz="4" w:space="0"/>
              <w:right w:val="single" w:color="auto" w:sz="12" w:space="0"/>
            </w:tcBorders>
            <w:vAlign w:val="center"/>
          </w:tcPr>
          <w:p w14:paraId="39DE555D">
            <w:pPr>
              <w:autoSpaceDN w:val="0"/>
              <w:spacing w:line="260" w:lineRule="exact"/>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主要问题</w:t>
            </w:r>
          </w:p>
        </w:tc>
      </w:tr>
      <w:tr w14:paraId="41497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6BE0FE4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w:t>
            </w:r>
          </w:p>
        </w:tc>
        <w:tc>
          <w:tcPr>
            <w:tcW w:w="756" w:type="dxa"/>
            <w:vMerge w:val="restart"/>
            <w:tcBorders>
              <w:top w:val="single" w:color="auto" w:sz="4" w:space="0"/>
              <w:left w:val="single" w:color="auto" w:sz="4" w:space="0"/>
              <w:right w:val="single" w:color="auto" w:sz="4" w:space="0"/>
            </w:tcBorders>
            <w:vAlign w:val="center"/>
          </w:tcPr>
          <w:p w14:paraId="1D7BCCA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证照文书</w:t>
            </w:r>
          </w:p>
          <w:p w14:paraId="07F1D70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6B631E8">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（1）营业执照。</w:t>
            </w:r>
          </w:p>
        </w:tc>
        <w:tc>
          <w:tcPr>
            <w:tcW w:w="843" w:type="dxa"/>
            <w:tcBorders>
              <w:top w:val="single" w:color="auto" w:sz="4" w:space="0"/>
              <w:left w:val="single" w:color="auto" w:sz="4" w:space="0"/>
              <w:bottom w:val="single" w:color="auto" w:sz="4" w:space="0"/>
              <w:right w:val="single" w:color="auto" w:sz="4" w:space="0"/>
            </w:tcBorders>
            <w:vAlign w:val="center"/>
          </w:tcPr>
          <w:p w14:paraId="08DCBD2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51FC7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有营业执照</w:t>
            </w:r>
          </w:p>
        </w:tc>
      </w:tr>
      <w:tr w14:paraId="7FAB8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C22E89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BDBAABE">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A24289F">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（2）成品油零售经营批准证书，是否在有效期内。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1FCBC7F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DA165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在有效期内</w:t>
            </w:r>
          </w:p>
        </w:tc>
      </w:tr>
      <w:tr w14:paraId="78D72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4F96FB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F2CE9EC">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A8D1B2D">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（3）危险化学品经营许可证，是否在有效期内。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391E799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2014F2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正在办理相关许可</w:t>
            </w:r>
          </w:p>
        </w:tc>
      </w:tr>
      <w:tr w14:paraId="457B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C86CA7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6F5960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2DC8D6D">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（4）合规的立项文件或备案证明，加油站实际建设是否与立项文件一致。</w:t>
            </w:r>
          </w:p>
        </w:tc>
        <w:tc>
          <w:tcPr>
            <w:tcW w:w="843" w:type="dxa"/>
            <w:tcBorders>
              <w:top w:val="single" w:color="auto" w:sz="4" w:space="0"/>
              <w:left w:val="single" w:color="auto" w:sz="4" w:space="0"/>
              <w:bottom w:val="single" w:color="auto" w:sz="4" w:space="0"/>
              <w:right w:val="single" w:color="auto" w:sz="4" w:space="0"/>
            </w:tcBorders>
            <w:vAlign w:val="center"/>
          </w:tcPr>
          <w:p w14:paraId="75A7608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1823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与立项一致</w:t>
            </w:r>
          </w:p>
        </w:tc>
      </w:tr>
      <w:tr w14:paraId="56C21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59" w:type="dxa"/>
            <w:vMerge w:val="continue"/>
            <w:tcBorders>
              <w:left w:val="single" w:color="auto" w:sz="12" w:space="0"/>
              <w:right w:val="single" w:color="auto" w:sz="4" w:space="0"/>
            </w:tcBorders>
            <w:vAlign w:val="center"/>
          </w:tcPr>
          <w:p w14:paraId="14A1C39A">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238F58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DDD057C">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（5）加油站用地证明文件、用地红线等，站址建设是否在用地红线范围内。</w:t>
            </w:r>
          </w:p>
        </w:tc>
        <w:tc>
          <w:tcPr>
            <w:tcW w:w="843" w:type="dxa"/>
            <w:tcBorders>
              <w:top w:val="single" w:color="auto" w:sz="4" w:space="0"/>
              <w:left w:val="single" w:color="auto" w:sz="4" w:space="0"/>
              <w:bottom w:val="single" w:color="auto" w:sz="4" w:space="0"/>
              <w:right w:val="single" w:color="auto" w:sz="4" w:space="0"/>
            </w:tcBorders>
            <w:vAlign w:val="center"/>
          </w:tcPr>
          <w:p w14:paraId="39DDE88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935504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在用地红线范围内</w:t>
            </w:r>
          </w:p>
        </w:tc>
      </w:tr>
      <w:tr w14:paraId="0C07B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5ED655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37D54E6">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B73FB6F">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（6）新建、改建、扩建加油站是否有审查手续和批复文件。</w:t>
            </w:r>
          </w:p>
        </w:tc>
        <w:tc>
          <w:tcPr>
            <w:tcW w:w="843" w:type="dxa"/>
            <w:tcBorders>
              <w:top w:val="single" w:color="auto" w:sz="4" w:space="0"/>
              <w:left w:val="single" w:color="auto" w:sz="4" w:space="0"/>
              <w:bottom w:val="single" w:color="auto" w:sz="4" w:space="0"/>
              <w:right w:val="single" w:color="auto" w:sz="4" w:space="0"/>
            </w:tcBorders>
            <w:vAlign w:val="center"/>
          </w:tcPr>
          <w:p w14:paraId="2D41377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61790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不属于新改扩建。</w:t>
            </w:r>
          </w:p>
        </w:tc>
      </w:tr>
      <w:tr w14:paraId="3369D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59" w:type="dxa"/>
            <w:vMerge w:val="continue"/>
            <w:tcBorders>
              <w:left w:val="single" w:color="auto" w:sz="12" w:space="0"/>
              <w:right w:val="single" w:color="auto" w:sz="4" w:space="0"/>
            </w:tcBorders>
            <w:vAlign w:val="center"/>
          </w:tcPr>
          <w:p w14:paraId="373EDB0B">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8A2319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4A493EC">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（7）是否经过正规设计或诊断设计。</w:t>
            </w:r>
          </w:p>
        </w:tc>
        <w:tc>
          <w:tcPr>
            <w:tcW w:w="843" w:type="dxa"/>
            <w:tcBorders>
              <w:top w:val="single" w:color="auto" w:sz="4" w:space="0"/>
              <w:left w:val="single" w:color="auto" w:sz="4" w:space="0"/>
              <w:bottom w:val="single" w:color="auto" w:sz="4" w:space="0"/>
              <w:right w:val="single" w:color="auto" w:sz="4" w:space="0"/>
            </w:tcBorders>
            <w:vAlign w:val="center"/>
          </w:tcPr>
          <w:p w14:paraId="2B24CA7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213CA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经正规设计。</w:t>
            </w:r>
          </w:p>
        </w:tc>
      </w:tr>
      <w:tr w14:paraId="1F29DB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0D1183C">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B539FAE">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5108080">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（8）设计单位是否具备相应的资质。</w:t>
            </w:r>
          </w:p>
        </w:tc>
        <w:tc>
          <w:tcPr>
            <w:tcW w:w="843" w:type="dxa"/>
            <w:tcBorders>
              <w:top w:val="single" w:color="auto" w:sz="4" w:space="0"/>
              <w:left w:val="single" w:color="auto" w:sz="4" w:space="0"/>
              <w:bottom w:val="single" w:color="auto" w:sz="4" w:space="0"/>
              <w:right w:val="single" w:color="auto" w:sz="4" w:space="0"/>
            </w:tcBorders>
            <w:vAlign w:val="center"/>
          </w:tcPr>
          <w:p w14:paraId="14CAF47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55BC0D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设计单位有相应资质。</w:t>
            </w:r>
          </w:p>
        </w:tc>
      </w:tr>
      <w:tr w14:paraId="7DEA3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59" w:type="dxa"/>
            <w:vMerge w:val="continue"/>
            <w:tcBorders>
              <w:left w:val="single" w:color="auto" w:sz="12" w:space="0"/>
              <w:right w:val="single" w:color="auto" w:sz="4" w:space="0"/>
            </w:tcBorders>
            <w:vAlign w:val="center"/>
          </w:tcPr>
          <w:p w14:paraId="1C17F78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AB5748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23B147D">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（9）是否出具合格的设计图纸，设计图纸是否与现场一致。</w:t>
            </w:r>
          </w:p>
        </w:tc>
        <w:tc>
          <w:tcPr>
            <w:tcW w:w="843" w:type="dxa"/>
            <w:tcBorders>
              <w:top w:val="single" w:color="auto" w:sz="4" w:space="0"/>
              <w:left w:val="single" w:color="auto" w:sz="4" w:space="0"/>
              <w:bottom w:val="single" w:color="auto" w:sz="4" w:space="0"/>
              <w:right w:val="single" w:color="auto" w:sz="4" w:space="0"/>
            </w:tcBorders>
            <w:vAlign w:val="center"/>
          </w:tcPr>
          <w:p w14:paraId="4B0C16F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48E1AE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有合格设计图纸，与现场一致。</w:t>
            </w:r>
          </w:p>
        </w:tc>
      </w:tr>
      <w:tr w14:paraId="3CA48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7DCBEB4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052ECDC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DA8D8CF">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（10）加油站是否经过消防验收，取得消防验收意见书。</w:t>
            </w:r>
          </w:p>
        </w:tc>
        <w:tc>
          <w:tcPr>
            <w:tcW w:w="843" w:type="dxa"/>
            <w:tcBorders>
              <w:top w:val="single" w:color="auto" w:sz="4" w:space="0"/>
              <w:left w:val="single" w:color="auto" w:sz="4" w:space="0"/>
              <w:bottom w:val="single" w:color="auto" w:sz="4" w:space="0"/>
              <w:right w:val="single" w:color="auto" w:sz="4" w:space="0"/>
            </w:tcBorders>
            <w:vAlign w:val="center"/>
          </w:tcPr>
          <w:p w14:paraId="113B66B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AC0DB9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已取得消防验收，见附件。</w:t>
            </w:r>
          </w:p>
        </w:tc>
      </w:tr>
      <w:tr w14:paraId="07271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59" w:type="dxa"/>
            <w:vMerge w:val="restart"/>
            <w:tcBorders>
              <w:top w:val="single" w:color="auto" w:sz="4" w:space="0"/>
              <w:left w:val="single" w:color="auto" w:sz="12" w:space="0"/>
              <w:right w:val="single" w:color="auto" w:sz="4" w:space="0"/>
            </w:tcBorders>
            <w:vAlign w:val="center"/>
          </w:tcPr>
          <w:p w14:paraId="12D8871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w:t>
            </w:r>
          </w:p>
        </w:tc>
        <w:tc>
          <w:tcPr>
            <w:tcW w:w="756" w:type="dxa"/>
            <w:vMerge w:val="restart"/>
            <w:tcBorders>
              <w:top w:val="single" w:color="auto" w:sz="4" w:space="0"/>
              <w:left w:val="single" w:color="auto" w:sz="4" w:space="0"/>
              <w:right w:val="single" w:color="auto" w:sz="4" w:space="0"/>
            </w:tcBorders>
            <w:vAlign w:val="center"/>
          </w:tcPr>
          <w:p w14:paraId="6D84403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安全管理机构</w:t>
            </w:r>
          </w:p>
        </w:tc>
        <w:tc>
          <w:tcPr>
            <w:tcW w:w="5189" w:type="dxa"/>
            <w:tcBorders>
              <w:top w:val="single" w:color="auto" w:sz="4" w:space="0"/>
              <w:left w:val="single" w:color="auto" w:sz="4" w:space="0"/>
              <w:bottom w:val="single" w:color="auto" w:sz="4" w:space="0"/>
              <w:right w:val="single" w:color="auto" w:sz="4" w:space="0"/>
            </w:tcBorders>
            <w:vAlign w:val="center"/>
          </w:tcPr>
          <w:p w14:paraId="3E36E809">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（1）是否成立安全管理机构，配置安全管理人员。</w:t>
            </w:r>
          </w:p>
        </w:tc>
        <w:tc>
          <w:tcPr>
            <w:tcW w:w="843" w:type="dxa"/>
            <w:tcBorders>
              <w:top w:val="single" w:color="auto" w:sz="4" w:space="0"/>
              <w:left w:val="single" w:color="auto" w:sz="4" w:space="0"/>
              <w:bottom w:val="single" w:color="auto" w:sz="4" w:space="0"/>
              <w:right w:val="single" w:color="auto" w:sz="4" w:space="0"/>
            </w:tcBorders>
            <w:vAlign w:val="center"/>
          </w:tcPr>
          <w:p w14:paraId="1539ED9D">
            <w:pPr>
              <w:autoSpaceDN w:val="0"/>
              <w:spacing w:line="260" w:lineRule="exact"/>
              <w:jc w:val="center"/>
              <w:rPr>
                <w:rFonts w:ascii="Times New Roman" w:hAnsi="Times New Roman" w:eastAsia="宋体" w:cs="Times New Roman"/>
                <w:bCs/>
                <w:strike/>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268B5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w:t>
            </w:r>
            <w:r>
              <w:rPr>
                <w:rFonts w:hint="eastAsia" w:ascii="Times New Roman" w:hAnsi="Times New Roman" w:eastAsia="宋体" w:cs="Times New Roman"/>
                <w:bCs w:val="0"/>
                <w:color w:val="auto"/>
                <w:kern w:val="2"/>
              </w:rPr>
              <w:t>安全领导小组</w:t>
            </w:r>
            <w:r>
              <w:rPr>
                <w:rFonts w:hint="eastAsia" w:ascii="Times New Roman" w:hAnsi="Times New Roman" w:eastAsia="宋体" w:cs="Times New Roman"/>
                <w:bCs/>
                <w:color w:val="auto"/>
                <w:kern w:val="2"/>
              </w:rPr>
              <w:t>，有安全管理人员。</w:t>
            </w:r>
          </w:p>
        </w:tc>
      </w:tr>
      <w:tr w14:paraId="5D3C8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126066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B73777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23C03F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（2）专职安全管理人员是否经过正式任命。</w:t>
            </w:r>
          </w:p>
        </w:tc>
        <w:tc>
          <w:tcPr>
            <w:tcW w:w="843" w:type="dxa"/>
            <w:tcBorders>
              <w:top w:val="single" w:color="auto" w:sz="4" w:space="0"/>
              <w:left w:val="single" w:color="auto" w:sz="4" w:space="0"/>
              <w:bottom w:val="single" w:color="auto" w:sz="4" w:space="0"/>
              <w:right w:val="single" w:color="auto" w:sz="4" w:space="0"/>
            </w:tcBorders>
            <w:vAlign w:val="center"/>
          </w:tcPr>
          <w:p w14:paraId="1FD106F6">
            <w:pPr>
              <w:autoSpaceDN w:val="0"/>
              <w:spacing w:line="260" w:lineRule="exact"/>
              <w:jc w:val="center"/>
              <w:rPr>
                <w:rFonts w:ascii="Times New Roman" w:hAnsi="Times New Roman" w:eastAsia="宋体" w:cs="Times New Roman"/>
                <w:bCs/>
                <w:strike/>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64ED2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专职安全管理人员经正式任命。</w:t>
            </w:r>
          </w:p>
        </w:tc>
      </w:tr>
      <w:tr w14:paraId="21DDA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747B360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2C5919A0">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BDB72F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（3）主要负责人、安全生产管理人员是否取得安全资格证书，证书是否在有效期内。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4525F8CE">
            <w:pPr>
              <w:autoSpaceDN w:val="0"/>
              <w:spacing w:line="260" w:lineRule="exact"/>
              <w:jc w:val="center"/>
              <w:rPr>
                <w:rFonts w:ascii="Times New Roman" w:hAnsi="Times New Roman" w:eastAsia="宋体" w:cs="Times New Roman"/>
                <w:bCs/>
                <w:strike/>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E053A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主要负责人、安全管理人员已取证，证件在有效期内。</w:t>
            </w:r>
          </w:p>
        </w:tc>
      </w:tr>
      <w:tr w14:paraId="37517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6F0831F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w:t>
            </w:r>
          </w:p>
        </w:tc>
        <w:tc>
          <w:tcPr>
            <w:tcW w:w="756" w:type="dxa"/>
            <w:vMerge w:val="restart"/>
            <w:tcBorders>
              <w:top w:val="single" w:color="auto" w:sz="4" w:space="0"/>
              <w:left w:val="single" w:color="auto" w:sz="4" w:space="0"/>
              <w:right w:val="single" w:color="auto" w:sz="4" w:space="0"/>
            </w:tcBorders>
            <w:vAlign w:val="center"/>
          </w:tcPr>
          <w:p w14:paraId="4E5D040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安全生产</w:t>
            </w:r>
          </w:p>
          <w:p w14:paraId="58D1B92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责任制</w:t>
            </w:r>
          </w:p>
        </w:tc>
        <w:tc>
          <w:tcPr>
            <w:tcW w:w="5189" w:type="dxa"/>
            <w:tcBorders>
              <w:top w:val="single" w:color="auto" w:sz="4" w:space="0"/>
              <w:left w:val="single" w:color="auto" w:sz="4" w:space="0"/>
              <w:bottom w:val="single" w:color="auto" w:sz="4" w:space="0"/>
              <w:right w:val="single" w:color="auto" w:sz="4" w:space="0"/>
            </w:tcBorders>
            <w:vAlign w:val="center"/>
          </w:tcPr>
          <w:p w14:paraId="3F39B42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（1）是否建立安全生产责任制</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明确规定主要负责人、安全管理人员、有关部门等的安全生产职责。</w:t>
            </w:r>
          </w:p>
        </w:tc>
        <w:tc>
          <w:tcPr>
            <w:tcW w:w="843" w:type="dxa"/>
            <w:tcBorders>
              <w:top w:val="single" w:color="auto" w:sz="4" w:space="0"/>
              <w:left w:val="single" w:color="auto" w:sz="4" w:space="0"/>
              <w:bottom w:val="single" w:color="auto" w:sz="4" w:space="0"/>
              <w:right w:val="single" w:color="auto" w:sz="4" w:space="0"/>
            </w:tcBorders>
            <w:vAlign w:val="center"/>
          </w:tcPr>
          <w:p w14:paraId="6DBEA47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F13DD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lang w:eastAsia="zh-CN"/>
              </w:rPr>
              <w:t>建立</w:t>
            </w:r>
            <w:r>
              <w:rPr>
                <w:rFonts w:hint="eastAsia" w:ascii="Times New Roman" w:hAnsi="Times New Roman" w:eastAsia="宋体" w:cs="Times New Roman"/>
                <w:bCs/>
                <w:color w:val="auto"/>
                <w:kern w:val="2"/>
              </w:rPr>
              <w:t>安全生产责任制，明确各人员职责。</w:t>
            </w:r>
          </w:p>
        </w:tc>
      </w:tr>
      <w:tr w14:paraId="4CD0B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5BE1D46B">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384C3EB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EEE7FBD">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（2）是否签订安全责任书。</w:t>
            </w:r>
          </w:p>
        </w:tc>
        <w:tc>
          <w:tcPr>
            <w:tcW w:w="843" w:type="dxa"/>
            <w:tcBorders>
              <w:top w:val="single" w:color="auto" w:sz="4" w:space="0"/>
              <w:left w:val="single" w:color="auto" w:sz="4" w:space="0"/>
              <w:bottom w:val="single" w:color="auto" w:sz="4" w:space="0"/>
              <w:right w:val="single" w:color="auto" w:sz="4" w:space="0"/>
            </w:tcBorders>
            <w:vAlign w:val="center"/>
          </w:tcPr>
          <w:p w14:paraId="40B1F6D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A0162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签订责任书</w:t>
            </w:r>
          </w:p>
        </w:tc>
      </w:tr>
      <w:tr w14:paraId="27653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7C728F5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w:t>
            </w:r>
          </w:p>
        </w:tc>
        <w:tc>
          <w:tcPr>
            <w:tcW w:w="756" w:type="dxa"/>
            <w:vMerge w:val="restart"/>
            <w:tcBorders>
              <w:top w:val="single" w:color="auto" w:sz="4" w:space="0"/>
              <w:left w:val="single" w:color="auto" w:sz="4" w:space="0"/>
              <w:right w:val="single" w:color="auto" w:sz="4" w:space="0"/>
            </w:tcBorders>
            <w:vAlign w:val="center"/>
          </w:tcPr>
          <w:p w14:paraId="3E39761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安全规章制度和操作规程</w:t>
            </w:r>
          </w:p>
        </w:tc>
        <w:tc>
          <w:tcPr>
            <w:tcW w:w="5189" w:type="dxa"/>
            <w:tcBorders>
              <w:top w:val="single" w:color="auto" w:sz="4" w:space="0"/>
              <w:left w:val="single" w:color="auto" w:sz="4" w:space="0"/>
              <w:bottom w:val="single" w:color="auto" w:sz="4" w:space="0"/>
              <w:right w:val="single" w:color="auto" w:sz="4" w:space="0"/>
            </w:tcBorders>
            <w:vAlign w:val="center"/>
          </w:tcPr>
          <w:p w14:paraId="2FC962E9">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建立安全教育培训制度、消防/防火安全制度、设备管理制度、用电安全管理制度、交接班制度、巡检制度、设备维护保养制度、安全投入保障制度、安全生产奖惩制度、安全生产教育培训制度、隐患排查治理制度、安全风险管理制度、事故管理制度等。</w:t>
            </w:r>
          </w:p>
        </w:tc>
        <w:tc>
          <w:tcPr>
            <w:tcW w:w="843" w:type="dxa"/>
            <w:tcBorders>
              <w:top w:val="single" w:color="auto" w:sz="4" w:space="0"/>
              <w:left w:val="single" w:color="auto" w:sz="4" w:space="0"/>
              <w:bottom w:val="single" w:color="auto" w:sz="4" w:space="0"/>
              <w:right w:val="single" w:color="auto" w:sz="4" w:space="0"/>
            </w:tcBorders>
            <w:vAlign w:val="center"/>
          </w:tcPr>
          <w:p w14:paraId="6BC9BB3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right w:val="single" w:color="auto" w:sz="12" w:space="0"/>
            </w:tcBorders>
            <w:vAlign w:val="center"/>
          </w:tcPr>
          <w:p w14:paraId="39F613C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有相关管理制度。</w:t>
            </w:r>
          </w:p>
        </w:tc>
      </w:tr>
      <w:tr w14:paraId="09E0B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59" w:type="dxa"/>
            <w:vMerge w:val="continue"/>
            <w:tcBorders>
              <w:left w:val="single" w:color="auto" w:sz="12" w:space="0"/>
              <w:bottom w:val="single" w:color="auto" w:sz="4" w:space="0"/>
              <w:right w:val="single" w:color="auto" w:sz="4" w:space="0"/>
            </w:tcBorders>
            <w:vAlign w:val="center"/>
          </w:tcPr>
          <w:p w14:paraId="4485380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2EA97D4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5E7815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 xml:space="preserve">（2）是否建立制定加油、卸油、计量操作规程等。 </w:t>
            </w:r>
          </w:p>
        </w:tc>
        <w:tc>
          <w:tcPr>
            <w:tcW w:w="843" w:type="dxa"/>
            <w:tcBorders>
              <w:top w:val="single" w:color="auto" w:sz="4" w:space="0"/>
              <w:left w:val="single" w:color="auto" w:sz="4" w:space="0"/>
              <w:bottom w:val="single" w:color="auto" w:sz="4" w:space="0"/>
              <w:right w:val="single" w:color="auto" w:sz="4" w:space="0"/>
            </w:tcBorders>
            <w:vAlign w:val="center"/>
          </w:tcPr>
          <w:p w14:paraId="73349E4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left w:val="single" w:color="auto" w:sz="4" w:space="0"/>
              <w:bottom w:val="single" w:color="auto" w:sz="4" w:space="0"/>
              <w:right w:val="single" w:color="auto" w:sz="12" w:space="0"/>
            </w:tcBorders>
            <w:vAlign w:val="center"/>
          </w:tcPr>
          <w:p w14:paraId="18F674E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有加油、量油、卸油操作规程。</w:t>
            </w:r>
          </w:p>
        </w:tc>
      </w:tr>
      <w:tr w14:paraId="5E454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428FA63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w:t>
            </w:r>
          </w:p>
        </w:tc>
        <w:tc>
          <w:tcPr>
            <w:tcW w:w="756" w:type="dxa"/>
            <w:vMerge w:val="restart"/>
            <w:tcBorders>
              <w:top w:val="single" w:color="auto" w:sz="4" w:space="0"/>
              <w:left w:val="single" w:color="auto" w:sz="4" w:space="0"/>
              <w:right w:val="single" w:color="auto" w:sz="4" w:space="0"/>
            </w:tcBorders>
            <w:vAlign w:val="center"/>
          </w:tcPr>
          <w:p w14:paraId="5ED94BD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安全投入</w:t>
            </w:r>
          </w:p>
        </w:tc>
        <w:tc>
          <w:tcPr>
            <w:tcW w:w="5189" w:type="dxa"/>
            <w:tcBorders>
              <w:top w:val="single" w:color="auto" w:sz="4" w:space="0"/>
              <w:left w:val="single" w:color="auto" w:sz="4" w:space="0"/>
              <w:bottom w:val="single" w:color="auto" w:sz="4" w:space="0"/>
              <w:right w:val="single" w:color="auto" w:sz="4" w:space="0"/>
            </w:tcBorders>
            <w:vAlign w:val="center"/>
          </w:tcPr>
          <w:p w14:paraId="51C3C1C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（1）是否按有关安全生产费用提取规定，提取安全生产费用。</w:t>
            </w:r>
          </w:p>
        </w:tc>
        <w:tc>
          <w:tcPr>
            <w:tcW w:w="843" w:type="dxa"/>
            <w:tcBorders>
              <w:top w:val="single" w:color="auto" w:sz="4" w:space="0"/>
              <w:left w:val="single" w:color="auto" w:sz="4" w:space="0"/>
              <w:bottom w:val="single" w:color="auto" w:sz="4" w:space="0"/>
              <w:right w:val="single" w:color="auto" w:sz="4" w:space="0"/>
            </w:tcBorders>
            <w:vAlign w:val="center"/>
          </w:tcPr>
          <w:p w14:paraId="439C6A0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30C6B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按要求提取安全生产费用。</w:t>
            </w:r>
          </w:p>
        </w:tc>
      </w:tr>
      <w:tr w14:paraId="2A049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B052AC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A485F3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6221A15">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（2）安全生产费用使用是否符合要求，专款专用。</w:t>
            </w:r>
          </w:p>
        </w:tc>
        <w:tc>
          <w:tcPr>
            <w:tcW w:w="843" w:type="dxa"/>
            <w:tcBorders>
              <w:top w:val="single" w:color="auto" w:sz="4" w:space="0"/>
              <w:left w:val="single" w:color="auto" w:sz="4" w:space="0"/>
              <w:bottom w:val="single" w:color="auto" w:sz="4" w:space="0"/>
              <w:right w:val="single" w:color="auto" w:sz="4" w:space="0"/>
            </w:tcBorders>
            <w:vAlign w:val="center"/>
          </w:tcPr>
          <w:p w14:paraId="1192BAD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F406EA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符合，专款专用。</w:t>
            </w:r>
          </w:p>
        </w:tc>
      </w:tr>
      <w:tr w14:paraId="35E7F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101A095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75A9C1D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EB0C73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（3）是否依法参加工伤保险或安全责任险，为从业人员缴纳保险费。</w:t>
            </w:r>
          </w:p>
        </w:tc>
        <w:tc>
          <w:tcPr>
            <w:tcW w:w="843" w:type="dxa"/>
            <w:tcBorders>
              <w:top w:val="single" w:color="auto" w:sz="4" w:space="0"/>
              <w:left w:val="single" w:color="auto" w:sz="4" w:space="0"/>
              <w:bottom w:val="single" w:color="auto" w:sz="4" w:space="0"/>
              <w:right w:val="single" w:color="auto" w:sz="4" w:space="0"/>
            </w:tcBorders>
            <w:vAlign w:val="center"/>
          </w:tcPr>
          <w:p w14:paraId="4340C28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9DA64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已缴纳安全责任险。</w:t>
            </w:r>
          </w:p>
        </w:tc>
      </w:tr>
      <w:tr w14:paraId="26B1A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7A8ABCF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w:t>
            </w:r>
          </w:p>
        </w:tc>
        <w:tc>
          <w:tcPr>
            <w:tcW w:w="756" w:type="dxa"/>
            <w:vMerge w:val="restart"/>
            <w:tcBorders>
              <w:top w:val="single" w:color="auto" w:sz="4" w:space="0"/>
              <w:left w:val="single" w:color="auto" w:sz="4" w:space="0"/>
              <w:right w:val="single" w:color="auto" w:sz="4" w:space="0"/>
            </w:tcBorders>
            <w:vAlign w:val="center"/>
          </w:tcPr>
          <w:p w14:paraId="6F88273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安全教育培训</w:t>
            </w:r>
          </w:p>
        </w:tc>
        <w:tc>
          <w:tcPr>
            <w:tcW w:w="5189" w:type="dxa"/>
            <w:tcBorders>
              <w:top w:val="single" w:color="auto" w:sz="4" w:space="0"/>
              <w:left w:val="single" w:color="auto" w:sz="4" w:space="0"/>
              <w:bottom w:val="single" w:color="auto" w:sz="4" w:space="0"/>
              <w:right w:val="single" w:color="auto" w:sz="4" w:space="0"/>
            </w:tcBorders>
            <w:vAlign w:val="center"/>
          </w:tcPr>
          <w:p w14:paraId="1C3185E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（1）主要负责人、安全管理人员是否定期参加安全教育培训。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7D0555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1E039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有安全培训记录。</w:t>
            </w:r>
          </w:p>
        </w:tc>
      </w:tr>
      <w:tr w14:paraId="66E71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A6117B2">
            <w:pPr>
              <w:autoSpaceDN w:val="0"/>
              <w:spacing w:line="260" w:lineRule="exact"/>
              <w:ind w:firstLine="210" w:firstLineChars="100"/>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D68FBE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794ED7D">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（2）加油站人员是否定期参加日常安全教育培训。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FF9CC3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695B1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定期组织人员参加教育培训。</w:t>
            </w:r>
          </w:p>
        </w:tc>
      </w:tr>
      <w:tr w14:paraId="2B204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3B6199C1">
            <w:pPr>
              <w:autoSpaceDN w:val="0"/>
              <w:spacing w:line="260" w:lineRule="exact"/>
              <w:ind w:firstLine="210" w:firstLineChars="100"/>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5E7B5A8E">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A611CAC">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新入职人员上岗前是否经过安全操作规程及应急处置等有关安全知识的培训，并建立教育培训档案。</w:t>
            </w:r>
          </w:p>
        </w:tc>
        <w:tc>
          <w:tcPr>
            <w:tcW w:w="843" w:type="dxa"/>
            <w:tcBorders>
              <w:top w:val="single" w:color="auto" w:sz="4" w:space="0"/>
              <w:left w:val="single" w:color="auto" w:sz="4" w:space="0"/>
              <w:bottom w:val="single" w:color="auto" w:sz="4" w:space="0"/>
              <w:right w:val="single" w:color="auto" w:sz="4" w:space="0"/>
            </w:tcBorders>
            <w:vAlign w:val="center"/>
          </w:tcPr>
          <w:p w14:paraId="71349C7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7C9F5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新员工经过岗前培训合格后上岗作业。</w:t>
            </w:r>
          </w:p>
        </w:tc>
      </w:tr>
      <w:tr w14:paraId="510C4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0CEA346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w:t>
            </w:r>
          </w:p>
        </w:tc>
        <w:tc>
          <w:tcPr>
            <w:tcW w:w="756" w:type="dxa"/>
            <w:vMerge w:val="restart"/>
            <w:tcBorders>
              <w:top w:val="single" w:color="auto" w:sz="4" w:space="0"/>
              <w:left w:val="single" w:color="auto" w:sz="4" w:space="0"/>
              <w:right w:val="single" w:color="auto" w:sz="4" w:space="0"/>
            </w:tcBorders>
            <w:vAlign w:val="center"/>
          </w:tcPr>
          <w:p w14:paraId="61DF73E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隐患排查治理</w:t>
            </w:r>
          </w:p>
        </w:tc>
        <w:tc>
          <w:tcPr>
            <w:tcW w:w="5189" w:type="dxa"/>
            <w:tcBorders>
              <w:top w:val="single" w:color="auto" w:sz="4" w:space="0"/>
              <w:left w:val="single" w:color="auto" w:sz="4" w:space="0"/>
              <w:bottom w:val="single" w:color="auto" w:sz="4" w:space="0"/>
              <w:right w:val="single" w:color="auto" w:sz="4" w:space="0"/>
            </w:tcBorders>
            <w:vAlign w:val="center"/>
          </w:tcPr>
          <w:p w14:paraId="24497F7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（1）是否建立定期安全检查及隐患排查治理制度。</w:t>
            </w:r>
          </w:p>
        </w:tc>
        <w:tc>
          <w:tcPr>
            <w:tcW w:w="843" w:type="dxa"/>
            <w:tcBorders>
              <w:top w:val="single" w:color="auto" w:sz="4" w:space="0"/>
              <w:left w:val="single" w:color="auto" w:sz="4" w:space="0"/>
              <w:bottom w:val="single" w:color="auto" w:sz="4" w:space="0"/>
              <w:right w:val="single" w:color="auto" w:sz="4" w:space="0"/>
            </w:tcBorders>
            <w:vAlign w:val="center"/>
          </w:tcPr>
          <w:p w14:paraId="365920A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5F9F3E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有隐患排查治理制度。</w:t>
            </w:r>
          </w:p>
        </w:tc>
      </w:tr>
      <w:tr w14:paraId="6303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F7340FF">
            <w:pPr>
              <w:autoSpaceDN w:val="0"/>
              <w:spacing w:line="260" w:lineRule="exact"/>
              <w:ind w:firstLine="210" w:firstLineChars="100"/>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E1D80E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5BF1782">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（2）是否按照计划和要求进行相应的安全检查并保存记录。</w:t>
            </w:r>
          </w:p>
        </w:tc>
        <w:tc>
          <w:tcPr>
            <w:tcW w:w="843" w:type="dxa"/>
            <w:tcBorders>
              <w:top w:val="single" w:color="auto" w:sz="4" w:space="0"/>
              <w:left w:val="single" w:color="auto" w:sz="4" w:space="0"/>
              <w:bottom w:val="single" w:color="auto" w:sz="4" w:space="0"/>
              <w:right w:val="single" w:color="auto" w:sz="4" w:space="0"/>
            </w:tcBorders>
            <w:vAlign w:val="center"/>
          </w:tcPr>
          <w:p w14:paraId="527F9FB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BE816F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按要求定期进行检查</w:t>
            </w:r>
          </w:p>
        </w:tc>
      </w:tr>
      <w:tr w14:paraId="5AA08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5F67D0DC">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421DFEAA">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F2A1598">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（3）安全检查出的事故隐患是否闭合。</w:t>
            </w:r>
          </w:p>
        </w:tc>
        <w:tc>
          <w:tcPr>
            <w:tcW w:w="843" w:type="dxa"/>
            <w:tcBorders>
              <w:top w:val="single" w:color="auto" w:sz="4" w:space="0"/>
              <w:left w:val="single" w:color="auto" w:sz="4" w:space="0"/>
              <w:bottom w:val="single" w:color="auto" w:sz="4" w:space="0"/>
              <w:right w:val="single" w:color="auto" w:sz="4" w:space="0"/>
            </w:tcBorders>
            <w:vAlign w:val="center"/>
          </w:tcPr>
          <w:p w14:paraId="510F2BA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CED049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隐患排查有闭环</w:t>
            </w:r>
          </w:p>
        </w:tc>
      </w:tr>
      <w:tr w14:paraId="213EA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1E5530E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w:t>
            </w:r>
          </w:p>
        </w:tc>
        <w:tc>
          <w:tcPr>
            <w:tcW w:w="756" w:type="dxa"/>
            <w:vMerge w:val="restart"/>
            <w:tcBorders>
              <w:top w:val="single" w:color="auto" w:sz="4" w:space="0"/>
              <w:left w:val="single" w:color="auto" w:sz="4" w:space="0"/>
              <w:right w:val="single" w:color="auto" w:sz="4" w:space="0"/>
            </w:tcBorders>
            <w:vAlign w:val="center"/>
          </w:tcPr>
          <w:p w14:paraId="2656778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风险分级及管控措施</w:t>
            </w:r>
          </w:p>
        </w:tc>
        <w:tc>
          <w:tcPr>
            <w:tcW w:w="5189" w:type="dxa"/>
            <w:tcBorders>
              <w:top w:val="single" w:color="auto" w:sz="4" w:space="0"/>
              <w:left w:val="single" w:color="auto" w:sz="4" w:space="0"/>
              <w:bottom w:val="single" w:color="auto" w:sz="4" w:space="0"/>
              <w:right w:val="single" w:color="auto" w:sz="4" w:space="0"/>
            </w:tcBorders>
            <w:vAlign w:val="center"/>
          </w:tcPr>
          <w:p w14:paraId="41024BBF">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（1）是否建立健全安全风险分级管控管理制度。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704D97F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6AFBB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有安全风险分级管控制度</w:t>
            </w:r>
          </w:p>
        </w:tc>
      </w:tr>
      <w:tr w14:paraId="225E5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3B5216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F804C14">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76B31B3">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（2）是否组织全员参与风险分级辨识。</w:t>
            </w:r>
          </w:p>
        </w:tc>
        <w:tc>
          <w:tcPr>
            <w:tcW w:w="843" w:type="dxa"/>
            <w:tcBorders>
              <w:top w:val="single" w:color="auto" w:sz="4" w:space="0"/>
              <w:left w:val="single" w:color="auto" w:sz="4" w:space="0"/>
              <w:bottom w:val="single" w:color="auto" w:sz="4" w:space="0"/>
              <w:right w:val="single" w:color="auto" w:sz="4" w:space="0"/>
            </w:tcBorders>
            <w:vAlign w:val="center"/>
          </w:tcPr>
          <w:p w14:paraId="08F0F64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ABC7C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全员参与</w:t>
            </w:r>
          </w:p>
        </w:tc>
      </w:tr>
      <w:tr w14:paraId="74F37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5962704C">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1ECD6EBE">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76F9CE1">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（3）是否制定安全风险分布图、风险识别管控及应急措施，即“一图一牌三清单”。</w:t>
            </w:r>
          </w:p>
        </w:tc>
        <w:tc>
          <w:tcPr>
            <w:tcW w:w="843" w:type="dxa"/>
            <w:tcBorders>
              <w:top w:val="single" w:color="auto" w:sz="4" w:space="0"/>
              <w:left w:val="single" w:color="auto" w:sz="4" w:space="0"/>
              <w:bottom w:val="single" w:color="auto" w:sz="4" w:space="0"/>
              <w:right w:val="single" w:color="auto" w:sz="4" w:space="0"/>
            </w:tcBorders>
            <w:vAlign w:val="center"/>
          </w:tcPr>
          <w:p w14:paraId="2D451C4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2002F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宋体"/>
                <w:bCs w:val="0"/>
                <w:color w:val="auto"/>
                <w:kern w:val="0"/>
                <w:lang w:bidi="ar"/>
              </w:rPr>
              <w:t>一图一牌三清单上墙</w:t>
            </w:r>
          </w:p>
        </w:tc>
      </w:tr>
      <w:tr w14:paraId="1E045B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1C3EBD4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9</w:t>
            </w:r>
          </w:p>
        </w:tc>
        <w:tc>
          <w:tcPr>
            <w:tcW w:w="756" w:type="dxa"/>
            <w:vMerge w:val="restart"/>
            <w:tcBorders>
              <w:top w:val="single" w:color="auto" w:sz="4" w:space="0"/>
              <w:left w:val="single" w:color="auto" w:sz="4" w:space="0"/>
              <w:right w:val="single" w:color="auto" w:sz="4" w:space="0"/>
            </w:tcBorders>
            <w:vAlign w:val="center"/>
          </w:tcPr>
          <w:p w14:paraId="70AE629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应急管理</w:t>
            </w:r>
          </w:p>
        </w:tc>
        <w:tc>
          <w:tcPr>
            <w:tcW w:w="5189" w:type="dxa"/>
            <w:tcBorders>
              <w:top w:val="single" w:color="auto" w:sz="4" w:space="0"/>
              <w:left w:val="single" w:color="auto" w:sz="4" w:space="0"/>
              <w:bottom w:val="single" w:color="auto" w:sz="4" w:space="0"/>
              <w:right w:val="single" w:color="auto" w:sz="4" w:space="0"/>
            </w:tcBorders>
            <w:vAlign w:val="center"/>
          </w:tcPr>
          <w:p w14:paraId="6CC51A8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是否制定加油站事故应急救援预案，应急预案是否按要求进行备案。</w:t>
            </w:r>
          </w:p>
        </w:tc>
        <w:tc>
          <w:tcPr>
            <w:tcW w:w="843" w:type="dxa"/>
            <w:tcBorders>
              <w:top w:val="single" w:color="auto" w:sz="4" w:space="0"/>
              <w:left w:val="single" w:color="auto" w:sz="4" w:space="0"/>
              <w:bottom w:val="single" w:color="auto" w:sz="4" w:space="0"/>
              <w:right w:val="single" w:color="auto" w:sz="4" w:space="0"/>
            </w:tcBorders>
            <w:vAlign w:val="center"/>
          </w:tcPr>
          <w:p w14:paraId="62ED707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AEF178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有应急预案，预案已备案</w:t>
            </w:r>
          </w:p>
        </w:tc>
      </w:tr>
      <w:tr w14:paraId="460BB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13CEC4A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57C849D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D20B7D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（2）是否组织应急演练，并保存演练记录材料。</w:t>
            </w:r>
          </w:p>
        </w:tc>
        <w:tc>
          <w:tcPr>
            <w:tcW w:w="843" w:type="dxa"/>
            <w:tcBorders>
              <w:top w:val="single" w:color="auto" w:sz="4" w:space="0"/>
              <w:left w:val="single" w:color="auto" w:sz="4" w:space="0"/>
              <w:bottom w:val="single" w:color="auto" w:sz="4" w:space="0"/>
              <w:right w:val="single" w:color="auto" w:sz="4" w:space="0"/>
            </w:tcBorders>
            <w:vAlign w:val="center"/>
          </w:tcPr>
          <w:p w14:paraId="364BA04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581C3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有应急演练记录</w:t>
            </w:r>
          </w:p>
        </w:tc>
      </w:tr>
      <w:tr w14:paraId="121EB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4196155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10</w:t>
            </w:r>
          </w:p>
        </w:tc>
        <w:tc>
          <w:tcPr>
            <w:tcW w:w="756" w:type="dxa"/>
            <w:vMerge w:val="restart"/>
            <w:tcBorders>
              <w:top w:val="single" w:color="auto" w:sz="4" w:space="0"/>
              <w:left w:val="single" w:color="auto" w:sz="4" w:space="0"/>
              <w:right w:val="single" w:color="auto" w:sz="4" w:space="0"/>
            </w:tcBorders>
            <w:vAlign w:val="center"/>
          </w:tcPr>
          <w:p w14:paraId="6D53040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检维修作业、危险作业</w:t>
            </w:r>
          </w:p>
        </w:tc>
        <w:tc>
          <w:tcPr>
            <w:tcW w:w="5189" w:type="dxa"/>
            <w:tcBorders>
              <w:top w:val="single" w:color="auto" w:sz="4" w:space="0"/>
              <w:left w:val="single" w:color="auto" w:sz="4" w:space="0"/>
              <w:bottom w:val="single" w:color="auto" w:sz="4" w:space="0"/>
              <w:right w:val="single" w:color="auto" w:sz="4" w:space="0"/>
            </w:tcBorders>
            <w:vAlign w:val="center"/>
          </w:tcPr>
          <w:p w14:paraId="7475C6BD">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（1）是否制定检维修管理制度。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2A847C1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544F1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有检维修制度</w:t>
            </w:r>
          </w:p>
        </w:tc>
      </w:tr>
      <w:tr w14:paraId="47D1E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783526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9A7E91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4772A01">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是否制定动火作业、受限空间作业等危险作业管理制度。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01C1E5C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FD1107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有动火、受限空间作业管理制度</w:t>
            </w:r>
          </w:p>
        </w:tc>
      </w:tr>
      <w:tr w14:paraId="4838E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559" w:type="dxa"/>
            <w:vMerge w:val="continue"/>
            <w:tcBorders>
              <w:left w:val="single" w:color="auto" w:sz="12" w:space="0"/>
              <w:right w:val="single" w:color="auto" w:sz="4" w:space="0"/>
            </w:tcBorders>
            <w:vAlign w:val="center"/>
          </w:tcPr>
          <w:p w14:paraId="61F12E5C">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FA737C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124143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（3）危险作业是否按要求履行审批手续，危险作业是否按要求执行作业票管理。</w:t>
            </w:r>
          </w:p>
        </w:tc>
        <w:tc>
          <w:tcPr>
            <w:tcW w:w="843" w:type="dxa"/>
            <w:tcBorders>
              <w:top w:val="single" w:color="auto" w:sz="4" w:space="0"/>
              <w:left w:val="single" w:color="auto" w:sz="4" w:space="0"/>
              <w:bottom w:val="single" w:color="auto" w:sz="4" w:space="0"/>
              <w:right w:val="single" w:color="auto" w:sz="4" w:space="0"/>
            </w:tcBorders>
            <w:vAlign w:val="center"/>
          </w:tcPr>
          <w:p w14:paraId="73C2839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32EC54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危险作业严格执行审批手续</w:t>
            </w:r>
          </w:p>
        </w:tc>
      </w:tr>
      <w:tr w14:paraId="684BB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59" w:type="dxa"/>
            <w:vMerge w:val="continue"/>
            <w:tcBorders>
              <w:left w:val="single" w:color="auto" w:sz="12" w:space="0"/>
              <w:bottom w:val="single" w:color="auto" w:sz="4" w:space="0"/>
              <w:right w:val="single" w:color="auto" w:sz="4" w:space="0"/>
            </w:tcBorders>
            <w:vAlign w:val="center"/>
          </w:tcPr>
          <w:p w14:paraId="6D1BF260">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69C01A12">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2C2B69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（4）危险作业现场管理是否按要求执行。</w:t>
            </w:r>
          </w:p>
        </w:tc>
        <w:tc>
          <w:tcPr>
            <w:tcW w:w="843" w:type="dxa"/>
            <w:tcBorders>
              <w:top w:val="single" w:color="auto" w:sz="4" w:space="0"/>
              <w:left w:val="single" w:color="auto" w:sz="4" w:space="0"/>
              <w:bottom w:val="single" w:color="auto" w:sz="4" w:space="0"/>
              <w:right w:val="single" w:color="auto" w:sz="4" w:space="0"/>
            </w:tcBorders>
            <w:vAlign w:val="center"/>
          </w:tcPr>
          <w:p w14:paraId="3FADC5D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857903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按要求执行</w:t>
            </w:r>
          </w:p>
        </w:tc>
      </w:tr>
      <w:tr w14:paraId="5A7D8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47" w:type="dxa"/>
            <w:gridSpan w:val="5"/>
            <w:tcBorders>
              <w:top w:val="single" w:color="auto" w:sz="4" w:space="0"/>
              <w:left w:val="single" w:color="auto" w:sz="12" w:space="0"/>
              <w:bottom w:val="single" w:color="auto" w:sz="4" w:space="0"/>
              <w:right w:val="single" w:color="auto" w:sz="12" w:space="0"/>
            </w:tcBorders>
            <w:shd w:val="clear" w:color="auto" w:fill="C0C0C0"/>
            <w:vAlign w:val="center"/>
          </w:tcPr>
          <w:p w14:paraId="02E1484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
                <w:bCs w:val="0"/>
                <w:color w:val="auto"/>
                <w:kern w:val="2"/>
              </w:rPr>
              <w:t>现 场 安 全 检 查 内 容</w:t>
            </w:r>
          </w:p>
        </w:tc>
      </w:tr>
      <w:tr w14:paraId="3B0D7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tcBorders>
              <w:top w:val="single" w:color="auto" w:sz="4" w:space="0"/>
              <w:left w:val="single" w:color="auto" w:sz="12" w:space="0"/>
              <w:bottom w:val="single" w:color="auto" w:sz="4" w:space="0"/>
              <w:right w:val="single" w:color="auto" w:sz="4" w:space="0"/>
            </w:tcBorders>
            <w:vAlign w:val="center"/>
          </w:tcPr>
          <w:p w14:paraId="7C6D47B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序号</w:t>
            </w:r>
          </w:p>
        </w:tc>
        <w:tc>
          <w:tcPr>
            <w:tcW w:w="756" w:type="dxa"/>
            <w:tcBorders>
              <w:top w:val="single" w:color="auto" w:sz="4" w:space="0"/>
              <w:left w:val="single" w:color="auto" w:sz="4" w:space="0"/>
              <w:bottom w:val="single" w:color="auto" w:sz="4" w:space="0"/>
              <w:right w:val="single" w:color="auto" w:sz="4" w:space="0"/>
            </w:tcBorders>
            <w:vAlign w:val="center"/>
          </w:tcPr>
          <w:p w14:paraId="6358CDD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检查项目</w:t>
            </w:r>
          </w:p>
        </w:tc>
        <w:tc>
          <w:tcPr>
            <w:tcW w:w="5189" w:type="dxa"/>
            <w:tcBorders>
              <w:top w:val="single" w:color="auto" w:sz="4" w:space="0"/>
              <w:left w:val="single" w:color="auto" w:sz="4" w:space="0"/>
              <w:bottom w:val="single" w:color="auto" w:sz="4" w:space="0"/>
              <w:right w:val="single" w:color="auto" w:sz="4" w:space="0"/>
            </w:tcBorders>
            <w:vAlign w:val="center"/>
          </w:tcPr>
          <w:p w14:paraId="3BEFE4F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检查内容</w:t>
            </w:r>
          </w:p>
        </w:tc>
        <w:tc>
          <w:tcPr>
            <w:tcW w:w="843" w:type="dxa"/>
            <w:tcBorders>
              <w:top w:val="single" w:color="auto" w:sz="4" w:space="0"/>
              <w:left w:val="single" w:color="auto" w:sz="4" w:space="0"/>
              <w:bottom w:val="single" w:color="auto" w:sz="4" w:space="0"/>
              <w:right w:val="single" w:color="auto" w:sz="4" w:space="0"/>
            </w:tcBorders>
            <w:vAlign w:val="center"/>
          </w:tcPr>
          <w:p w14:paraId="1CC7F81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检查</w:t>
            </w:r>
          </w:p>
          <w:p w14:paraId="5186869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结果</w:t>
            </w:r>
          </w:p>
        </w:tc>
        <w:tc>
          <w:tcPr>
            <w:tcW w:w="1700" w:type="dxa"/>
            <w:tcBorders>
              <w:top w:val="single" w:color="auto" w:sz="4" w:space="0"/>
              <w:left w:val="single" w:color="auto" w:sz="4" w:space="0"/>
              <w:bottom w:val="single" w:color="auto" w:sz="4" w:space="0"/>
              <w:right w:val="single" w:color="auto" w:sz="12" w:space="0"/>
            </w:tcBorders>
            <w:vAlign w:val="center"/>
          </w:tcPr>
          <w:p w14:paraId="5303D27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主要问题</w:t>
            </w:r>
          </w:p>
        </w:tc>
      </w:tr>
      <w:tr w14:paraId="5E037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03B5EF7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w:t>
            </w:r>
          </w:p>
        </w:tc>
        <w:tc>
          <w:tcPr>
            <w:tcW w:w="756" w:type="dxa"/>
            <w:vMerge w:val="restart"/>
            <w:tcBorders>
              <w:top w:val="single" w:color="auto" w:sz="4" w:space="0"/>
              <w:left w:val="single" w:color="auto" w:sz="4" w:space="0"/>
              <w:right w:val="single" w:color="auto" w:sz="4" w:space="0"/>
            </w:tcBorders>
            <w:vAlign w:val="center"/>
          </w:tcPr>
          <w:p w14:paraId="2C6F1ED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加油加气站选址与总平面布置</w:t>
            </w:r>
          </w:p>
        </w:tc>
        <w:tc>
          <w:tcPr>
            <w:tcW w:w="5189" w:type="dxa"/>
            <w:tcBorders>
              <w:top w:val="single" w:color="auto" w:sz="4" w:space="0"/>
              <w:left w:val="single" w:color="auto" w:sz="4" w:space="0"/>
              <w:bottom w:val="single" w:color="auto" w:sz="4" w:space="0"/>
              <w:right w:val="single" w:color="auto" w:sz="4" w:space="0"/>
            </w:tcBorders>
            <w:vAlign w:val="center"/>
          </w:tcPr>
          <w:p w14:paraId="01E4F258">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（1）站址选择应符合有关规划、环境保护和防火安全的要求，并应选在交通便利、用户使用方便的地点。</w:t>
            </w:r>
          </w:p>
        </w:tc>
        <w:tc>
          <w:tcPr>
            <w:tcW w:w="843" w:type="dxa"/>
            <w:tcBorders>
              <w:top w:val="single" w:color="auto" w:sz="4" w:space="0"/>
              <w:left w:val="single" w:color="auto" w:sz="4" w:space="0"/>
              <w:bottom w:val="single" w:color="auto" w:sz="4" w:space="0"/>
              <w:right w:val="single" w:color="auto" w:sz="4" w:space="0"/>
            </w:tcBorders>
            <w:vAlign w:val="center"/>
          </w:tcPr>
          <w:p w14:paraId="2163C3E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443A7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交通便利</w:t>
            </w:r>
          </w:p>
        </w:tc>
      </w:tr>
      <w:tr w14:paraId="4ED4F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322487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76113C2">
            <w:pPr>
              <w:autoSpaceDN w:val="0"/>
              <w:spacing w:line="260" w:lineRule="exact"/>
              <w:jc w:val="center"/>
              <w:rPr>
                <w:rFonts w:ascii="Times New Roman" w:hAnsi="Times New Roman" w:eastAsia="宋体" w:cs="Times New Roman"/>
                <w:bCs/>
                <w:color w:val="auto"/>
                <w:kern w:val="2"/>
                <w:szCs w:val="32"/>
              </w:rPr>
            </w:pPr>
          </w:p>
        </w:tc>
        <w:tc>
          <w:tcPr>
            <w:tcW w:w="5189" w:type="dxa"/>
            <w:tcBorders>
              <w:top w:val="single" w:color="auto" w:sz="4" w:space="0"/>
              <w:left w:val="single" w:color="auto" w:sz="4" w:space="0"/>
              <w:bottom w:val="single" w:color="auto" w:sz="4" w:space="0"/>
              <w:right w:val="single" w:color="auto" w:sz="4" w:space="0"/>
            </w:tcBorders>
            <w:vAlign w:val="center"/>
          </w:tcPr>
          <w:p w14:paraId="7B98941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（2）在城市建成区不应建一级加油站。</w:t>
            </w:r>
          </w:p>
        </w:tc>
        <w:tc>
          <w:tcPr>
            <w:tcW w:w="843" w:type="dxa"/>
            <w:tcBorders>
              <w:top w:val="single" w:color="auto" w:sz="4" w:space="0"/>
              <w:left w:val="single" w:color="auto" w:sz="4" w:space="0"/>
              <w:bottom w:val="single" w:color="auto" w:sz="4" w:space="0"/>
              <w:right w:val="single" w:color="auto" w:sz="4" w:space="0"/>
            </w:tcBorders>
            <w:vAlign w:val="center"/>
          </w:tcPr>
          <w:p w14:paraId="175BC92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CB03E4E">
            <w:pPr>
              <w:autoSpaceDN w:val="0"/>
              <w:spacing w:line="260" w:lineRule="exact"/>
              <w:jc w:val="center"/>
              <w:rPr>
                <w:rFonts w:ascii="Times New Roman" w:hAnsi="Times New Roman" w:eastAsia="宋体" w:cs="Times New Roman"/>
                <w:bCs/>
                <w:color w:val="auto"/>
                <w:kern w:val="2"/>
              </w:rPr>
            </w:pPr>
            <w:r>
              <w:rPr>
                <w:rFonts w:ascii="Times New Roman" w:hAnsi="Times New Roman" w:eastAsia="宋体" w:cs="Times New Roman"/>
                <w:bCs/>
                <w:color w:val="auto"/>
                <w:kern w:val="2"/>
              </w:rPr>
              <w:t>属</w:t>
            </w:r>
            <w:r>
              <w:rPr>
                <w:rFonts w:hint="eastAsia" w:ascii="Times New Roman" w:hAnsi="Times New Roman" w:eastAsia="宋体" w:cs="Times New Roman"/>
                <w:bCs/>
                <w:color w:val="auto"/>
                <w:kern w:val="2"/>
              </w:rPr>
              <w:t>于</w:t>
            </w:r>
            <w:r>
              <w:rPr>
                <w:rFonts w:hint="eastAsia" w:ascii="Times New Roman" w:hAnsi="Times New Roman" w:eastAsia="宋体" w:cs="Times New Roman"/>
                <w:bCs/>
                <w:color w:val="auto"/>
                <w:kern w:val="2"/>
                <w:lang w:val="en-US" w:eastAsia="zh-CN"/>
              </w:rPr>
              <w:t>三级加油站</w:t>
            </w:r>
          </w:p>
        </w:tc>
      </w:tr>
      <w:tr w14:paraId="1710B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268A77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91C3CF3">
            <w:pPr>
              <w:autoSpaceDN w:val="0"/>
              <w:spacing w:line="260" w:lineRule="exact"/>
              <w:jc w:val="center"/>
              <w:rPr>
                <w:rFonts w:ascii="Times New Roman" w:hAnsi="Times New Roman" w:eastAsia="宋体" w:cs="Times New Roman"/>
                <w:bCs/>
                <w:color w:val="auto"/>
                <w:kern w:val="2"/>
                <w:szCs w:val="32"/>
              </w:rPr>
            </w:pPr>
          </w:p>
        </w:tc>
        <w:tc>
          <w:tcPr>
            <w:tcW w:w="5189" w:type="dxa"/>
            <w:tcBorders>
              <w:top w:val="single" w:color="auto" w:sz="4" w:space="0"/>
              <w:left w:val="single" w:color="auto" w:sz="4" w:space="0"/>
              <w:bottom w:val="single" w:color="auto" w:sz="4" w:space="0"/>
              <w:right w:val="single" w:color="auto" w:sz="4" w:space="0"/>
            </w:tcBorders>
            <w:vAlign w:val="center"/>
          </w:tcPr>
          <w:p w14:paraId="5CBEE898">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（3）城市建成区内的加油站宜靠近城市道路，但不宜选在城市干道的交叉路口附近。</w:t>
            </w:r>
          </w:p>
        </w:tc>
        <w:tc>
          <w:tcPr>
            <w:tcW w:w="843" w:type="dxa"/>
            <w:tcBorders>
              <w:top w:val="single" w:color="auto" w:sz="4" w:space="0"/>
              <w:left w:val="single" w:color="auto" w:sz="4" w:space="0"/>
              <w:bottom w:val="single" w:color="auto" w:sz="4" w:space="0"/>
              <w:right w:val="single" w:color="auto" w:sz="4" w:space="0"/>
            </w:tcBorders>
            <w:vAlign w:val="center"/>
          </w:tcPr>
          <w:p w14:paraId="78ACB6D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DE7335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不在城市干道交叉路口</w:t>
            </w:r>
          </w:p>
        </w:tc>
      </w:tr>
      <w:tr w14:paraId="35085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4A67E9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8607082">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DFEE053">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（4）加油站的油罐、加油机和通气管管口与站外建、构筑物的防火距离，不应小于《汽车加油加气站设计与施工规范》表4.0.4和表4.0.5的规定。</w:t>
            </w:r>
          </w:p>
        </w:tc>
        <w:tc>
          <w:tcPr>
            <w:tcW w:w="843" w:type="dxa"/>
            <w:tcBorders>
              <w:top w:val="single" w:color="auto" w:sz="4" w:space="0"/>
              <w:left w:val="single" w:color="auto" w:sz="4" w:space="0"/>
              <w:bottom w:val="single" w:color="auto" w:sz="4" w:space="0"/>
              <w:right w:val="single" w:color="auto" w:sz="4" w:space="0"/>
            </w:tcBorders>
            <w:vAlign w:val="center"/>
          </w:tcPr>
          <w:p w14:paraId="57B2DE7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350B5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符合。</w:t>
            </w:r>
          </w:p>
        </w:tc>
      </w:tr>
      <w:tr w14:paraId="70E9B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AD17FDA">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656AE9C">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65185AF">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（5）架空电力线路是否跨越加油站的作业区。</w:t>
            </w:r>
          </w:p>
        </w:tc>
        <w:tc>
          <w:tcPr>
            <w:tcW w:w="843" w:type="dxa"/>
            <w:tcBorders>
              <w:top w:val="single" w:color="auto" w:sz="4" w:space="0"/>
              <w:left w:val="single" w:color="auto" w:sz="4" w:space="0"/>
              <w:bottom w:val="single" w:color="auto" w:sz="4" w:space="0"/>
              <w:right w:val="single" w:color="auto" w:sz="4" w:space="0"/>
            </w:tcBorders>
            <w:vAlign w:val="center"/>
          </w:tcPr>
          <w:p w14:paraId="0D5AA11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 否</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0DF3944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不涉及架空电力线路跨越加油站</w:t>
            </w:r>
          </w:p>
        </w:tc>
      </w:tr>
      <w:tr w14:paraId="1E088A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2BA6D4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8646E0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CA7904B">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（6）与加油站无关的可燃介质管道是否</w:t>
            </w:r>
            <w:r>
              <w:rPr>
                <w:rFonts w:hint="eastAsia" w:ascii="Times New Roman" w:hAnsi="Times New Roman" w:eastAsia="宋体" w:cs="Times New Roman"/>
                <w:bCs/>
                <w:color w:val="auto"/>
                <w:kern w:val="2"/>
                <w:lang w:eastAsia="zh-CN"/>
              </w:rPr>
              <w:t>穿越</w:t>
            </w:r>
            <w:r>
              <w:rPr>
                <w:rFonts w:hint="eastAsia" w:ascii="Times New Roman" w:hAnsi="Times New Roman" w:eastAsia="宋体" w:cs="Times New Roman"/>
                <w:bCs/>
                <w:color w:val="auto"/>
                <w:kern w:val="2"/>
              </w:rPr>
              <w:t>加油站用地范围。</w:t>
            </w:r>
          </w:p>
        </w:tc>
        <w:tc>
          <w:tcPr>
            <w:tcW w:w="843" w:type="dxa"/>
            <w:tcBorders>
              <w:top w:val="single" w:color="auto" w:sz="4" w:space="0"/>
              <w:left w:val="single" w:color="auto" w:sz="4" w:space="0"/>
              <w:bottom w:val="single" w:color="auto" w:sz="4" w:space="0"/>
              <w:right w:val="single" w:color="auto" w:sz="4" w:space="0"/>
            </w:tcBorders>
            <w:vAlign w:val="center"/>
          </w:tcPr>
          <w:p w14:paraId="041F661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 否</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3C540D1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不涉及无关的可燃介质管道穿越加油站</w:t>
            </w:r>
          </w:p>
        </w:tc>
      </w:tr>
      <w:tr w14:paraId="79039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E629B9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469646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6F3279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（7）加油站内设施、装置之间的防火距离，不应小于《汽车加油加气站设计与施工规范》表5.0.13规定。</w:t>
            </w:r>
          </w:p>
        </w:tc>
        <w:tc>
          <w:tcPr>
            <w:tcW w:w="843" w:type="dxa"/>
            <w:tcBorders>
              <w:top w:val="single" w:color="auto" w:sz="4" w:space="0"/>
              <w:left w:val="single" w:color="auto" w:sz="4" w:space="0"/>
              <w:bottom w:val="single" w:color="auto" w:sz="4" w:space="0"/>
              <w:right w:val="single" w:color="auto" w:sz="4" w:space="0"/>
            </w:tcBorders>
            <w:vAlign w:val="center"/>
          </w:tcPr>
          <w:p w14:paraId="2FD597E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09415D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符合。</w:t>
            </w:r>
          </w:p>
        </w:tc>
      </w:tr>
      <w:tr w14:paraId="56FE79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25B5B60">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D0FABC6">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7C1438B">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（8）加油工艺设施与站外建、构筑物之间</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宜设置高度不低于2.2m的不燃烧实体围墙。当加油站的工艺设备与站外建、构筑物之间的距离大于《汽车加油加气站设计与施工规范》中表4.0.4</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-表4.0.9中安全间距的1.5倍</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,且大于25m时，可设置非实体围墙。面向车</w:t>
            </w:r>
            <w:r>
              <w:rPr>
                <w:rFonts w:hint="eastAsia" w:ascii="Times New Roman" w:hAnsi="Times New Roman" w:eastAsia="宋体" w:cs="Times New Roman"/>
                <w:bCs/>
                <w:color w:val="auto"/>
                <w:kern w:val="2"/>
                <w:lang w:eastAsia="zh-CN"/>
              </w:rPr>
              <w:t>入口</w:t>
            </w:r>
            <w:r>
              <w:rPr>
                <w:rFonts w:hint="eastAsia" w:ascii="Times New Roman" w:hAnsi="Times New Roman" w:eastAsia="宋体" w:cs="Times New Roman"/>
                <w:bCs/>
                <w:color w:val="auto"/>
                <w:kern w:val="2"/>
              </w:rPr>
              <w:t>口和出口道路的一侧可设非实体围墙或不设围墙。</w:t>
            </w:r>
          </w:p>
        </w:tc>
        <w:tc>
          <w:tcPr>
            <w:tcW w:w="843" w:type="dxa"/>
            <w:tcBorders>
              <w:top w:val="single" w:color="auto" w:sz="4" w:space="0"/>
              <w:left w:val="single" w:color="auto" w:sz="4" w:space="0"/>
              <w:bottom w:val="single" w:color="auto" w:sz="4" w:space="0"/>
              <w:right w:val="single" w:color="auto" w:sz="4" w:space="0"/>
            </w:tcBorders>
            <w:vAlign w:val="center"/>
          </w:tcPr>
          <w:p w14:paraId="709CBBE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B097A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加油站设有围墙。</w:t>
            </w:r>
          </w:p>
        </w:tc>
      </w:tr>
      <w:tr w14:paraId="0A96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FBC683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2AD4E94">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BC6FC29">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（9）加油站现场总平面布置是否与设计总图一致</w:t>
            </w:r>
          </w:p>
        </w:tc>
        <w:tc>
          <w:tcPr>
            <w:tcW w:w="843" w:type="dxa"/>
            <w:tcBorders>
              <w:top w:val="single" w:color="auto" w:sz="4" w:space="0"/>
              <w:left w:val="single" w:color="auto" w:sz="4" w:space="0"/>
              <w:bottom w:val="single" w:color="auto" w:sz="4" w:space="0"/>
              <w:right w:val="single" w:color="auto" w:sz="4" w:space="0"/>
            </w:tcBorders>
            <w:vAlign w:val="center"/>
          </w:tcPr>
          <w:p w14:paraId="042F9DE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A9E8D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现场与图纸相符</w:t>
            </w:r>
          </w:p>
        </w:tc>
      </w:tr>
      <w:tr w14:paraId="59EC9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9555518">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4B59E58">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439EE6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（10）车辆入口和出口应分开设置。</w:t>
            </w:r>
          </w:p>
        </w:tc>
        <w:tc>
          <w:tcPr>
            <w:tcW w:w="843" w:type="dxa"/>
            <w:tcBorders>
              <w:top w:val="single" w:color="auto" w:sz="4" w:space="0"/>
              <w:left w:val="single" w:color="auto" w:sz="4" w:space="0"/>
              <w:bottom w:val="single" w:color="auto" w:sz="4" w:space="0"/>
              <w:right w:val="single" w:color="auto" w:sz="4" w:space="0"/>
            </w:tcBorders>
            <w:vAlign w:val="center"/>
          </w:tcPr>
          <w:p w14:paraId="564F803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B4498E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出入口分开设置</w:t>
            </w:r>
          </w:p>
        </w:tc>
      </w:tr>
      <w:tr w14:paraId="0CD71D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A8EA7D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0B9250E">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789564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（11） 站区内停车位和道路应符合下列规定：</w:t>
            </w:r>
          </w:p>
          <w:p w14:paraId="4C89C6D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站内车道或停车位宽度应按车辆类型确定。CNG加气母站内单车道或单车停车位宽度不应小于4.5m，双车道或双车停车位宽度不应小于9m；其他类型汽车加油加气加氢站的车道或停车位，单车道或单车停车位宽度不应小于4m，双车道或双车停车位宽度不应小于6m。</w:t>
            </w:r>
          </w:p>
          <w:p w14:paraId="75CB441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2.站内的道路转弯半径应按行驶车型确定，且不宜小于9m。</w:t>
            </w:r>
          </w:p>
          <w:p w14:paraId="5A9A839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3.站内停车位应为平坡，道路坡度不应大于8%，且宜坡向站外。</w:t>
            </w:r>
          </w:p>
          <w:p w14:paraId="5BDD76D6">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4.作业区内的停车场和道路路面不应采用沥青路面。</w:t>
            </w:r>
          </w:p>
        </w:tc>
        <w:tc>
          <w:tcPr>
            <w:tcW w:w="843" w:type="dxa"/>
            <w:tcBorders>
              <w:top w:val="single" w:color="auto" w:sz="4" w:space="0"/>
              <w:left w:val="single" w:color="auto" w:sz="4" w:space="0"/>
              <w:bottom w:val="single" w:color="auto" w:sz="4" w:space="0"/>
              <w:right w:val="single" w:color="auto" w:sz="4" w:space="0"/>
            </w:tcBorders>
            <w:vAlign w:val="center"/>
          </w:tcPr>
          <w:p w14:paraId="7839F94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E7F6D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单车道宽度不小于4m，站内道路为砼路面；站内的道路转弯半径不小于9m。</w:t>
            </w:r>
          </w:p>
        </w:tc>
      </w:tr>
      <w:tr w14:paraId="33B5E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F65134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7100F7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8571071">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（12）电动汽车充电设施应布置在辅助服务区内。</w:t>
            </w:r>
          </w:p>
        </w:tc>
        <w:tc>
          <w:tcPr>
            <w:tcW w:w="843" w:type="dxa"/>
            <w:tcBorders>
              <w:top w:val="single" w:color="auto" w:sz="4" w:space="0"/>
              <w:left w:val="single" w:color="auto" w:sz="4" w:space="0"/>
              <w:bottom w:val="single" w:color="auto" w:sz="4" w:space="0"/>
              <w:right w:val="single" w:color="auto" w:sz="4" w:space="0"/>
            </w:tcBorders>
            <w:vAlign w:val="center"/>
          </w:tcPr>
          <w:p w14:paraId="3E259F3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DB13D8">
            <w:pPr>
              <w:autoSpaceDN w:val="0"/>
              <w:spacing w:line="260" w:lineRule="exact"/>
              <w:jc w:val="center"/>
              <w:rPr>
                <w:rFonts w:hint="eastAsia" w:ascii="Times New Roman" w:hAnsi="Times New Roman" w:eastAsia="宋体" w:cs="Times New Roman"/>
                <w:bCs/>
                <w:color w:val="auto"/>
                <w:kern w:val="2"/>
                <w:lang w:val="en-US" w:eastAsia="zh-CN"/>
              </w:rPr>
            </w:pPr>
            <w:r>
              <w:rPr>
                <w:rFonts w:hint="eastAsia" w:ascii="Times New Roman" w:hAnsi="Times New Roman" w:eastAsia="宋体" w:cs="Times New Roman"/>
                <w:bCs/>
                <w:color w:val="auto"/>
                <w:kern w:val="2"/>
                <w:lang w:val="en-US" w:eastAsia="zh-CN"/>
              </w:rPr>
              <w:t>不涉及</w:t>
            </w:r>
          </w:p>
        </w:tc>
      </w:tr>
      <w:tr w14:paraId="26707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36C659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9494D1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BCFA68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（13）加油站的变配电间或室外变压器应布置在作业区之外。</w:t>
            </w:r>
          </w:p>
        </w:tc>
        <w:tc>
          <w:tcPr>
            <w:tcW w:w="843" w:type="dxa"/>
            <w:tcBorders>
              <w:top w:val="single" w:color="auto" w:sz="4" w:space="0"/>
              <w:left w:val="single" w:color="auto" w:sz="4" w:space="0"/>
              <w:bottom w:val="single" w:color="auto" w:sz="4" w:space="0"/>
              <w:right w:val="single" w:color="auto" w:sz="4" w:space="0"/>
            </w:tcBorders>
            <w:vAlign w:val="center"/>
          </w:tcPr>
          <w:p w14:paraId="0683DA7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983CF6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配电室在作业区外。</w:t>
            </w:r>
          </w:p>
        </w:tc>
      </w:tr>
      <w:tr w14:paraId="6FB2F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59" w:type="dxa"/>
            <w:vMerge w:val="continue"/>
            <w:tcBorders>
              <w:left w:val="single" w:color="auto" w:sz="12" w:space="0"/>
              <w:right w:val="single" w:color="auto" w:sz="4" w:space="0"/>
            </w:tcBorders>
            <w:vAlign w:val="center"/>
          </w:tcPr>
          <w:p w14:paraId="4B976B6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39055BA">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A0126A6">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（14）加油作业区内不得有“明火地点”或“散发火花地点</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w:t>
            </w:r>
          </w:p>
        </w:tc>
        <w:tc>
          <w:tcPr>
            <w:tcW w:w="843" w:type="dxa"/>
            <w:tcBorders>
              <w:top w:val="single" w:color="auto" w:sz="4" w:space="0"/>
              <w:left w:val="single" w:color="auto" w:sz="4" w:space="0"/>
              <w:bottom w:val="single" w:color="auto" w:sz="4" w:space="0"/>
              <w:right w:val="single" w:color="auto" w:sz="4" w:space="0"/>
            </w:tcBorders>
            <w:vAlign w:val="center"/>
          </w:tcPr>
          <w:p w14:paraId="2C9F2A8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53366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加油作业区无明火</w:t>
            </w:r>
          </w:p>
        </w:tc>
      </w:tr>
      <w:tr w14:paraId="6F9C7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970DF7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440660E">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B1895BF">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（15）站房不应布置在爆炸危险区域。站房部分位于作业区内时，建筑面积等应符合《汽车加油加气站设计与施工规范》第14.2.10条的规定</w:t>
            </w:r>
            <w:r>
              <w:rPr>
                <w:rFonts w:hint="eastAsia" w:ascii="Times New Roman" w:hAnsi="Times New Roman" w:eastAsia="宋体" w:cs="Times New Roman"/>
                <w:bCs/>
                <w:color w:val="auto"/>
                <w:kern w:val="2"/>
                <w:lang w:eastAsia="zh-CN"/>
              </w:rPr>
              <w:t>。</w:t>
            </w:r>
          </w:p>
        </w:tc>
        <w:tc>
          <w:tcPr>
            <w:tcW w:w="843" w:type="dxa"/>
            <w:tcBorders>
              <w:top w:val="single" w:color="auto" w:sz="4" w:space="0"/>
              <w:left w:val="single" w:color="auto" w:sz="4" w:space="0"/>
              <w:bottom w:val="single" w:color="auto" w:sz="4" w:space="0"/>
              <w:right w:val="single" w:color="auto" w:sz="4" w:space="0"/>
            </w:tcBorders>
            <w:vAlign w:val="center"/>
          </w:tcPr>
          <w:p w14:paraId="1CF35E6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338AA5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站房不在爆炸危险区域内</w:t>
            </w:r>
          </w:p>
        </w:tc>
      </w:tr>
      <w:tr w14:paraId="68E5D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622E04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DD5081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B3A09ED">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（16）当加油站内设置非油品业务建筑物或设施时，不应布置在作业区内，与站内可燃液体或可燃气体设备的防火间距应符合《汽车加油加气站设计与施工规范》第4.0.4条</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第4.0.8条有关三类保护物的规定。当站内经营性餐饮、汽车服务、司机休息室等设施内设置明火设备时，应等同于“明火地点”或“散发火花地点”。</w:t>
            </w:r>
          </w:p>
        </w:tc>
        <w:tc>
          <w:tcPr>
            <w:tcW w:w="843" w:type="dxa"/>
            <w:tcBorders>
              <w:top w:val="single" w:color="auto" w:sz="4" w:space="0"/>
              <w:left w:val="single" w:color="auto" w:sz="4" w:space="0"/>
              <w:bottom w:val="single" w:color="auto" w:sz="4" w:space="0"/>
              <w:right w:val="single" w:color="auto" w:sz="4" w:space="0"/>
            </w:tcBorders>
            <w:vAlign w:val="center"/>
          </w:tcPr>
          <w:p w14:paraId="6CFF744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469C66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w:t>
            </w:r>
          </w:p>
        </w:tc>
      </w:tr>
      <w:tr w14:paraId="05DB7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BCA64F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D53144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6F22B6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（17）汽车加油加气加氢站内的爆炸危险区域，不应超出站区围墙和可用地界线。</w:t>
            </w:r>
          </w:p>
        </w:tc>
        <w:tc>
          <w:tcPr>
            <w:tcW w:w="843" w:type="dxa"/>
            <w:tcBorders>
              <w:top w:val="single" w:color="auto" w:sz="4" w:space="0"/>
              <w:left w:val="single" w:color="auto" w:sz="4" w:space="0"/>
              <w:bottom w:val="single" w:color="auto" w:sz="4" w:space="0"/>
              <w:right w:val="single" w:color="auto" w:sz="4" w:space="0"/>
            </w:tcBorders>
            <w:vAlign w:val="center"/>
          </w:tcPr>
          <w:p w14:paraId="3DF659B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AD622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未超出站区围墙和可用地界线</w:t>
            </w:r>
          </w:p>
        </w:tc>
      </w:tr>
      <w:tr w14:paraId="76190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1A90938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3F112CB6">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46F3EBE">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（18）架空电力线路不应跨越加油站的加油作业区。</w:t>
            </w:r>
          </w:p>
        </w:tc>
        <w:tc>
          <w:tcPr>
            <w:tcW w:w="843" w:type="dxa"/>
            <w:tcBorders>
              <w:top w:val="single" w:color="auto" w:sz="4" w:space="0"/>
              <w:left w:val="single" w:color="auto" w:sz="4" w:space="0"/>
              <w:bottom w:val="single" w:color="auto" w:sz="4" w:space="0"/>
              <w:right w:val="single" w:color="auto" w:sz="4" w:space="0"/>
            </w:tcBorders>
            <w:vAlign w:val="center"/>
          </w:tcPr>
          <w:p w14:paraId="6FE4726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8BB33D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无架空电力线跨越加油站加油作业区</w:t>
            </w:r>
          </w:p>
        </w:tc>
      </w:tr>
      <w:tr w14:paraId="7D581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4985121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w:t>
            </w:r>
          </w:p>
        </w:tc>
        <w:tc>
          <w:tcPr>
            <w:tcW w:w="756" w:type="dxa"/>
            <w:vMerge w:val="restart"/>
            <w:tcBorders>
              <w:top w:val="single" w:color="auto" w:sz="4" w:space="0"/>
              <w:left w:val="single" w:color="auto" w:sz="4" w:space="0"/>
              <w:right w:val="single" w:color="auto" w:sz="4" w:space="0"/>
            </w:tcBorders>
            <w:vAlign w:val="center"/>
          </w:tcPr>
          <w:p w14:paraId="7D3273F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建筑与</w:t>
            </w:r>
          </w:p>
          <w:p w14:paraId="145B577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设施</w:t>
            </w:r>
          </w:p>
        </w:tc>
        <w:tc>
          <w:tcPr>
            <w:tcW w:w="5189" w:type="dxa"/>
            <w:tcBorders>
              <w:top w:val="single" w:color="auto" w:sz="4" w:space="0"/>
              <w:left w:val="single" w:color="auto" w:sz="4" w:space="0"/>
              <w:bottom w:val="single" w:color="auto" w:sz="4" w:space="0"/>
              <w:right w:val="single" w:color="auto" w:sz="4" w:space="0"/>
            </w:tcBorders>
            <w:vAlign w:val="center"/>
          </w:tcPr>
          <w:p w14:paraId="068A4E52">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加油作业区内的站房及其它附属建筑物的耐火等级不应低于二级。</w:t>
            </w:r>
          </w:p>
        </w:tc>
        <w:tc>
          <w:tcPr>
            <w:tcW w:w="843" w:type="dxa"/>
            <w:tcBorders>
              <w:top w:val="single" w:color="auto" w:sz="4" w:space="0"/>
              <w:left w:val="single" w:color="auto" w:sz="4" w:space="0"/>
              <w:bottom w:val="single" w:color="auto" w:sz="4" w:space="0"/>
              <w:right w:val="single" w:color="auto" w:sz="4" w:space="0"/>
            </w:tcBorders>
            <w:vAlign w:val="center"/>
          </w:tcPr>
          <w:p w14:paraId="5FC1D29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DACB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站房为二级耐火等级</w:t>
            </w:r>
          </w:p>
        </w:tc>
      </w:tr>
      <w:tr w14:paraId="7A33B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919BBB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B622782">
            <w:pPr>
              <w:autoSpaceDN w:val="0"/>
              <w:spacing w:line="260" w:lineRule="exact"/>
              <w:jc w:val="center"/>
              <w:rPr>
                <w:rFonts w:ascii="Times New Roman" w:hAnsi="Times New Roman" w:eastAsia="宋体" w:cs="Times New Roman"/>
                <w:bCs/>
                <w:color w:val="auto"/>
                <w:kern w:val="2"/>
                <w:szCs w:val="32"/>
              </w:rPr>
            </w:pPr>
          </w:p>
        </w:tc>
        <w:tc>
          <w:tcPr>
            <w:tcW w:w="5189" w:type="dxa"/>
            <w:tcBorders>
              <w:top w:val="single" w:color="auto" w:sz="4" w:space="0"/>
              <w:left w:val="single" w:color="auto" w:sz="4" w:space="0"/>
              <w:bottom w:val="single" w:color="auto" w:sz="4" w:space="0"/>
              <w:right w:val="single" w:color="auto" w:sz="4" w:space="0"/>
            </w:tcBorders>
            <w:vAlign w:val="center"/>
          </w:tcPr>
          <w:p w14:paraId="1D2370A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（2）站内建筑防雷防静电设施是否按要求设置，是否经过定期防雷检测，并出具了检测合格报告。</w:t>
            </w:r>
          </w:p>
        </w:tc>
        <w:tc>
          <w:tcPr>
            <w:tcW w:w="843" w:type="dxa"/>
            <w:tcBorders>
              <w:top w:val="single" w:color="auto" w:sz="4" w:space="0"/>
              <w:left w:val="single" w:color="auto" w:sz="4" w:space="0"/>
              <w:bottom w:val="single" w:color="auto" w:sz="4" w:space="0"/>
              <w:right w:val="single" w:color="auto" w:sz="4" w:space="0"/>
            </w:tcBorders>
            <w:vAlign w:val="center"/>
          </w:tcPr>
          <w:p w14:paraId="459779A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C2BAF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经过防雷检测，有检测报告，见附件。</w:t>
            </w:r>
          </w:p>
        </w:tc>
      </w:tr>
      <w:tr w14:paraId="0B28D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2FC887A">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5D1A8DA">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6193778">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加油站内设置的经营性餐饮、汽车服务等非站房所属建筑物和设施不应布置在加油作业区内。</w:t>
            </w:r>
          </w:p>
        </w:tc>
        <w:tc>
          <w:tcPr>
            <w:tcW w:w="843" w:type="dxa"/>
            <w:tcBorders>
              <w:top w:val="single" w:color="auto" w:sz="4" w:space="0"/>
              <w:left w:val="single" w:color="auto" w:sz="4" w:space="0"/>
              <w:bottom w:val="single" w:color="auto" w:sz="4" w:space="0"/>
              <w:right w:val="single" w:color="auto" w:sz="4" w:space="0"/>
            </w:tcBorders>
            <w:vAlign w:val="center"/>
          </w:tcPr>
          <w:p w14:paraId="6DD38AE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7C066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站内无经营性餐饮、汽车服务等设施。</w:t>
            </w:r>
          </w:p>
        </w:tc>
      </w:tr>
      <w:tr w14:paraId="6FD77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DDC5E6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84D57DA">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2471C3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（4）加油站内厨房等有明火设备的房间与工艺设备之间的距离符合《汽车加油加气站设计与施工规范》表5.0.13的规定但小于或等于25m时</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其朝向加油作业区的外墙应为无门窗洞口且耐火极限不低于3h的实体墙。</w:t>
            </w:r>
          </w:p>
        </w:tc>
        <w:tc>
          <w:tcPr>
            <w:tcW w:w="843" w:type="dxa"/>
            <w:tcBorders>
              <w:top w:val="single" w:color="auto" w:sz="4" w:space="0"/>
              <w:left w:val="single" w:color="auto" w:sz="4" w:space="0"/>
              <w:bottom w:val="single" w:color="auto" w:sz="4" w:space="0"/>
              <w:right w:val="single" w:color="auto" w:sz="4" w:space="0"/>
            </w:tcBorders>
            <w:vAlign w:val="center"/>
          </w:tcPr>
          <w:p w14:paraId="3B2E6D0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0D6FAB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无明火设施</w:t>
            </w:r>
          </w:p>
        </w:tc>
      </w:tr>
      <w:tr w14:paraId="4308B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52F6B7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BA96FB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FEF76AB">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（5）加油站内不应建地下室和半地下室。</w:t>
            </w:r>
          </w:p>
        </w:tc>
        <w:tc>
          <w:tcPr>
            <w:tcW w:w="843" w:type="dxa"/>
            <w:tcBorders>
              <w:top w:val="single" w:color="auto" w:sz="4" w:space="0"/>
              <w:left w:val="single" w:color="auto" w:sz="4" w:space="0"/>
              <w:bottom w:val="single" w:color="auto" w:sz="4" w:space="0"/>
              <w:right w:val="single" w:color="auto" w:sz="4" w:space="0"/>
            </w:tcBorders>
            <w:vAlign w:val="center"/>
          </w:tcPr>
          <w:p w14:paraId="50B8E9C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568DC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位于地上</w:t>
            </w:r>
          </w:p>
        </w:tc>
      </w:tr>
      <w:tr w14:paraId="364C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282879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E59E3B0">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0B5D141">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0"/>
              </w:rPr>
              <w:t>（6）</w:t>
            </w:r>
            <w:r>
              <w:rPr>
                <w:rFonts w:hint="eastAsia" w:ascii="Times New Roman" w:hAnsi="Times New Roman" w:eastAsia="宋体" w:cs="Times New Roman"/>
                <w:bCs/>
                <w:color w:val="auto"/>
                <w:kern w:val="2"/>
              </w:rPr>
              <w:t>加油站作业区内不得种植油性植物。</w:t>
            </w:r>
          </w:p>
        </w:tc>
        <w:tc>
          <w:tcPr>
            <w:tcW w:w="843" w:type="dxa"/>
            <w:tcBorders>
              <w:top w:val="single" w:color="auto" w:sz="4" w:space="0"/>
              <w:left w:val="single" w:color="auto" w:sz="4" w:space="0"/>
              <w:bottom w:val="single" w:color="auto" w:sz="4" w:space="0"/>
              <w:right w:val="single" w:color="auto" w:sz="4" w:space="0"/>
            </w:tcBorders>
            <w:vAlign w:val="center"/>
          </w:tcPr>
          <w:p w14:paraId="6839EAF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D7C8F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作业区无油性植物</w:t>
            </w:r>
          </w:p>
        </w:tc>
      </w:tr>
      <w:tr w14:paraId="5CD3D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2CED438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4E30A9F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50A1375">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0"/>
              </w:rPr>
              <w:t>（7</w:t>
            </w:r>
            <w:r>
              <w:rPr>
                <w:rFonts w:hint="eastAsia" w:ascii="Times New Roman" w:hAnsi="Times New Roman" w:eastAsia="宋体" w:cs="Times New Roman"/>
                <w:bCs/>
                <w:color w:val="auto"/>
                <w:kern w:val="0"/>
                <w:lang w:eastAsia="zh-CN"/>
              </w:rPr>
              <w:t>）</w:t>
            </w:r>
            <w:r>
              <w:rPr>
                <w:rFonts w:hint="eastAsia" w:ascii="Times New Roman" w:hAnsi="Times New Roman" w:eastAsia="宋体" w:cs="Times New Roman"/>
                <w:bCs/>
                <w:color w:val="auto"/>
                <w:kern w:val="0"/>
              </w:rPr>
              <w:t>加油场地</w:t>
            </w:r>
            <w:r>
              <w:rPr>
                <w:rFonts w:hint="eastAsia" w:ascii="Times New Roman" w:hAnsi="Times New Roman" w:eastAsia="宋体" w:cs="Times New Roman"/>
                <w:bCs/>
                <w:color w:val="auto"/>
                <w:kern w:val="2"/>
              </w:rPr>
              <w:t>宜设罩棚</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罩棚应采用非燃烧材料建造</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其有效高度不应小于4.5m，罩棚遮盖加油机的平面投影距离不宜小于2m。</w:t>
            </w:r>
          </w:p>
        </w:tc>
        <w:tc>
          <w:tcPr>
            <w:tcW w:w="843" w:type="dxa"/>
            <w:tcBorders>
              <w:top w:val="single" w:color="auto" w:sz="4" w:space="0"/>
              <w:left w:val="single" w:color="auto" w:sz="4" w:space="0"/>
              <w:bottom w:val="single" w:color="auto" w:sz="4" w:space="0"/>
              <w:right w:val="single" w:color="auto" w:sz="4" w:space="0"/>
            </w:tcBorders>
            <w:vAlign w:val="center"/>
          </w:tcPr>
          <w:p w14:paraId="0355A30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BD0AB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加油站罩棚遮盖加油机平面投影距离大于2m</w:t>
            </w:r>
          </w:p>
        </w:tc>
      </w:tr>
      <w:tr w14:paraId="05762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5020022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w:t>
            </w:r>
          </w:p>
        </w:tc>
        <w:tc>
          <w:tcPr>
            <w:tcW w:w="756" w:type="dxa"/>
            <w:vMerge w:val="restart"/>
            <w:tcBorders>
              <w:top w:val="single" w:color="auto" w:sz="4" w:space="0"/>
              <w:left w:val="single" w:color="auto" w:sz="4" w:space="0"/>
              <w:right w:val="single" w:color="auto" w:sz="4" w:space="0"/>
            </w:tcBorders>
            <w:vAlign w:val="center"/>
          </w:tcPr>
          <w:p w14:paraId="213561A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加油工艺与设施</w:t>
            </w:r>
          </w:p>
        </w:tc>
        <w:tc>
          <w:tcPr>
            <w:tcW w:w="5189" w:type="dxa"/>
            <w:tcBorders>
              <w:top w:val="single" w:color="auto" w:sz="4" w:space="0"/>
              <w:left w:val="single" w:color="auto" w:sz="4" w:space="0"/>
              <w:bottom w:val="single" w:color="auto" w:sz="4" w:space="0"/>
              <w:right w:val="single" w:color="auto" w:sz="4" w:space="0"/>
            </w:tcBorders>
            <w:vAlign w:val="center"/>
          </w:tcPr>
          <w:p w14:paraId="45EFA68C">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（1）除</w:t>
            </w:r>
            <w:r>
              <w:rPr>
                <w:rFonts w:hint="eastAsia" w:ascii="Times New Roman" w:hAnsi="Times New Roman" w:eastAsia="宋体" w:cs="Times New Roman"/>
                <w:bCs/>
                <w:color w:val="auto"/>
                <w:kern w:val="2"/>
                <w:lang w:eastAsia="zh-CN"/>
              </w:rPr>
              <w:t>撬装式</w:t>
            </w:r>
            <w:r>
              <w:rPr>
                <w:rFonts w:hint="eastAsia" w:ascii="Times New Roman" w:hAnsi="Times New Roman" w:eastAsia="宋体" w:cs="Times New Roman"/>
                <w:bCs/>
                <w:color w:val="auto"/>
                <w:kern w:val="2"/>
              </w:rPr>
              <w:t>加油装置所配置的防火防爆油罐外，加油站的汽油罐和柴油罐应埋地设置，严禁设在室内或地下室内。</w:t>
            </w:r>
          </w:p>
        </w:tc>
        <w:tc>
          <w:tcPr>
            <w:tcW w:w="843" w:type="dxa"/>
            <w:tcBorders>
              <w:top w:val="single" w:color="auto" w:sz="4" w:space="0"/>
              <w:left w:val="single" w:color="auto" w:sz="4" w:space="0"/>
              <w:bottom w:val="single" w:color="auto" w:sz="4" w:space="0"/>
              <w:right w:val="single" w:color="auto" w:sz="4" w:space="0"/>
            </w:tcBorders>
            <w:vAlign w:val="center"/>
          </w:tcPr>
          <w:p w14:paraId="5EC7788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04237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油罐采用埋地</w:t>
            </w:r>
          </w:p>
        </w:tc>
      </w:tr>
      <w:tr w14:paraId="6C4D6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F05E15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BEC7483">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BD4AAD2">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（2）埋地油罐是否采用双层罐，埋地油罐是否为合格产品，是否有生产厂商出具的合格证书或技术说明书等</w:t>
            </w:r>
          </w:p>
        </w:tc>
        <w:tc>
          <w:tcPr>
            <w:tcW w:w="843" w:type="dxa"/>
            <w:tcBorders>
              <w:top w:val="single" w:color="auto" w:sz="4" w:space="0"/>
              <w:left w:val="single" w:color="auto" w:sz="4" w:space="0"/>
              <w:bottom w:val="single" w:color="auto" w:sz="4" w:space="0"/>
              <w:right w:val="single" w:color="auto" w:sz="4" w:space="0"/>
            </w:tcBorders>
            <w:vAlign w:val="center"/>
          </w:tcPr>
          <w:p w14:paraId="7E72513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D9271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采用SF双层储罐</w:t>
            </w:r>
          </w:p>
        </w:tc>
      </w:tr>
      <w:tr w14:paraId="5B0D9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C90B20A">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BEB44F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DB692FE">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（3）安装在罐内的静电消除物体是否有接地，接地电阻应符合《汽车加油加气站设计与施工规范》第11.2节的有关规定。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1CE2306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DCA4E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静电消除物体已接地</w:t>
            </w:r>
          </w:p>
        </w:tc>
      </w:tr>
      <w:tr w14:paraId="31385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1AC81D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B6703D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0FFFF5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（4）双层油罐内壁与外壁之间是否有满足渗漏检测要求的贯通间隙。是否设渗漏检测装置。</w:t>
            </w:r>
          </w:p>
        </w:tc>
        <w:tc>
          <w:tcPr>
            <w:tcW w:w="843" w:type="dxa"/>
            <w:tcBorders>
              <w:top w:val="single" w:color="auto" w:sz="4" w:space="0"/>
              <w:left w:val="single" w:color="auto" w:sz="4" w:space="0"/>
              <w:bottom w:val="single" w:color="auto" w:sz="4" w:space="0"/>
              <w:right w:val="single" w:color="auto" w:sz="4" w:space="0"/>
            </w:tcBorders>
            <w:vAlign w:val="center"/>
          </w:tcPr>
          <w:p w14:paraId="2C802FCE">
            <w:pPr>
              <w:autoSpaceDN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Times New Roman"/>
                <w:bCs/>
                <w:color w:val="auto"/>
                <w:kern w:val="2"/>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AD7A44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SF双层储罐</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lang w:val="en-US" w:eastAsia="zh-CN"/>
              </w:rPr>
              <w:t>有泄漏检测仪，但未投入使用</w:t>
            </w:r>
            <w:r>
              <w:rPr>
                <w:rFonts w:hint="eastAsia" w:ascii="Times New Roman" w:hAnsi="Times New Roman" w:eastAsia="宋体" w:cs="Times New Roman"/>
                <w:bCs/>
                <w:color w:val="auto"/>
                <w:kern w:val="2"/>
              </w:rPr>
              <w:t>。</w:t>
            </w:r>
          </w:p>
        </w:tc>
      </w:tr>
      <w:tr w14:paraId="4948D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59" w:type="dxa"/>
            <w:vMerge w:val="continue"/>
            <w:tcBorders>
              <w:left w:val="single" w:color="auto" w:sz="12" w:space="0"/>
              <w:right w:val="single" w:color="auto" w:sz="4" w:space="0"/>
            </w:tcBorders>
            <w:vAlign w:val="center"/>
          </w:tcPr>
          <w:p w14:paraId="33AEB57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898A51B">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6498595">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（5）油罐底部应配置积水排除设备。</w:t>
            </w:r>
          </w:p>
        </w:tc>
        <w:tc>
          <w:tcPr>
            <w:tcW w:w="843" w:type="dxa"/>
            <w:tcBorders>
              <w:top w:val="single" w:color="auto" w:sz="4" w:space="0"/>
              <w:left w:val="single" w:color="auto" w:sz="4" w:space="0"/>
              <w:bottom w:val="single" w:color="auto" w:sz="4" w:space="0"/>
              <w:right w:val="single" w:color="auto" w:sz="4" w:space="0"/>
            </w:tcBorders>
            <w:vAlign w:val="center"/>
          </w:tcPr>
          <w:p w14:paraId="3D22170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A1FF7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有积水排出设施</w:t>
            </w:r>
          </w:p>
        </w:tc>
      </w:tr>
      <w:tr w14:paraId="58654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554F0B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32FFE3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78BB796">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（6）油罐的人孔，应设操作井</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油罐操作井口应有防雨盖板</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储罐人孔、量油孔、卸油快速接头、管线法兰等处应密封良好，不得造成水汽侵入。</w:t>
            </w:r>
          </w:p>
        </w:tc>
        <w:tc>
          <w:tcPr>
            <w:tcW w:w="843" w:type="dxa"/>
            <w:tcBorders>
              <w:top w:val="single" w:color="auto" w:sz="4" w:space="0"/>
              <w:left w:val="single" w:color="auto" w:sz="4" w:space="0"/>
              <w:bottom w:val="single" w:color="auto" w:sz="4" w:space="0"/>
              <w:right w:val="single" w:color="auto" w:sz="4" w:space="0"/>
            </w:tcBorders>
            <w:vAlign w:val="center"/>
          </w:tcPr>
          <w:p w14:paraId="00118AA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C726B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油罐有操作井</w:t>
            </w:r>
          </w:p>
        </w:tc>
      </w:tr>
      <w:tr w14:paraId="62754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2194F6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0170E5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BCF4D6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（7）加油机不得设置在室内。</w:t>
            </w:r>
          </w:p>
        </w:tc>
        <w:tc>
          <w:tcPr>
            <w:tcW w:w="843" w:type="dxa"/>
            <w:tcBorders>
              <w:top w:val="single" w:color="auto" w:sz="4" w:space="0"/>
              <w:left w:val="single" w:color="auto" w:sz="4" w:space="0"/>
              <w:bottom w:val="single" w:color="auto" w:sz="4" w:space="0"/>
              <w:right w:val="single" w:color="auto" w:sz="4" w:space="0"/>
            </w:tcBorders>
            <w:vAlign w:val="center"/>
          </w:tcPr>
          <w:p w14:paraId="7187815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D706D7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加油机位于站房外</w:t>
            </w:r>
          </w:p>
        </w:tc>
      </w:tr>
      <w:tr w14:paraId="01E47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DF011C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3DF876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AF9291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（8）以潜油泵供油的加油机</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其底部的供油管道上应设剪切阀。</w:t>
            </w:r>
          </w:p>
        </w:tc>
        <w:tc>
          <w:tcPr>
            <w:tcW w:w="843" w:type="dxa"/>
            <w:tcBorders>
              <w:top w:val="single" w:color="auto" w:sz="4" w:space="0"/>
              <w:left w:val="single" w:color="auto" w:sz="4" w:space="0"/>
              <w:bottom w:val="single" w:color="auto" w:sz="4" w:space="0"/>
              <w:right w:val="single" w:color="auto" w:sz="4" w:space="0"/>
            </w:tcBorders>
            <w:vAlign w:val="center"/>
          </w:tcPr>
          <w:p w14:paraId="4870288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78C9F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供油管道上有剪切阀</w:t>
            </w:r>
          </w:p>
        </w:tc>
      </w:tr>
      <w:tr w14:paraId="6CE50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03958A7">
            <w:pPr>
              <w:autoSpaceDE w:val="0"/>
              <w:spacing w:line="260" w:lineRule="exact"/>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CCA1D9C">
            <w:pPr>
              <w:autoSpaceDE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E65F90F">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（9）加油枪应采用自封式加油枪，汽油加油枪的流量不应大于50L/min。</w:t>
            </w:r>
          </w:p>
        </w:tc>
        <w:tc>
          <w:tcPr>
            <w:tcW w:w="843" w:type="dxa"/>
            <w:tcBorders>
              <w:top w:val="single" w:color="auto" w:sz="4" w:space="0"/>
              <w:left w:val="single" w:color="auto" w:sz="4" w:space="0"/>
              <w:bottom w:val="single" w:color="auto" w:sz="4" w:space="0"/>
              <w:right w:val="single" w:color="auto" w:sz="4" w:space="0"/>
            </w:tcBorders>
            <w:vAlign w:val="center"/>
          </w:tcPr>
          <w:p w14:paraId="6463BC2F">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98E19D5">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加油枪流量5-50 L/min</w:t>
            </w:r>
          </w:p>
        </w:tc>
      </w:tr>
      <w:tr w14:paraId="0E6D2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15536AE">
            <w:pPr>
              <w:autoSpaceDE w:val="0"/>
              <w:spacing w:line="260" w:lineRule="exact"/>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634D6AF">
            <w:pPr>
              <w:autoSpaceDE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71EB38E">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（10）加油软管上宜设安全拉断阀。</w:t>
            </w:r>
          </w:p>
        </w:tc>
        <w:tc>
          <w:tcPr>
            <w:tcW w:w="843" w:type="dxa"/>
            <w:tcBorders>
              <w:top w:val="single" w:color="auto" w:sz="4" w:space="0"/>
              <w:left w:val="single" w:color="auto" w:sz="4" w:space="0"/>
              <w:bottom w:val="single" w:color="auto" w:sz="4" w:space="0"/>
              <w:right w:val="single" w:color="auto" w:sz="4" w:space="0"/>
            </w:tcBorders>
            <w:vAlign w:val="center"/>
          </w:tcPr>
          <w:p w14:paraId="6E0B1C6A">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612B175">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加油软管有拉断阀</w:t>
            </w:r>
          </w:p>
        </w:tc>
      </w:tr>
      <w:tr w14:paraId="53201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112CD5E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C6FAD5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D2FFAA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（11）油罐车卸油须采用密闭卸油方式。各油罐应各自设置卸油管道和卸油口。各卸油口应有明显标识。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1CE9D5F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 否</w:t>
            </w:r>
            <w:r>
              <w:rPr>
                <w:rFonts w:hint="eastAsia" w:ascii="Times New Roman" w:hAnsi="Times New Roman" w:eastAsia="宋体" w:cs="Segoe UI Symbol"/>
                <w:bCs/>
                <w:color w:val="auto"/>
                <w:kern w:val="2"/>
              </w:rPr>
              <w:t>□</w:t>
            </w:r>
          </w:p>
        </w:tc>
        <w:tc>
          <w:tcPr>
            <w:tcW w:w="1700" w:type="dxa"/>
            <w:tcBorders>
              <w:top w:val="single" w:color="auto" w:sz="4" w:space="0"/>
              <w:left w:val="single" w:color="auto" w:sz="4" w:space="0"/>
              <w:bottom w:val="single" w:color="auto" w:sz="4" w:space="0"/>
              <w:right w:val="single" w:color="auto" w:sz="12" w:space="0"/>
            </w:tcBorders>
            <w:vAlign w:val="center"/>
          </w:tcPr>
          <w:p w14:paraId="2D11F40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采用密闭卸油，卸油口设有油品标识。</w:t>
            </w:r>
          </w:p>
        </w:tc>
      </w:tr>
      <w:tr w14:paraId="034B3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B04FDB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B6783D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072931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（12）汽油油罐车应具有卸油油气回收系统。</w:t>
            </w:r>
          </w:p>
        </w:tc>
        <w:tc>
          <w:tcPr>
            <w:tcW w:w="843" w:type="dxa"/>
            <w:tcBorders>
              <w:top w:val="single" w:color="auto" w:sz="4" w:space="0"/>
              <w:left w:val="single" w:color="auto" w:sz="4" w:space="0"/>
              <w:bottom w:val="single" w:color="auto" w:sz="4" w:space="0"/>
              <w:right w:val="single" w:color="auto" w:sz="4" w:space="0"/>
            </w:tcBorders>
            <w:vAlign w:val="center"/>
          </w:tcPr>
          <w:p w14:paraId="4BE313C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47F44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有油气回收系统</w:t>
            </w:r>
          </w:p>
        </w:tc>
      </w:tr>
      <w:tr w14:paraId="174DC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A44653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9E1A56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1A0865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（13）卸油接口应装快速接头及密封盖。</w:t>
            </w:r>
          </w:p>
        </w:tc>
        <w:tc>
          <w:tcPr>
            <w:tcW w:w="843" w:type="dxa"/>
            <w:tcBorders>
              <w:top w:val="single" w:color="auto" w:sz="4" w:space="0"/>
              <w:left w:val="single" w:color="auto" w:sz="4" w:space="0"/>
              <w:bottom w:val="single" w:color="auto" w:sz="4" w:space="0"/>
              <w:right w:val="single" w:color="auto" w:sz="4" w:space="0"/>
            </w:tcBorders>
            <w:vAlign w:val="center"/>
          </w:tcPr>
          <w:p w14:paraId="543D4EB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A9606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卸油口有快速接头及密封盖</w:t>
            </w:r>
          </w:p>
        </w:tc>
      </w:tr>
      <w:tr w14:paraId="3020CF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A019FBB">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1B14E4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9A7D5BF">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 （14）油罐卸油是否采取防满溢措施，是否设置液位超高报警、高高联锁装置。油料达到油罐容量的90%时，应能触动高液位报警装置；油料达到油罐容量的95%时，应能自动停止油料继续进罐。高液位报警装置应位于工作人员便于觉察的地点。</w:t>
            </w:r>
          </w:p>
        </w:tc>
        <w:tc>
          <w:tcPr>
            <w:tcW w:w="843" w:type="dxa"/>
            <w:tcBorders>
              <w:top w:val="single" w:color="auto" w:sz="4" w:space="0"/>
              <w:left w:val="single" w:color="auto" w:sz="4" w:space="0"/>
              <w:bottom w:val="single" w:color="auto" w:sz="4" w:space="0"/>
              <w:right w:val="single" w:color="auto" w:sz="4" w:space="0"/>
            </w:tcBorders>
            <w:vAlign w:val="center"/>
          </w:tcPr>
          <w:p w14:paraId="13EC642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2D8D3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有油罐液位监测和报警装置</w:t>
            </w:r>
          </w:p>
        </w:tc>
      </w:tr>
      <w:tr w14:paraId="6F7D2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7AB78B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05CF12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789C5EC">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（15）汽油罐与柴油罐的通气管</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应分开设置，管口应高出地面4m及以上。</w:t>
            </w:r>
          </w:p>
        </w:tc>
        <w:tc>
          <w:tcPr>
            <w:tcW w:w="843" w:type="dxa"/>
            <w:tcBorders>
              <w:top w:val="single" w:color="auto" w:sz="4" w:space="0"/>
              <w:left w:val="single" w:color="auto" w:sz="4" w:space="0"/>
              <w:bottom w:val="single" w:color="auto" w:sz="4" w:space="0"/>
              <w:right w:val="single" w:color="auto" w:sz="4" w:space="0"/>
            </w:tcBorders>
            <w:vAlign w:val="center"/>
          </w:tcPr>
          <w:p w14:paraId="2354B67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697D1A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柴油、汽油罐通气管分开设置</w:t>
            </w:r>
          </w:p>
        </w:tc>
      </w:tr>
      <w:tr w14:paraId="07179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E74787E">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834BB3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C25F0FB">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（16）通气管的公称直径不应小于50mm；通气管管口应安装阻火器。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7F35552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76B78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通气管直径50mm</w:t>
            </w:r>
          </w:p>
        </w:tc>
      </w:tr>
      <w:tr w14:paraId="6F301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A91733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80169C0">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CBA3C88">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（17）加油站应采用加油油气回收系统。当加油站采用油气回收系统时，汽油罐的通气管管口除应装设阻火器外，尚应装设呼吸阀。呼吸阀的工作正压宜为2kPa～3kPa，工作负压宜为1.5kPa~2kPa。</w:t>
            </w:r>
          </w:p>
        </w:tc>
        <w:tc>
          <w:tcPr>
            <w:tcW w:w="843" w:type="dxa"/>
            <w:tcBorders>
              <w:top w:val="single" w:color="auto" w:sz="4" w:space="0"/>
              <w:left w:val="single" w:color="auto" w:sz="4" w:space="0"/>
              <w:bottom w:val="single" w:color="auto" w:sz="4" w:space="0"/>
              <w:right w:val="single" w:color="auto" w:sz="4" w:space="0"/>
            </w:tcBorders>
            <w:vAlign w:val="center"/>
          </w:tcPr>
          <w:p w14:paraId="027DE6A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7676BE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通气管装设有阻火器，汽油通气管还设置呼吸阀</w:t>
            </w:r>
          </w:p>
        </w:tc>
      </w:tr>
      <w:tr w14:paraId="4E6DD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936A288">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96EE0DC">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D7E12A3">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（18）加油站内的工艺管道除必须露出地面的以外，均应埋地敷设。当采用管沟敷设时，管沟必须用中性沙子或细土填满，填实。</w:t>
            </w:r>
          </w:p>
        </w:tc>
        <w:tc>
          <w:tcPr>
            <w:tcW w:w="843" w:type="dxa"/>
            <w:tcBorders>
              <w:top w:val="single" w:color="auto" w:sz="4" w:space="0"/>
              <w:left w:val="single" w:color="auto" w:sz="4" w:space="0"/>
              <w:bottom w:val="single" w:color="auto" w:sz="4" w:space="0"/>
              <w:right w:val="single" w:color="auto" w:sz="4" w:space="0"/>
            </w:tcBorders>
            <w:vAlign w:val="center"/>
          </w:tcPr>
          <w:p w14:paraId="27D7D23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CD01C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采用埋地敷设</w:t>
            </w:r>
          </w:p>
        </w:tc>
      </w:tr>
      <w:tr w14:paraId="230DF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59FB68B">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B97D96C">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C449652">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（19）工艺管道不应穿过或跨越站房等与其无直接关系的建（构）筑物；与管沟、电缆沟和排水沟相交叉时，应采取相应的防护措施。</w:t>
            </w:r>
          </w:p>
        </w:tc>
        <w:tc>
          <w:tcPr>
            <w:tcW w:w="843" w:type="dxa"/>
            <w:tcBorders>
              <w:top w:val="single" w:color="auto" w:sz="4" w:space="0"/>
              <w:left w:val="single" w:color="auto" w:sz="4" w:space="0"/>
              <w:bottom w:val="single" w:color="auto" w:sz="4" w:space="0"/>
              <w:right w:val="single" w:color="auto" w:sz="4" w:space="0"/>
            </w:tcBorders>
            <w:vAlign w:val="center"/>
          </w:tcPr>
          <w:p w14:paraId="40456B1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C5C6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未穿过无关建构筑物</w:t>
            </w:r>
          </w:p>
        </w:tc>
      </w:tr>
      <w:tr w14:paraId="5FD0D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4235329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6C4A3746">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8391808">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（20）</w:t>
            </w:r>
            <w:r>
              <w:rPr>
                <w:rFonts w:hint="eastAsia" w:ascii="Times New Roman" w:hAnsi="Times New Roman" w:eastAsia="宋体" w:cs="Times New Roman"/>
                <w:bCs/>
                <w:color w:val="auto"/>
                <w:kern w:val="2"/>
                <w:lang w:eastAsia="zh-CN"/>
              </w:rPr>
              <w:t>撬装式</w:t>
            </w:r>
            <w:r>
              <w:rPr>
                <w:rFonts w:hint="eastAsia" w:ascii="Times New Roman" w:hAnsi="Times New Roman" w:eastAsia="宋体" w:cs="Times New Roman"/>
                <w:bCs/>
                <w:color w:val="auto"/>
                <w:kern w:val="2"/>
              </w:rPr>
              <w:t>加油装置不得用于企业自用、临时或特定场所之外的场所，并应单独建站。采用橇装式加油装置的加油站，其设计与安装应符合现行行业标准《采用橇装式加油装置的汽车加油站技术规范》SH/T3134和《汽车加油加气站设计与施工规范》第6.4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7D3C969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E8583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w:t>
            </w:r>
          </w:p>
        </w:tc>
      </w:tr>
      <w:tr w14:paraId="76CC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40E38D4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w:t>
            </w:r>
          </w:p>
        </w:tc>
        <w:tc>
          <w:tcPr>
            <w:tcW w:w="756" w:type="dxa"/>
            <w:vMerge w:val="restart"/>
            <w:tcBorders>
              <w:top w:val="single" w:color="auto" w:sz="4" w:space="0"/>
              <w:left w:val="single" w:color="auto" w:sz="4" w:space="0"/>
              <w:right w:val="single" w:color="auto" w:sz="4" w:space="0"/>
            </w:tcBorders>
            <w:vAlign w:val="center"/>
          </w:tcPr>
          <w:p w14:paraId="5529889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电气安全</w:t>
            </w:r>
          </w:p>
        </w:tc>
        <w:tc>
          <w:tcPr>
            <w:tcW w:w="5189" w:type="dxa"/>
            <w:tcBorders>
              <w:top w:val="single" w:color="auto" w:sz="4" w:space="0"/>
              <w:left w:val="single" w:color="auto" w:sz="4" w:space="0"/>
              <w:bottom w:val="single" w:color="auto" w:sz="4" w:space="0"/>
              <w:right w:val="single" w:color="auto" w:sz="4" w:space="0"/>
            </w:tcBorders>
            <w:vAlign w:val="center"/>
          </w:tcPr>
          <w:p w14:paraId="17785F3D">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spacing w:val="-11"/>
                <w:kern w:val="2"/>
              </w:rPr>
              <w:t>（1）加油站的消防泵房、罩棚、营业室、LPG泵房、压缩机间等处均应设应急照明，连续供电时间不应少于90min。</w:t>
            </w:r>
          </w:p>
        </w:tc>
        <w:tc>
          <w:tcPr>
            <w:tcW w:w="843" w:type="dxa"/>
            <w:tcBorders>
              <w:top w:val="single" w:color="auto" w:sz="4" w:space="0"/>
              <w:left w:val="single" w:color="auto" w:sz="4" w:space="0"/>
              <w:bottom w:val="single" w:color="auto" w:sz="4" w:space="0"/>
              <w:right w:val="single" w:color="auto" w:sz="4" w:space="0"/>
            </w:tcBorders>
            <w:vAlign w:val="center"/>
          </w:tcPr>
          <w:p w14:paraId="7735E490">
            <w:pPr>
              <w:autoSpaceDN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Times New Roman"/>
                <w:bCs/>
                <w:color w:val="auto"/>
                <w:kern w:val="2"/>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598CDE7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lang w:val="en-US" w:eastAsia="zh-CN"/>
              </w:rPr>
              <w:t>配电间应急照明灯损坏。其他地点</w:t>
            </w:r>
            <w:r>
              <w:rPr>
                <w:rFonts w:hint="eastAsia" w:ascii="Times New Roman" w:hAnsi="Times New Roman" w:eastAsia="宋体" w:cs="Times New Roman"/>
                <w:bCs/>
                <w:color w:val="auto"/>
                <w:kern w:val="2"/>
              </w:rPr>
              <w:t>按要求设置应急照明</w:t>
            </w:r>
          </w:p>
        </w:tc>
      </w:tr>
      <w:tr w14:paraId="0AACAE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69D2C4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4B633C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9D1F0E3">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w:t>
            </w:r>
            <w:r>
              <w:rPr>
                <w:rFonts w:hint="eastAsia" w:ascii="Times New Roman" w:hAnsi="Times New Roman" w:eastAsia="宋体" w:cs="Times New Roman"/>
                <w:bCs/>
                <w:color w:val="auto"/>
                <w:spacing w:val="-2"/>
                <w:kern w:val="2"/>
              </w:rPr>
              <w:t>用外电源有困难时，加油站可设置小型内燃发电机组，内燃机的排烟管口</w:t>
            </w:r>
            <w:r>
              <w:rPr>
                <w:rFonts w:hint="eastAsia" w:ascii="Times New Roman" w:hAnsi="Times New Roman" w:eastAsia="宋体" w:cs="Times New Roman"/>
                <w:bCs/>
                <w:color w:val="auto"/>
                <w:spacing w:val="-2"/>
                <w:kern w:val="2"/>
                <w:lang w:eastAsia="zh-CN"/>
              </w:rPr>
              <w:t>，</w:t>
            </w:r>
            <w:r>
              <w:rPr>
                <w:rFonts w:hint="eastAsia" w:ascii="Times New Roman" w:hAnsi="Times New Roman" w:eastAsia="宋体" w:cs="Times New Roman"/>
                <w:bCs/>
                <w:color w:val="auto"/>
                <w:spacing w:val="-2"/>
                <w:kern w:val="2"/>
              </w:rPr>
              <w:t>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42CC0FCB">
            <w:pPr>
              <w:autoSpaceDN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Times New Roman"/>
                <w:bCs/>
                <w:color w:val="auto"/>
                <w:kern w:val="2"/>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62093E60">
            <w:pPr>
              <w:autoSpaceDN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Calibri"/>
                <w:bCs w:val="0"/>
                <w:color w:val="auto"/>
                <w:kern w:val="2"/>
                <w:lang w:val="en-US" w:eastAsia="zh-CN"/>
              </w:rPr>
              <w:t>引用外电源便利，未设置小型内燃发电机组</w:t>
            </w:r>
          </w:p>
        </w:tc>
      </w:tr>
      <w:tr w14:paraId="12B29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468B8F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BF76BAB">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6C67E51">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（3）内燃机的排烟口高出地面4.5m以下时</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排烟管口到各爆炸危险区域边界的水平距离不应小于5m；排烟口高出地面4.5m及以上时不应小于3m。</w:t>
            </w:r>
          </w:p>
        </w:tc>
        <w:tc>
          <w:tcPr>
            <w:tcW w:w="843" w:type="dxa"/>
            <w:tcBorders>
              <w:top w:val="single" w:color="auto" w:sz="4" w:space="0"/>
              <w:left w:val="single" w:color="auto" w:sz="4" w:space="0"/>
              <w:bottom w:val="single" w:color="auto" w:sz="4" w:space="0"/>
              <w:right w:val="single" w:color="auto" w:sz="4" w:space="0"/>
            </w:tcBorders>
          </w:tcPr>
          <w:p w14:paraId="5B2E7F1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39BCF4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w:t>
            </w:r>
          </w:p>
        </w:tc>
      </w:tr>
      <w:tr w14:paraId="66259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D8A710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A70768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1928DE3">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（4）汽油罐车卸车场地，应设罐车卸车时用的防静电接地装置。</w:t>
            </w:r>
          </w:p>
        </w:tc>
        <w:tc>
          <w:tcPr>
            <w:tcW w:w="843" w:type="dxa"/>
            <w:tcBorders>
              <w:top w:val="single" w:color="auto" w:sz="4" w:space="0"/>
              <w:left w:val="single" w:color="auto" w:sz="4" w:space="0"/>
              <w:bottom w:val="single" w:color="auto" w:sz="4" w:space="0"/>
              <w:right w:val="single" w:color="auto" w:sz="4" w:space="0"/>
            </w:tcBorders>
          </w:tcPr>
          <w:p w14:paraId="640D147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542C4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卸车区有静电夹</w:t>
            </w:r>
          </w:p>
        </w:tc>
      </w:tr>
      <w:tr w14:paraId="3C607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96C7D32">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7FA5822">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9A6103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（5）在爆炸危险区域工艺管道上的法兰、胶管两端等连接处，应用金属线跨接。当法兰的连接螺栓不少于5根时，在非腐蚀环境下可不跨接。</w:t>
            </w:r>
          </w:p>
        </w:tc>
        <w:tc>
          <w:tcPr>
            <w:tcW w:w="843" w:type="dxa"/>
            <w:tcBorders>
              <w:top w:val="single" w:color="auto" w:sz="4" w:space="0"/>
              <w:left w:val="single" w:color="auto" w:sz="4" w:space="0"/>
              <w:bottom w:val="single" w:color="auto" w:sz="4" w:space="0"/>
              <w:right w:val="single" w:color="auto" w:sz="4" w:space="0"/>
            </w:tcBorders>
            <w:vAlign w:val="center"/>
          </w:tcPr>
          <w:p w14:paraId="0B39BC5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49CA5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卸油口管道法兰有静电跨接线</w:t>
            </w:r>
          </w:p>
        </w:tc>
      </w:tr>
      <w:tr w14:paraId="5A9C8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3100A78">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AD1C223">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6AA829C">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（6）爆炸危险区域内的电气设备选型、安装、电力线路敷设应符合现行国家标准《爆炸危险环境电力装置设计规范》GB50058的有关规定。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6FEA552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DC13CF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符合</w:t>
            </w:r>
          </w:p>
        </w:tc>
      </w:tr>
      <w:tr w14:paraId="042DD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983A13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453F133">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FF98C5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（7）加油站内爆炸危险区域以外的照明灯具可选用非防爆型。罩棚下处于非爆炸危险区域的灯具应选用防护等级不低于IP44级的照明灯具。</w:t>
            </w:r>
          </w:p>
        </w:tc>
        <w:tc>
          <w:tcPr>
            <w:tcW w:w="843" w:type="dxa"/>
            <w:tcBorders>
              <w:top w:val="single" w:color="auto" w:sz="4" w:space="0"/>
              <w:left w:val="single" w:color="auto" w:sz="4" w:space="0"/>
              <w:bottom w:val="single" w:color="auto" w:sz="4" w:space="0"/>
              <w:right w:val="single" w:color="auto" w:sz="4" w:space="0"/>
            </w:tcBorders>
            <w:vAlign w:val="center"/>
          </w:tcPr>
          <w:p w14:paraId="11D916E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B7776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按要求选用灯具</w:t>
            </w:r>
          </w:p>
        </w:tc>
      </w:tr>
      <w:tr w14:paraId="09146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E545F3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6C3CBA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2513D7D">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（8）当采用电缆沟敷设电缆时，加油作业区内的电缆沟内必须充沙填实，电缆不得与油品管道及热力管道敷设在同一沟内。</w:t>
            </w:r>
          </w:p>
        </w:tc>
        <w:tc>
          <w:tcPr>
            <w:tcW w:w="843" w:type="dxa"/>
            <w:tcBorders>
              <w:top w:val="single" w:color="auto" w:sz="4" w:space="0"/>
              <w:left w:val="single" w:color="auto" w:sz="4" w:space="0"/>
              <w:bottom w:val="single" w:color="auto" w:sz="4" w:space="0"/>
              <w:right w:val="single" w:color="auto" w:sz="4" w:space="0"/>
            </w:tcBorders>
            <w:vAlign w:val="center"/>
          </w:tcPr>
          <w:p w14:paraId="4043307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313064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电缆沟填充沙子</w:t>
            </w:r>
          </w:p>
        </w:tc>
      </w:tr>
      <w:tr w14:paraId="79746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682803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3060C656">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DC4242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（9）钢制油罐必须进行防雷接地，接地点不应少于两处。</w:t>
            </w:r>
          </w:p>
        </w:tc>
        <w:tc>
          <w:tcPr>
            <w:tcW w:w="843" w:type="dxa"/>
            <w:tcBorders>
              <w:top w:val="single" w:color="auto" w:sz="4" w:space="0"/>
              <w:left w:val="single" w:color="auto" w:sz="4" w:space="0"/>
              <w:bottom w:val="single" w:color="auto" w:sz="4" w:space="0"/>
              <w:right w:val="single" w:color="auto" w:sz="4" w:space="0"/>
            </w:tcBorders>
            <w:vAlign w:val="center"/>
          </w:tcPr>
          <w:p w14:paraId="6A4A235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61A987">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油罐有防雷接地</w:t>
            </w:r>
          </w:p>
        </w:tc>
      </w:tr>
      <w:tr w14:paraId="4A6A6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0ACAC6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450B23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BC3E787">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（10）加油站的防雷接地、防静电接地、电气设备的工作接地、保护接地及信息系统的接地等宜共用接地装置，接地电阻不应大于4Ω。</w:t>
            </w:r>
          </w:p>
        </w:tc>
        <w:tc>
          <w:tcPr>
            <w:tcW w:w="843" w:type="dxa"/>
            <w:tcBorders>
              <w:top w:val="single" w:color="auto" w:sz="4" w:space="0"/>
              <w:left w:val="single" w:color="auto" w:sz="4" w:space="0"/>
              <w:bottom w:val="single" w:color="auto" w:sz="4" w:space="0"/>
              <w:right w:val="single" w:color="auto" w:sz="4" w:space="0"/>
            </w:tcBorders>
            <w:vAlign w:val="center"/>
          </w:tcPr>
          <w:p w14:paraId="2F4E0F5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0F97EC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有防雷检测报告，符合</w:t>
            </w:r>
          </w:p>
        </w:tc>
      </w:tr>
      <w:tr w14:paraId="5BED0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462DE23">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9EDF70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80B4602">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（11）埋地钢制油罐的金属部件和罐内的各金属部件，必须与非埋地部分的工艺金属管道相互做电气连接并接地。</w:t>
            </w:r>
          </w:p>
        </w:tc>
        <w:tc>
          <w:tcPr>
            <w:tcW w:w="843" w:type="dxa"/>
            <w:tcBorders>
              <w:top w:val="single" w:color="auto" w:sz="4" w:space="0"/>
              <w:left w:val="single" w:color="auto" w:sz="4" w:space="0"/>
              <w:bottom w:val="single" w:color="auto" w:sz="4" w:space="0"/>
              <w:right w:val="single" w:color="auto" w:sz="4" w:space="0"/>
            </w:tcBorders>
            <w:vAlign w:val="center"/>
          </w:tcPr>
          <w:p w14:paraId="7639DB1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C174C1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均可靠接地</w:t>
            </w:r>
          </w:p>
        </w:tc>
      </w:tr>
      <w:tr w14:paraId="6111F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4BE5AB0">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32467F5">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FFBCA9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（12）当加油站内的站房和罩棚等建筑物需要防直击雷时，应采用接闪带（网）保护。当罩棚采用金属屋面时，宜利用屋面作为接闪器，但应符合下列规定：</w:t>
            </w:r>
          </w:p>
          <w:p w14:paraId="13EB47C8">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1.板间的连接应是持久的电气贯通，可采用铜锌合金焊、熔焊、卷边压接、缝接、螺钉或螺栓连接；</w:t>
            </w:r>
          </w:p>
          <w:p w14:paraId="5C8AA670">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2.金属板下面不应有易燃物品，热镀锌钢板的厚度不应小于0.5mm，铝板的厚度不应小于0.65mm，锌板的厚度不应小于0.7mm；3.金属板应无绝缘被覆层。</w:t>
            </w:r>
          </w:p>
        </w:tc>
        <w:tc>
          <w:tcPr>
            <w:tcW w:w="843" w:type="dxa"/>
            <w:tcBorders>
              <w:top w:val="single" w:color="auto" w:sz="4" w:space="0"/>
              <w:left w:val="single" w:color="auto" w:sz="4" w:space="0"/>
              <w:bottom w:val="single" w:color="auto" w:sz="4" w:space="0"/>
              <w:right w:val="single" w:color="auto" w:sz="4" w:space="0"/>
            </w:tcBorders>
            <w:vAlign w:val="center"/>
          </w:tcPr>
          <w:p w14:paraId="4308F89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DFF17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罩棚采用金属面作为接闪带。</w:t>
            </w:r>
          </w:p>
        </w:tc>
      </w:tr>
      <w:tr w14:paraId="5BFCC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559" w:type="dxa"/>
            <w:vMerge w:val="continue"/>
            <w:tcBorders>
              <w:left w:val="single" w:color="auto" w:sz="12" w:space="0"/>
              <w:right w:val="single" w:color="auto" w:sz="4" w:space="0"/>
            </w:tcBorders>
            <w:vAlign w:val="center"/>
          </w:tcPr>
          <w:p w14:paraId="3045F5F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91874C8">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9A65ED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spacing w:val="-6"/>
                <w:kern w:val="2"/>
              </w:rPr>
              <w:t>（13）加油站的信息系统应采用铠装电缆或导线穿钢管配线。配线电缆铠装金属层两端、保护钢管两端均应接地。该信息系统的配电线路首、末端与电子器件连接时，应装设与电子器件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09AEC97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730E78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按要求设置</w:t>
            </w:r>
          </w:p>
        </w:tc>
      </w:tr>
      <w:tr w14:paraId="7FCB6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1C89EB0">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5BE8A1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FDA2C00">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14）380/220V供配电系统宜采用TN-S系统，当外供电源为380V时，可采用TN-C-S系统。供电系统的电缆金属外皮或电缆金属保护管两端均应接地，在供配电系统的电源端应安装与设备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233D212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54AD16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设置合适的过电压保护器</w:t>
            </w:r>
          </w:p>
        </w:tc>
      </w:tr>
      <w:tr w14:paraId="48F93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2E1577C">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C8676FC">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E6C6C89">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（15）加油站应设置紧急切断系统，该系统应能在事故状态下实现紧急停车和关闭紧急切断阀的保护功能。</w:t>
            </w:r>
          </w:p>
        </w:tc>
        <w:tc>
          <w:tcPr>
            <w:tcW w:w="843" w:type="dxa"/>
            <w:tcBorders>
              <w:top w:val="single" w:color="auto" w:sz="4" w:space="0"/>
              <w:left w:val="single" w:color="auto" w:sz="4" w:space="0"/>
              <w:bottom w:val="single" w:color="auto" w:sz="4" w:space="0"/>
              <w:right w:val="single" w:color="auto" w:sz="4" w:space="0"/>
            </w:tcBorders>
            <w:vAlign w:val="center"/>
          </w:tcPr>
          <w:p w14:paraId="419516F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 否</w:t>
            </w:r>
            <w:r>
              <w:rPr>
                <w:rFonts w:hint="eastAsia" w:ascii="Times New Roman" w:hAnsi="Times New Roman" w:eastAsia="宋体" w:cs="Segoe UI Symbol"/>
                <w:bCs/>
                <w:color w:val="auto"/>
                <w:kern w:val="2"/>
              </w:rPr>
              <w:t>□</w:t>
            </w:r>
          </w:p>
        </w:tc>
        <w:tc>
          <w:tcPr>
            <w:tcW w:w="1700" w:type="dxa"/>
            <w:tcBorders>
              <w:top w:val="single" w:color="auto" w:sz="4" w:space="0"/>
              <w:left w:val="single" w:color="auto" w:sz="4" w:space="0"/>
              <w:bottom w:val="single" w:color="auto" w:sz="4" w:space="0"/>
              <w:right w:val="single" w:color="auto" w:sz="12" w:space="0"/>
            </w:tcBorders>
            <w:vAlign w:val="center"/>
          </w:tcPr>
          <w:p w14:paraId="2B196C7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有紧急停车按钮</w:t>
            </w:r>
          </w:p>
        </w:tc>
      </w:tr>
      <w:tr w14:paraId="5607D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7E566F0">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F0F8C0B">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4F57F85">
            <w:pPr>
              <w:autoSpaceDE w:val="0"/>
              <w:spacing w:line="260" w:lineRule="exact"/>
              <w:rPr>
                <w:rFonts w:ascii="Times New Roman" w:hAnsi="Times New Roman" w:eastAsia="宋体" w:cs="Times New Roman"/>
                <w:bCs/>
                <w:color w:val="auto"/>
                <w:spacing w:val="-6"/>
                <w:kern w:val="2"/>
              </w:rPr>
            </w:pPr>
            <w:r>
              <w:rPr>
                <w:rFonts w:hint="eastAsia" w:ascii="Times New Roman" w:hAnsi="Times New Roman" w:eastAsia="宋体" w:cs="Times New Roman"/>
                <w:bCs/>
                <w:color w:val="auto"/>
                <w:spacing w:val="-6"/>
                <w:kern w:val="2"/>
              </w:rPr>
              <w:t>（16）紧急切断系统应至少在下列位置设置紧急切断开关：</w:t>
            </w:r>
          </w:p>
          <w:p w14:paraId="1BE874B9">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spacing w:val="-6"/>
                <w:kern w:val="2"/>
              </w:rPr>
              <w:t>1.在加油站现场工作人员容易接近且较为安全的位置；2.在控制室、值班室内或站房收银台等有人员值守的位置。</w:t>
            </w:r>
          </w:p>
        </w:tc>
        <w:tc>
          <w:tcPr>
            <w:tcW w:w="843" w:type="dxa"/>
            <w:tcBorders>
              <w:top w:val="single" w:color="auto" w:sz="4" w:space="0"/>
              <w:left w:val="single" w:color="auto" w:sz="4" w:space="0"/>
              <w:bottom w:val="single" w:color="auto" w:sz="4" w:space="0"/>
              <w:right w:val="single" w:color="auto" w:sz="4" w:space="0"/>
            </w:tcBorders>
            <w:vAlign w:val="center"/>
          </w:tcPr>
          <w:p w14:paraId="7731ADC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0F2CDE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站房内安装紧急切断按钮</w:t>
            </w:r>
          </w:p>
        </w:tc>
      </w:tr>
      <w:tr w14:paraId="57B81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7143643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571DE1F4">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D2D2D25">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（17）工艺设备的电源和工艺管道上的紧急切断阀</w:t>
            </w:r>
            <w:r>
              <w:rPr>
                <w:rFonts w:hint="eastAsia" w:ascii="Times New Roman" w:hAnsi="Times New Roman" w:eastAsia="宋体" w:cs="Times New Roman"/>
                <w:bCs/>
                <w:color w:val="auto"/>
                <w:kern w:val="2"/>
                <w:lang w:eastAsia="zh-CN"/>
              </w:rPr>
              <w:t>应</w:t>
            </w:r>
            <w:r>
              <w:rPr>
                <w:rFonts w:hint="eastAsia" w:ascii="Times New Roman" w:hAnsi="Times New Roman" w:eastAsia="宋体" w:cs="Times New Roman"/>
                <w:bCs/>
                <w:color w:val="auto"/>
                <w:kern w:val="2"/>
              </w:rPr>
              <w:t>由手动启动的远程控制切断系统操纵关闭。</w:t>
            </w:r>
          </w:p>
        </w:tc>
        <w:tc>
          <w:tcPr>
            <w:tcW w:w="843" w:type="dxa"/>
            <w:tcBorders>
              <w:top w:val="single" w:color="auto" w:sz="4" w:space="0"/>
              <w:left w:val="single" w:color="auto" w:sz="4" w:space="0"/>
              <w:bottom w:val="single" w:color="auto" w:sz="4" w:space="0"/>
              <w:right w:val="single" w:color="auto" w:sz="4" w:space="0"/>
            </w:tcBorders>
            <w:vAlign w:val="center"/>
          </w:tcPr>
          <w:p w14:paraId="38F24C8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1A502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可以由手动启动</w:t>
            </w:r>
          </w:p>
        </w:tc>
      </w:tr>
      <w:tr w14:paraId="17FEA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754A9BC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w:t>
            </w:r>
          </w:p>
        </w:tc>
        <w:tc>
          <w:tcPr>
            <w:tcW w:w="756" w:type="dxa"/>
            <w:vMerge w:val="restart"/>
            <w:tcBorders>
              <w:top w:val="single" w:color="auto" w:sz="4" w:space="0"/>
              <w:left w:val="single" w:color="auto" w:sz="4" w:space="0"/>
              <w:right w:val="single" w:color="auto" w:sz="4" w:space="0"/>
            </w:tcBorders>
            <w:vAlign w:val="center"/>
          </w:tcPr>
          <w:p w14:paraId="58E7782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消防设施</w:t>
            </w:r>
          </w:p>
        </w:tc>
        <w:tc>
          <w:tcPr>
            <w:tcW w:w="5189" w:type="dxa"/>
            <w:tcBorders>
              <w:top w:val="single" w:color="auto" w:sz="4" w:space="0"/>
              <w:left w:val="single" w:color="auto" w:sz="4" w:space="0"/>
              <w:bottom w:val="single" w:color="auto" w:sz="4" w:space="0"/>
              <w:right w:val="single" w:color="auto" w:sz="4" w:space="0"/>
            </w:tcBorders>
            <w:vAlign w:val="center"/>
          </w:tcPr>
          <w:p w14:paraId="564BBFA4">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（1）加油站每2台加油机设置不少于2只4kg手提式干粉灭火器或1只4kg手提式干粉灭火器和1只6L泡沫灭火器。加油机不足2台按2台计算。</w:t>
            </w:r>
          </w:p>
        </w:tc>
        <w:tc>
          <w:tcPr>
            <w:tcW w:w="843" w:type="dxa"/>
            <w:tcBorders>
              <w:top w:val="single" w:color="auto" w:sz="4" w:space="0"/>
              <w:left w:val="single" w:color="auto" w:sz="4" w:space="0"/>
              <w:bottom w:val="single" w:color="auto" w:sz="4" w:space="0"/>
              <w:right w:val="single" w:color="auto" w:sz="4" w:space="0"/>
            </w:tcBorders>
            <w:vAlign w:val="center"/>
          </w:tcPr>
          <w:p w14:paraId="1A44C9E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D20580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按要求设置</w:t>
            </w:r>
          </w:p>
        </w:tc>
      </w:tr>
      <w:tr w14:paraId="33769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A38F7EB">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6C26BAD">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9BF7FDA">
            <w:pPr>
              <w:autoSpaceDN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（2）地下储罐应设不小于35kg推车式干粉灭火器1个。当两种介质储罐之间的距离超过15m时</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应分别设置。</w:t>
            </w:r>
          </w:p>
        </w:tc>
        <w:tc>
          <w:tcPr>
            <w:tcW w:w="843" w:type="dxa"/>
            <w:tcBorders>
              <w:top w:val="single" w:color="auto" w:sz="4" w:space="0"/>
              <w:left w:val="single" w:color="auto" w:sz="4" w:space="0"/>
              <w:bottom w:val="single" w:color="auto" w:sz="4" w:space="0"/>
              <w:right w:val="single" w:color="auto" w:sz="4" w:space="0"/>
            </w:tcBorders>
            <w:vAlign w:val="center"/>
          </w:tcPr>
          <w:p w14:paraId="653FA5C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2A4CD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按要求设置</w:t>
            </w:r>
          </w:p>
        </w:tc>
      </w:tr>
      <w:tr w14:paraId="407B6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3B00E9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7475C29">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5B41C48">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（3）一、</w:t>
            </w:r>
            <w:r>
              <w:rPr>
                <w:rFonts w:hint="eastAsia" w:ascii="Times New Roman" w:hAnsi="Times New Roman" w:eastAsia="宋体" w:cs="Times New Roman"/>
                <w:bCs/>
                <w:color w:val="auto"/>
                <w:kern w:val="2"/>
                <w:lang w:eastAsia="zh-CN"/>
              </w:rPr>
              <w:t>三级加油站</w:t>
            </w:r>
            <w:r>
              <w:rPr>
                <w:rFonts w:hint="eastAsia" w:ascii="Times New Roman" w:hAnsi="Times New Roman" w:eastAsia="宋体" w:cs="Times New Roman"/>
                <w:bCs/>
                <w:color w:val="auto"/>
                <w:kern w:val="2"/>
              </w:rPr>
              <w:t>应配置灭火毯5块，沙子2m</w:t>
            </w:r>
            <w:r>
              <w:rPr>
                <w:rFonts w:hint="eastAsia" w:ascii="Times New Roman" w:hAnsi="Times New Roman" w:eastAsia="宋体" w:cs="Times New Roman"/>
                <w:bCs/>
                <w:color w:val="auto"/>
                <w:kern w:val="2"/>
                <w:vertAlign w:val="superscript"/>
              </w:rPr>
              <w:t>3</w:t>
            </w:r>
            <w:r>
              <w:rPr>
                <w:rFonts w:hint="eastAsia" w:ascii="Times New Roman" w:hAnsi="Times New Roman" w:eastAsia="宋体" w:cs="Times New Roman"/>
                <w:bCs/>
                <w:color w:val="auto"/>
                <w:kern w:val="2"/>
              </w:rPr>
              <w:t>。三级加油站应配置灭火毯不少于2块</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沙子2m</w:t>
            </w:r>
            <w:r>
              <w:rPr>
                <w:rFonts w:hint="eastAsia" w:ascii="Times New Roman" w:hAnsi="Times New Roman" w:eastAsia="宋体" w:cs="Times New Roman"/>
                <w:bCs/>
                <w:color w:val="auto"/>
                <w:kern w:val="2"/>
                <w:vertAlign w:val="superscript"/>
              </w:rPr>
              <w:t>3</w:t>
            </w:r>
            <w:r>
              <w:rPr>
                <w:rFonts w:hint="eastAsia" w:ascii="Times New Roman" w:hAnsi="Times New Roman" w:eastAsia="宋体" w:cs="Times New Roman"/>
                <w:bCs/>
                <w:color w:val="auto"/>
                <w:kern w:val="2"/>
              </w:rPr>
              <w:t>。</w:t>
            </w:r>
          </w:p>
        </w:tc>
        <w:tc>
          <w:tcPr>
            <w:tcW w:w="843" w:type="dxa"/>
            <w:tcBorders>
              <w:top w:val="single" w:color="auto" w:sz="4" w:space="0"/>
              <w:left w:val="single" w:color="auto" w:sz="4" w:space="0"/>
              <w:bottom w:val="single" w:color="auto" w:sz="4" w:space="0"/>
              <w:right w:val="single" w:color="auto" w:sz="4" w:space="0"/>
            </w:tcBorders>
            <w:vAlign w:val="center"/>
          </w:tcPr>
          <w:p w14:paraId="6AD244F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F74D4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按要求设置</w:t>
            </w:r>
          </w:p>
        </w:tc>
      </w:tr>
      <w:tr w14:paraId="592B7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5ADFD2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8B99477">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5F0A53F">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发、配电室应设置磷酸铵盐干粉灭火器或碳酸氢钠干粉灭火器或卤代烷灭火器或二氧化碳灭火器，数量不少于2具。</w:t>
            </w:r>
          </w:p>
        </w:tc>
        <w:tc>
          <w:tcPr>
            <w:tcW w:w="843" w:type="dxa"/>
            <w:tcBorders>
              <w:top w:val="single" w:color="auto" w:sz="4" w:space="0"/>
              <w:left w:val="single" w:color="auto" w:sz="4" w:space="0"/>
              <w:bottom w:val="single" w:color="auto" w:sz="4" w:space="0"/>
              <w:right w:val="single" w:color="auto" w:sz="4" w:space="0"/>
            </w:tcBorders>
            <w:vAlign w:val="center"/>
          </w:tcPr>
          <w:p w14:paraId="001757C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FE90D4B">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配电室设置有二氧化碳灭火器</w:t>
            </w:r>
          </w:p>
        </w:tc>
      </w:tr>
      <w:tr w14:paraId="213DE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DAEB05A">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1CC42FB">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C69AA08">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加油站应制定以下消防安全制度：a）防火检查、巡查制度；b）消防安全教育、培训制度；c）用火、用电安全管理制度；d）电气设备、电气线路的检查和管理制度：e）输油、输气线路的检查和管理制度；f）灭火和应急疏散预案演练制度；g）火灾隐患整改制度；h）其他必要的消防安全制度。</w:t>
            </w:r>
          </w:p>
        </w:tc>
        <w:tc>
          <w:tcPr>
            <w:tcW w:w="843" w:type="dxa"/>
            <w:tcBorders>
              <w:top w:val="single" w:color="auto" w:sz="4" w:space="0"/>
              <w:left w:val="single" w:color="auto" w:sz="4" w:space="0"/>
              <w:bottom w:val="single" w:color="auto" w:sz="4" w:space="0"/>
              <w:right w:val="single" w:color="auto" w:sz="4" w:space="0"/>
            </w:tcBorders>
            <w:vAlign w:val="center"/>
          </w:tcPr>
          <w:p w14:paraId="469C597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1E313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符合，有相关制度</w:t>
            </w:r>
          </w:p>
        </w:tc>
      </w:tr>
      <w:tr w14:paraId="690365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F38205B">
            <w:pPr>
              <w:autoSpaceDN w:val="0"/>
              <w:spacing w:line="260" w:lineRule="exact"/>
              <w:jc w:val="center"/>
              <w:rPr>
                <w:rFonts w:ascii="Times New Roman" w:hAnsi="Times New Roman" w:eastAsia="宋体" w:cs="Times New Roman"/>
                <w:bCs/>
                <w:color w:val="0000FF"/>
                <w:kern w:val="2"/>
              </w:rPr>
            </w:pPr>
          </w:p>
        </w:tc>
        <w:tc>
          <w:tcPr>
            <w:tcW w:w="756" w:type="dxa"/>
            <w:vMerge w:val="continue"/>
            <w:tcBorders>
              <w:left w:val="single" w:color="auto" w:sz="4" w:space="0"/>
              <w:right w:val="single" w:color="auto" w:sz="4" w:space="0"/>
            </w:tcBorders>
            <w:vAlign w:val="center"/>
          </w:tcPr>
          <w:p w14:paraId="6F646A10">
            <w:pPr>
              <w:autoSpaceDN w:val="0"/>
              <w:spacing w:line="260" w:lineRule="exact"/>
              <w:jc w:val="center"/>
              <w:rPr>
                <w:rFonts w:ascii="Times New Roman" w:hAnsi="Times New Roman" w:eastAsia="宋体" w:cs="Times New Roman"/>
                <w:bCs/>
                <w:color w:val="0000FF"/>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276FCCE">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（6）加油加气站罩棚顶棚的承重构件为钢结构时，其耐火极限可为0.25h。</w:t>
            </w:r>
          </w:p>
        </w:tc>
        <w:tc>
          <w:tcPr>
            <w:tcW w:w="843" w:type="dxa"/>
            <w:tcBorders>
              <w:top w:val="single" w:color="auto" w:sz="4" w:space="0"/>
              <w:left w:val="single" w:color="auto" w:sz="4" w:space="0"/>
              <w:bottom w:val="single" w:color="auto" w:sz="4" w:space="0"/>
              <w:right w:val="single" w:color="auto" w:sz="4" w:space="0"/>
            </w:tcBorders>
            <w:vAlign w:val="center"/>
          </w:tcPr>
          <w:p w14:paraId="0D748EE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34028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lang w:val="en-US" w:eastAsia="zh-CN"/>
              </w:rPr>
              <w:t>螺栓球网架</w:t>
            </w:r>
            <w:r>
              <w:rPr>
                <w:rFonts w:hint="eastAsia" w:ascii="Times New Roman" w:hAnsi="Times New Roman" w:eastAsia="宋体" w:cs="Times New Roman"/>
                <w:bCs/>
                <w:color w:val="auto"/>
                <w:kern w:val="2"/>
              </w:rPr>
              <w:t>结构</w:t>
            </w:r>
          </w:p>
        </w:tc>
      </w:tr>
      <w:tr w14:paraId="27154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173990C">
            <w:pPr>
              <w:autoSpaceDN w:val="0"/>
              <w:spacing w:line="260" w:lineRule="exact"/>
              <w:jc w:val="center"/>
              <w:rPr>
                <w:rFonts w:ascii="Times New Roman" w:hAnsi="Times New Roman" w:eastAsia="宋体" w:cs="Times New Roman"/>
                <w:bCs/>
                <w:color w:val="0000FF"/>
                <w:kern w:val="2"/>
              </w:rPr>
            </w:pPr>
          </w:p>
        </w:tc>
        <w:tc>
          <w:tcPr>
            <w:tcW w:w="756" w:type="dxa"/>
            <w:vMerge w:val="continue"/>
            <w:tcBorders>
              <w:left w:val="single" w:color="auto" w:sz="4" w:space="0"/>
              <w:right w:val="single" w:color="auto" w:sz="4" w:space="0"/>
            </w:tcBorders>
            <w:vAlign w:val="center"/>
          </w:tcPr>
          <w:p w14:paraId="2AD12B2D">
            <w:pPr>
              <w:autoSpaceDN w:val="0"/>
              <w:spacing w:line="260" w:lineRule="exact"/>
              <w:jc w:val="center"/>
              <w:rPr>
                <w:rFonts w:ascii="Times New Roman" w:hAnsi="Times New Roman" w:eastAsia="宋体" w:cs="Times New Roman"/>
                <w:bCs/>
                <w:color w:val="0000FF"/>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A781A7C">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（7）站内不应设置住宿、餐饮和娱乐等场所（设施）。</w:t>
            </w:r>
          </w:p>
        </w:tc>
        <w:tc>
          <w:tcPr>
            <w:tcW w:w="843" w:type="dxa"/>
            <w:tcBorders>
              <w:top w:val="single" w:color="auto" w:sz="4" w:space="0"/>
              <w:left w:val="single" w:color="auto" w:sz="4" w:space="0"/>
              <w:bottom w:val="single" w:color="auto" w:sz="4" w:space="0"/>
              <w:right w:val="single" w:color="auto" w:sz="4" w:space="0"/>
            </w:tcBorders>
            <w:vAlign w:val="center"/>
          </w:tcPr>
          <w:p w14:paraId="12B2AF5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BC0A0B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无住宿、餐饮和娱乐场所</w:t>
            </w:r>
          </w:p>
        </w:tc>
      </w:tr>
      <w:tr w14:paraId="21410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3EA877B">
            <w:pPr>
              <w:autoSpaceDN w:val="0"/>
              <w:spacing w:line="260" w:lineRule="exact"/>
              <w:jc w:val="center"/>
              <w:rPr>
                <w:rFonts w:ascii="Times New Roman" w:hAnsi="Times New Roman" w:eastAsia="宋体" w:cs="Times New Roman"/>
                <w:bCs/>
                <w:color w:val="0000FF"/>
                <w:kern w:val="2"/>
              </w:rPr>
            </w:pPr>
          </w:p>
        </w:tc>
        <w:tc>
          <w:tcPr>
            <w:tcW w:w="756" w:type="dxa"/>
            <w:vMerge w:val="continue"/>
            <w:tcBorders>
              <w:left w:val="single" w:color="auto" w:sz="4" w:space="0"/>
              <w:right w:val="single" w:color="auto" w:sz="4" w:space="0"/>
            </w:tcBorders>
            <w:vAlign w:val="center"/>
          </w:tcPr>
          <w:p w14:paraId="72B9DE4F">
            <w:pPr>
              <w:autoSpaceDN w:val="0"/>
              <w:spacing w:line="260" w:lineRule="exact"/>
              <w:jc w:val="center"/>
              <w:rPr>
                <w:rFonts w:ascii="Times New Roman" w:hAnsi="Times New Roman" w:eastAsia="宋体" w:cs="Times New Roman"/>
                <w:bCs/>
                <w:color w:val="0000FF"/>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D97D583">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（8）站内不应设置建筑面积大于50㎡的商店。商店内不应经营易燃易爆危险品。</w:t>
            </w:r>
          </w:p>
        </w:tc>
        <w:tc>
          <w:tcPr>
            <w:tcW w:w="843" w:type="dxa"/>
            <w:tcBorders>
              <w:top w:val="single" w:color="auto" w:sz="4" w:space="0"/>
              <w:left w:val="single" w:color="auto" w:sz="4" w:space="0"/>
              <w:bottom w:val="single" w:color="auto" w:sz="4" w:space="0"/>
              <w:right w:val="single" w:color="auto" w:sz="4" w:space="0"/>
            </w:tcBorders>
            <w:vAlign w:val="center"/>
          </w:tcPr>
          <w:p w14:paraId="236D39D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76E6E6">
            <w:pPr>
              <w:autoSpaceDN w:val="0"/>
              <w:spacing w:line="260" w:lineRule="exact"/>
              <w:jc w:val="center"/>
              <w:rPr>
                <w:rFonts w:hint="default" w:ascii="Times New Roman" w:hAnsi="Times New Roman" w:eastAsia="宋体" w:cs="Times New Roman"/>
                <w:bCs/>
                <w:color w:val="auto"/>
                <w:kern w:val="2"/>
                <w:lang w:val="en-US" w:eastAsia="zh-CN"/>
              </w:rPr>
            </w:pPr>
            <w:r>
              <w:rPr>
                <w:rFonts w:hint="eastAsia" w:ascii="Times New Roman" w:hAnsi="Times New Roman" w:eastAsia="宋体" w:cs="Times New Roman"/>
                <w:bCs/>
                <w:color w:val="auto"/>
                <w:kern w:val="2"/>
                <w:lang w:val="en-US" w:eastAsia="zh-CN"/>
              </w:rPr>
              <w:t>商店内未经营易燃易爆危险品</w:t>
            </w:r>
          </w:p>
        </w:tc>
      </w:tr>
      <w:tr w14:paraId="0E228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3732C86">
            <w:pPr>
              <w:autoSpaceDN w:val="0"/>
              <w:spacing w:line="260" w:lineRule="exact"/>
              <w:jc w:val="center"/>
              <w:rPr>
                <w:rFonts w:ascii="Times New Roman" w:hAnsi="Times New Roman" w:eastAsia="宋体" w:cs="Times New Roman"/>
                <w:bCs/>
                <w:color w:val="0000FF"/>
                <w:kern w:val="2"/>
              </w:rPr>
            </w:pPr>
          </w:p>
        </w:tc>
        <w:tc>
          <w:tcPr>
            <w:tcW w:w="756" w:type="dxa"/>
            <w:vMerge w:val="continue"/>
            <w:tcBorders>
              <w:left w:val="single" w:color="auto" w:sz="4" w:space="0"/>
              <w:right w:val="single" w:color="auto" w:sz="4" w:space="0"/>
            </w:tcBorders>
            <w:vAlign w:val="center"/>
          </w:tcPr>
          <w:p w14:paraId="7721A3C2">
            <w:pPr>
              <w:autoSpaceDN w:val="0"/>
              <w:spacing w:line="260" w:lineRule="exact"/>
              <w:jc w:val="center"/>
              <w:rPr>
                <w:rFonts w:ascii="Times New Roman" w:hAnsi="Times New Roman" w:eastAsia="宋体" w:cs="Times New Roman"/>
                <w:bCs/>
                <w:color w:val="0000FF"/>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B51DC13">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（9）是否按要求进行消防设施、器材管理</w:t>
            </w:r>
          </w:p>
          <w:p w14:paraId="162BB1F4">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对消防设施、器材应加强日常管理和维护，建立消防设施、器材的巡查、检测、维修保养等管理档案，记明配置类型、数量、设置位置、检查维修单位（人员）、更换药剂的时间等有关情况，严禁损坏、挪用或擅自拆除、停用。</w:t>
            </w:r>
          </w:p>
          <w:p w14:paraId="3802E76B">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2.消火栓、灭火器、灭火毯、消防沙箱或沙池等消防设施、器材应设置消防安全标志。</w:t>
            </w:r>
          </w:p>
          <w:p w14:paraId="53641F0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3.灭火器、灭火毯应放置于醒目且便于取用位置。灭火器应保持标识清晰，各种部件不应有严重损伤、变形、锈蚀等缺陷，存放地点及环境应符合要求，并定期进行检查、维保。</w:t>
            </w:r>
          </w:p>
          <w:p w14:paraId="52CE644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4.消防沙箱或沙池内应保持沙量充足，不应存放杂物，沙子应保持干燥不结块，不含树叶、石子等杂质，附近应配置沙铲、沙桶、推车等灭火和应急处置辅助器材。</w:t>
            </w:r>
          </w:p>
        </w:tc>
        <w:tc>
          <w:tcPr>
            <w:tcW w:w="843" w:type="dxa"/>
            <w:tcBorders>
              <w:top w:val="single" w:color="auto" w:sz="4" w:space="0"/>
              <w:left w:val="single" w:color="auto" w:sz="4" w:space="0"/>
              <w:bottom w:val="single" w:color="auto" w:sz="4" w:space="0"/>
              <w:right w:val="single" w:color="auto" w:sz="4" w:space="0"/>
            </w:tcBorders>
            <w:vAlign w:val="center"/>
          </w:tcPr>
          <w:p w14:paraId="5DE9276F">
            <w:pPr>
              <w:autoSpaceDE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Times New Roman"/>
                <w:bCs/>
                <w:color w:val="auto"/>
                <w:kern w:val="2"/>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C947588">
            <w:pPr>
              <w:autoSpaceDN w:val="0"/>
              <w:spacing w:line="260" w:lineRule="exact"/>
              <w:jc w:val="center"/>
              <w:rPr>
                <w:rFonts w:hint="default" w:ascii="Times New Roman" w:hAnsi="Times New Roman" w:eastAsia="宋体" w:cs="Times New Roman"/>
                <w:bCs/>
                <w:color w:val="auto"/>
                <w:kern w:val="2"/>
                <w:lang w:val="en-US"/>
              </w:rPr>
            </w:pPr>
            <w:r>
              <w:rPr>
                <w:rFonts w:hint="eastAsia" w:ascii="Times New Roman" w:hAnsi="Times New Roman" w:eastAsia="宋体" w:cs="Times New Roman"/>
                <w:bCs/>
                <w:color w:val="auto"/>
                <w:kern w:val="2"/>
              </w:rPr>
              <w:t>按要求设置灭火器、灭火毯、</w:t>
            </w:r>
            <w:r>
              <w:rPr>
                <w:rFonts w:hint="eastAsia" w:ascii="Times New Roman" w:hAnsi="Times New Roman" w:eastAsia="宋体" w:cs="Times New Roman"/>
                <w:bCs/>
                <w:color w:val="auto"/>
                <w:kern w:val="2"/>
                <w:lang w:eastAsia="zh-CN"/>
              </w:rPr>
              <w:t>消防砂</w:t>
            </w:r>
            <w:r>
              <w:rPr>
                <w:rFonts w:hint="eastAsia" w:ascii="Times New Roman" w:hAnsi="Times New Roman" w:eastAsia="宋体" w:cs="Times New Roman"/>
                <w:bCs/>
                <w:color w:val="auto"/>
                <w:kern w:val="2"/>
              </w:rPr>
              <w:t>等</w:t>
            </w:r>
            <w:r>
              <w:rPr>
                <w:rFonts w:hint="eastAsia" w:ascii="Times New Roman" w:hAnsi="Times New Roman" w:eastAsia="宋体" w:cs="Times New Roman"/>
                <w:bCs/>
                <w:color w:val="auto"/>
                <w:kern w:val="2"/>
                <w:lang w:eastAsia="zh-CN"/>
              </w:rPr>
              <w:t>设施，</w:t>
            </w:r>
            <w:r>
              <w:rPr>
                <w:rFonts w:hint="eastAsia" w:ascii="Times New Roman" w:hAnsi="Times New Roman" w:eastAsia="宋体" w:cs="Times New Roman"/>
                <w:bCs/>
                <w:color w:val="auto"/>
                <w:kern w:val="2"/>
                <w:lang w:val="en-US" w:eastAsia="zh-CN"/>
              </w:rPr>
              <w:t>但个别灭火器未定期点检</w:t>
            </w:r>
          </w:p>
        </w:tc>
      </w:tr>
      <w:tr w14:paraId="0170E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4730D2F7">
            <w:pPr>
              <w:autoSpaceDN w:val="0"/>
              <w:spacing w:line="260" w:lineRule="exact"/>
              <w:jc w:val="center"/>
              <w:rPr>
                <w:rFonts w:ascii="Times New Roman" w:hAnsi="Times New Roman" w:eastAsia="宋体" w:cs="Times New Roman"/>
                <w:bCs/>
                <w:color w:val="0000FF"/>
                <w:kern w:val="2"/>
              </w:rPr>
            </w:pPr>
          </w:p>
        </w:tc>
        <w:tc>
          <w:tcPr>
            <w:tcW w:w="756" w:type="dxa"/>
            <w:vMerge w:val="continue"/>
            <w:tcBorders>
              <w:left w:val="single" w:color="auto" w:sz="4" w:space="0"/>
              <w:bottom w:val="single" w:color="auto" w:sz="4" w:space="0"/>
              <w:right w:val="single" w:color="auto" w:sz="4" w:space="0"/>
            </w:tcBorders>
            <w:vAlign w:val="center"/>
          </w:tcPr>
          <w:p w14:paraId="7CC7982B">
            <w:pPr>
              <w:autoSpaceDN w:val="0"/>
              <w:spacing w:line="260" w:lineRule="exact"/>
              <w:jc w:val="center"/>
              <w:rPr>
                <w:rFonts w:ascii="Times New Roman" w:hAnsi="Times New Roman" w:eastAsia="宋体" w:cs="Times New Roman"/>
                <w:bCs/>
                <w:color w:val="0000FF"/>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5E44A164">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（10）加油站对每名员工应至少每年进行1次消防安全教育培训，新员工经消防安全教育培训合格后方可上岗。组织开展消防安全教育培训的情况应记录存档。</w:t>
            </w:r>
          </w:p>
        </w:tc>
        <w:tc>
          <w:tcPr>
            <w:tcW w:w="843" w:type="dxa"/>
            <w:tcBorders>
              <w:top w:val="single" w:color="auto" w:sz="4" w:space="0"/>
              <w:left w:val="single" w:color="auto" w:sz="4" w:space="0"/>
              <w:bottom w:val="single" w:color="auto" w:sz="4" w:space="0"/>
              <w:right w:val="single" w:color="auto" w:sz="4" w:space="0"/>
            </w:tcBorders>
            <w:vAlign w:val="center"/>
          </w:tcPr>
          <w:p w14:paraId="0F82A677">
            <w:pPr>
              <w:autoSpaceDE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Times New Roman"/>
                <w:bCs/>
                <w:color w:val="auto"/>
                <w:kern w:val="2"/>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39E8D3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定期进行教育培训，有培训记录，见附件</w:t>
            </w:r>
          </w:p>
        </w:tc>
      </w:tr>
      <w:tr w14:paraId="752E5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408540CF">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w:t>
            </w:r>
          </w:p>
        </w:tc>
        <w:tc>
          <w:tcPr>
            <w:tcW w:w="756" w:type="dxa"/>
            <w:vMerge w:val="restart"/>
            <w:tcBorders>
              <w:top w:val="single" w:color="auto" w:sz="4" w:space="0"/>
              <w:left w:val="single" w:color="auto" w:sz="4" w:space="0"/>
              <w:right w:val="single" w:color="auto" w:sz="4" w:space="0"/>
            </w:tcBorders>
            <w:vAlign w:val="center"/>
          </w:tcPr>
          <w:p w14:paraId="42E6869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标识</w:t>
            </w:r>
          </w:p>
        </w:tc>
        <w:tc>
          <w:tcPr>
            <w:tcW w:w="5189" w:type="dxa"/>
            <w:tcBorders>
              <w:top w:val="single" w:color="auto" w:sz="4" w:space="0"/>
              <w:left w:val="single" w:color="auto" w:sz="4" w:space="0"/>
              <w:bottom w:val="single" w:color="auto" w:sz="4" w:space="0"/>
              <w:right w:val="single" w:color="auto" w:sz="4" w:space="0"/>
            </w:tcBorders>
            <w:vAlign w:val="center"/>
          </w:tcPr>
          <w:p w14:paraId="7C115FC2">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（1）加油站的车辆及人员进出口处应设置醒目的“进站消防安全须知”标识，明确进入加油站的要求和注意事项。</w:t>
            </w:r>
          </w:p>
        </w:tc>
        <w:tc>
          <w:tcPr>
            <w:tcW w:w="843" w:type="dxa"/>
            <w:tcBorders>
              <w:top w:val="single" w:color="auto" w:sz="4" w:space="0"/>
              <w:left w:val="single" w:color="auto" w:sz="4" w:space="0"/>
              <w:bottom w:val="single" w:color="auto" w:sz="4" w:space="0"/>
              <w:right w:val="single" w:color="auto" w:sz="4" w:space="0"/>
            </w:tcBorders>
            <w:vAlign w:val="center"/>
          </w:tcPr>
          <w:p w14:paraId="299A8F39">
            <w:pPr>
              <w:autoSpaceDE w:val="0"/>
              <w:spacing w:line="260" w:lineRule="exact"/>
              <w:jc w:val="center"/>
              <w:rPr>
                <w:rFonts w:hint="eastAsia" w:ascii="Times New Roman" w:hAnsi="Times New Roman" w:eastAsia="宋体" w:cs="Times New Roman"/>
                <w:bCs/>
                <w:color w:val="auto"/>
                <w:kern w:val="2"/>
                <w:lang w:eastAsia="zh-CN"/>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lang w:eastAsia="zh-CN"/>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Times New Roman"/>
                <w:bCs/>
                <w:color w:val="auto"/>
                <w:kern w:val="2"/>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456CD972">
            <w:pPr>
              <w:autoSpaceDN w:val="0"/>
              <w:spacing w:line="260" w:lineRule="exact"/>
              <w:jc w:val="center"/>
              <w:rPr>
                <w:rFonts w:hint="default" w:ascii="Times New Roman" w:hAnsi="Times New Roman" w:eastAsia="宋体" w:cs="Times New Roman"/>
                <w:bCs/>
                <w:color w:val="auto"/>
                <w:kern w:val="2"/>
                <w:lang w:val="en-US" w:eastAsia="zh-CN"/>
              </w:rPr>
            </w:pPr>
            <w:r>
              <w:rPr>
                <w:rFonts w:hint="eastAsia" w:ascii="Times New Roman" w:hAnsi="Times New Roman" w:eastAsia="宋体" w:cs="Times New Roman"/>
                <w:bCs/>
                <w:color w:val="auto"/>
                <w:kern w:val="2"/>
              </w:rPr>
              <w:t>加油站进出口</w:t>
            </w:r>
            <w:r>
              <w:rPr>
                <w:rFonts w:hint="eastAsia" w:ascii="Times New Roman" w:hAnsi="Times New Roman" w:eastAsia="宋体" w:cs="Times New Roman"/>
                <w:bCs/>
                <w:color w:val="auto"/>
                <w:kern w:val="2"/>
                <w:lang w:val="en-US" w:eastAsia="zh-CN"/>
              </w:rPr>
              <w:t>设置限速标识</w:t>
            </w:r>
          </w:p>
        </w:tc>
      </w:tr>
      <w:tr w14:paraId="4DDE8A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4ABC5F9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7987E620">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A3CA2F7">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（2）加油机上应有油品标识。</w:t>
            </w:r>
          </w:p>
        </w:tc>
        <w:tc>
          <w:tcPr>
            <w:tcW w:w="843" w:type="dxa"/>
            <w:tcBorders>
              <w:top w:val="single" w:color="auto" w:sz="4" w:space="0"/>
              <w:left w:val="single" w:color="auto" w:sz="4" w:space="0"/>
              <w:bottom w:val="single" w:color="auto" w:sz="4" w:space="0"/>
              <w:right w:val="single" w:color="auto" w:sz="4" w:space="0"/>
            </w:tcBorders>
            <w:vAlign w:val="center"/>
          </w:tcPr>
          <w:p w14:paraId="2E24AF9A">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r>
              <w:rPr>
                <w:rFonts w:hint="eastAsia" w:ascii="Times New Roman" w:hAnsi="Times New Roman" w:eastAsia="宋体" w:cs="Segoe UI Symbol"/>
                <w:bCs/>
                <w:color w:val="auto"/>
                <w:kern w:val="2"/>
              </w:rPr>
              <w:t>□</w:t>
            </w:r>
          </w:p>
        </w:tc>
        <w:tc>
          <w:tcPr>
            <w:tcW w:w="1700" w:type="dxa"/>
            <w:tcBorders>
              <w:top w:val="single" w:color="auto" w:sz="4" w:space="0"/>
              <w:left w:val="single" w:color="auto" w:sz="4" w:space="0"/>
              <w:bottom w:val="single" w:color="auto" w:sz="4" w:space="0"/>
              <w:right w:val="single" w:color="auto" w:sz="12" w:space="0"/>
            </w:tcBorders>
            <w:vAlign w:val="center"/>
          </w:tcPr>
          <w:p w14:paraId="63DDDAF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加油枪设置油品标识。</w:t>
            </w:r>
          </w:p>
        </w:tc>
      </w:tr>
      <w:tr w14:paraId="3B27B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5CA8CB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6C19E5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D9C9888">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（3）加油区、油罐区应有“禁止吸烟</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禁止打手机</w:t>
            </w:r>
            <w:r>
              <w:rPr>
                <w:rFonts w:hint="eastAsia" w:ascii="Times New Roman" w:hAnsi="Times New Roman" w:eastAsia="宋体" w:cs="Times New Roman"/>
                <w:bCs/>
                <w:color w:val="auto"/>
                <w:kern w:val="2"/>
                <w:lang w:eastAsia="zh-CN"/>
              </w:rPr>
              <w:t>”</w:t>
            </w:r>
            <w:r>
              <w:rPr>
                <w:rFonts w:hint="eastAsia" w:ascii="Times New Roman" w:hAnsi="Times New Roman" w:eastAsia="宋体" w:cs="Times New Roman"/>
                <w:bCs/>
                <w:color w:val="auto"/>
                <w:kern w:val="2"/>
              </w:rPr>
              <w:t>等安全标识。</w:t>
            </w:r>
          </w:p>
        </w:tc>
        <w:tc>
          <w:tcPr>
            <w:tcW w:w="843" w:type="dxa"/>
            <w:tcBorders>
              <w:top w:val="single" w:color="auto" w:sz="4" w:space="0"/>
              <w:left w:val="single" w:color="auto" w:sz="4" w:space="0"/>
              <w:bottom w:val="single" w:color="auto" w:sz="4" w:space="0"/>
              <w:right w:val="single" w:color="auto" w:sz="4" w:space="0"/>
            </w:tcBorders>
            <w:vAlign w:val="center"/>
          </w:tcPr>
          <w:p w14:paraId="77E36D44">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2FAB8A6">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有相关安全标识</w:t>
            </w:r>
          </w:p>
        </w:tc>
      </w:tr>
      <w:tr w14:paraId="1E7A8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C2FFDD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71A4CD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07BE8B3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（4）站房、变配电间等火灾危险区的明显部位应设置“火灾危险区域”等标识。</w:t>
            </w:r>
          </w:p>
        </w:tc>
        <w:tc>
          <w:tcPr>
            <w:tcW w:w="843" w:type="dxa"/>
            <w:tcBorders>
              <w:top w:val="single" w:color="auto" w:sz="4" w:space="0"/>
              <w:left w:val="single" w:color="auto" w:sz="4" w:space="0"/>
              <w:bottom w:val="single" w:color="auto" w:sz="4" w:space="0"/>
              <w:right w:val="single" w:color="auto" w:sz="4" w:space="0"/>
            </w:tcBorders>
            <w:vAlign w:val="center"/>
          </w:tcPr>
          <w:p w14:paraId="7DBA271A">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BD9744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有“火灾危险区域”标识</w:t>
            </w:r>
          </w:p>
        </w:tc>
      </w:tr>
      <w:tr w14:paraId="3AEDD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22DF809">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576E7C6F">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866A409">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（5）油品运输车辆应划定固定车位并设置明显标识。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374B3DB2">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933A7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卸车区有固定车位停车标识</w:t>
            </w:r>
          </w:p>
        </w:tc>
      </w:tr>
      <w:tr w14:paraId="6F910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7FE0C20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377064B">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7FB7EA93">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（6）卫生间墙面上应设置“严禁烟火”“禁止吸烟”标识。</w:t>
            </w:r>
          </w:p>
        </w:tc>
        <w:tc>
          <w:tcPr>
            <w:tcW w:w="843" w:type="dxa"/>
            <w:tcBorders>
              <w:top w:val="single" w:color="auto" w:sz="4" w:space="0"/>
              <w:left w:val="single" w:color="auto" w:sz="4" w:space="0"/>
              <w:bottom w:val="single" w:color="auto" w:sz="4" w:space="0"/>
              <w:right w:val="single" w:color="auto" w:sz="4" w:space="0"/>
            </w:tcBorders>
            <w:vAlign w:val="center"/>
          </w:tcPr>
          <w:p w14:paraId="43A7B450">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A7F7B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卫生间有“严禁烟火”“禁止吸烟”标识</w:t>
            </w:r>
          </w:p>
        </w:tc>
      </w:tr>
      <w:tr w14:paraId="6C09B4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6878B31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1742031">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3AB6C42">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（7）加油站作业区与辅助服务区之间应有明显的界限标识。</w:t>
            </w:r>
          </w:p>
        </w:tc>
        <w:tc>
          <w:tcPr>
            <w:tcW w:w="843" w:type="dxa"/>
            <w:tcBorders>
              <w:top w:val="single" w:color="auto" w:sz="4" w:space="0"/>
              <w:left w:val="single" w:color="auto" w:sz="4" w:space="0"/>
              <w:bottom w:val="single" w:color="auto" w:sz="4" w:space="0"/>
              <w:right w:val="single" w:color="auto" w:sz="4" w:space="0"/>
            </w:tcBorders>
            <w:vAlign w:val="center"/>
          </w:tcPr>
          <w:p w14:paraId="36D50274">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hint="eastAsia"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880CDA">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有界限标识</w:t>
            </w:r>
          </w:p>
        </w:tc>
      </w:tr>
      <w:tr w14:paraId="281C7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4" w:space="0"/>
              <w:right w:val="single" w:color="auto" w:sz="4" w:space="0"/>
            </w:tcBorders>
            <w:vAlign w:val="center"/>
          </w:tcPr>
          <w:p w14:paraId="28341756">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4" w:space="0"/>
              <w:right w:val="single" w:color="auto" w:sz="4" w:space="0"/>
            </w:tcBorders>
            <w:vAlign w:val="center"/>
          </w:tcPr>
          <w:p w14:paraId="287D91C6">
            <w:pPr>
              <w:autoSpaceDN w:val="0"/>
              <w:spacing w:line="260" w:lineRule="exact"/>
              <w:jc w:val="center"/>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10E2F2E3">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（8）加油站应加强对消防安全标识的维护管理，如有损坏、缺失的，应及时更换。</w:t>
            </w:r>
          </w:p>
        </w:tc>
        <w:tc>
          <w:tcPr>
            <w:tcW w:w="843" w:type="dxa"/>
            <w:tcBorders>
              <w:top w:val="single" w:color="auto" w:sz="4" w:space="0"/>
              <w:left w:val="single" w:color="auto" w:sz="4" w:space="0"/>
              <w:bottom w:val="single" w:color="auto" w:sz="4" w:space="0"/>
              <w:right w:val="single" w:color="auto" w:sz="4" w:space="0"/>
            </w:tcBorders>
            <w:vAlign w:val="center"/>
          </w:tcPr>
          <w:p w14:paraId="298D4451">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D92F73">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有维护保养制度</w:t>
            </w:r>
          </w:p>
        </w:tc>
      </w:tr>
      <w:tr w14:paraId="76C7B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restart"/>
            <w:tcBorders>
              <w:top w:val="single" w:color="auto" w:sz="4" w:space="0"/>
              <w:left w:val="single" w:color="auto" w:sz="12" w:space="0"/>
              <w:right w:val="single" w:color="auto" w:sz="4" w:space="0"/>
            </w:tcBorders>
            <w:vAlign w:val="center"/>
          </w:tcPr>
          <w:p w14:paraId="78A3B2DE">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w:t>
            </w:r>
          </w:p>
        </w:tc>
        <w:tc>
          <w:tcPr>
            <w:tcW w:w="756" w:type="dxa"/>
            <w:vMerge w:val="restart"/>
            <w:tcBorders>
              <w:top w:val="single" w:color="auto" w:sz="4" w:space="0"/>
              <w:left w:val="single" w:color="auto" w:sz="4" w:space="0"/>
              <w:right w:val="single" w:color="auto" w:sz="4" w:space="0"/>
            </w:tcBorders>
            <w:vAlign w:val="center"/>
          </w:tcPr>
          <w:p w14:paraId="5BF5A20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企业经营情况</w:t>
            </w:r>
          </w:p>
        </w:tc>
        <w:tc>
          <w:tcPr>
            <w:tcW w:w="5189" w:type="dxa"/>
            <w:tcBorders>
              <w:top w:val="single" w:color="auto" w:sz="4" w:space="0"/>
              <w:left w:val="single" w:color="auto" w:sz="4" w:space="0"/>
              <w:bottom w:val="single" w:color="auto" w:sz="4" w:space="0"/>
              <w:right w:val="single" w:color="auto" w:sz="4" w:space="0"/>
            </w:tcBorders>
            <w:vAlign w:val="center"/>
          </w:tcPr>
          <w:p w14:paraId="0D4CA1F4">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（1）企业经营进、销台账的明细、随货同行单（明确车牌号、提货人、开票人、时间地点、货品数量和质量，可</w:t>
            </w:r>
            <w:r>
              <w:rPr>
                <w:rFonts w:hint="eastAsia" w:ascii="Times New Roman" w:hAnsi="Times New Roman" w:eastAsia="宋体" w:cs="Times New Roman"/>
                <w:bCs/>
                <w:color w:val="auto"/>
                <w:kern w:val="2"/>
                <w:lang w:eastAsia="zh-CN"/>
              </w:rPr>
              <w:t>溯源</w:t>
            </w:r>
            <w:r>
              <w:rPr>
                <w:rFonts w:hint="eastAsia" w:ascii="Times New Roman" w:hAnsi="Times New Roman" w:eastAsia="宋体" w:cs="Times New Roman"/>
                <w:bCs/>
                <w:color w:val="auto"/>
                <w:kern w:val="2"/>
              </w:rPr>
              <w:t>）。</w:t>
            </w:r>
          </w:p>
        </w:tc>
        <w:tc>
          <w:tcPr>
            <w:tcW w:w="843" w:type="dxa"/>
            <w:tcBorders>
              <w:top w:val="single" w:color="auto" w:sz="4" w:space="0"/>
              <w:left w:val="single" w:color="auto" w:sz="4" w:space="0"/>
              <w:bottom w:val="single" w:color="auto" w:sz="4" w:space="0"/>
              <w:right w:val="single" w:color="auto" w:sz="4" w:space="0"/>
            </w:tcBorders>
            <w:vAlign w:val="center"/>
          </w:tcPr>
          <w:p w14:paraId="24E1199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6505DD8">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符合要求</w:t>
            </w:r>
          </w:p>
        </w:tc>
      </w:tr>
      <w:tr w14:paraId="6D57C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55A7DB05">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011E34D">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2FBF0F70">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（2）企业运输车辆相关资质、信息。</w:t>
            </w:r>
          </w:p>
        </w:tc>
        <w:tc>
          <w:tcPr>
            <w:tcW w:w="843" w:type="dxa"/>
            <w:tcBorders>
              <w:top w:val="single" w:color="auto" w:sz="4" w:space="0"/>
              <w:left w:val="single" w:color="auto" w:sz="4" w:space="0"/>
              <w:bottom w:val="single" w:color="auto" w:sz="4" w:space="0"/>
              <w:right w:val="single" w:color="auto" w:sz="4" w:space="0"/>
            </w:tcBorders>
            <w:vAlign w:val="center"/>
          </w:tcPr>
          <w:p w14:paraId="723D701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F915A2">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经有资质单位运输</w:t>
            </w:r>
          </w:p>
        </w:tc>
      </w:tr>
      <w:tr w14:paraId="6FEB4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0295637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20A0048B">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6408F3B1">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（3）企业对货物的信息、数量、品种等工作的安全管理台账。</w:t>
            </w:r>
          </w:p>
        </w:tc>
        <w:tc>
          <w:tcPr>
            <w:tcW w:w="843" w:type="dxa"/>
            <w:tcBorders>
              <w:top w:val="single" w:color="auto" w:sz="4" w:space="0"/>
              <w:left w:val="single" w:color="auto" w:sz="4" w:space="0"/>
              <w:bottom w:val="single" w:color="auto" w:sz="4" w:space="0"/>
              <w:right w:val="single" w:color="auto" w:sz="4" w:space="0"/>
            </w:tcBorders>
            <w:vAlign w:val="center"/>
          </w:tcPr>
          <w:p w14:paraId="5055A11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AB9590">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有台账</w:t>
            </w:r>
          </w:p>
        </w:tc>
      </w:tr>
      <w:tr w14:paraId="23340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1BE8DA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6B7A2489">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46A2B3E">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（4）企业进货发票、售出发票资料等</w:t>
            </w:r>
          </w:p>
        </w:tc>
        <w:tc>
          <w:tcPr>
            <w:tcW w:w="843" w:type="dxa"/>
            <w:tcBorders>
              <w:top w:val="single" w:color="auto" w:sz="4" w:space="0"/>
              <w:left w:val="single" w:color="auto" w:sz="4" w:space="0"/>
              <w:bottom w:val="single" w:color="auto" w:sz="4" w:space="0"/>
              <w:right w:val="single" w:color="auto" w:sz="4" w:space="0"/>
            </w:tcBorders>
            <w:vAlign w:val="center"/>
          </w:tcPr>
          <w:p w14:paraId="2B54D384">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F0F589">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有进货发票、售出发票等资料</w:t>
            </w:r>
          </w:p>
        </w:tc>
      </w:tr>
      <w:tr w14:paraId="782D18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3D5B95F4">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1724C9FD">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35A82040">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（5）企业是否存在租赁，租赁单位是否获得相关资质（营业执照、危化品经营许可等相关同等资质）</w:t>
            </w:r>
          </w:p>
        </w:tc>
        <w:tc>
          <w:tcPr>
            <w:tcW w:w="843" w:type="dxa"/>
            <w:tcBorders>
              <w:top w:val="single" w:color="auto" w:sz="4" w:space="0"/>
              <w:left w:val="single" w:color="auto" w:sz="4" w:space="0"/>
              <w:bottom w:val="single" w:color="auto" w:sz="4" w:space="0"/>
              <w:right w:val="single" w:color="auto" w:sz="4" w:space="0"/>
            </w:tcBorders>
            <w:vAlign w:val="center"/>
          </w:tcPr>
          <w:p w14:paraId="75D7BFC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49EAC">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不存在租赁</w:t>
            </w:r>
          </w:p>
        </w:tc>
      </w:tr>
      <w:tr w14:paraId="624696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90FCE17">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44FD8447">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72CDEB8">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（6）是否存在买卖、转让、出租、出借或伪造安全生产或经营许可证的行为</w:t>
            </w:r>
          </w:p>
        </w:tc>
        <w:tc>
          <w:tcPr>
            <w:tcW w:w="843" w:type="dxa"/>
            <w:tcBorders>
              <w:top w:val="single" w:color="auto" w:sz="4" w:space="0"/>
              <w:left w:val="single" w:color="auto" w:sz="4" w:space="0"/>
              <w:bottom w:val="single" w:color="auto" w:sz="4" w:space="0"/>
              <w:right w:val="single" w:color="auto" w:sz="4" w:space="0"/>
            </w:tcBorders>
            <w:vAlign w:val="center"/>
          </w:tcPr>
          <w:p w14:paraId="001DFAD9">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3CDFF1">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不存在以上行为</w:t>
            </w:r>
          </w:p>
        </w:tc>
      </w:tr>
      <w:tr w14:paraId="1A6AE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right w:val="single" w:color="auto" w:sz="4" w:space="0"/>
            </w:tcBorders>
            <w:vAlign w:val="center"/>
          </w:tcPr>
          <w:p w14:paraId="27DC9181">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right w:val="single" w:color="auto" w:sz="4" w:space="0"/>
            </w:tcBorders>
            <w:vAlign w:val="center"/>
          </w:tcPr>
          <w:p w14:paraId="06675F1A">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4" w:space="0"/>
              <w:right w:val="single" w:color="auto" w:sz="4" w:space="0"/>
            </w:tcBorders>
            <w:vAlign w:val="center"/>
          </w:tcPr>
          <w:p w14:paraId="4E2CFB7F">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（7）是否存在非法将生产经营项目、场所、设备发包或者出租给不具备安全生产条件或者相应资质的单位或者个人的行为</w:t>
            </w:r>
          </w:p>
        </w:tc>
        <w:tc>
          <w:tcPr>
            <w:tcW w:w="843" w:type="dxa"/>
            <w:tcBorders>
              <w:top w:val="single" w:color="auto" w:sz="4" w:space="0"/>
              <w:left w:val="single" w:color="auto" w:sz="4" w:space="0"/>
              <w:bottom w:val="single" w:color="auto" w:sz="4" w:space="0"/>
              <w:right w:val="single" w:color="auto" w:sz="4" w:space="0"/>
            </w:tcBorders>
            <w:vAlign w:val="center"/>
          </w:tcPr>
          <w:p w14:paraId="73272111">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C3E623D">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w:t>
            </w:r>
          </w:p>
        </w:tc>
      </w:tr>
      <w:tr w14:paraId="35207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9" w:type="dxa"/>
            <w:vMerge w:val="continue"/>
            <w:tcBorders>
              <w:left w:val="single" w:color="auto" w:sz="12" w:space="0"/>
              <w:bottom w:val="single" w:color="auto" w:sz="12" w:space="0"/>
              <w:right w:val="single" w:color="auto" w:sz="4" w:space="0"/>
            </w:tcBorders>
            <w:vAlign w:val="center"/>
          </w:tcPr>
          <w:p w14:paraId="09B93E50">
            <w:pPr>
              <w:autoSpaceDN w:val="0"/>
              <w:spacing w:line="260" w:lineRule="exact"/>
              <w:jc w:val="center"/>
              <w:rPr>
                <w:rFonts w:ascii="Times New Roman" w:hAnsi="Times New Roman" w:eastAsia="宋体" w:cs="Times New Roman"/>
                <w:bCs/>
                <w:color w:val="auto"/>
                <w:kern w:val="2"/>
              </w:rPr>
            </w:pPr>
          </w:p>
        </w:tc>
        <w:tc>
          <w:tcPr>
            <w:tcW w:w="756" w:type="dxa"/>
            <w:vMerge w:val="continue"/>
            <w:tcBorders>
              <w:left w:val="single" w:color="auto" w:sz="4" w:space="0"/>
              <w:bottom w:val="single" w:color="auto" w:sz="12" w:space="0"/>
              <w:right w:val="single" w:color="auto" w:sz="4" w:space="0"/>
            </w:tcBorders>
            <w:vAlign w:val="center"/>
          </w:tcPr>
          <w:p w14:paraId="35D07CEC">
            <w:pPr>
              <w:autoSpaceDN w:val="0"/>
              <w:spacing w:line="260" w:lineRule="exact"/>
              <w:rPr>
                <w:rFonts w:ascii="Times New Roman" w:hAnsi="Times New Roman" w:eastAsia="宋体" w:cs="Times New Roman"/>
                <w:bCs/>
                <w:color w:val="auto"/>
                <w:kern w:val="2"/>
              </w:rPr>
            </w:pPr>
          </w:p>
        </w:tc>
        <w:tc>
          <w:tcPr>
            <w:tcW w:w="5189" w:type="dxa"/>
            <w:tcBorders>
              <w:top w:val="single" w:color="auto" w:sz="4" w:space="0"/>
              <w:left w:val="single" w:color="auto" w:sz="4" w:space="0"/>
              <w:bottom w:val="single" w:color="auto" w:sz="12" w:space="0"/>
              <w:right w:val="single" w:color="auto" w:sz="4" w:space="0"/>
            </w:tcBorders>
            <w:vAlign w:val="center"/>
          </w:tcPr>
          <w:p w14:paraId="79298D96">
            <w:pPr>
              <w:autoSpaceDE w:val="0"/>
              <w:spacing w:line="260" w:lineRule="exact"/>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（8）是否违规建设内部加油设施、非法储存设施、非法改装油罐车移动加油行为</w:t>
            </w:r>
          </w:p>
        </w:tc>
        <w:tc>
          <w:tcPr>
            <w:tcW w:w="843" w:type="dxa"/>
            <w:tcBorders>
              <w:top w:val="single" w:color="auto" w:sz="4" w:space="0"/>
              <w:left w:val="single" w:color="auto" w:sz="4" w:space="0"/>
              <w:bottom w:val="single" w:color="auto" w:sz="12" w:space="0"/>
              <w:right w:val="single" w:color="auto" w:sz="4" w:space="0"/>
            </w:tcBorders>
            <w:vAlign w:val="center"/>
          </w:tcPr>
          <w:p w14:paraId="666D5984">
            <w:pPr>
              <w:autoSpaceDE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是</w:t>
            </w:r>
            <w:r>
              <w:rPr>
                <w:rFonts w:ascii="Times New Roman" w:hAnsi="Times New Roman" w:eastAsia="宋体" w:cs="Segoe UI Symbol"/>
                <w:bCs/>
                <w:color w:val="auto"/>
                <w:kern w:val="2"/>
              </w:rPr>
              <w:t>☑</w:t>
            </w:r>
            <w:r>
              <w:rPr>
                <w:rFonts w:hint="eastAsia" w:ascii="Times New Roman" w:hAnsi="Times New Roman" w:eastAsia="宋体" w:cs="Times New Roman"/>
                <w:bCs/>
                <w:color w:val="auto"/>
                <w:kern w:val="2"/>
              </w:rPr>
              <w:t xml:space="preserve"> 否□</w:t>
            </w:r>
          </w:p>
        </w:tc>
        <w:tc>
          <w:tcPr>
            <w:tcW w:w="1700" w:type="dxa"/>
            <w:tcBorders>
              <w:top w:val="single" w:color="auto" w:sz="4" w:space="0"/>
              <w:left w:val="single" w:color="auto" w:sz="4" w:space="0"/>
              <w:bottom w:val="single" w:color="auto" w:sz="12" w:space="0"/>
              <w:right w:val="single" w:color="auto" w:sz="12" w:space="0"/>
            </w:tcBorders>
            <w:vAlign w:val="center"/>
          </w:tcPr>
          <w:p w14:paraId="5728DAB5">
            <w:pPr>
              <w:autoSpaceDN w:val="0"/>
              <w:spacing w:line="260" w:lineRule="exact"/>
              <w:jc w:val="center"/>
              <w:rPr>
                <w:rFonts w:ascii="Times New Roman" w:hAnsi="Times New Roman" w:eastAsia="宋体" w:cs="Times New Roman"/>
                <w:bCs/>
                <w:color w:val="auto"/>
                <w:kern w:val="2"/>
              </w:rPr>
            </w:pPr>
            <w:r>
              <w:rPr>
                <w:rFonts w:hint="eastAsia" w:ascii="Times New Roman" w:hAnsi="Times New Roman" w:eastAsia="宋体" w:cs="Times New Roman"/>
                <w:bCs/>
                <w:color w:val="auto"/>
                <w:kern w:val="2"/>
              </w:rPr>
              <w:t>不涉及</w:t>
            </w:r>
          </w:p>
        </w:tc>
      </w:tr>
    </w:tbl>
    <w:p w14:paraId="73C85F4B">
      <w:pPr>
        <w:spacing w:line="600" w:lineRule="exact"/>
        <w:ind w:firstLine="560" w:firstLineChars="200"/>
        <w:rPr>
          <w:rFonts w:hint="default" w:ascii="Times New Roman" w:hAnsi="Times New Roman" w:eastAsia="宋体" w:cs="宋体"/>
          <w:bCs w:val="0"/>
          <w:color w:val="0000FF"/>
          <w:kern w:val="2"/>
          <w:sz w:val="28"/>
          <w:szCs w:val="28"/>
          <w:lang w:val="en-US" w:eastAsia="zh-CN"/>
        </w:rPr>
      </w:pPr>
      <w:r>
        <w:rPr>
          <w:rFonts w:hint="eastAsia" w:ascii="Times New Roman" w:hAnsi="Times New Roman" w:eastAsia="宋体" w:cs="Times New Roman"/>
          <w:bCs w:val="0"/>
          <w:color w:val="auto"/>
          <w:kern w:val="2"/>
          <w:sz w:val="28"/>
          <w:szCs w:val="28"/>
        </w:rPr>
        <w:t>评价结果：加油站安全检查表涉及131项检查内容，</w:t>
      </w:r>
      <w:r>
        <w:rPr>
          <w:rFonts w:hint="eastAsia" w:ascii="Times New Roman" w:hAnsi="Times New Roman" w:eastAsia="宋体" w:cs="Times New Roman"/>
          <w:bCs w:val="0"/>
          <w:color w:val="auto"/>
          <w:kern w:val="2"/>
          <w:sz w:val="28"/>
          <w:szCs w:val="28"/>
          <w:lang w:val="en-US" w:eastAsia="zh-CN"/>
        </w:rPr>
        <w:t>2</w:t>
      </w:r>
      <w:r>
        <w:rPr>
          <w:rFonts w:hint="eastAsia" w:ascii="Times New Roman" w:hAnsi="Times New Roman" w:eastAsia="宋体" w:cs="Times New Roman"/>
          <w:bCs w:val="0"/>
          <w:color w:val="auto"/>
          <w:kern w:val="2"/>
          <w:sz w:val="28"/>
          <w:szCs w:val="28"/>
        </w:rPr>
        <w:t>项不符合要求</w:t>
      </w:r>
      <w:r>
        <w:rPr>
          <w:rFonts w:hint="eastAsia" w:ascii="Times New Roman" w:hAnsi="Times New Roman" w:eastAsia="宋体" w:cs="Times New Roman"/>
          <w:bCs w:val="0"/>
          <w:color w:val="auto"/>
          <w:kern w:val="2"/>
          <w:sz w:val="28"/>
          <w:szCs w:val="28"/>
          <w:lang w:eastAsia="zh-CN"/>
        </w:rPr>
        <w:t>：（</w:t>
      </w:r>
      <w:r>
        <w:rPr>
          <w:rFonts w:hint="eastAsia" w:ascii="Times New Roman" w:hAnsi="Times New Roman" w:eastAsia="宋体" w:cs="Times New Roman"/>
          <w:bCs w:val="0"/>
          <w:color w:val="auto"/>
          <w:kern w:val="2"/>
          <w:sz w:val="28"/>
          <w:szCs w:val="28"/>
          <w:lang w:val="en-US" w:eastAsia="zh-CN"/>
        </w:rPr>
        <w:t>1</w:t>
      </w:r>
      <w:r>
        <w:rPr>
          <w:rFonts w:hint="eastAsia" w:ascii="Times New Roman" w:hAnsi="Times New Roman" w:eastAsia="宋体" w:cs="Times New Roman"/>
          <w:bCs w:val="0"/>
          <w:color w:val="auto"/>
          <w:kern w:val="2"/>
          <w:sz w:val="28"/>
          <w:szCs w:val="28"/>
          <w:lang w:eastAsia="zh-CN"/>
        </w:rPr>
        <w:t>）</w:t>
      </w:r>
      <w:r>
        <w:rPr>
          <w:rFonts w:hint="eastAsia" w:ascii="Times New Roman" w:hAnsi="Times New Roman" w:eastAsia="宋体" w:cs="Times New Roman"/>
          <w:bCs w:val="0"/>
          <w:color w:val="auto"/>
          <w:kern w:val="2"/>
          <w:sz w:val="28"/>
          <w:szCs w:val="28"/>
          <w:lang w:val="en-US" w:eastAsia="zh-CN"/>
        </w:rPr>
        <w:t>配电间应急照明灯损坏；（2）油罐设有泄漏检测仪，但未投入使用。</w:t>
      </w:r>
    </w:p>
    <w:p w14:paraId="0B946A44">
      <w:pPr>
        <w:keepLines/>
        <w:pageBreakBefore/>
        <w:widowControl/>
        <w:spacing w:line="600" w:lineRule="exact"/>
        <w:jc w:val="both"/>
        <w:outlineLvl w:val="0"/>
        <w:rPr>
          <w:rFonts w:ascii="Times New Roman" w:hAnsi="Times New Roman" w:eastAsia="宋体" w:cs="Times New Roman"/>
          <w:bCs w:val="0"/>
          <w:color w:val="auto"/>
          <w:kern w:val="2"/>
          <w:sz w:val="28"/>
          <w:szCs w:val="28"/>
        </w:rPr>
      </w:pPr>
      <w:bookmarkStart w:id="211" w:name="_Toc17999"/>
      <w:r>
        <w:rPr>
          <w:rFonts w:hint="eastAsia" w:ascii="Times New Roman" w:hAnsi="Times New Roman" w:eastAsia="宋体" w:cs="Times New Roman"/>
          <w:b/>
          <w:bCs/>
          <w:color w:val="auto"/>
          <w:kern w:val="36"/>
          <w:sz w:val="32"/>
          <w:szCs w:val="32"/>
        </w:rPr>
        <w:t>6</w:t>
      </w:r>
      <w:r>
        <w:rPr>
          <w:rFonts w:ascii="Times New Roman" w:hAnsi="Times New Roman" w:eastAsia="宋体" w:cs="Times New Roman"/>
          <w:b/>
          <w:bCs/>
          <w:color w:val="auto"/>
          <w:kern w:val="36"/>
          <w:sz w:val="32"/>
          <w:szCs w:val="32"/>
        </w:rPr>
        <w:t xml:space="preserve"> </w:t>
      </w:r>
      <w:r>
        <w:rPr>
          <w:rFonts w:hint="eastAsia" w:ascii="Times New Roman" w:hAnsi="Times New Roman" w:eastAsia="宋体" w:cs="宋体"/>
          <w:b/>
          <w:bCs/>
          <w:color w:val="auto"/>
          <w:kern w:val="36"/>
          <w:sz w:val="32"/>
          <w:szCs w:val="32"/>
        </w:rPr>
        <w:t>整改落实情况</w:t>
      </w:r>
      <w:bookmarkEnd w:id="205"/>
      <w:bookmarkEnd w:id="206"/>
      <w:bookmarkEnd w:id="211"/>
    </w:p>
    <w:p w14:paraId="562C2317">
      <w:pPr>
        <w:keepNext/>
        <w:keepLines/>
        <w:spacing w:line="600" w:lineRule="exact"/>
        <w:jc w:val="both"/>
        <w:outlineLvl w:val="1"/>
        <w:rPr>
          <w:rFonts w:ascii="Times New Roman" w:hAnsi="Times New Roman" w:eastAsia="宋体" w:cs="Times New Roman"/>
          <w:b/>
          <w:bCs/>
          <w:color w:val="auto"/>
          <w:kern w:val="2"/>
          <w:sz w:val="28"/>
          <w:szCs w:val="28"/>
        </w:rPr>
      </w:pPr>
      <w:bookmarkStart w:id="212" w:name="_Toc29776"/>
      <w:bookmarkStart w:id="213" w:name="_Toc9008"/>
      <w:bookmarkStart w:id="214" w:name="_Toc20468434"/>
      <w:bookmarkStart w:id="215" w:name="_Toc30200"/>
      <w:bookmarkStart w:id="216" w:name="_Toc427852841"/>
      <w:bookmarkStart w:id="217" w:name="_Toc471312555"/>
      <w:bookmarkStart w:id="218" w:name="_Toc14112"/>
      <w:r>
        <w:rPr>
          <w:rFonts w:hint="eastAsia" w:ascii="Times New Roman" w:hAnsi="Times New Roman" w:eastAsia="宋体" w:cs="Times New Roman"/>
          <w:b/>
          <w:bCs/>
          <w:color w:val="auto"/>
          <w:kern w:val="2"/>
          <w:sz w:val="28"/>
          <w:szCs w:val="28"/>
        </w:rPr>
        <w:t>6.1</w:t>
      </w:r>
      <w:r>
        <w:rPr>
          <w:rFonts w:ascii="Times New Roman" w:hAnsi="Times New Roman" w:eastAsia="宋体" w:cs="Times New Roman"/>
          <w:b/>
          <w:bCs/>
          <w:color w:val="auto"/>
          <w:kern w:val="2"/>
          <w:sz w:val="28"/>
          <w:szCs w:val="28"/>
        </w:rPr>
        <w:t xml:space="preserve"> </w:t>
      </w:r>
      <w:r>
        <w:rPr>
          <w:rFonts w:hint="eastAsia" w:ascii="Times New Roman" w:hAnsi="Times New Roman" w:eastAsia="宋体" w:cs="宋体"/>
          <w:b/>
          <w:bCs/>
          <w:color w:val="auto"/>
          <w:kern w:val="2"/>
          <w:sz w:val="28"/>
          <w:szCs w:val="28"/>
        </w:rPr>
        <w:t>安全设施符合性诊断及整改设计提出的整改项落实情况</w:t>
      </w:r>
      <w:bookmarkEnd w:id="212"/>
    </w:p>
    <w:p w14:paraId="25B7E971">
      <w:pPr>
        <w:widowControl/>
        <w:spacing w:line="360" w:lineRule="auto"/>
        <w:ind w:firstLine="560" w:firstLineChars="200"/>
        <w:jc w:val="both"/>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对照《中国石化销售股份有限公司</w:t>
      </w:r>
      <w:r>
        <w:rPr>
          <w:rFonts w:hint="eastAsia" w:ascii="Times New Roman" w:hAnsi="Times New Roman" w:eastAsia="宋体" w:cs="Times New Roman"/>
          <w:bCs w:val="0"/>
          <w:color w:val="auto"/>
          <w:kern w:val="2"/>
          <w:sz w:val="28"/>
          <w:szCs w:val="28"/>
          <w:lang w:eastAsia="zh-CN"/>
        </w:rPr>
        <w:t>江西赣州兴国石油分公司南坑加油站</w:t>
      </w:r>
      <w:r>
        <w:rPr>
          <w:rFonts w:hint="eastAsia" w:ascii="Times New Roman" w:hAnsi="Times New Roman" w:eastAsia="宋体" w:cs="Times New Roman"/>
          <w:bCs w:val="0"/>
          <w:color w:val="auto"/>
          <w:kern w:val="2"/>
          <w:sz w:val="28"/>
          <w:szCs w:val="28"/>
        </w:rPr>
        <w:t>安全设施符合性诊断及整改设计》</w:t>
      </w:r>
      <w:r>
        <w:rPr>
          <w:rFonts w:hint="eastAsia" w:ascii="Times New Roman" w:hAnsi="Times New Roman" w:eastAsia="宋体" w:cs="Times New Roman"/>
          <w:bCs w:val="0"/>
          <w:color w:val="auto"/>
          <w:kern w:val="2"/>
          <w:sz w:val="28"/>
          <w:szCs w:val="28"/>
          <w:lang w:eastAsia="zh-CN"/>
        </w:rPr>
        <w:t>，在</w:t>
      </w:r>
      <w:r>
        <w:rPr>
          <w:rFonts w:hint="eastAsia" w:ascii="Times New Roman" w:hAnsi="Times New Roman" w:eastAsia="宋体" w:cs="宋体"/>
          <w:bCs w:val="0"/>
          <w:color w:val="auto"/>
          <w:kern w:val="2"/>
          <w:sz w:val="28"/>
          <w:szCs w:val="28"/>
        </w:rPr>
        <w:t>项目诊断及整改设计中提出的整改情况详见下表：</w:t>
      </w:r>
    </w:p>
    <w:p w14:paraId="7F2EE999">
      <w:pPr>
        <w:autoSpaceDE w:val="0"/>
        <w:autoSpaceDN w:val="0"/>
        <w:adjustRightInd w:val="0"/>
        <w:jc w:val="both"/>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w:t>
      </w:r>
      <w:r>
        <w:rPr>
          <w:rFonts w:hint="eastAsia" w:ascii="Times New Roman" w:hAnsi="Times New Roman" w:eastAsia="宋体" w:cs="Times New Roman"/>
          <w:bCs w:val="0"/>
          <w:color w:val="auto"/>
          <w:kern w:val="2"/>
          <w:sz w:val="24"/>
          <w:szCs w:val="24"/>
        </w:rPr>
        <w:t>6.1</w:t>
      </w:r>
      <w:r>
        <w:rPr>
          <w:rFonts w:ascii="Times New Roman" w:hAnsi="Times New Roman" w:eastAsia="宋体" w:cs="Times New Roman"/>
          <w:bCs w:val="0"/>
          <w:color w:val="auto"/>
          <w:kern w:val="2"/>
          <w:sz w:val="24"/>
          <w:szCs w:val="24"/>
        </w:rPr>
        <w:t xml:space="preserve">-1 </w:t>
      </w:r>
      <w:r>
        <w:rPr>
          <w:rFonts w:hint="eastAsia" w:ascii="Times New Roman" w:hAnsi="Times New Roman" w:eastAsia="宋体" w:cs="宋体"/>
          <w:bCs w:val="0"/>
          <w:color w:val="auto"/>
          <w:kern w:val="2"/>
          <w:sz w:val="24"/>
          <w:szCs w:val="24"/>
        </w:rPr>
        <w:t>诊断及整改设计中提出的整改项落实情况</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9"/>
        <w:gridCol w:w="4585"/>
        <w:gridCol w:w="3775"/>
      </w:tblGrid>
      <w:tr w14:paraId="07C0F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blHeader/>
          <w:jc w:val="center"/>
        </w:trPr>
        <w:tc>
          <w:tcPr>
            <w:tcW w:w="839" w:type="dxa"/>
            <w:vAlign w:val="center"/>
          </w:tcPr>
          <w:p w14:paraId="638B7610">
            <w:pPr>
              <w:jc w:val="both"/>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序号</w:t>
            </w:r>
          </w:p>
        </w:tc>
        <w:tc>
          <w:tcPr>
            <w:tcW w:w="4585" w:type="dxa"/>
            <w:vAlign w:val="center"/>
          </w:tcPr>
          <w:p w14:paraId="6CF9862E">
            <w:pPr>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诊断发现的问题</w:t>
            </w:r>
          </w:p>
        </w:tc>
        <w:tc>
          <w:tcPr>
            <w:tcW w:w="3775" w:type="dxa"/>
            <w:vAlign w:val="center"/>
          </w:tcPr>
          <w:p w14:paraId="7CCD5051">
            <w:pPr>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落实情况</w:t>
            </w:r>
          </w:p>
        </w:tc>
      </w:tr>
      <w:tr w14:paraId="50DE6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39" w:type="dxa"/>
            <w:vAlign w:val="center"/>
          </w:tcPr>
          <w:p w14:paraId="6AF17849">
            <w:pPr>
              <w:jc w:val="center"/>
              <w:rPr>
                <w:rFonts w:hint="eastAsia" w:ascii="Times New Roman" w:hAnsi="Times New Roman" w:eastAsia="宋体" w:cs="Times New Roman"/>
                <w:bCs w:val="0"/>
                <w:color w:val="auto"/>
                <w:kern w:val="2"/>
                <w:lang w:eastAsia="zh-CN"/>
              </w:rPr>
            </w:pPr>
            <w:r>
              <w:rPr>
                <w:rFonts w:hint="eastAsia" w:ascii="Times New Roman" w:hAnsi="Times New Roman" w:eastAsia="宋体" w:cs="Times New Roman"/>
                <w:bCs w:val="0"/>
                <w:color w:val="auto"/>
                <w:kern w:val="2"/>
                <w:lang w:val="en-US" w:eastAsia="zh-CN"/>
              </w:rPr>
              <w:t>1</w:t>
            </w:r>
          </w:p>
        </w:tc>
        <w:tc>
          <w:tcPr>
            <w:tcW w:w="4585" w:type="dxa"/>
            <w:shd w:val="clear" w:color="auto" w:fill="auto"/>
            <w:vAlign w:val="center"/>
          </w:tcPr>
          <w:p w14:paraId="73DDB004">
            <w:pPr>
              <w:widowControl/>
              <w:jc w:val="both"/>
              <w:textAlignment w:val="center"/>
              <w:rPr>
                <w:rFonts w:ascii="Times New Roman" w:hAnsi="Times New Roman" w:eastAsia="宋体" w:cs="宋体"/>
                <w:bCs w:val="0"/>
                <w:color w:val="auto"/>
                <w:kern w:val="2"/>
              </w:rPr>
            </w:pPr>
            <w:r>
              <w:rPr>
                <w:rFonts w:hint="eastAsia" w:ascii="Times New Roman" w:hAnsi="Times New Roman" w:eastAsia="宋体" w:cs="宋体"/>
                <w:bCs w:val="0"/>
                <w:color w:val="auto"/>
                <w:kern w:val="2"/>
                <w:lang w:val="en-US" w:eastAsia="zh-CN"/>
              </w:rPr>
              <w:t>缺少安全设计专篇和相关图纸，如工艺流程图、消防器材布置图、视频监控、爆炸危险域划分图、防雷防静电图等图纸。</w:t>
            </w:r>
          </w:p>
        </w:tc>
        <w:tc>
          <w:tcPr>
            <w:tcW w:w="3775" w:type="dxa"/>
            <w:shd w:val="clear" w:color="auto" w:fill="auto"/>
            <w:vAlign w:val="center"/>
          </w:tcPr>
          <w:p w14:paraId="2B429001">
            <w:pPr>
              <w:widowControl/>
              <w:jc w:val="both"/>
              <w:textAlignment w:val="center"/>
              <w:rPr>
                <w:rFonts w:hint="default" w:ascii="Times New Roman" w:hAnsi="Times New Roman" w:eastAsia="宋体" w:cs="宋体"/>
                <w:bCs w:val="0"/>
                <w:color w:val="auto"/>
                <w:kern w:val="2"/>
                <w:lang w:val="en-US"/>
              </w:rPr>
            </w:pPr>
            <w:r>
              <w:rPr>
                <w:rFonts w:hint="eastAsia" w:ascii="Times New Roman" w:hAnsi="Times New Roman" w:eastAsia="宋体" w:cs="宋体"/>
                <w:bCs w:val="0"/>
                <w:color w:val="auto"/>
                <w:kern w:val="2"/>
                <w:lang w:val="en-US" w:eastAsia="zh-CN"/>
              </w:rPr>
              <w:t>已补充相关图纸</w:t>
            </w:r>
          </w:p>
        </w:tc>
      </w:tr>
      <w:tr w14:paraId="59928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39" w:type="dxa"/>
            <w:vAlign w:val="center"/>
          </w:tcPr>
          <w:p w14:paraId="2284371B">
            <w:pPr>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2</w:t>
            </w:r>
          </w:p>
        </w:tc>
        <w:tc>
          <w:tcPr>
            <w:tcW w:w="4585" w:type="dxa"/>
            <w:shd w:val="clear" w:color="auto" w:fill="auto"/>
            <w:vAlign w:val="center"/>
          </w:tcPr>
          <w:p w14:paraId="6460464E">
            <w:pPr>
              <w:widowControl/>
              <w:jc w:val="both"/>
              <w:textAlignment w:val="center"/>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加油站内汽油加油机距离X456县道不满足5m距离要求。</w:t>
            </w:r>
          </w:p>
        </w:tc>
        <w:tc>
          <w:tcPr>
            <w:tcW w:w="3775" w:type="dxa"/>
            <w:shd w:val="clear" w:color="auto" w:fill="auto"/>
            <w:vAlign w:val="center"/>
          </w:tcPr>
          <w:p w14:paraId="042C27CE">
            <w:pPr>
              <w:widowControl/>
              <w:jc w:val="both"/>
              <w:textAlignment w:val="center"/>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加油机与X456县道位置保证5米安全距离。</w:t>
            </w:r>
          </w:p>
        </w:tc>
      </w:tr>
      <w:tr w14:paraId="0A46BF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9" w:type="dxa"/>
            <w:vAlign w:val="center"/>
          </w:tcPr>
          <w:p w14:paraId="3384F762">
            <w:pPr>
              <w:jc w:val="center"/>
              <w:rPr>
                <w:rFonts w:hint="default" w:ascii="Times New Roman" w:hAnsi="Times New Roman" w:eastAsia="宋体" w:cs="Times New Roman"/>
                <w:bCs w:val="0"/>
                <w:color w:val="auto"/>
                <w:kern w:val="2"/>
                <w:lang w:val="en-US" w:eastAsia="zh-CN"/>
              </w:rPr>
            </w:pPr>
            <w:r>
              <w:rPr>
                <w:rFonts w:hint="eastAsia" w:ascii="Times New Roman" w:hAnsi="Times New Roman" w:eastAsia="宋体" w:cs="Times New Roman"/>
                <w:bCs w:val="0"/>
                <w:color w:val="auto"/>
                <w:kern w:val="2"/>
                <w:lang w:val="en-US" w:eastAsia="zh-CN"/>
              </w:rPr>
              <w:t>3</w:t>
            </w:r>
          </w:p>
        </w:tc>
        <w:tc>
          <w:tcPr>
            <w:tcW w:w="4585" w:type="dxa"/>
            <w:shd w:val="clear" w:color="auto" w:fill="auto"/>
            <w:vAlign w:val="center"/>
          </w:tcPr>
          <w:p w14:paraId="0641E9BB">
            <w:pPr>
              <w:widowControl/>
              <w:jc w:val="both"/>
              <w:textAlignment w:val="center"/>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站区实体围墙高度不足2.2米。</w:t>
            </w:r>
          </w:p>
        </w:tc>
        <w:tc>
          <w:tcPr>
            <w:tcW w:w="3775" w:type="dxa"/>
            <w:shd w:val="clear" w:color="auto" w:fill="auto"/>
            <w:vAlign w:val="center"/>
          </w:tcPr>
          <w:p w14:paraId="35E9CCCB">
            <w:pPr>
              <w:widowControl/>
              <w:jc w:val="both"/>
              <w:textAlignment w:val="center"/>
              <w:rPr>
                <w:rFonts w:hint="eastAsia" w:ascii="Times New Roman" w:hAnsi="Times New Roman" w:eastAsia="宋体" w:cs="宋体"/>
                <w:bCs w:val="0"/>
                <w:color w:val="auto"/>
                <w:kern w:val="2"/>
                <w:lang w:val="en-US" w:eastAsia="zh-CN"/>
              </w:rPr>
            </w:pPr>
            <w:r>
              <w:rPr>
                <w:rFonts w:hint="eastAsia" w:ascii="Times New Roman" w:hAnsi="Times New Roman" w:eastAsia="宋体" w:cs="宋体"/>
                <w:bCs w:val="0"/>
                <w:color w:val="auto"/>
                <w:kern w:val="2"/>
                <w:lang w:val="en-US" w:eastAsia="zh-CN"/>
              </w:rPr>
              <w:t>站区实体围墙高度满足要求</w:t>
            </w:r>
          </w:p>
        </w:tc>
      </w:tr>
    </w:tbl>
    <w:p w14:paraId="169AE8B5">
      <w:pPr>
        <w:spacing w:line="600" w:lineRule="exact"/>
        <w:ind w:firstLine="560" w:firstLineChars="200"/>
        <w:jc w:val="both"/>
        <w:rPr>
          <w:rFonts w:ascii="Times New Roman" w:hAnsi="Times New Roman" w:eastAsia="宋体" w:cs="宋体"/>
          <w:bCs w:val="0"/>
          <w:color w:val="auto"/>
          <w:kern w:val="2"/>
          <w:sz w:val="28"/>
          <w:szCs w:val="28"/>
        </w:rPr>
      </w:pPr>
      <w:r>
        <w:rPr>
          <w:rFonts w:hint="eastAsia" w:ascii="Times New Roman" w:hAnsi="Times New Roman" w:eastAsia="宋体" w:cs="宋体"/>
          <w:bCs w:val="0"/>
          <w:color w:val="auto"/>
          <w:kern w:val="2"/>
          <w:sz w:val="28"/>
          <w:szCs w:val="28"/>
        </w:rPr>
        <w:t>中国石化销售股份有限公司</w:t>
      </w:r>
      <w:r>
        <w:rPr>
          <w:rFonts w:hint="eastAsia" w:ascii="Times New Roman" w:hAnsi="Times New Roman" w:eastAsia="宋体" w:cs="宋体"/>
          <w:bCs w:val="0"/>
          <w:color w:val="auto"/>
          <w:kern w:val="2"/>
          <w:sz w:val="28"/>
          <w:szCs w:val="28"/>
          <w:lang w:eastAsia="zh-CN"/>
        </w:rPr>
        <w:t>江西赣州兴国石油分公司南坑加油站</w:t>
      </w:r>
      <w:r>
        <w:rPr>
          <w:rFonts w:hint="eastAsia" w:ascii="Times New Roman" w:hAnsi="Times New Roman" w:eastAsia="宋体" w:cs="宋体"/>
          <w:bCs w:val="0"/>
          <w:color w:val="auto"/>
          <w:kern w:val="2"/>
          <w:sz w:val="28"/>
          <w:szCs w:val="28"/>
        </w:rPr>
        <w:t>对诊断及整改设计中提出的现场问题进行了整改，并出具了整改回复（见附件）详见附件。</w:t>
      </w:r>
    </w:p>
    <w:p w14:paraId="798BCB1C">
      <w:pPr>
        <w:keepNext/>
        <w:keepLines/>
        <w:spacing w:line="600" w:lineRule="exact"/>
        <w:jc w:val="both"/>
        <w:outlineLvl w:val="1"/>
        <w:rPr>
          <w:rFonts w:ascii="Times New Roman" w:hAnsi="Times New Roman" w:eastAsia="宋体" w:cs="Times New Roman"/>
          <w:b/>
          <w:bCs/>
          <w:color w:val="auto"/>
          <w:kern w:val="2"/>
          <w:sz w:val="28"/>
          <w:szCs w:val="28"/>
        </w:rPr>
      </w:pPr>
      <w:bookmarkStart w:id="219" w:name="_Toc30942"/>
      <w:r>
        <w:rPr>
          <w:rFonts w:hint="eastAsia" w:ascii="Times New Roman" w:hAnsi="Times New Roman" w:eastAsia="宋体" w:cs="Times New Roman"/>
          <w:b/>
          <w:bCs/>
          <w:color w:val="auto"/>
          <w:kern w:val="2"/>
          <w:sz w:val="28"/>
          <w:szCs w:val="28"/>
        </w:rPr>
        <w:t>6</w:t>
      </w:r>
      <w:r>
        <w:rPr>
          <w:rFonts w:ascii="Times New Roman" w:hAnsi="Times New Roman" w:eastAsia="宋体" w:cs="Times New Roman"/>
          <w:b/>
          <w:bCs/>
          <w:color w:val="auto"/>
          <w:kern w:val="2"/>
          <w:sz w:val="28"/>
          <w:szCs w:val="28"/>
        </w:rPr>
        <w:t>.</w:t>
      </w:r>
      <w:r>
        <w:rPr>
          <w:rFonts w:hint="eastAsia" w:ascii="Times New Roman" w:hAnsi="Times New Roman" w:eastAsia="宋体" w:cs="Times New Roman"/>
          <w:b/>
          <w:bCs/>
          <w:color w:val="auto"/>
          <w:kern w:val="2"/>
          <w:sz w:val="28"/>
          <w:szCs w:val="28"/>
        </w:rPr>
        <w:t>2</w:t>
      </w:r>
      <w:r>
        <w:rPr>
          <w:rFonts w:hint="eastAsia" w:ascii="Times New Roman" w:hAnsi="Times New Roman" w:eastAsia="宋体" w:cs="宋体"/>
          <w:b/>
          <w:bCs/>
          <w:color w:val="auto"/>
          <w:kern w:val="2"/>
          <w:sz w:val="28"/>
          <w:szCs w:val="28"/>
        </w:rPr>
        <w:t>隐患整改措施</w:t>
      </w:r>
      <w:bookmarkEnd w:id="213"/>
      <w:bookmarkEnd w:id="214"/>
      <w:bookmarkEnd w:id="215"/>
      <w:bookmarkEnd w:id="216"/>
      <w:bookmarkEnd w:id="217"/>
      <w:bookmarkEnd w:id="218"/>
      <w:bookmarkEnd w:id="219"/>
    </w:p>
    <w:p w14:paraId="7BC535FB">
      <w:pPr>
        <w:spacing w:line="600" w:lineRule="exact"/>
        <w:ind w:firstLine="560" w:firstLineChars="200"/>
        <w:jc w:val="both"/>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依据有关法规、标准的要求，评价组对加油站进行了现场核查，检查中发现的隐患</w:t>
      </w:r>
      <w:r>
        <w:rPr>
          <w:rFonts w:hint="eastAsia" w:ascii="Times New Roman" w:hAnsi="Times New Roman" w:eastAsia="宋体" w:cs="宋体"/>
          <w:bCs w:val="0"/>
          <w:color w:val="auto"/>
          <w:kern w:val="2"/>
          <w:sz w:val="28"/>
          <w:szCs w:val="28"/>
          <w:lang w:eastAsia="zh-CN"/>
        </w:rPr>
        <w:t>如下</w:t>
      </w:r>
      <w:r>
        <w:rPr>
          <w:rFonts w:hint="eastAsia" w:ascii="Times New Roman" w:hAnsi="Times New Roman" w:eastAsia="宋体" w:cs="宋体"/>
          <w:bCs w:val="0"/>
          <w:color w:val="auto"/>
          <w:kern w:val="2"/>
          <w:sz w:val="28"/>
          <w:szCs w:val="28"/>
        </w:rPr>
        <w:t>表</w:t>
      </w:r>
      <w:r>
        <w:rPr>
          <w:rFonts w:hint="eastAsia" w:ascii="Times New Roman" w:hAnsi="Times New Roman" w:eastAsia="宋体" w:cs="Times New Roman"/>
          <w:bCs w:val="0"/>
          <w:color w:val="auto"/>
          <w:kern w:val="2"/>
          <w:sz w:val="28"/>
          <w:szCs w:val="28"/>
        </w:rPr>
        <w:t>6.2</w:t>
      </w:r>
      <w:r>
        <w:rPr>
          <w:rFonts w:ascii="Times New Roman" w:hAnsi="Times New Roman" w:eastAsia="宋体" w:cs="Times New Roman"/>
          <w:bCs w:val="0"/>
          <w:color w:val="auto"/>
          <w:kern w:val="2"/>
          <w:sz w:val="28"/>
          <w:szCs w:val="28"/>
        </w:rPr>
        <w:t>-1</w:t>
      </w:r>
      <w:r>
        <w:rPr>
          <w:rFonts w:hint="eastAsia" w:ascii="Times New Roman" w:hAnsi="Times New Roman" w:eastAsia="宋体" w:cs="宋体"/>
          <w:bCs w:val="0"/>
          <w:color w:val="auto"/>
          <w:kern w:val="2"/>
          <w:sz w:val="28"/>
          <w:szCs w:val="28"/>
        </w:rPr>
        <w:t>所示：</w:t>
      </w:r>
    </w:p>
    <w:p w14:paraId="61E9790A">
      <w:pPr>
        <w:autoSpaceDE w:val="0"/>
        <w:autoSpaceDN w:val="0"/>
        <w:adjustRightInd w:val="0"/>
        <w:jc w:val="center"/>
        <w:rPr>
          <w:rFonts w:ascii="Times New Roman" w:hAnsi="Times New Roman" w:eastAsia="宋体" w:cs="宋体"/>
          <w:bCs w:val="0"/>
          <w:color w:val="auto"/>
          <w:kern w:val="2"/>
          <w:sz w:val="24"/>
          <w:szCs w:val="24"/>
        </w:rPr>
      </w:pPr>
      <w:r>
        <w:rPr>
          <w:rFonts w:hint="eastAsia" w:ascii="Times New Roman" w:hAnsi="Times New Roman" w:eastAsia="宋体" w:cs="宋体"/>
          <w:bCs w:val="0"/>
          <w:color w:val="auto"/>
          <w:kern w:val="2"/>
          <w:sz w:val="24"/>
          <w:szCs w:val="24"/>
        </w:rPr>
        <w:t>表6.2-1 隐患整改措施</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4"/>
        <w:gridCol w:w="4614"/>
        <w:gridCol w:w="3800"/>
      </w:tblGrid>
      <w:tr w14:paraId="24E6A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tblHeader/>
          <w:jc w:val="center"/>
        </w:trPr>
        <w:tc>
          <w:tcPr>
            <w:tcW w:w="844" w:type="dxa"/>
            <w:vAlign w:val="center"/>
          </w:tcPr>
          <w:p w14:paraId="5B6B4FD0">
            <w:pPr>
              <w:jc w:val="both"/>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序号</w:t>
            </w:r>
          </w:p>
        </w:tc>
        <w:tc>
          <w:tcPr>
            <w:tcW w:w="4614" w:type="dxa"/>
            <w:vAlign w:val="center"/>
          </w:tcPr>
          <w:p w14:paraId="17F8F670">
            <w:pPr>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现场存在问题</w:t>
            </w:r>
          </w:p>
        </w:tc>
        <w:tc>
          <w:tcPr>
            <w:tcW w:w="3800" w:type="dxa"/>
            <w:vAlign w:val="center"/>
          </w:tcPr>
          <w:p w14:paraId="3DE98DAC">
            <w:pPr>
              <w:jc w:val="center"/>
              <w:rPr>
                <w:rFonts w:ascii="Times New Roman" w:hAnsi="Times New Roman" w:eastAsia="宋体" w:cs="Times New Roman"/>
                <w:b/>
                <w:bCs w:val="0"/>
                <w:color w:val="auto"/>
                <w:kern w:val="2"/>
              </w:rPr>
            </w:pPr>
            <w:r>
              <w:rPr>
                <w:rFonts w:hint="eastAsia" w:ascii="Times New Roman" w:hAnsi="Times New Roman" w:eastAsia="宋体" w:cs="Times New Roman"/>
                <w:b/>
                <w:bCs w:val="0"/>
                <w:color w:val="auto"/>
                <w:kern w:val="2"/>
              </w:rPr>
              <w:t>整改建议</w:t>
            </w:r>
          </w:p>
        </w:tc>
      </w:tr>
      <w:tr w14:paraId="7597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44" w:type="dxa"/>
            <w:vAlign w:val="center"/>
          </w:tcPr>
          <w:p w14:paraId="3972D772">
            <w:pPr>
              <w:jc w:val="center"/>
              <w:rPr>
                <w:rFonts w:ascii="Times New Roman" w:hAnsi="Times New Roman" w:eastAsia="宋体" w:cs="Times New Roman"/>
                <w:bCs w:val="0"/>
                <w:color w:val="auto"/>
                <w:kern w:val="2"/>
              </w:rPr>
            </w:pPr>
            <w:r>
              <w:rPr>
                <w:rFonts w:ascii="Times New Roman" w:hAnsi="Times New Roman" w:eastAsia="宋体" w:cs="Times New Roman"/>
                <w:bCs w:val="0"/>
                <w:color w:val="auto"/>
                <w:kern w:val="2"/>
              </w:rPr>
              <w:t>1</w:t>
            </w:r>
          </w:p>
        </w:tc>
        <w:tc>
          <w:tcPr>
            <w:tcW w:w="4614" w:type="dxa"/>
            <w:shd w:val="clear" w:color="auto" w:fill="auto"/>
            <w:vAlign w:val="center"/>
          </w:tcPr>
          <w:p w14:paraId="360ACDD6">
            <w:pPr>
              <w:jc w:val="center"/>
              <w:rPr>
                <w:rFonts w:ascii="Times New Roman" w:hAnsi="Times New Roman" w:eastAsia="宋体" w:cs="宋体"/>
                <w:bCs w:val="0"/>
                <w:color w:val="auto"/>
                <w:kern w:val="2"/>
              </w:rPr>
            </w:pPr>
            <w:r>
              <w:rPr>
                <w:rFonts w:hint="eastAsia" w:ascii="Times New Roman" w:hAnsi="Times New Roman"/>
                <w:color w:val="auto"/>
                <w:sz w:val="21"/>
                <w:vertAlign w:val="baseline"/>
                <w:lang w:val="en-US" w:eastAsia="zh-CN"/>
              </w:rPr>
              <w:t>配电间应急照明灯损坏。</w:t>
            </w:r>
          </w:p>
        </w:tc>
        <w:tc>
          <w:tcPr>
            <w:tcW w:w="3800" w:type="dxa"/>
            <w:shd w:val="clear" w:color="auto" w:fill="auto"/>
            <w:vAlign w:val="center"/>
          </w:tcPr>
          <w:p w14:paraId="426A97BF">
            <w:pPr>
              <w:jc w:val="center"/>
              <w:rPr>
                <w:rFonts w:ascii="Times New Roman" w:hAnsi="Times New Roman" w:eastAsia="宋体" w:cs="Times New Roman"/>
                <w:bCs w:val="0"/>
                <w:color w:val="auto"/>
                <w:kern w:val="0"/>
                <w:sz w:val="24"/>
                <w:szCs w:val="24"/>
              </w:rPr>
            </w:pPr>
            <w:r>
              <w:rPr>
                <w:rFonts w:hint="eastAsia" w:ascii="Times New Roman" w:hAnsi="Times New Roman"/>
                <w:color w:val="auto"/>
                <w:sz w:val="21"/>
                <w:vertAlign w:val="baseline"/>
                <w:lang w:val="en-US" w:eastAsia="zh-CN"/>
              </w:rPr>
              <w:t>换新。</w:t>
            </w:r>
          </w:p>
        </w:tc>
      </w:tr>
      <w:tr w14:paraId="2E6ADB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44" w:type="dxa"/>
            <w:vAlign w:val="center"/>
          </w:tcPr>
          <w:p w14:paraId="5EB09C47">
            <w:pPr>
              <w:jc w:val="center"/>
              <w:rPr>
                <w:rFonts w:hint="eastAsia" w:ascii="Times New Roman" w:hAnsi="Times New Roman" w:eastAsia="宋体" w:cs="Times New Roman"/>
                <w:bCs w:val="0"/>
                <w:color w:val="auto"/>
                <w:kern w:val="2"/>
                <w:lang w:val="en-US" w:eastAsia="zh-CN"/>
              </w:rPr>
            </w:pPr>
            <w:bookmarkStart w:id="220" w:name="_Toc20468435"/>
            <w:bookmarkStart w:id="221" w:name="_Toc9821"/>
            <w:bookmarkStart w:id="222" w:name="_Toc30063"/>
            <w:bookmarkStart w:id="223" w:name="_Toc30644"/>
            <w:r>
              <w:rPr>
                <w:rFonts w:hint="eastAsia" w:ascii="Times New Roman" w:hAnsi="Times New Roman" w:eastAsia="宋体" w:cs="Times New Roman"/>
                <w:bCs w:val="0"/>
                <w:color w:val="auto"/>
                <w:kern w:val="2"/>
                <w:lang w:val="en-US" w:eastAsia="zh-CN"/>
              </w:rPr>
              <w:t>2</w:t>
            </w:r>
          </w:p>
        </w:tc>
        <w:tc>
          <w:tcPr>
            <w:tcW w:w="4614" w:type="dxa"/>
            <w:shd w:val="clear" w:color="auto" w:fill="auto"/>
            <w:vAlign w:val="center"/>
          </w:tcPr>
          <w:p w14:paraId="01DFC0AC">
            <w:pPr>
              <w:jc w:val="center"/>
              <w:rPr>
                <w:rFonts w:hint="eastAsia" w:ascii="Times New Roman" w:hAnsi="Times New Roman"/>
                <w:color w:val="auto"/>
                <w:sz w:val="21"/>
                <w:vertAlign w:val="baseline"/>
                <w:lang w:val="en-US" w:eastAsia="zh-CN"/>
              </w:rPr>
            </w:pPr>
            <w:r>
              <w:rPr>
                <w:rFonts w:hint="eastAsia" w:ascii="Times New Roman" w:hAnsi="Times New Roman"/>
                <w:color w:val="auto"/>
                <w:vertAlign w:val="baseline"/>
                <w:lang w:val="en-US" w:eastAsia="zh-CN"/>
              </w:rPr>
              <w:t>信息系统UPS电源未投入使用。</w:t>
            </w:r>
          </w:p>
        </w:tc>
        <w:tc>
          <w:tcPr>
            <w:tcW w:w="3800" w:type="dxa"/>
            <w:shd w:val="clear" w:color="auto" w:fill="auto"/>
            <w:vAlign w:val="center"/>
          </w:tcPr>
          <w:p w14:paraId="320D43B9">
            <w:pPr>
              <w:jc w:val="center"/>
              <w:rPr>
                <w:rFonts w:hint="eastAsia" w:ascii="Times New Roman" w:hAnsi="Times New Roman"/>
                <w:color w:val="auto"/>
                <w:sz w:val="21"/>
                <w:vertAlign w:val="baseline"/>
                <w:lang w:val="en-US" w:eastAsia="zh-CN"/>
              </w:rPr>
            </w:pPr>
            <w:r>
              <w:rPr>
                <w:rFonts w:hint="eastAsia" w:ascii="Times New Roman" w:hAnsi="Times New Roman"/>
                <w:color w:val="auto"/>
                <w:vertAlign w:val="baseline"/>
                <w:lang w:val="en-US" w:eastAsia="zh-CN"/>
              </w:rPr>
              <w:t>信息系统配备UPS电源并投入使用。</w:t>
            </w:r>
          </w:p>
        </w:tc>
      </w:tr>
      <w:tr w14:paraId="74DF1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44" w:type="dxa"/>
            <w:vAlign w:val="center"/>
          </w:tcPr>
          <w:p w14:paraId="6421AC5E">
            <w:pPr>
              <w:jc w:val="center"/>
              <w:rPr>
                <w:rFonts w:hint="eastAsia" w:ascii="Times New Roman" w:hAnsi="Times New Roman" w:eastAsia="宋体" w:cs="Times New Roman"/>
                <w:bCs w:val="0"/>
                <w:color w:val="0000FF"/>
                <w:kern w:val="2"/>
                <w:lang w:val="en-US" w:eastAsia="zh-CN"/>
              </w:rPr>
            </w:pPr>
            <w:r>
              <w:rPr>
                <w:rFonts w:hint="eastAsia" w:ascii="Times New Roman" w:hAnsi="Times New Roman" w:eastAsia="宋体" w:cs="Times New Roman"/>
                <w:bCs w:val="0"/>
                <w:color w:val="0000FF"/>
                <w:kern w:val="2"/>
                <w:lang w:val="en-US" w:eastAsia="zh-CN"/>
              </w:rPr>
              <w:t>3</w:t>
            </w:r>
          </w:p>
        </w:tc>
        <w:tc>
          <w:tcPr>
            <w:tcW w:w="4614" w:type="dxa"/>
            <w:shd w:val="clear" w:color="auto" w:fill="auto"/>
            <w:vAlign w:val="center"/>
          </w:tcPr>
          <w:p w14:paraId="5A3CD461">
            <w:pPr>
              <w:jc w:val="center"/>
              <w:rPr>
                <w:rFonts w:hint="eastAsia" w:ascii="Times New Roman" w:hAnsi="Times New Roman"/>
                <w:color w:val="0000FF"/>
                <w:sz w:val="21"/>
                <w:vertAlign w:val="baseline"/>
                <w:lang w:val="en-US" w:eastAsia="zh-CN"/>
              </w:rPr>
            </w:pPr>
            <w:r>
              <w:rPr>
                <w:rFonts w:hint="eastAsia" w:ascii="Times New Roman" w:hAnsi="Times New Roman"/>
                <w:color w:val="auto"/>
                <w:vertAlign w:val="baseline"/>
                <w:lang w:val="en-US" w:eastAsia="zh-CN"/>
              </w:rPr>
              <w:t>泄漏检测仪未投入使用。</w:t>
            </w:r>
          </w:p>
        </w:tc>
        <w:tc>
          <w:tcPr>
            <w:tcW w:w="3800" w:type="dxa"/>
            <w:shd w:val="clear" w:color="auto" w:fill="auto"/>
            <w:vAlign w:val="center"/>
          </w:tcPr>
          <w:p w14:paraId="5203207C">
            <w:pPr>
              <w:jc w:val="center"/>
              <w:rPr>
                <w:rFonts w:hint="eastAsia" w:ascii="Times New Roman" w:hAnsi="Times New Roman"/>
                <w:color w:val="0000FF"/>
                <w:sz w:val="21"/>
                <w:vertAlign w:val="baseline"/>
                <w:lang w:val="en-US" w:eastAsia="zh-CN"/>
              </w:rPr>
            </w:pPr>
            <w:r>
              <w:rPr>
                <w:rFonts w:hint="eastAsia" w:ascii="Times New Roman" w:hAnsi="Times New Roman"/>
                <w:color w:val="auto"/>
                <w:vertAlign w:val="baseline"/>
                <w:lang w:val="en-US" w:eastAsia="zh-CN"/>
              </w:rPr>
              <w:t>按要求投用。</w:t>
            </w:r>
          </w:p>
        </w:tc>
      </w:tr>
    </w:tbl>
    <w:p w14:paraId="4D6EC2A5">
      <w:pPr>
        <w:jc w:val="both"/>
        <w:outlineLvl w:val="1"/>
        <w:rPr>
          <w:rFonts w:ascii="Times New Roman" w:hAnsi="Times New Roman" w:eastAsia="宋体" w:cs="Times New Roman"/>
          <w:b/>
          <w:bCs/>
          <w:color w:val="auto"/>
          <w:kern w:val="2"/>
          <w:sz w:val="28"/>
          <w:szCs w:val="28"/>
        </w:rPr>
      </w:pPr>
      <w:r>
        <w:rPr>
          <w:rFonts w:hint="eastAsia" w:ascii="Times New Roman" w:hAnsi="Times New Roman" w:eastAsia="宋体" w:cs="Times New Roman"/>
          <w:b/>
          <w:bCs/>
          <w:color w:val="auto"/>
          <w:kern w:val="2"/>
          <w:sz w:val="28"/>
          <w:szCs w:val="28"/>
        </w:rPr>
        <w:t>6</w:t>
      </w:r>
      <w:r>
        <w:rPr>
          <w:rFonts w:ascii="Times New Roman" w:hAnsi="Times New Roman" w:eastAsia="宋体" w:cs="Times New Roman"/>
          <w:b/>
          <w:bCs/>
          <w:color w:val="auto"/>
          <w:kern w:val="2"/>
          <w:sz w:val="28"/>
          <w:szCs w:val="28"/>
        </w:rPr>
        <w:t>.</w:t>
      </w:r>
      <w:r>
        <w:rPr>
          <w:rFonts w:hint="eastAsia" w:ascii="Times New Roman" w:hAnsi="Times New Roman" w:eastAsia="宋体" w:cs="Times New Roman"/>
          <w:b/>
          <w:bCs/>
          <w:color w:val="auto"/>
          <w:kern w:val="2"/>
          <w:sz w:val="28"/>
          <w:szCs w:val="28"/>
        </w:rPr>
        <w:t>3</w:t>
      </w:r>
      <w:r>
        <w:rPr>
          <w:rFonts w:ascii="Times New Roman" w:hAnsi="Times New Roman" w:eastAsia="宋体" w:cs="Times New Roman"/>
          <w:b/>
          <w:bCs/>
          <w:color w:val="auto"/>
          <w:kern w:val="2"/>
          <w:sz w:val="28"/>
          <w:szCs w:val="28"/>
        </w:rPr>
        <w:t xml:space="preserve"> </w:t>
      </w:r>
      <w:r>
        <w:rPr>
          <w:rFonts w:hint="eastAsia" w:ascii="Times New Roman" w:hAnsi="Times New Roman" w:eastAsia="宋体" w:cs="宋体"/>
          <w:b/>
          <w:bCs/>
          <w:color w:val="auto"/>
          <w:kern w:val="2"/>
          <w:sz w:val="28"/>
          <w:szCs w:val="28"/>
        </w:rPr>
        <w:t>整改</w:t>
      </w:r>
      <w:bookmarkEnd w:id="220"/>
      <w:r>
        <w:rPr>
          <w:rFonts w:hint="eastAsia" w:ascii="Times New Roman" w:hAnsi="Times New Roman" w:eastAsia="宋体" w:cs="宋体"/>
          <w:b/>
          <w:bCs/>
          <w:color w:val="auto"/>
          <w:kern w:val="2"/>
          <w:sz w:val="28"/>
          <w:szCs w:val="28"/>
        </w:rPr>
        <w:t>落实情况</w:t>
      </w:r>
      <w:bookmarkEnd w:id="221"/>
      <w:bookmarkEnd w:id="222"/>
      <w:bookmarkEnd w:id="223"/>
    </w:p>
    <w:p w14:paraId="74EA8CA0">
      <w:pPr>
        <w:spacing w:line="360" w:lineRule="auto"/>
        <w:ind w:firstLine="560" w:firstLineChars="200"/>
        <w:jc w:val="both"/>
        <w:rPr>
          <w:rFonts w:ascii="Times New Roman" w:hAnsi="Times New Roman" w:eastAsia="宋体" w:cs="Times New Roman"/>
          <w:bCs w:val="0"/>
          <w:color w:val="auto"/>
          <w:kern w:val="2"/>
          <w:sz w:val="28"/>
          <w:szCs w:val="28"/>
        </w:rPr>
      </w:pPr>
      <w:r>
        <w:rPr>
          <w:rFonts w:hint="eastAsia" w:ascii="Times New Roman" w:hAnsi="Times New Roman" w:eastAsia="宋体" w:cs="宋体"/>
          <w:bCs w:val="0"/>
          <w:color w:val="auto"/>
          <w:kern w:val="2"/>
          <w:sz w:val="28"/>
          <w:szCs w:val="28"/>
        </w:rPr>
        <w:t>中国石化销售股份有限公司</w:t>
      </w:r>
      <w:r>
        <w:rPr>
          <w:rFonts w:hint="eastAsia" w:ascii="Times New Roman" w:hAnsi="Times New Roman" w:eastAsia="宋体" w:cs="宋体"/>
          <w:bCs w:val="0"/>
          <w:color w:val="auto"/>
          <w:kern w:val="2"/>
          <w:sz w:val="28"/>
          <w:szCs w:val="28"/>
          <w:lang w:eastAsia="zh-CN"/>
        </w:rPr>
        <w:t>江西赣州兴国石油分公司南坑加油站</w:t>
      </w:r>
      <w:r>
        <w:rPr>
          <w:rFonts w:hint="eastAsia" w:ascii="Times New Roman" w:hAnsi="Times New Roman" w:eastAsia="宋体" w:cs="宋体"/>
          <w:bCs w:val="0"/>
          <w:color w:val="auto"/>
          <w:kern w:val="2"/>
          <w:sz w:val="28"/>
          <w:szCs w:val="28"/>
        </w:rPr>
        <w:t>对评价组提出的现场问题进行了整改，评价组对加油站现场进行了复核，加油站对评价组和诊断设计中提出的整改项已完成整改。整改回复见附件。</w:t>
      </w:r>
    </w:p>
    <w:p w14:paraId="1A1CADC7">
      <w:pPr>
        <w:outlineLvl w:val="1"/>
        <w:rPr>
          <w:rFonts w:ascii="Times New Roman" w:hAnsi="Times New Roman" w:eastAsia="宋体" w:cs="宋体"/>
          <w:b/>
          <w:bCs/>
          <w:color w:val="auto"/>
          <w:kern w:val="2"/>
          <w:sz w:val="28"/>
          <w:szCs w:val="28"/>
        </w:rPr>
      </w:pPr>
      <w:bookmarkStart w:id="224" w:name="_Toc27939"/>
      <w:r>
        <w:rPr>
          <w:rFonts w:hint="eastAsia" w:ascii="Times New Roman" w:hAnsi="Times New Roman" w:eastAsia="宋体" w:cs="Times New Roman"/>
          <w:b/>
          <w:bCs/>
          <w:color w:val="auto"/>
          <w:kern w:val="2"/>
          <w:sz w:val="28"/>
          <w:szCs w:val="28"/>
        </w:rPr>
        <w:t>6</w:t>
      </w:r>
      <w:r>
        <w:rPr>
          <w:rFonts w:ascii="Times New Roman" w:hAnsi="Times New Roman" w:eastAsia="宋体" w:cs="Times New Roman"/>
          <w:b/>
          <w:bCs/>
          <w:color w:val="auto"/>
          <w:kern w:val="2"/>
          <w:sz w:val="28"/>
          <w:szCs w:val="28"/>
        </w:rPr>
        <w:t>.</w:t>
      </w:r>
      <w:r>
        <w:rPr>
          <w:rFonts w:hint="eastAsia" w:ascii="Times New Roman" w:hAnsi="Times New Roman" w:eastAsia="宋体" w:cs="Times New Roman"/>
          <w:b/>
          <w:bCs/>
          <w:color w:val="auto"/>
          <w:kern w:val="2"/>
          <w:sz w:val="28"/>
          <w:szCs w:val="28"/>
        </w:rPr>
        <w:t>4</w:t>
      </w:r>
      <w:r>
        <w:rPr>
          <w:rFonts w:ascii="Times New Roman" w:hAnsi="Times New Roman" w:eastAsia="宋体" w:cs="Times New Roman"/>
          <w:b/>
          <w:bCs/>
          <w:color w:val="auto"/>
          <w:kern w:val="2"/>
          <w:sz w:val="28"/>
          <w:szCs w:val="28"/>
        </w:rPr>
        <w:t xml:space="preserve"> </w:t>
      </w:r>
      <w:r>
        <w:rPr>
          <w:rFonts w:hint="eastAsia" w:ascii="Times New Roman" w:hAnsi="Times New Roman" w:eastAsia="宋体" w:cs="宋体"/>
          <w:b/>
          <w:bCs/>
          <w:color w:val="auto"/>
          <w:kern w:val="2"/>
          <w:sz w:val="28"/>
          <w:szCs w:val="28"/>
        </w:rPr>
        <w:t>建议补充的安全对策措施</w:t>
      </w:r>
      <w:bookmarkEnd w:id="224"/>
    </w:p>
    <w:p w14:paraId="51DA5590">
      <w:pPr>
        <w:numPr>
          <w:ilvl w:val="0"/>
          <w:numId w:val="16"/>
        </w:numPr>
        <w:tabs>
          <w:tab w:val="left" w:pos="900"/>
        </w:tabs>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该加油站进、出口均具有一定的坡度，在加油车辆较多时，加油站应加强加油车辆的引导工作。</w:t>
      </w:r>
    </w:p>
    <w:p w14:paraId="33745F2B">
      <w:pPr>
        <w:numPr>
          <w:ilvl w:val="0"/>
          <w:numId w:val="16"/>
        </w:numPr>
        <w:tabs>
          <w:tab w:val="left" w:pos="900"/>
        </w:tabs>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lang w:val="en-US" w:eastAsia="zh-CN"/>
        </w:rPr>
        <w:t>按照《化工和危险化学品生产经营企业重大生产安全事故隐患判定准则》AQ3067-2026开展隐患自查，对查出的的隐患积极整改，形成记录。</w:t>
      </w:r>
    </w:p>
    <w:p w14:paraId="209FF52C">
      <w:pPr>
        <w:numPr>
          <w:ilvl w:val="0"/>
          <w:numId w:val="16"/>
        </w:numPr>
        <w:tabs>
          <w:tab w:val="left" w:pos="900"/>
        </w:tabs>
        <w:spacing w:line="360" w:lineRule="auto"/>
        <w:ind w:firstLine="560" w:firstLineChars="200"/>
        <w:rPr>
          <w:rFonts w:ascii="Times New Roman" w:hAnsi="Times New Roman" w:eastAsia="宋体" w:cs="Times New Roman"/>
          <w:bCs w:val="0"/>
          <w:color w:val="auto"/>
          <w:kern w:val="2"/>
          <w:sz w:val="28"/>
          <w:szCs w:val="28"/>
        </w:rPr>
      </w:pPr>
      <w:r>
        <w:rPr>
          <w:rFonts w:hint="eastAsia" w:ascii="Times New Roman" w:hAnsi="Times New Roman" w:eastAsia="宋体" w:cs="Times New Roman"/>
          <w:bCs w:val="0"/>
          <w:color w:val="auto"/>
          <w:kern w:val="2"/>
          <w:sz w:val="28"/>
          <w:szCs w:val="28"/>
        </w:rPr>
        <w:t>按《危险化学品经营许可证管理办法</w:t>
      </w:r>
      <w:r>
        <w:rPr>
          <w:rFonts w:hint="eastAsia" w:ascii="Times New Roman" w:hAnsi="Times New Roman" w:eastAsia="宋体" w:cs="Times New Roman"/>
          <w:bCs w:val="0"/>
          <w:color w:val="auto"/>
          <w:kern w:val="2"/>
          <w:sz w:val="28"/>
          <w:szCs w:val="28"/>
          <w:lang w:eastAsia="zh-CN"/>
        </w:rPr>
        <w:t>》《</w:t>
      </w:r>
      <w:r>
        <w:rPr>
          <w:rFonts w:hint="eastAsia" w:ascii="Times New Roman" w:hAnsi="Times New Roman" w:eastAsia="宋体" w:cs="Times New Roman"/>
          <w:bCs w:val="0"/>
          <w:color w:val="auto"/>
          <w:kern w:val="2"/>
          <w:sz w:val="28"/>
          <w:szCs w:val="28"/>
        </w:rPr>
        <w:t>江西省安全生产条例》的要求进一步完善安全生产规章制度。</w:t>
      </w:r>
      <w:r>
        <w:rPr>
          <w:rFonts w:ascii="Times New Roman" w:hAnsi="Times New Roman" w:eastAsia="宋体" w:cs="Times New Roman"/>
          <w:bCs w:val="0"/>
          <w:color w:val="auto"/>
          <w:kern w:val="2"/>
          <w:sz w:val="28"/>
          <w:szCs w:val="28"/>
        </w:rPr>
        <w:t>建议进一步加强安全管理工作，</w:t>
      </w:r>
      <w:r>
        <w:rPr>
          <w:rFonts w:hint="eastAsia" w:ascii="Times New Roman" w:hAnsi="Times New Roman" w:eastAsia="宋体" w:cs="Times New Roman"/>
          <w:bCs w:val="0"/>
          <w:color w:val="auto"/>
          <w:kern w:val="2"/>
          <w:sz w:val="28"/>
          <w:szCs w:val="28"/>
        </w:rPr>
        <w:t>注重安全教育培训，</w:t>
      </w:r>
      <w:r>
        <w:rPr>
          <w:rFonts w:ascii="Times New Roman" w:hAnsi="Times New Roman" w:eastAsia="宋体" w:cs="Times New Roman"/>
          <w:bCs w:val="0"/>
          <w:color w:val="auto"/>
          <w:kern w:val="2"/>
          <w:sz w:val="28"/>
          <w:szCs w:val="28"/>
        </w:rPr>
        <w:t>认真落实安全管理制度</w:t>
      </w:r>
      <w:r>
        <w:rPr>
          <w:rFonts w:hint="eastAsia" w:ascii="Times New Roman" w:hAnsi="Times New Roman" w:eastAsia="宋体" w:cs="Times New Roman"/>
          <w:bCs w:val="0"/>
          <w:color w:val="auto"/>
          <w:kern w:val="2"/>
          <w:sz w:val="28"/>
          <w:szCs w:val="28"/>
        </w:rPr>
        <w:t>。</w:t>
      </w:r>
    </w:p>
    <w:p w14:paraId="76C4BCBA">
      <w:pPr>
        <w:numPr>
          <w:ilvl w:val="0"/>
          <w:numId w:val="16"/>
        </w:numPr>
        <w:tabs>
          <w:tab w:val="left" w:pos="900"/>
        </w:tabs>
        <w:spacing w:line="360" w:lineRule="auto"/>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严格执行规章制度和操作规程，防止事故发生</w:t>
      </w:r>
      <w:r>
        <w:rPr>
          <w:rFonts w:hint="eastAsia" w:ascii="Times New Roman" w:hAnsi="Times New Roman" w:eastAsia="宋体" w:cs="Times New Roman"/>
          <w:bCs w:val="0"/>
          <w:color w:val="auto"/>
          <w:kern w:val="2"/>
          <w:sz w:val="28"/>
          <w:szCs w:val="28"/>
        </w:rPr>
        <w:t>。</w:t>
      </w:r>
    </w:p>
    <w:p w14:paraId="0F895602">
      <w:pPr>
        <w:numPr>
          <w:ilvl w:val="0"/>
          <w:numId w:val="16"/>
        </w:numPr>
        <w:spacing w:line="360" w:lineRule="auto"/>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加强现场管理工作，</w:t>
      </w:r>
      <w:r>
        <w:rPr>
          <w:rFonts w:hint="eastAsia" w:ascii="Times New Roman" w:hAnsi="Times New Roman" w:eastAsia="宋体" w:cs="Times New Roman"/>
          <w:bCs w:val="0"/>
          <w:color w:val="auto"/>
          <w:kern w:val="2"/>
          <w:sz w:val="28"/>
          <w:szCs w:val="28"/>
        </w:rPr>
        <w:t>严格控制明火、静电等点火源。</w:t>
      </w:r>
    </w:p>
    <w:p w14:paraId="58DB2BAC">
      <w:pPr>
        <w:numPr>
          <w:ilvl w:val="0"/>
          <w:numId w:val="16"/>
        </w:numPr>
        <w:spacing w:line="360" w:lineRule="auto"/>
        <w:ind w:firstLine="560" w:firstLineChars="200"/>
        <w:rPr>
          <w:rFonts w:ascii="Times New Roman" w:hAnsi="Times New Roman" w:eastAsia="宋体" w:cs="Times New Roman"/>
          <w:bCs w:val="0"/>
          <w:color w:val="auto"/>
          <w:kern w:val="2"/>
          <w:sz w:val="28"/>
          <w:szCs w:val="28"/>
        </w:rPr>
      </w:pPr>
      <w:r>
        <w:rPr>
          <w:rFonts w:ascii="Times New Roman" w:hAnsi="Times New Roman" w:eastAsia="宋体" w:cs="Times New Roman"/>
          <w:bCs w:val="0"/>
          <w:color w:val="auto"/>
          <w:kern w:val="2"/>
          <w:sz w:val="28"/>
          <w:szCs w:val="28"/>
        </w:rPr>
        <w:t>定期对员工进行消防知识培训，</w:t>
      </w:r>
      <w:r>
        <w:rPr>
          <w:rFonts w:hint="eastAsia" w:ascii="Times New Roman" w:hAnsi="Times New Roman" w:eastAsia="宋体" w:cs="Times New Roman"/>
          <w:bCs w:val="0"/>
          <w:color w:val="auto"/>
          <w:kern w:val="2"/>
          <w:sz w:val="28"/>
          <w:szCs w:val="28"/>
        </w:rPr>
        <w:t>使从业人员</w:t>
      </w:r>
      <w:r>
        <w:rPr>
          <w:rFonts w:hint="eastAsia" w:ascii="Times New Roman" w:hAnsi="Times New Roman" w:eastAsia="宋体" w:cs="Times New Roman"/>
          <w:bCs w:val="0"/>
          <w:color w:val="auto"/>
          <w:kern w:val="2"/>
          <w:sz w:val="28"/>
          <w:szCs w:val="28"/>
          <w:lang w:eastAsia="zh-CN"/>
        </w:rPr>
        <w:t>熟悉</w:t>
      </w:r>
      <w:r>
        <w:rPr>
          <w:rFonts w:hint="eastAsia" w:ascii="Times New Roman" w:hAnsi="Times New Roman" w:eastAsia="宋体" w:cs="Times New Roman"/>
          <w:bCs w:val="0"/>
          <w:color w:val="auto"/>
          <w:kern w:val="2"/>
          <w:sz w:val="28"/>
          <w:szCs w:val="28"/>
        </w:rPr>
        <w:t>本岗位危险因素，熟练掌握</w:t>
      </w:r>
      <w:r>
        <w:rPr>
          <w:rFonts w:ascii="Times New Roman" w:hAnsi="Times New Roman" w:eastAsia="宋体" w:cs="Times New Roman"/>
          <w:bCs w:val="0"/>
          <w:color w:val="auto"/>
          <w:kern w:val="2"/>
          <w:sz w:val="28"/>
          <w:szCs w:val="28"/>
        </w:rPr>
        <w:t>预防火灾</w:t>
      </w:r>
      <w:r>
        <w:rPr>
          <w:rFonts w:hint="eastAsia" w:ascii="Times New Roman" w:hAnsi="Times New Roman" w:eastAsia="宋体" w:cs="Times New Roman"/>
          <w:bCs w:val="0"/>
          <w:color w:val="auto"/>
          <w:kern w:val="2"/>
          <w:sz w:val="28"/>
          <w:szCs w:val="28"/>
        </w:rPr>
        <w:t>、</w:t>
      </w:r>
      <w:r>
        <w:rPr>
          <w:rFonts w:ascii="Times New Roman" w:hAnsi="Times New Roman" w:eastAsia="宋体" w:cs="Times New Roman"/>
          <w:bCs w:val="0"/>
          <w:color w:val="auto"/>
          <w:kern w:val="2"/>
          <w:sz w:val="28"/>
          <w:szCs w:val="28"/>
        </w:rPr>
        <w:t>消防器材</w:t>
      </w:r>
      <w:r>
        <w:rPr>
          <w:rFonts w:hint="eastAsia" w:ascii="Times New Roman" w:hAnsi="Times New Roman" w:eastAsia="宋体" w:cs="Times New Roman"/>
          <w:bCs w:val="0"/>
          <w:color w:val="auto"/>
          <w:kern w:val="2"/>
          <w:sz w:val="28"/>
          <w:szCs w:val="28"/>
        </w:rPr>
        <w:t>使用技能。</w:t>
      </w:r>
    </w:p>
    <w:p w14:paraId="3F18AA74">
      <w:pPr>
        <w:numPr>
          <w:ilvl w:val="0"/>
          <w:numId w:val="16"/>
        </w:numPr>
        <w:spacing w:line="360" w:lineRule="auto"/>
        <w:ind w:firstLine="560" w:firstLineChars="200"/>
        <w:rPr>
          <w:rFonts w:ascii="Times New Roman" w:hAnsi="Times New Roman" w:eastAsia="宋体" w:cs="Times New Roman"/>
          <w:bCs w:val="0"/>
          <w:color w:val="auto"/>
          <w:kern w:val="2"/>
          <w:sz w:val="28"/>
          <w:szCs w:val="28"/>
        </w:rPr>
      </w:pPr>
      <w:bookmarkStart w:id="225" w:name="_Toc59092822"/>
      <w:bookmarkStart w:id="226" w:name="_Toc59091646"/>
      <w:bookmarkStart w:id="227" w:name="_Toc59087153"/>
      <w:bookmarkStart w:id="228" w:name="_Toc59160145"/>
      <w:bookmarkStart w:id="229" w:name="_Toc59091927"/>
      <w:bookmarkStart w:id="230" w:name="_Toc59508645"/>
      <w:bookmarkStart w:id="231" w:name="_Toc59160017"/>
      <w:bookmarkStart w:id="232" w:name="_Toc59092445"/>
      <w:bookmarkStart w:id="233" w:name="_Toc59245419"/>
      <w:bookmarkStart w:id="234" w:name="_Toc59160081"/>
      <w:r>
        <w:rPr>
          <w:rFonts w:hint="eastAsia" w:ascii="Times New Roman" w:hAnsi="Times New Roman" w:eastAsia="宋体" w:cs="Times New Roman"/>
          <w:bCs w:val="0"/>
          <w:color w:val="auto"/>
          <w:kern w:val="2"/>
          <w:sz w:val="28"/>
          <w:szCs w:val="28"/>
        </w:rPr>
        <w:t>定期对防雷装置、消防器材等进行检测、检查，</w:t>
      </w:r>
      <w:r>
        <w:rPr>
          <w:rFonts w:ascii="Times New Roman" w:hAnsi="Times New Roman" w:eastAsia="宋体" w:cs="Times New Roman"/>
          <w:bCs w:val="0"/>
          <w:color w:val="auto"/>
          <w:kern w:val="2"/>
          <w:sz w:val="28"/>
          <w:szCs w:val="28"/>
        </w:rPr>
        <w:t>维护好</w:t>
      </w:r>
      <w:r>
        <w:rPr>
          <w:rFonts w:hint="eastAsia" w:ascii="Times New Roman" w:hAnsi="Times New Roman" w:eastAsia="宋体" w:cs="Times New Roman"/>
          <w:bCs w:val="0"/>
          <w:color w:val="auto"/>
          <w:kern w:val="2"/>
          <w:sz w:val="28"/>
          <w:szCs w:val="28"/>
        </w:rPr>
        <w:t>安全</w:t>
      </w:r>
      <w:r>
        <w:rPr>
          <w:rFonts w:ascii="Times New Roman" w:hAnsi="Times New Roman" w:eastAsia="宋体" w:cs="Times New Roman"/>
          <w:bCs w:val="0"/>
          <w:color w:val="auto"/>
          <w:kern w:val="2"/>
          <w:sz w:val="28"/>
          <w:szCs w:val="28"/>
        </w:rPr>
        <w:t>设备设施，进一步提高本质安全度，达到安全经营的目的。</w:t>
      </w:r>
    </w:p>
    <w:bookmarkEnd w:id="225"/>
    <w:bookmarkEnd w:id="226"/>
    <w:bookmarkEnd w:id="227"/>
    <w:bookmarkEnd w:id="228"/>
    <w:bookmarkEnd w:id="229"/>
    <w:bookmarkEnd w:id="230"/>
    <w:bookmarkEnd w:id="231"/>
    <w:bookmarkEnd w:id="232"/>
    <w:bookmarkEnd w:id="233"/>
    <w:bookmarkEnd w:id="234"/>
    <w:p w14:paraId="62B8FF4B">
      <w:pPr>
        <w:numPr>
          <w:ilvl w:val="0"/>
          <w:numId w:val="16"/>
        </w:numPr>
        <w:spacing w:line="360" w:lineRule="auto"/>
        <w:ind w:firstLine="560" w:firstLineChars="200"/>
        <w:rPr>
          <w:rFonts w:ascii="Times New Roman" w:hAnsi="Times New Roman" w:eastAsia="宋体" w:cs="宋体"/>
          <w:bCs w:val="0"/>
          <w:color w:val="auto"/>
          <w:kern w:val="2"/>
          <w:sz w:val="28"/>
          <w:szCs w:val="28"/>
        </w:rPr>
      </w:pPr>
      <w:r>
        <w:rPr>
          <w:rFonts w:hint="eastAsia" w:ascii="Times New Roman" w:hAnsi="Times New Roman" w:eastAsia="宋体" w:cs="Times New Roman"/>
          <w:bCs w:val="0"/>
          <w:color w:val="auto"/>
          <w:kern w:val="2"/>
          <w:sz w:val="28"/>
          <w:szCs w:val="28"/>
        </w:rPr>
        <w:t>定期对</w:t>
      </w:r>
      <w:r>
        <w:rPr>
          <w:rFonts w:ascii="Times New Roman" w:hAnsi="Times New Roman" w:eastAsia="宋体" w:cs="Times New Roman"/>
          <w:bCs w:val="0"/>
          <w:color w:val="auto"/>
          <w:kern w:val="2"/>
          <w:sz w:val="28"/>
          <w:szCs w:val="28"/>
        </w:rPr>
        <w:t>应急预案</w:t>
      </w:r>
      <w:r>
        <w:rPr>
          <w:rFonts w:hint="eastAsia" w:ascii="Times New Roman" w:hAnsi="Times New Roman" w:eastAsia="宋体" w:cs="Times New Roman"/>
          <w:bCs w:val="0"/>
          <w:color w:val="auto"/>
          <w:kern w:val="2"/>
          <w:sz w:val="28"/>
          <w:szCs w:val="28"/>
        </w:rPr>
        <w:t>进行分析评估</w:t>
      </w:r>
      <w:r>
        <w:rPr>
          <w:rFonts w:ascii="Times New Roman" w:hAnsi="Times New Roman" w:eastAsia="宋体" w:cs="Times New Roman"/>
          <w:bCs w:val="0"/>
          <w:color w:val="auto"/>
          <w:kern w:val="2"/>
          <w:sz w:val="28"/>
          <w:szCs w:val="28"/>
        </w:rPr>
        <w:t>，对预案内容的针对性和实用性进行分析，及时修订应急预案</w:t>
      </w:r>
      <w:r>
        <w:rPr>
          <w:rFonts w:hint="eastAsia" w:ascii="Times New Roman" w:hAnsi="Times New Roman" w:eastAsia="宋体" w:cs="Times New Roman"/>
          <w:bCs w:val="0"/>
          <w:color w:val="auto"/>
          <w:kern w:val="2"/>
          <w:sz w:val="28"/>
          <w:szCs w:val="28"/>
        </w:rPr>
        <w:t>。</w:t>
      </w:r>
    </w:p>
    <w:p w14:paraId="234B791C">
      <w:pPr>
        <w:widowControl w:val="0"/>
        <w:autoSpaceDE w:val="0"/>
        <w:autoSpaceDN w:val="0"/>
        <w:adjustRightInd w:val="0"/>
        <w:spacing w:line="360" w:lineRule="auto"/>
        <w:ind w:firstLine="0"/>
        <w:jc w:val="both"/>
        <w:outlineLvl w:val="0"/>
        <w:rPr>
          <w:rFonts w:ascii="Times New Roman" w:hAnsi="Times New Roman" w:eastAsia="宋体" w:cs="Times New Roman"/>
          <w:b/>
          <w:bCs/>
          <w:color w:val="auto"/>
          <w:kern w:val="0"/>
          <w:sz w:val="28"/>
          <w:szCs w:val="28"/>
          <w:lang w:val="en-US" w:eastAsia="zh-CN" w:bidi="ar-SA"/>
        </w:rPr>
      </w:pPr>
      <w:r>
        <w:rPr>
          <w:rFonts w:ascii="Times New Roman" w:hAnsi="Times New Roman" w:eastAsia="宋体" w:cs="Times New Roman"/>
          <w:b/>
          <w:bCs/>
          <w:color w:val="auto"/>
          <w:kern w:val="36"/>
          <w:sz w:val="28"/>
          <w:szCs w:val="28"/>
          <w:lang w:val="en-US" w:eastAsia="zh-CN" w:bidi="ar-SA"/>
        </w:rPr>
        <w:br w:type="page"/>
      </w:r>
      <w:bookmarkEnd w:id="207"/>
      <w:bookmarkEnd w:id="208"/>
      <w:bookmarkEnd w:id="209"/>
      <w:bookmarkStart w:id="235" w:name="_Toc343692278"/>
      <w:bookmarkStart w:id="236" w:name="_Toc7092"/>
      <w:bookmarkStart w:id="237" w:name="_Toc20557"/>
      <w:bookmarkStart w:id="238" w:name="_Toc12463"/>
      <w:r>
        <w:rPr>
          <w:rFonts w:hint="eastAsia" w:ascii="Times New Roman" w:hAnsi="Times New Roman" w:eastAsia="宋体" w:cs="Times New Roman"/>
          <w:b/>
          <w:bCs/>
          <w:color w:val="auto"/>
          <w:kern w:val="36"/>
          <w:sz w:val="28"/>
          <w:szCs w:val="28"/>
          <w:lang w:val="en-US" w:eastAsia="zh-CN" w:bidi="ar-SA"/>
        </w:rPr>
        <w:t>7</w:t>
      </w:r>
      <w:r>
        <w:rPr>
          <w:rFonts w:ascii="Times New Roman" w:hAnsi="Times New Roman" w:eastAsia="宋体" w:cs="Times New Roman"/>
          <w:b/>
          <w:bCs/>
          <w:color w:val="auto"/>
          <w:kern w:val="36"/>
          <w:sz w:val="28"/>
          <w:szCs w:val="28"/>
          <w:lang w:val="en-US" w:eastAsia="zh-CN" w:bidi="ar-SA"/>
        </w:rPr>
        <w:t xml:space="preserve"> </w:t>
      </w:r>
      <w:r>
        <w:rPr>
          <w:rFonts w:hint="eastAsia" w:ascii="Times New Roman" w:hAnsi="Times New Roman" w:eastAsia="宋体" w:cs="Times New Roman"/>
          <w:b/>
          <w:bCs/>
          <w:color w:val="auto"/>
          <w:kern w:val="36"/>
          <w:sz w:val="28"/>
          <w:szCs w:val="28"/>
          <w:lang w:val="en-US" w:eastAsia="zh-CN" w:bidi="ar-SA"/>
        </w:rPr>
        <w:t>安全验收评价结论</w:t>
      </w:r>
      <w:bookmarkEnd w:id="235"/>
      <w:bookmarkEnd w:id="236"/>
      <w:bookmarkEnd w:id="237"/>
      <w:bookmarkEnd w:id="238"/>
    </w:p>
    <w:p w14:paraId="10D01616">
      <w:pPr>
        <w:spacing w:line="360" w:lineRule="auto"/>
        <w:ind w:firstLine="562" w:firstLineChars="200"/>
        <w:rPr>
          <w:rFonts w:ascii="Times New Roman" w:hAnsi="Times New Roman" w:eastAsia="宋体" w:cs="Times New Roman"/>
          <w:b/>
          <w:bCs/>
          <w:color w:val="auto"/>
          <w:kern w:val="2"/>
          <w:sz w:val="28"/>
          <w:szCs w:val="24"/>
        </w:rPr>
      </w:pPr>
      <w:bookmarkStart w:id="239" w:name="_Toc355248938"/>
      <w:bookmarkStart w:id="240" w:name="_Toc29915"/>
      <w:bookmarkStart w:id="241" w:name="_Toc239869791"/>
      <w:bookmarkStart w:id="242" w:name="_Toc388623391"/>
      <w:bookmarkStart w:id="243" w:name="_Toc387237701"/>
      <w:bookmarkStart w:id="244" w:name="_Toc355247593"/>
      <w:bookmarkStart w:id="245" w:name="_Toc389504183"/>
      <w:bookmarkStart w:id="246" w:name="_Toc357981665"/>
      <w:bookmarkStart w:id="247" w:name="_Toc354428876"/>
      <w:bookmarkStart w:id="248" w:name="_Toc355248941"/>
      <w:bookmarkStart w:id="249" w:name="_Toc354428873"/>
      <w:bookmarkStart w:id="250" w:name="_Toc366836358"/>
      <w:bookmarkStart w:id="251" w:name="_Toc5214"/>
      <w:bookmarkStart w:id="252" w:name="_Toc389504461"/>
      <w:bookmarkStart w:id="253" w:name="_Toc380626618"/>
      <w:bookmarkStart w:id="254" w:name="_Toc238875914"/>
      <w:bookmarkStart w:id="255" w:name="_Toc393417783"/>
      <w:bookmarkStart w:id="256" w:name="_Toc281404722"/>
      <w:bookmarkStart w:id="257" w:name="_Toc271270917"/>
      <w:bookmarkStart w:id="258" w:name="_Toc380626557"/>
      <w:bookmarkStart w:id="259" w:name="_Toc226003735"/>
      <w:bookmarkStart w:id="260" w:name="_Toc355247535"/>
      <w:bookmarkStart w:id="261" w:name="_Toc355737801"/>
      <w:bookmarkStart w:id="262" w:name="_Toc393417644"/>
      <w:bookmarkStart w:id="263" w:name="_Toc357981459"/>
      <w:bookmarkStart w:id="264" w:name="_Toc355247596"/>
      <w:bookmarkStart w:id="265" w:name="_Toc357981462"/>
      <w:bookmarkStart w:id="266" w:name="_Toc389437342"/>
      <w:bookmarkStart w:id="267" w:name="_Toc380625464"/>
      <w:bookmarkStart w:id="268" w:name="_Toc355737798"/>
      <w:bookmarkStart w:id="269" w:name="_Toc355257333"/>
      <w:bookmarkStart w:id="270" w:name="_Toc389504581"/>
      <w:bookmarkStart w:id="271" w:name="_Toc355257336"/>
      <w:bookmarkStart w:id="272" w:name="_Toc355247532"/>
      <w:bookmarkStart w:id="273" w:name="_Toc355738333"/>
      <w:bookmarkStart w:id="274" w:name="_Toc355738330"/>
      <w:bookmarkStart w:id="275" w:name="_Toc281404720"/>
      <w:r>
        <w:rPr>
          <w:rFonts w:ascii="Times New Roman" w:hAnsi="Times New Roman" w:eastAsia="宋体" w:cs="Times New Roman"/>
          <w:b/>
          <w:bCs/>
          <w:color w:val="auto"/>
          <w:kern w:val="2"/>
          <w:sz w:val="28"/>
          <w:szCs w:val="24"/>
        </w:rPr>
        <w:t>一、危险、有害因素辨识结果</w:t>
      </w:r>
    </w:p>
    <w:p w14:paraId="0EBCBEBD">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1、中国石化销售股份有限公司</w:t>
      </w:r>
      <w:r>
        <w:rPr>
          <w:rFonts w:hint="eastAsia" w:ascii="Times New Roman" w:hAnsi="Times New Roman" w:eastAsia="宋体" w:cs="Times New Roman"/>
          <w:bCs w:val="0"/>
          <w:color w:val="auto"/>
          <w:kern w:val="2"/>
          <w:sz w:val="28"/>
          <w:szCs w:val="24"/>
          <w:lang w:eastAsia="zh-CN"/>
        </w:rPr>
        <w:t>江西赣州兴国石油分公司南坑加油站</w:t>
      </w:r>
      <w:r>
        <w:rPr>
          <w:rFonts w:hint="eastAsia" w:ascii="Times New Roman" w:hAnsi="Times New Roman" w:eastAsia="宋体" w:cs="Times New Roman"/>
          <w:bCs w:val="0"/>
          <w:color w:val="auto"/>
          <w:kern w:val="2"/>
          <w:sz w:val="28"/>
          <w:szCs w:val="24"/>
        </w:rPr>
        <w:t>经营的汽油、柴油列入《危险化学品目录》（202</w:t>
      </w:r>
      <w:r>
        <w:rPr>
          <w:rFonts w:hint="eastAsia" w:ascii="Times New Roman" w:hAnsi="Times New Roman" w:eastAsia="宋体" w:cs="Times New Roman"/>
          <w:bCs w:val="0"/>
          <w:color w:val="auto"/>
          <w:kern w:val="2"/>
          <w:sz w:val="28"/>
          <w:szCs w:val="24"/>
          <w:lang w:val="en-US" w:eastAsia="zh-CN"/>
        </w:rPr>
        <w:t>6</w:t>
      </w:r>
      <w:r>
        <w:rPr>
          <w:rFonts w:hint="eastAsia" w:ascii="Times New Roman" w:hAnsi="Times New Roman" w:eastAsia="宋体" w:cs="Times New Roman"/>
          <w:bCs w:val="0"/>
          <w:color w:val="auto"/>
          <w:kern w:val="2"/>
          <w:sz w:val="28"/>
          <w:szCs w:val="24"/>
        </w:rPr>
        <w:t>年调整），该站存在的危险因素主要有</w:t>
      </w:r>
      <w:r>
        <w:rPr>
          <w:rFonts w:hint="eastAsia" w:ascii="Times New Roman" w:hAnsi="Times New Roman" w:eastAsia="宋体" w:cs="Times New Roman"/>
          <w:bCs w:val="0"/>
          <w:color w:val="auto"/>
          <w:kern w:val="2"/>
          <w:sz w:val="28"/>
          <w:szCs w:val="24"/>
          <w:lang w:eastAsia="zh-CN"/>
        </w:rPr>
        <w:t>火灾、爆炸、电气事故以及中毒等</w:t>
      </w:r>
      <w:r>
        <w:rPr>
          <w:rFonts w:hint="eastAsia" w:ascii="Times New Roman" w:hAnsi="Times New Roman" w:eastAsia="宋体" w:cs="Times New Roman"/>
          <w:bCs w:val="0"/>
          <w:color w:val="auto"/>
          <w:kern w:val="2"/>
          <w:sz w:val="28"/>
          <w:szCs w:val="24"/>
        </w:rPr>
        <w:t>，主要有害因素有</w:t>
      </w:r>
      <w:r>
        <w:rPr>
          <w:rFonts w:hint="eastAsia" w:ascii="Times New Roman" w:hAnsi="Times New Roman" w:eastAsia="宋体" w:cs="Times New Roman"/>
          <w:bCs w:val="0"/>
          <w:color w:val="auto"/>
          <w:kern w:val="2"/>
          <w:sz w:val="28"/>
          <w:szCs w:val="24"/>
          <w:lang w:eastAsia="zh-CN"/>
        </w:rPr>
        <w:t>生产性粉尘、毒物、噪声与振动、辐射、高温、低温</w:t>
      </w:r>
      <w:r>
        <w:rPr>
          <w:rFonts w:hint="eastAsia" w:ascii="Times New Roman" w:hAnsi="Times New Roman" w:eastAsia="宋体" w:cs="Times New Roman"/>
          <w:bCs w:val="0"/>
          <w:color w:val="auto"/>
          <w:kern w:val="2"/>
          <w:sz w:val="28"/>
          <w:szCs w:val="24"/>
        </w:rPr>
        <w:t>等。</w:t>
      </w:r>
    </w:p>
    <w:p w14:paraId="123A1542">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2、中国石化销售股份有限公司</w:t>
      </w:r>
      <w:r>
        <w:rPr>
          <w:rFonts w:hint="eastAsia" w:ascii="Times New Roman" w:hAnsi="Times New Roman" w:eastAsia="宋体" w:cs="Times New Roman"/>
          <w:bCs w:val="0"/>
          <w:color w:val="auto"/>
          <w:kern w:val="2"/>
          <w:sz w:val="28"/>
          <w:szCs w:val="24"/>
          <w:lang w:eastAsia="zh-CN"/>
        </w:rPr>
        <w:t>江西赣州兴国石油分公司南坑加油站</w:t>
      </w:r>
      <w:r>
        <w:rPr>
          <w:rFonts w:hint="eastAsia" w:ascii="Times New Roman" w:hAnsi="Times New Roman" w:eastAsia="宋体" w:cs="Times New Roman"/>
          <w:bCs w:val="0"/>
          <w:color w:val="auto"/>
          <w:kern w:val="2"/>
          <w:sz w:val="28"/>
          <w:szCs w:val="24"/>
        </w:rPr>
        <w:t>经营的汽油为重点监管危险化学品及特别管控危险化学品，不涉及重点监管的危险化工工艺，不涉及易制毒化学品、监控化学品、剧毒化学品、易制爆化学品、高毒物品。</w:t>
      </w:r>
    </w:p>
    <w:p w14:paraId="788267D6">
      <w:pPr>
        <w:spacing w:line="360" w:lineRule="auto"/>
        <w:ind w:firstLine="560" w:firstLineChars="200"/>
        <w:rPr>
          <w:rFonts w:ascii="Times New Roman" w:hAnsi="Times New Roman" w:eastAsia="宋体" w:cs="Times New Roman"/>
          <w:bCs w:val="0"/>
          <w:color w:val="auto"/>
          <w:spacing w:val="-11"/>
          <w:kern w:val="2"/>
          <w:sz w:val="28"/>
          <w:szCs w:val="28"/>
        </w:rPr>
      </w:pPr>
      <w:r>
        <w:rPr>
          <w:rFonts w:hint="eastAsia" w:ascii="Times New Roman" w:hAnsi="Times New Roman" w:eastAsia="宋体" w:cs="Times New Roman"/>
          <w:bCs w:val="0"/>
          <w:color w:val="auto"/>
          <w:kern w:val="2"/>
          <w:sz w:val="28"/>
          <w:szCs w:val="24"/>
        </w:rPr>
        <w:t>3、根据《危险化学品重大危险源辨识》GB18218-2018，中国石化销售股份有限公司</w:t>
      </w:r>
      <w:r>
        <w:rPr>
          <w:rFonts w:hint="eastAsia" w:ascii="Times New Roman" w:hAnsi="Times New Roman" w:eastAsia="宋体" w:cs="Times New Roman"/>
          <w:bCs w:val="0"/>
          <w:color w:val="auto"/>
          <w:kern w:val="2"/>
          <w:sz w:val="28"/>
          <w:szCs w:val="24"/>
          <w:lang w:eastAsia="zh-CN"/>
        </w:rPr>
        <w:t>江西赣州兴国石油分公司南坑加油站</w:t>
      </w:r>
      <w:r>
        <w:rPr>
          <w:rFonts w:hint="eastAsia" w:ascii="Times New Roman" w:hAnsi="Times New Roman" w:eastAsia="宋体" w:cs="Times New Roman"/>
          <w:bCs w:val="0"/>
          <w:color w:val="auto"/>
          <w:kern w:val="2"/>
          <w:sz w:val="28"/>
          <w:szCs w:val="24"/>
        </w:rPr>
        <w:t>的生产单元、储存装置均不构成危险化学品重大危险源。</w:t>
      </w:r>
    </w:p>
    <w:p w14:paraId="51676DE5">
      <w:pPr>
        <w:spacing w:line="360" w:lineRule="auto"/>
        <w:ind w:firstLine="562" w:firstLineChars="200"/>
        <w:rPr>
          <w:rFonts w:ascii="Times New Roman" w:hAnsi="Times New Roman" w:eastAsia="宋体" w:cs="Times New Roman"/>
          <w:b/>
          <w:bCs/>
          <w:color w:val="auto"/>
          <w:kern w:val="2"/>
          <w:sz w:val="28"/>
          <w:szCs w:val="24"/>
        </w:rPr>
      </w:pPr>
      <w:r>
        <w:rPr>
          <w:rFonts w:hint="eastAsia" w:ascii="Times New Roman" w:hAnsi="Times New Roman" w:eastAsia="宋体" w:cs="Times New Roman"/>
          <w:b/>
          <w:bCs/>
          <w:color w:val="auto"/>
          <w:kern w:val="2"/>
          <w:sz w:val="28"/>
          <w:szCs w:val="24"/>
        </w:rPr>
        <w:t>二、主要单元评价结果</w:t>
      </w:r>
    </w:p>
    <w:p w14:paraId="1908FD45">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1、该加油站汽油、柴油工艺设备与站外建（构）筑物的安全间距及站址选择符合国家有关标准的要求。</w:t>
      </w:r>
    </w:p>
    <w:p w14:paraId="06D2BE53">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2、该加油站站内设施之间的防火间距、站内平面布置符合国家有关标准的规定。</w:t>
      </w:r>
    </w:p>
    <w:p w14:paraId="6BF8833F">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3、该站加油工艺及设施符合国家有关标准的要求。</w:t>
      </w:r>
    </w:p>
    <w:p w14:paraId="3E33DD5B">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4、根据危险度评价，</w:t>
      </w:r>
      <w:r>
        <w:rPr>
          <w:rFonts w:hint="eastAsia" w:ascii="Times New Roman" w:hAnsi="Times New Roman" w:eastAsia="宋体" w:cs="宋体"/>
          <w:bCs w:val="0"/>
          <w:color w:val="auto"/>
          <w:kern w:val="2"/>
          <w:sz w:val="28"/>
          <w:szCs w:val="28"/>
        </w:rPr>
        <w:t>该站加油储罐区危险度为</w:t>
      </w:r>
      <w:r>
        <w:rPr>
          <w:rFonts w:hint="default" w:ascii="Times New Roman" w:hAnsi="Times New Roman" w:eastAsia="宋体" w:cs="Times New Roman"/>
          <w:bCs w:val="0"/>
          <w:color w:val="auto"/>
          <w:kern w:val="2"/>
          <w:sz w:val="28"/>
          <w:szCs w:val="28"/>
          <w:lang w:val="en-US" w:eastAsia="zh-CN"/>
        </w:rPr>
        <w:t>Ⅲ</w:t>
      </w:r>
      <w:r>
        <w:rPr>
          <w:rFonts w:hint="eastAsia" w:ascii="Times New Roman" w:hAnsi="Times New Roman" w:eastAsia="宋体" w:cs="Times New Roman"/>
          <w:bCs w:val="0"/>
          <w:color w:val="auto"/>
          <w:kern w:val="2"/>
          <w:sz w:val="28"/>
          <w:szCs w:val="28"/>
        </w:rPr>
        <w:t>级，属</w:t>
      </w:r>
      <w:r>
        <w:rPr>
          <w:rFonts w:hint="eastAsia" w:ascii="Times New Roman" w:hAnsi="Times New Roman" w:eastAsia="宋体" w:cs="Times New Roman"/>
          <w:bCs w:val="0"/>
          <w:color w:val="auto"/>
          <w:kern w:val="2"/>
          <w:sz w:val="28"/>
          <w:szCs w:val="28"/>
          <w:lang w:val="en-US" w:eastAsia="zh-CN"/>
        </w:rPr>
        <w:t>低度</w:t>
      </w:r>
      <w:r>
        <w:rPr>
          <w:rFonts w:hint="eastAsia" w:ascii="Times New Roman" w:hAnsi="Times New Roman" w:eastAsia="宋体" w:cs="Times New Roman"/>
          <w:bCs w:val="0"/>
          <w:color w:val="auto"/>
          <w:kern w:val="2"/>
          <w:sz w:val="28"/>
          <w:szCs w:val="28"/>
        </w:rPr>
        <w:t>危险</w:t>
      </w:r>
      <w:r>
        <w:rPr>
          <w:rFonts w:hint="eastAsia" w:ascii="Times New Roman" w:hAnsi="Times New Roman" w:eastAsia="宋体" w:cs="Times New Roman"/>
          <w:bCs w:val="0"/>
          <w:color w:val="auto"/>
          <w:kern w:val="2"/>
          <w:sz w:val="28"/>
          <w:szCs w:val="24"/>
        </w:rPr>
        <w:t>。油罐由于采用埋地油罐、密封操作、设置液位仪、防渗等措施，危险有害程度能控制在可接受的范围。</w:t>
      </w:r>
    </w:p>
    <w:p w14:paraId="17BFAB1D">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5、该站对现场勘查中提出的问题进行了整改，进一步提高了加油站安全经营条件。</w:t>
      </w:r>
    </w:p>
    <w:p w14:paraId="643C0EE1">
      <w:pPr>
        <w:spacing w:line="360" w:lineRule="auto"/>
        <w:ind w:firstLine="560" w:firstLineChars="200"/>
        <w:rPr>
          <w:rFonts w:ascii="Times New Roman" w:hAnsi="Times New Roman" w:eastAsia="宋体" w:cs="Times New Roman"/>
          <w:bCs w:val="0"/>
          <w:color w:val="auto"/>
          <w:kern w:val="2"/>
          <w:sz w:val="28"/>
          <w:szCs w:val="24"/>
        </w:rPr>
      </w:pPr>
      <w:r>
        <w:rPr>
          <w:rFonts w:hint="eastAsia" w:ascii="Times New Roman" w:hAnsi="Times New Roman" w:eastAsia="宋体" w:cs="Times New Roman"/>
          <w:bCs w:val="0"/>
          <w:color w:val="auto"/>
          <w:kern w:val="2"/>
          <w:sz w:val="28"/>
          <w:szCs w:val="24"/>
        </w:rPr>
        <w:t>6、该加油站制定了各岗位安全生产职责，制定了各类安全管理制度及安全操作规程，制度执行情况良好，编制了生产安全事故应急预案，安全管理体系能够满足正常运行过程中的安全生产需要。</w:t>
      </w:r>
    </w:p>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14:paraId="646D3C31">
      <w:pPr>
        <w:spacing w:line="600" w:lineRule="exact"/>
        <w:ind w:firstLine="562" w:firstLineChars="200"/>
        <w:rPr>
          <w:rFonts w:ascii="Times New Roman" w:hAnsi="Times New Roman" w:eastAsia="宋体" w:cs="Times New Roman"/>
          <w:b/>
          <w:bCs/>
          <w:color w:val="auto"/>
          <w:kern w:val="2"/>
          <w:sz w:val="28"/>
          <w:szCs w:val="28"/>
        </w:rPr>
      </w:pPr>
      <w:r>
        <w:rPr>
          <w:rFonts w:hint="eastAsia" w:ascii="Times New Roman" w:hAnsi="Times New Roman" w:eastAsia="宋体" w:cs="宋体"/>
          <w:b/>
          <w:bCs/>
          <w:color w:val="auto"/>
          <w:kern w:val="2"/>
          <w:sz w:val="28"/>
          <w:szCs w:val="28"/>
        </w:rPr>
        <w:t>综上所述，中国石化销售股份有限公司</w:t>
      </w:r>
      <w:r>
        <w:rPr>
          <w:rFonts w:hint="eastAsia" w:ascii="Times New Roman" w:hAnsi="Times New Roman" w:eastAsia="宋体" w:cs="宋体"/>
          <w:b/>
          <w:bCs/>
          <w:color w:val="auto"/>
          <w:kern w:val="2"/>
          <w:sz w:val="28"/>
          <w:szCs w:val="28"/>
          <w:lang w:eastAsia="zh-CN"/>
        </w:rPr>
        <w:t>江西赣州兴国石油分公司南坑加油站</w:t>
      </w:r>
      <w:r>
        <w:rPr>
          <w:rFonts w:hint="eastAsia" w:ascii="Times New Roman" w:hAnsi="Times New Roman" w:eastAsia="宋体" w:cs="宋体"/>
          <w:b/>
          <w:bCs/>
          <w:color w:val="auto"/>
          <w:kern w:val="2"/>
          <w:sz w:val="28"/>
          <w:szCs w:val="28"/>
        </w:rPr>
        <w:t>建设项目现场情况与安全设施符合性诊断及整改设计一致，安全设施和措施在正常经营过程中能够满足安全经营的条件，消防设施到位且在有效期内，安全管理能够满足正常安全经营的需要，具备安全验收的条件，符合经营和储存危险化学品的安全条件要求。</w:t>
      </w:r>
    </w:p>
    <w:p w14:paraId="601AEABF">
      <w:pPr>
        <w:widowControl/>
        <w:spacing w:line="600" w:lineRule="exact"/>
        <w:jc w:val="both"/>
        <w:outlineLvl w:val="0"/>
        <w:rPr>
          <w:rFonts w:ascii="Times New Roman" w:hAnsi="Times New Roman" w:eastAsia="宋体" w:cs="Times New Roman"/>
          <w:b/>
          <w:bCs/>
          <w:color w:val="auto"/>
          <w:kern w:val="36"/>
          <w:sz w:val="32"/>
          <w:szCs w:val="32"/>
          <w:lang w:val="en-US" w:eastAsia="zh-CN" w:bidi="ar-SA"/>
        </w:rPr>
      </w:pPr>
      <w:r>
        <w:rPr>
          <w:rFonts w:ascii="Times New Roman" w:hAnsi="Times New Roman" w:eastAsia="宋体" w:cs="Times New Roman"/>
          <w:b/>
          <w:bCs/>
          <w:color w:val="auto"/>
          <w:kern w:val="36"/>
          <w:sz w:val="28"/>
          <w:szCs w:val="28"/>
          <w:lang w:val="en-US" w:eastAsia="zh-CN" w:bidi="ar-SA"/>
        </w:rPr>
        <w:br w:type="page"/>
      </w:r>
      <w:bookmarkStart w:id="276" w:name="_Toc19828"/>
      <w:bookmarkStart w:id="277" w:name="_Toc5675"/>
      <w:r>
        <w:rPr>
          <w:rFonts w:hint="eastAsia" w:ascii="Times New Roman" w:hAnsi="Times New Roman" w:eastAsia="宋体" w:cs="Times New Roman"/>
          <w:b/>
          <w:bCs/>
          <w:color w:val="auto"/>
          <w:kern w:val="36"/>
          <w:sz w:val="32"/>
          <w:szCs w:val="32"/>
          <w:lang w:val="en-US" w:eastAsia="zh-CN" w:bidi="ar-SA"/>
        </w:rPr>
        <w:t>附件</w:t>
      </w:r>
      <w:bookmarkEnd w:id="276"/>
      <w:bookmarkEnd w:id="277"/>
    </w:p>
    <w:tbl>
      <w:tblPr>
        <w:tblStyle w:val="7"/>
        <w:tblW w:w="4996" w:type="pct"/>
        <w:jc w:val="center"/>
        <w:tblLayout w:type="autofit"/>
        <w:tblCellMar>
          <w:top w:w="0" w:type="dxa"/>
          <w:left w:w="108" w:type="dxa"/>
          <w:bottom w:w="0" w:type="dxa"/>
          <w:right w:w="108" w:type="dxa"/>
        </w:tblCellMar>
      </w:tblPr>
      <w:tblGrid>
        <w:gridCol w:w="652"/>
        <w:gridCol w:w="8629"/>
      </w:tblGrid>
      <w:tr w14:paraId="3E2C6885">
        <w:tblPrEx>
          <w:tblCellMar>
            <w:top w:w="0" w:type="dxa"/>
            <w:left w:w="108" w:type="dxa"/>
            <w:bottom w:w="0" w:type="dxa"/>
            <w:right w:w="108" w:type="dxa"/>
          </w:tblCellMar>
        </w:tblPrEx>
        <w:trPr>
          <w:jc w:val="center"/>
        </w:trPr>
        <w:tc>
          <w:tcPr>
            <w:tcW w:w="351" w:type="pct"/>
            <w:vAlign w:val="center"/>
          </w:tcPr>
          <w:p w14:paraId="73EB2281">
            <w:pPr>
              <w:numPr>
                <w:ilvl w:val="0"/>
                <w:numId w:val="17"/>
              </w:numPr>
              <w:rPr>
                <w:rFonts w:ascii="Times New Roman" w:hAnsi="Times New Roman" w:eastAsia="宋体" w:cs="Calibri"/>
                <w:bCs w:val="0"/>
                <w:color w:val="auto"/>
                <w:kern w:val="2"/>
                <w:sz w:val="28"/>
                <w:szCs w:val="28"/>
              </w:rPr>
            </w:pPr>
          </w:p>
        </w:tc>
        <w:tc>
          <w:tcPr>
            <w:tcW w:w="4648" w:type="pct"/>
            <w:vAlign w:val="center"/>
          </w:tcPr>
          <w:p w14:paraId="7888B54D">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lang w:eastAsia="zh-CN"/>
              </w:rPr>
              <w:t>现场勘查</w:t>
            </w:r>
            <w:r>
              <w:rPr>
                <w:rFonts w:hint="eastAsia" w:ascii="Times New Roman" w:hAnsi="Times New Roman" w:eastAsia="宋体" w:cs="Calibri"/>
                <w:bCs w:val="0"/>
                <w:color w:val="auto"/>
                <w:kern w:val="2"/>
                <w:sz w:val="28"/>
                <w:szCs w:val="28"/>
              </w:rPr>
              <w:t>影像；</w:t>
            </w:r>
          </w:p>
        </w:tc>
      </w:tr>
      <w:tr w14:paraId="3D841DD1">
        <w:tblPrEx>
          <w:tblCellMar>
            <w:top w:w="0" w:type="dxa"/>
            <w:left w:w="108" w:type="dxa"/>
            <w:bottom w:w="0" w:type="dxa"/>
            <w:right w:w="108" w:type="dxa"/>
          </w:tblCellMar>
        </w:tblPrEx>
        <w:trPr>
          <w:jc w:val="center"/>
        </w:trPr>
        <w:tc>
          <w:tcPr>
            <w:tcW w:w="351" w:type="pct"/>
            <w:vAlign w:val="center"/>
          </w:tcPr>
          <w:p w14:paraId="39EB4570">
            <w:pPr>
              <w:numPr>
                <w:ilvl w:val="0"/>
                <w:numId w:val="17"/>
              </w:numPr>
              <w:rPr>
                <w:rFonts w:ascii="Times New Roman" w:hAnsi="Times New Roman" w:eastAsia="宋体" w:cs="Calibri"/>
                <w:bCs w:val="0"/>
                <w:color w:val="auto"/>
                <w:kern w:val="2"/>
                <w:sz w:val="28"/>
                <w:szCs w:val="28"/>
              </w:rPr>
            </w:pPr>
          </w:p>
        </w:tc>
        <w:tc>
          <w:tcPr>
            <w:tcW w:w="4648" w:type="pct"/>
            <w:vAlign w:val="center"/>
          </w:tcPr>
          <w:p w14:paraId="1B1B09C8">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lang w:val="en-US" w:eastAsia="zh-CN"/>
              </w:rPr>
              <w:t>安全设施设计诊断及现场勘察问题</w:t>
            </w:r>
            <w:r>
              <w:rPr>
                <w:rFonts w:hint="eastAsia" w:ascii="Times New Roman" w:hAnsi="Times New Roman" w:eastAsia="宋体" w:cs="Calibri"/>
                <w:bCs w:val="0"/>
                <w:color w:val="auto"/>
                <w:kern w:val="2"/>
                <w:sz w:val="28"/>
                <w:szCs w:val="28"/>
              </w:rPr>
              <w:t>整改回复；</w:t>
            </w:r>
          </w:p>
        </w:tc>
      </w:tr>
      <w:tr w14:paraId="7BF85A1E">
        <w:tblPrEx>
          <w:tblCellMar>
            <w:top w:w="0" w:type="dxa"/>
            <w:left w:w="108" w:type="dxa"/>
            <w:bottom w:w="0" w:type="dxa"/>
            <w:right w:w="108" w:type="dxa"/>
          </w:tblCellMar>
        </w:tblPrEx>
        <w:trPr>
          <w:jc w:val="center"/>
        </w:trPr>
        <w:tc>
          <w:tcPr>
            <w:tcW w:w="351" w:type="pct"/>
            <w:vAlign w:val="center"/>
          </w:tcPr>
          <w:p w14:paraId="24447506">
            <w:pPr>
              <w:numPr>
                <w:ilvl w:val="0"/>
                <w:numId w:val="17"/>
              </w:numPr>
              <w:rPr>
                <w:rFonts w:ascii="Times New Roman" w:hAnsi="Times New Roman" w:eastAsia="宋体" w:cs="Calibri"/>
                <w:bCs w:val="0"/>
                <w:color w:val="auto"/>
                <w:kern w:val="2"/>
                <w:sz w:val="28"/>
                <w:szCs w:val="28"/>
              </w:rPr>
            </w:pPr>
          </w:p>
        </w:tc>
        <w:tc>
          <w:tcPr>
            <w:tcW w:w="4648" w:type="pct"/>
            <w:vAlign w:val="center"/>
          </w:tcPr>
          <w:p w14:paraId="44D8EF52">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与建设单位交换意见情况；</w:t>
            </w:r>
          </w:p>
        </w:tc>
      </w:tr>
      <w:tr w14:paraId="01AF35B0">
        <w:tblPrEx>
          <w:tblCellMar>
            <w:top w:w="0" w:type="dxa"/>
            <w:left w:w="108" w:type="dxa"/>
            <w:bottom w:w="0" w:type="dxa"/>
            <w:right w:w="108" w:type="dxa"/>
          </w:tblCellMar>
        </w:tblPrEx>
        <w:trPr>
          <w:jc w:val="center"/>
        </w:trPr>
        <w:tc>
          <w:tcPr>
            <w:tcW w:w="351" w:type="pct"/>
            <w:vAlign w:val="center"/>
          </w:tcPr>
          <w:p w14:paraId="27FA6099">
            <w:pPr>
              <w:numPr>
                <w:ilvl w:val="0"/>
                <w:numId w:val="17"/>
              </w:numPr>
              <w:rPr>
                <w:rFonts w:ascii="Times New Roman" w:hAnsi="Times New Roman" w:eastAsia="宋体" w:cs="Calibri"/>
                <w:bCs w:val="0"/>
                <w:color w:val="auto"/>
                <w:kern w:val="2"/>
                <w:sz w:val="28"/>
                <w:szCs w:val="28"/>
              </w:rPr>
            </w:pPr>
          </w:p>
        </w:tc>
        <w:tc>
          <w:tcPr>
            <w:tcW w:w="4648" w:type="pct"/>
            <w:vAlign w:val="center"/>
          </w:tcPr>
          <w:p w14:paraId="07ED7510">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安全设施符合性诊断及整改设计专家评审意见；</w:t>
            </w:r>
          </w:p>
        </w:tc>
      </w:tr>
      <w:tr w14:paraId="1E444DC8">
        <w:tblPrEx>
          <w:tblCellMar>
            <w:top w:w="0" w:type="dxa"/>
            <w:left w:w="108" w:type="dxa"/>
            <w:bottom w:w="0" w:type="dxa"/>
            <w:right w:w="108" w:type="dxa"/>
          </w:tblCellMar>
        </w:tblPrEx>
        <w:trPr>
          <w:jc w:val="center"/>
        </w:trPr>
        <w:tc>
          <w:tcPr>
            <w:tcW w:w="351" w:type="pct"/>
            <w:vAlign w:val="center"/>
          </w:tcPr>
          <w:p w14:paraId="756178BC">
            <w:pPr>
              <w:numPr>
                <w:ilvl w:val="0"/>
                <w:numId w:val="17"/>
              </w:numPr>
              <w:rPr>
                <w:rFonts w:ascii="Times New Roman" w:hAnsi="Times New Roman" w:eastAsia="宋体" w:cs="Calibri"/>
                <w:bCs w:val="0"/>
                <w:color w:val="auto"/>
                <w:kern w:val="2"/>
                <w:sz w:val="28"/>
                <w:szCs w:val="28"/>
              </w:rPr>
            </w:pPr>
          </w:p>
        </w:tc>
        <w:tc>
          <w:tcPr>
            <w:tcW w:w="4648" w:type="pct"/>
            <w:vAlign w:val="center"/>
          </w:tcPr>
          <w:p w14:paraId="75FBECB7">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营业执照；</w:t>
            </w:r>
          </w:p>
        </w:tc>
      </w:tr>
      <w:tr w14:paraId="38EE601E">
        <w:tblPrEx>
          <w:tblCellMar>
            <w:top w:w="0" w:type="dxa"/>
            <w:left w:w="108" w:type="dxa"/>
            <w:bottom w:w="0" w:type="dxa"/>
            <w:right w:w="108" w:type="dxa"/>
          </w:tblCellMar>
        </w:tblPrEx>
        <w:trPr>
          <w:jc w:val="center"/>
        </w:trPr>
        <w:tc>
          <w:tcPr>
            <w:tcW w:w="351" w:type="pct"/>
            <w:vAlign w:val="center"/>
          </w:tcPr>
          <w:p w14:paraId="74299305">
            <w:pPr>
              <w:numPr>
                <w:ilvl w:val="0"/>
                <w:numId w:val="17"/>
              </w:numPr>
              <w:rPr>
                <w:rFonts w:ascii="Times New Roman" w:hAnsi="Times New Roman" w:eastAsia="宋体" w:cs="Calibri"/>
                <w:bCs w:val="0"/>
                <w:color w:val="auto"/>
                <w:kern w:val="2"/>
                <w:sz w:val="28"/>
                <w:szCs w:val="28"/>
              </w:rPr>
            </w:pPr>
          </w:p>
        </w:tc>
        <w:tc>
          <w:tcPr>
            <w:tcW w:w="4648" w:type="pct"/>
            <w:vAlign w:val="center"/>
          </w:tcPr>
          <w:p w14:paraId="02A0F1DE">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危险化学品经营许可证；</w:t>
            </w:r>
          </w:p>
        </w:tc>
      </w:tr>
      <w:tr w14:paraId="66EA4CAF">
        <w:tblPrEx>
          <w:tblCellMar>
            <w:top w:w="0" w:type="dxa"/>
            <w:left w:w="108" w:type="dxa"/>
            <w:bottom w:w="0" w:type="dxa"/>
            <w:right w:w="108" w:type="dxa"/>
          </w:tblCellMar>
        </w:tblPrEx>
        <w:trPr>
          <w:jc w:val="center"/>
        </w:trPr>
        <w:tc>
          <w:tcPr>
            <w:tcW w:w="351" w:type="pct"/>
            <w:vAlign w:val="center"/>
          </w:tcPr>
          <w:p w14:paraId="251A184D">
            <w:pPr>
              <w:numPr>
                <w:ilvl w:val="0"/>
                <w:numId w:val="17"/>
              </w:numPr>
              <w:rPr>
                <w:rFonts w:ascii="Times New Roman" w:hAnsi="Times New Roman" w:eastAsia="宋体" w:cs="Calibri"/>
                <w:bCs w:val="0"/>
                <w:color w:val="auto"/>
                <w:kern w:val="2"/>
                <w:sz w:val="28"/>
                <w:szCs w:val="28"/>
              </w:rPr>
            </w:pPr>
          </w:p>
        </w:tc>
        <w:tc>
          <w:tcPr>
            <w:tcW w:w="4648" w:type="pct"/>
            <w:vAlign w:val="center"/>
          </w:tcPr>
          <w:p w14:paraId="4966EC6A">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成品油零售经营批准证书；</w:t>
            </w:r>
          </w:p>
        </w:tc>
      </w:tr>
      <w:tr w14:paraId="04BFF5CB">
        <w:tblPrEx>
          <w:tblCellMar>
            <w:top w:w="0" w:type="dxa"/>
            <w:left w:w="108" w:type="dxa"/>
            <w:bottom w:w="0" w:type="dxa"/>
            <w:right w:w="108" w:type="dxa"/>
          </w:tblCellMar>
        </w:tblPrEx>
        <w:trPr>
          <w:jc w:val="center"/>
        </w:trPr>
        <w:tc>
          <w:tcPr>
            <w:tcW w:w="351" w:type="pct"/>
            <w:vAlign w:val="center"/>
          </w:tcPr>
          <w:p w14:paraId="2A9490F6">
            <w:pPr>
              <w:numPr>
                <w:ilvl w:val="0"/>
                <w:numId w:val="17"/>
              </w:numPr>
              <w:rPr>
                <w:rFonts w:ascii="Times New Roman" w:hAnsi="Times New Roman" w:eastAsia="宋体" w:cs="Calibri"/>
                <w:bCs w:val="0"/>
                <w:color w:val="auto"/>
                <w:kern w:val="2"/>
                <w:sz w:val="28"/>
                <w:szCs w:val="28"/>
              </w:rPr>
            </w:pPr>
          </w:p>
        </w:tc>
        <w:tc>
          <w:tcPr>
            <w:tcW w:w="4648" w:type="pct"/>
            <w:vAlign w:val="center"/>
          </w:tcPr>
          <w:p w14:paraId="479F4056">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土地证；</w:t>
            </w:r>
          </w:p>
        </w:tc>
      </w:tr>
      <w:tr w14:paraId="128A9F02">
        <w:tblPrEx>
          <w:tblCellMar>
            <w:top w:w="0" w:type="dxa"/>
            <w:left w:w="108" w:type="dxa"/>
            <w:bottom w:w="0" w:type="dxa"/>
            <w:right w:w="108" w:type="dxa"/>
          </w:tblCellMar>
        </w:tblPrEx>
        <w:trPr>
          <w:jc w:val="center"/>
        </w:trPr>
        <w:tc>
          <w:tcPr>
            <w:tcW w:w="351" w:type="pct"/>
            <w:vAlign w:val="center"/>
          </w:tcPr>
          <w:p w14:paraId="0132F7D2">
            <w:pPr>
              <w:numPr>
                <w:ilvl w:val="0"/>
                <w:numId w:val="17"/>
              </w:numPr>
              <w:rPr>
                <w:rFonts w:ascii="Times New Roman" w:hAnsi="Times New Roman" w:eastAsia="宋体" w:cs="Calibri"/>
                <w:bCs w:val="0"/>
                <w:color w:val="auto"/>
                <w:kern w:val="2"/>
                <w:sz w:val="28"/>
                <w:szCs w:val="28"/>
              </w:rPr>
            </w:pPr>
          </w:p>
        </w:tc>
        <w:tc>
          <w:tcPr>
            <w:tcW w:w="4648" w:type="pct"/>
            <w:vAlign w:val="center"/>
          </w:tcPr>
          <w:p w14:paraId="42456E42">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主要负责人任命文件；</w:t>
            </w:r>
          </w:p>
        </w:tc>
      </w:tr>
      <w:tr w14:paraId="32B1A01D">
        <w:tblPrEx>
          <w:tblCellMar>
            <w:top w:w="0" w:type="dxa"/>
            <w:left w:w="108" w:type="dxa"/>
            <w:bottom w:w="0" w:type="dxa"/>
            <w:right w:w="108" w:type="dxa"/>
          </w:tblCellMar>
        </w:tblPrEx>
        <w:trPr>
          <w:jc w:val="center"/>
        </w:trPr>
        <w:tc>
          <w:tcPr>
            <w:tcW w:w="351" w:type="pct"/>
            <w:vAlign w:val="center"/>
          </w:tcPr>
          <w:p w14:paraId="36D96E77">
            <w:pPr>
              <w:numPr>
                <w:ilvl w:val="0"/>
                <w:numId w:val="17"/>
              </w:numPr>
              <w:rPr>
                <w:rFonts w:ascii="Times New Roman" w:hAnsi="Times New Roman" w:eastAsia="宋体" w:cs="Calibri"/>
                <w:bCs w:val="0"/>
                <w:color w:val="auto"/>
                <w:kern w:val="2"/>
                <w:sz w:val="28"/>
                <w:szCs w:val="28"/>
              </w:rPr>
            </w:pPr>
          </w:p>
        </w:tc>
        <w:tc>
          <w:tcPr>
            <w:tcW w:w="4648" w:type="pct"/>
            <w:vAlign w:val="center"/>
          </w:tcPr>
          <w:p w14:paraId="61136915">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主要负责人、安全管理人员证书；</w:t>
            </w:r>
          </w:p>
        </w:tc>
      </w:tr>
      <w:tr w14:paraId="0BFE1764">
        <w:tblPrEx>
          <w:tblCellMar>
            <w:top w:w="0" w:type="dxa"/>
            <w:left w:w="108" w:type="dxa"/>
            <w:bottom w:w="0" w:type="dxa"/>
            <w:right w:w="108" w:type="dxa"/>
          </w:tblCellMar>
        </w:tblPrEx>
        <w:trPr>
          <w:jc w:val="center"/>
        </w:trPr>
        <w:tc>
          <w:tcPr>
            <w:tcW w:w="351" w:type="pct"/>
            <w:vAlign w:val="center"/>
          </w:tcPr>
          <w:p w14:paraId="2A709E98">
            <w:pPr>
              <w:numPr>
                <w:ilvl w:val="0"/>
                <w:numId w:val="17"/>
              </w:numPr>
              <w:rPr>
                <w:rFonts w:ascii="Times New Roman" w:hAnsi="Times New Roman" w:eastAsia="宋体" w:cs="Calibri"/>
                <w:bCs w:val="0"/>
                <w:color w:val="auto"/>
                <w:kern w:val="2"/>
                <w:sz w:val="28"/>
                <w:szCs w:val="28"/>
              </w:rPr>
            </w:pPr>
          </w:p>
        </w:tc>
        <w:tc>
          <w:tcPr>
            <w:tcW w:w="4648" w:type="pct"/>
            <w:vAlign w:val="center"/>
          </w:tcPr>
          <w:p w14:paraId="63BCE7F8">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消防验收意见书；</w:t>
            </w:r>
          </w:p>
        </w:tc>
      </w:tr>
      <w:tr w14:paraId="00BDFE2D">
        <w:tblPrEx>
          <w:tblCellMar>
            <w:top w:w="0" w:type="dxa"/>
            <w:left w:w="108" w:type="dxa"/>
            <w:bottom w:w="0" w:type="dxa"/>
            <w:right w:w="108" w:type="dxa"/>
          </w:tblCellMar>
        </w:tblPrEx>
        <w:trPr>
          <w:jc w:val="center"/>
        </w:trPr>
        <w:tc>
          <w:tcPr>
            <w:tcW w:w="351" w:type="pct"/>
            <w:vAlign w:val="center"/>
          </w:tcPr>
          <w:p w14:paraId="73F9147D">
            <w:pPr>
              <w:numPr>
                <w:ilvl w:val="0"/>
                <w:numId w:val="17"/>
              </w:numPr>
              <w:rPr>
                <w:rFonts w:ascii="Times New Roman" w:hAnsi="Times New Roman" w:eastAsia="宋体" w:cs="Calibri"/>
                <w:bCs w:val="0"/>
                <w:color w:val="auto"/>
                <w:kern w:val="2"/>
                <w:sz w:val="28"/>
                <w:szCs w:val="28"/>
              </w:rPr>
            </w:pPr>
          </w:p>
        </w:tc>
        <w:tc>
          <w:tcPr>
            <w:tcW w:w="4648" w:type="pct"/>
            <w:vAlign w:val="center"/>
          </w:tcPr>
          <w:p w14:paraId="7ACD5EA4">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应急预案备案登记表；</w:t>
            </w:r>
          </w:p>
        </w:tc>
      </w:tr>
      <w:tr w14:paraId="44286287">
        <w:tblPrEx>
          <w:tblCellMar>
            <w:top w:w="0" w:type="dxa"/>
            <w:left w:w="108" w:type="dxa"/>
            <w:bottom w:w="0" w:type="dxa"/>
            <w:right w:w="108" w:type="dxa"/>
          </w:tblCellMar>
        </w:tblPrEx>
        <w:trPr>
          <w:jc w:val="center"/>
        </w:trPr>
        <w:tc>
          <w:tcPr>
            <w:tcW w:w="351" w:type="pct"/>
            <w:vAlign w:val="center"/>
          </w:tcPr>
          <w:p w14:paraId="2CFA4348">
            <w:pPr>
              <w:numPr>
                <w:ilvl w:val="0"/>
                <w:numId w:val="17"/>
              </w:numPr>
              <w:rPr>
                <w:rFonts w:ascii="Times New Roman" w:hAnsi="Times New Roman" w:eastAsia="宋体" w:cs="Calibri"/>
                <w:bCs w:val="0"/>
                <w:color w:val="auto"/>
                <w:kern w:val="2"/>
                <w:sz w:val="28"/>
                <w:szCs w:val="28"/>
              </w:rPr>
            </w:pPr>
          </w:p>
        </w:tc>
        <w:tc>
          <w:tcPr>
            <w:tcW w:w="4648" w:type="pct"/>
            <w:vAlign w:val="center"/>
          </w:tcPr>
          <w:p w14:paraId="2D20709C">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培训记录；</w:t>
            </w:r>
          </w:p>
        </w:tc>
      </w:tr>
      <w:tr w14:paraId="276DC0A0">
        <w:tblPrEx>
          <w:tblCellMar>
            <w:top w:w="0" w:type="dxa"/>
            <w:left w:w="108" w:type="dxa"/>
            <w:bottom w:w="0" w:type="dxa"/>
            <w:right w:w="108" w:type="dxa"/>
          </w:tblCellMar>
        </w:tblPrEx>
        <w:trPr>
          <w:jc w:val="center"/>
        </w:trPr>
        <w:tc>
          <w:tcPr>
            <w:tcW w:w="351" w:type="pct"/>
            <w:vAlign w:val="center"/>
          </w:tcPr>
          <w:p w14:paraId="00E764A2">
            <w:pPr>
              <w:numPr>
                <w:ilvl w:val="0"/>
                <w:numId w:val="17"/>
              </w:numPr>
              <w:rPr>
                <w:rFonts w:ascii="Times New Roman" w:hAnsi="Times New Roman" w:eastAsia="宋体" w:cs="Calibri"/>
                <w:bCs w:val="0"/>
                <w:color w:val="auto"/>
                <w:kern w:val="2"/>
                <w:sz w:val="28"/>
                <w:szCs w:val="28"/>
              </w:rPr>
            </w:pPr>
          </w:p>
        </w:tc>
        <w:tc>
          <w:tcPr>
            <w:tcW w:w="4648" w:type="pct"/>
            <w:vAlign w:val="center"/>
          </w:tcPr>
          <w:p w14:paraId="1BE6086B">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防雷检测报告、防静电检测报告；</w:t>
            </w:r>
          </w:p>
        </w:tc>
      </w:tr>
      <w:tr w14:paraId="01620393">
        <w:tblPrEx>
          <w:tblCellMar>
            <w:top w:w="0" w:type="dxa"/>
            <w:left w:w="108" w:type="dxa"/>
            <w:bottom w:w="0" w:type="dxa"/>
            <w:right w:w="108" w:type="dxa"/>
          </w:tblCellMar>
        </w:tblPrEx>
        <w:trPr>
          <w:jc w:val="center"/>
        </w:trPr>
        <w:tc>
          <w:tcPr>
            <w:tcW w:w="351" w:type="pct"/>
            <w:vAlign w:val="center"/>
          </w:tcPr>
          <w:p w14:paraId="4D1D6D34">
            <w:pPr>
              <w:numPr>
                <w:ilvl w:val="0"/>
                <w:numId w:val="17"/>
              </w:numPr>
              <w:rPr>
                <w:rFonts w:ascii="Times New Roman" w:hAnsi="Times New Roman" w:eastAsia="宋体" w:cs="Calibri"/>
                <w:bCs w:val="0"/>
                <w:color w:val="auto"/>
                <w:kern w:val="2"/>
                <w:sz w:val="28"/>
                <w:szCs w:val="28"/>
              </w:rPr>
            </w:pPr>
          </w:p>
        </w:tc>
        <w:tc>
          <w:tcPr>
            <w:tcW w:w="4648" w:type="pct"/>
            <w:vAlign w:val="center"/>
          </w:tcPr>
          <w:p w14:paraId="0DFB3F8F">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工伤保险；</w:t>
            </w:r>
          </w:p>
        </w:tc>
      </w:tr>
      <w:tr w14:paraId="3CE715F8">
        <w:tblPrEx>
          <w:tblCellMar>
            <w:top w:w="0" w:type="dxa"/>
            <w:left w:w="108" w:type="dxa"/>
            <w:bottom w:w="0" w:type="dxa"/>
            <w:right w:w="108" w:type="dxa"/>
          </w:tblCellMar>
        </w:tblPrEx>
        <w:trPr>
          <w:jc w:val="center"/>
        </w:trPr>
        <w:tc>
          <w:tcPr>
            <w:tcW w:w="351" w:type="pct"/>
            <w:vAlign w:val="center"/>
          </w:tcPr>
          <w:p w14:paraId="25950385">
            <w:pPr>
              <w:numPr>
                <w:ilvl w:val="0"/>
                <w:numId w:val="17"/>
              </w:numPr>
              <w:rPr>
                <w:rFonts w:ascii="Times New Roman" w:hAnsi="Times New Roman" w:eastAsia="宋体" w:cs="Calibri"/>
                <w:bCs w:val="0"/>
                <w:color w:val="auto"/>
                <w:kern w:val="2"/>
                <w:sz w:val="28"/>
                <w:szCs w:val="28"/>
              </w:rPr>
            </w:pPr>
          </w:p>
        </w:tc>
        <w:tc>
          <w:tcPr>
            <w:tcW w:w="4648" w:type="pct"/>
            <w:vAlign w:val="center"/>
          </w:tcPr>
          <w:p w14:paraId="22D1A2D0">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安全生产投入费用说明；</w:t>
            </w:r>
          </w:p>
        </w:tc>
      </w:tr>
      <w:tr w14:paraId="18F4D3A6">
        <w:tblPrEx>
          <w:tblCellMar>
            <w:top w:w="0" w:type="dxa"/>
            <w:left w:w="108" w:type="dxa"/>
            <w:bottom w:w="0" w:type="dxa"/>
            <w:right w:w="108" w:type="dxa"/>
          </w:tblCellMar>
        </w:tblPrEx>
        <w:trPr>
          <w:jc w:val="center"/>
        </w:trPr>
        <w:tc>
          <w:tcPr>
            <w:tcW w:w="351" w:type="pct"/>
            <w:vAlign w:val="center"/>
          </w:tcPr>
          <w:p w14:paraId="7093E97D">
            <w:pPr>
              <w:numPr>
                <w:ilvl w:val="0"/>
                <w:numId w:val="17"/>
              </w:numPr>
              <w:rPr>
                <w:rFonts w:ascii="Times New Roman" w:hAnsi="Times New Roman" w:eastAsia="宋体" w:cs="Calibri"/>
                <w:bCs w:val="0"/>
                <w:color w:val="auto"/>
                <w:kern w:val="2"/>
                <w:sz w:val="28"/>
                <w:szCs w:val="28"/>
              </w:rPr>
            </w:pPr>
          </w:p>
        </w:tc>
        <w:tc>
          <w:tcPr>
            <w:tcW w:w="4648" w:type="pct"/>
            <w:vAlign w:val="center"/>
          </w:tcPr>
          <w:p w14:paraId="64605733">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近三年无事故说明；</w:t>
            </w:r>
          </w:p>
        </w:tc>
      </w:tr>
      <w:tr w14:paraId="39560870">
        <w:tblPrEx>
          <w:tblCellMar>
            <w:top w:w="0" w:type="dxa"/>
            <w:left w:w="108" w:type="dxa"/>
            <w:bottom w:w="0" w:type="dxa"/>
            <w:right w:w="108" w:type="dxa"/>
          </w:tblCellMar>
        </w:tblPrEx>
        <w:trPr>
          <w:jc w:val="center"/>
        </w:trPr>
        <w:tc>
          <w:tcPr>
            <w:tcW w:w="351" w:type="pct"/>
            <w:vAlign w:val="center"/>
          </w:tcPr>
          <w:p w14:paraId="1D8337A7">
            <w:pPr>
              <w:numPr>
                <w:ilvl w:val="0"/>
                <w:numId w:val="17"/>
              </w:numPr>
              <w:rPr>
                <w:rFonts w:ascii="Times New Roman" w:hAnsi="Times New Roman" w:eastAsia="宋体" w:cs="Calibri"/>
                <w:bCs w:val="0"/>
                <w:color w:val="auto"/>
                <w:kern w:val="2"/>
                <w:sz w:val="28"/>
                <w:szCs w:val="28"/>
              </w:rPr>
            </w:pPr>
          </w:p>
        </w:tc>
        <w:tc>
          <w:tcPr>
            <w:tcW w:w="4648" w:type="pct"/>
            <w:vAlign w:val="center"/>
          </w:tcPr>
          <w:p w14:paraId="41F6BD4B">
            <w:pPr>
              <w:rPr>
                <w:rFonts w:ascii="Times New Roman" w:hAnsi="Times New Roman" w:eastAsia="宋体" w:cs="Calibri"/>
                <w:bCs w:val="0"/>
                <w:color w:val="auto"/>
                <w:kern w:val="2"/>
                <w:sz w:val="28"/>
                <w:szCs w:val="28"/>
              </w:rPr>
            </w:pPr>
            <w:r>
              <w:rPr>
                <w:rFonts w:hint="eastAsia" w:ascii="Times New Roman" w:hAnsi="Times New Roman" w:eastAsia="宋体" w:cs="Calibri"/>
                <w:bCs w:val="0"/>
                <w:color w:val="auto"/>
                <w:kern w:val="2"/>
                <w:sz w:val="28"/>
                <w:szCs w:val="28"/>
              </w:rPr>
              <w:t>总平面布置图。</w:t>
            </w:r>
          </w:p>
        </w:tc>
      </w:tr>
    </w:tbl>
    <w:p w14:paraId="28435E35">
      <w:pPr>
        <w:spacing w:line="240" w:lineRule="atLeast"/>
        <w:rPr>
          <w:rFonts w:ascii="Times New Roman" w:hAnsi="Times New Roman" w:eastAsia="宋体" w:cs="Times New Roman"/>
          <w:b/>
          <w:bCs/>
          <w:color w:val="auto"/>
          <w:kern w:val="2"/>
          <w:sz w:val="28"/>
          <w:szCs w:val="28"/>
        </w:rPr>
      </w:pPr>
      <w:r>
        <w:rPr>
          <w:rFonts w:hint="eastAsia" w:ascii="Times New Roman" w:hAnsi="Times New Roman" w:eastAsia="宋体" w:cs="Times New Roman"/>
          <w:b/>
          <w:bCs/>
          <w:color w:val="auto"/>
          <w:kern w:val="2"/>
          <w:sz w:val="28"/>
          <w:szCs w:val="28"/>
        </w:rPr>
        <w:br w:type="page"/>
      </w:r>
      <w:r>
        <w:rPr>
          <w:rFonts w:hint="eastAsia" w:ascii="Times New Roman" w:hAnsi="Times New Roman" w:eastAsia="宋体" w:cs="Times New Roman"/>
          <w:b/>
          <w:bCs/>
          <w:color w:val="auto"/>
          <w:kern w:val="2"/>
          <w:sz w:val="28"/>
          <w:szCs w:val="28"/>
        </w:rPr>
        <w:t>现场照片：</w:t>
      </w:r>
    </w:p>
    <w:p w14:paraId="1406A20F">
      <w:pPr>
        <w:rPr>
          <w:rFonts w:hint="eastAsia" w:ascii="Times New Roman" w:hAnsi="Times New Roman" w:eastAsia="宋体" w:cs="Calibri"/>
          <w:bCs w:val="0"/>
          <w:color w:val="auto"/>
          <w:kern w:val="2"/>
          <w:lang w:eastAsia="zh-CN"/>
        </w:rPr>
      </w:pPr>
    </w:p>
    <w:p w14:paraId="3EC8E38B">
      <w:pPr>
        <w:spacing w:line="240" w:lineRule="atLeast"/>
        <w:rPr>
          <w:rFonts w:hint="eastAsia" w:ascii="Times New Roman" w:hAnsi="Times New Roman" w:eastAsia="宋体" w:cs="Times New Roman"/>
          <w:b/>
          <w:bCs/>
          <w:color w:val="0000FF"/>
          <w:sz w:val="28"/>
          <w:szCs w:val="28"/>
          <w:lang w:eastAsia="zh-CN"/>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eastAsia="宋体" w:cs="Times New Roman"/>
          <w:b/>
          <w:bCs/>
          <w:color w:val="auto"/>
          <w:sz w:val="28"/>
          <w:szCs w:val="28"/>
          <w:lang w:eastAsia="zh-CN"/>
        </w:rPr>
        <w:drawing>
          <wp:inline distT="0" distB="0" distL="114300" distR="114300">
            <wp:extent cx="5769610" cy="6051550"/>
            <wp:effectExtent l="0" t="0" r="2540" b="6350"/>
            <wp:docPr id="18" name="图片 18" descr="d277b7bbb595645f7ad6678690190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277b7bbb595645f7ad6678690190a70"/>
                    <pic:cNvPicPr>
                      <a:picLocks noChangeAspect="1"/>
                    </pic:cNvPicPr>
                  </pic:nvPicPr>
                  <pic:blipFill>
                    <a:blip r:embed="rId17"/>
                    <a:srcRect l="5527" r="22981"/>
                    <a:stretch>
                      <a:fillRect/>
                    </a:stretch>
                  </pic:blipFill>
                  <pic:spPr>
                    <a:xfrm>
                      <a:off x="0" y="0"/>
                      <a:ext cx="5769610" cy="6051550"/>
                    </a:xfrm>
                    <a:prstGeom prst="rect">
                      <a:avLst/>
                    </a:prstGeom>
                  </pic:spPr>
                </pic:pic>
              </a:graphicData>
            </a:graphic>
          </wp:inline>
        </w:drawing>
      </w:r>
    </w:p>
    <w:p w14:paraId="75875B97">
      <w:pPr>
        <w:spacing w:line="360" w:lineRule="auto"/>
        <w:jc w:val="center"/>
        <w:rPr>
          <w:rFonts w:hint="eastAsia" w:ascii="Times New Roman" w:hAnsi="Times New Roman" w:cs="Times New Roman" w:eastAsiaTheme="minorEastAsia"/>
          <w:bCs w:val="0"/>
          <w:color w:val="0000FF"/>
          <w:kern w:val="2"/>
          <w:lang w:eastAsia="zh-CN"/>
        </w:rPr>
      </w:pPr>
      <w:r>
        <w:rPr>
          <w:rFonts w:hint="eastAsia"/>
          <w:lang w:eastAsia="zh-CN"/>
        </w:rPr>
        <w:drawing>
          <wp:inline distT="0" distB="0" distL="114300" distR="114300">
            <wp:extent cx="5753100" cy="8432800"/>
            <wp:effectExtent l="0" t="0" r="0" b="6350"/>
            <wp:docPr id="42" name="图片 42" descr="兴国南坑加油站设计诊断及现场问题整改回复、交换意见书(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兴国南坑加油站设计诊断及现场问题整改回复、交换意见书(1)_01"/>
                    <pic:cNvPicPr>
                      <a:picLocks noChangeAspect="1"/>
                    </pic:cNvPicPr>
                  </pic:nvPicPr>
                  <pic:blipFill>
                    <a:blip r:embed="rId18"/>
                    <a:stretch>
                      <a:fillRect/>
                    </a:stretch>
                  </pic:blipFill>
                  <pic:spPr>
                    <a:xfrm>
                      <a:off x="0" y="0"/>
                      <a:ext cx="5753100" cy="8432800"/>
                    </a:xfrm>
                    <a:prstGeom prst="rect">
                      <a:avLst/>
                    </a:prstGeom>
                  </pic:spPr>
                </pic:pic>
              </a:graphicData>
            </a:graphic>
          </wp:inline>
        </w:drawing>
      </w:r>
    </w:p>
    <w:p w14:paraId="1EB5878D">
      <w:pPr>
        <w:rPr>
          <w:rFonts w:hint="eastAsia" w:ascii="Times New Roman" w:hAnsi="Times New Roman" w:eastAsia="宋体" w:cs="Times New Roman"/>
          <w:bCs w:val="0"/>
          <w:color w:val="0000FF"/>
          <w:kern w:val="2"/>
          <w:lang w:eastAsia="zh-CN"/>
        </w:rPr>
      </w:pPr>
    </w:p>
    <w:p w14:paraId="3F7C5257">
      <w:pPr>
        <w:rPr>
          <w:rFonts w:hint="eastAsia" w:ascii="Times New Roman" w:hAnsi="Times New Roman" w:eastAsia="宋体" w:cs="Times New Roman"/>
          <w:bCs w:val="0"/>
          <w:color w:val="0000FF"/>
          <w:kern w:val="2"/>
          <w:lang w:eastAsia="zh-CN"/>
        </w:rPr>
      </w:pPr>
    </w:p>
    <w:p w14:paraId="651C2AD2">
      <w:pPr>
        <w:rPr>
          <w:rFonts w:hint="eastAsia" w:ascii="Times New Roman" w:hAnsi="Times New Roman" w:eastAsia="宋体" w:cs="Times New Roman"/>
          <w:bCs w:val="0"/>
          <w:color w:val="0000FF"/>
          <w:kern w:val="2"/>
          <w:lang w:eastAsia="zh-CN"/>
        </w:rPr>
      </w:pPr>
    </w:p>
    <w:p w14:paraId="0C6BF913">
      <w:pPr>
        <w:spacing w:line="360" w:lineRule="auto"/>
        <w:jc w:val="center"/>
        <w:rPr>
          <w:rFonts w:hint="eastAsia" w:ascii="Times New Roman" w:hAnsi="Times New Roman" w:eastAsia="宋体" w:cs="Times New Roman"/>
          <w:b/>
          <w:bCs/>
          <w:color w:val="000000" w:themeColor="text1"/>
          <w:kern w:val="2"/>
          <w:sz w:val="32"/>
          <w:szCs w:val="40"/>
          <w14:textFill>
            <w14:solidFill>
              <w14:schemeClr w14:val="tx1"/>
            </w14:solidFill>
          </w14:textFill>
        </w:rPr>
      </w:pPr>
      <w:r>
        <w:rPr>
          <w:rFonts w:hint="eastAsia" w:ascii="Times New Roman" w:hAnsi="Times New Roman" w:eastAsia="宋体" w:cs="Times New Roman"/>
          <w:b/>
          <w:bCs/>
          <w:color w:val="000000" w:themeColor="text1"/>
          <w:kern w:val="2"/>
          <w:sz w:val="32"/>
          <w:szCs w:val="40"/>
          <w14:textFill>
            <w14:solidFill>
              <w14:schemeClr w14:val="tx1"/>
            </w14:solidFill>
          </w14:textFill>
        </w:rPr>
        <w:t>中国石化销售股份有限公司</w:t>
      </w:r>
    </w:p>
    <w:p w14:paraId="63FA7EA5">
      <w:pPr>
        <w:spacing w:line="360" w:lineRule="auto"/>
        <w:jc w:val="center"/>
        <w:rPr>
          <w:rFonts w:hint="eastAsia" w:ascii="Times New Roman" w:hAnsi="Times New Roman" w:eastAsia="宋体" w:cs="Times New Roman"/>
          <w:b/>
          <w:bCs/>
          <w:color w:val="000000" w:themeColor="text1"/>
          <w:kern w:val="2"/>
          <w:sz w:val="32"/>
          <w:szCs w:val="40"/>
          <w:lang w:eastAsia="zh-CN"/>
          <w14:textFill>
            <w14:solidFill>
              <w14:schemeClr w14:val="tx1"/>
            </w14:solidFill>
          </w14:textFill>
        </w:rPr>
      </w:pPr>
      <w:r>
        <w:rPr>
          <w:rFonts w:hint="eastAsia" w:ascii="Times New Roman" w:hAnsi="Times New Roman" w:eastAsia="宋体" w:cs="Times New Roman"/>
          <w:b/>
          <w:bCs/>
          <w:color w:val="000000" w:themeColor="text1"/>
          <w:kern w:val="2"/>
          <w:sz w:val="32"/>
          <w:szCs w:val="40"/>
          <w:lang w:eastAsia="zh-CN"/>
          <w14:textFill>
            <w14:solidFill>
              <w14:schemeClr w14:val="tx1"/>
            </w14:solidFill>
          </w14:textFill>
        </w:rPr>
        <w:t>江西赣州兴国石油分公司南坑加油站</w:t>
      </w:r>
    </w:p>
    <w:p w14:paraId="1C9F22D4">
      <w:pPr>
        <w:spacing w:line="360" w:lineRule="auto"/>
        <w:jc w:val="center"/>
        <w:rPr>
          <w:rFonts w:hint="eastAsia" w:ascii="Times New Roman" w:hAnsi="Times New Roman" w:eastAsia="宋体" w:cs="Times New Roman"/>
          <w:b/>
          <w:bCs/>
          <w:color w:val="000000" w:themeColor="text1"/>
          <w:kern w:val="2"/>
          <w:sz w:val="32"/>
          <w:szCs w:val="40"/>
          <w14:textFill>
            <w14:solidFill>
              <w14:schemeClr w14:val="tx1"/>
            </w14:solidFill>
          </w14:textFill>
        </w:rPr>
      </w:pPr>
      <w:r>
        <w:rPr>
          <w:rFonts w:hint="eastAsia" w:ascii="Times New Roman" w:hAnsi="Times New Roman" w:eastAsia="宋体" w:cs="Times New Roman"/>
          <w:b/>
          <w:bCs/>
          <w:color w:val="000000" w:themeColor="text1"/>
          <w:kern w:val="2"/>
          <w:sz w:val="32"/>
          <w:szCs w:val="40"/>
          <w14:textFill>
            <w14:solidFill>
              <w14:schemeClr w14:val="tx1"/>
            </w14:solidFill>
          </w14:textFill>
        </w:rPr>
        <w:t>安全设施符合性诊断及整改设计</w:t>
      </w:r>
    </w:p>
    <w:p w14:paraId="64429F08">
      <w:pPr>
        <w:spacing w:line="360" w:lineRule="auto"/>
        <w:jc w:val="center"/>
        <w:rPr>
          <w:rFonts w:ascii="Times New Roman" w:hAnsi="Times New Roman" w:eastAsia="宋体" w:cs="Times New Roman"/>
          <w:b/>
          <w:bCs/>
          <w:color w:val="000000" w:themeColor="text1"/>
          <w:kern w:val="2"/>
          <w:sz w:val="32"/>
          <w:szCs w:val="40"/>
          <w14:textFill>
            <w14:solidFill>
              <w14:schemeClr w14:val="tx1"/>
            </w14:solidFill>
          </w14:textFill>
        </w:rPr>
      </w:pPr>
      <w:r>
        <w:rPr>
          <w:rFonts w:hint="eastAsia" w:ascii="Times New Roman" w:hAnsi="Times New Roman" w:eastAsia="宋体" w:cs="Times New Roman"/>
          <w:b/>
          <w:bCs/>
          <w:color w:val="000000" w:themeColor="text1"/>
          <w:kern w:val="2"/>
          <w:sz w:val="32"/>
          <w:szCs w:val="40"/>
          <w14:textFill>
            <w14:solidFill>
              <w14:schemeClr w14:val="tx1"/>
            </w14:solidFill>
          </w14:textFill>
        </w:rPr>
        <w:t>安全设施竣工验收评价现场检查整改意见</w:t>
      </w:r>
    </w:p>
    <w:p w14:paraId="0DEFEFAC">
      <w:pPr>
        <w:spacing w:line="360" w:lineRule="auto"/>
        <w:ind w:firstLine="480" w:firstLineChars="200"/>
        <w:jc w:val="left"/>
        <w:rPr>
          <w:rFonts w:ascii="Times New Roman" w:hAnsi="Times New Roman" w:eastAsia="宋体" w:cs="Times New Roman"/>
          <w:bCs w:val="0"/>
          <w:color w:val="000000" w:themeColor="text1"/>
          <w:kern w:val="2"/>
          <w:sz w:val="24"/>
          <w:szCs w:val="24"/>
          <w14:textFill>
            <w14:solidFill>
              <w14:schemeClr w14:val="tx1"/>
            </w14:solidFill>
          </w14:textFill>
        </w:rPr>
      </w:pPr>
    </w:p>
    <w:p w14:paraId="445A81E9">
      <w:pPr>
        <w:spacing w:line="360" w:lineRule="auto"/>
        <w:ind w:firstLine="560" w:firstLineChars="200"/>
        <w:jc w:val="both"/>
        <w:rPr>
          <w:rFonts w:ascii="Times New Roman" w:hAnsi="Times New Roman" w:eastAsia="宋体" w:cs="Times New Roman"/>
          <w:bCs w:val="0"/>
          <w:color w:val="000000" w:themeColor="text1"/>
          <w:kern w:val="2"/>
          <w:sz w:val="28"/>
          <w:szCs w:val="28"/>
          <w14:textFill>
            <w14:solidFill>
              <w14:schemeClr w14:val="tx1"/>
            </w14:solidFill>
          </w14:textFill>
        </w:rPr>
      </w:pPr>
      <w:r>
        <w:rPr>
          <w:rFonts w:hint="eastAsia" w:ascii="Times New Roman" w:hAnsi="Times New Roman" w:eastAsia="宋体" w:cs="Times New Roman"/>
          <w:bCs w:val="0"/>
          <w:color w:val="000000" w:themeColor="text1"/>
          <w:kern w:val="2"/>
          <w:sz w:val="28"/>
          <w:szCs w:val="28"/>
          <w14:textFill>
            <w14:solidFill>
              <w14:schemeClr w14:val="tx1"/>
            </w14:solidFill>
          </w14:textFill>
        </w:rPr>
        <w:t>受中国石化销售股份有限公司</w:t>
      </w:r>
      <w:r>
        <w:rPr>
          <w:rFonts w:hint="eastAsia" w:ascii="Times New Roman" w:hAnsi="Times New Roman" w:eastAsia="宋体" w:cs="Times New Roman"/>
          <w:bCs w:val="0"/>
          <w:color w:val="000000" w:themeColor="text1"/>
          <w:kern w:val="2"/>
          <w:sz w:val="28"/>
          <w:szCs w:val="28"/>
          <w:lang w:eastAsia="zh-CN"/>
          <w14:textFill>
            <w14:solidFill>
              <w14:schemeClr w14:val="tx1"/>
            </w14:solidFill>
          </w14:textFill>
        </w:rPr>
        <w:t>江西赣州兴国石油分公司</w:t>
      </w:r>
      <w:r>
        <w:rPr>
          <w:rFonts w:hint="eastAsia" w:ascii="Times New Roman" w:hAnsi="Times New Roman" w:eastAsia="宋体" w:cs="Times New Roman"/>
          <w:bCs w:val="0"/>
          <w:color w:val="000000" w:themeColor="text1"/>
          <w:kern w:val="2"/>
          <w:sz w:val="28"/>
          <w:szCs w:val="28"/>
          <w14:textFill>
            <w14:solidFill>
              <w14:schemeClr w14:val="tx1"/>
            </w14:solidFill>
          </w14:textFill>
        </w:rPr>
        <w:t>委托，我公司于202</w:t>
      </w:r>
      <w:r>
        <w:rPr>
          <w:rFonts w:hint="eastAsia" w:ascii="Times New Roman" w:hAnsi="Times New Roman" w:eastAsia="宋体" w:cs="Times New Roman"/>
          <w:bCs w:val="0"/>
          <w:color w:val="000000" w:themeColor="text1"/>
          <w:kern w:val="2"/>
          <w:sz w:val="28"/>
          <w:szCs w:val="28"/>
          <w:lang w:val="en-US" w:eastAsia="zh-CN"/>
          <w14:textFill>
            <w14:solidFill>
              <w14:schemeClr w14:val="tx1"/>
            </w14:solidFill>
          </w14:textFill>
        </w:rPr>
        <w:t>6</w:t>
      </w:r>
      <w:r>
        <w:rPr>
          <w:rFonts w:hint="eastAsia" w:ascii="Times New Roman" w:hAnsi="Times New Roman" w:eastAsia="宋体" w:cs="Times New Roman"/>
          <w:bCs w:val="0"/>
          <w:color w:val="000000" w:themeColor="text1"/>
          <w:kern w:val="2"/>
          <w:sz w:val="28"/>
          <w:szCs w:val="28"/>
          <w14:textFill>
            <w14:solidFill>
              <w14:schemeClr w14:val="tx1"/>
            </w14:solidFill>
          </w14:textFill>
        </w:rPr>
        <w:t>年</w:t>
      </w:r>
      <w:r>
        <w:rPr>
          <w:rFonts w:hint="eastAsia" w:ascii="Times New Roman" w:hAnsi="Times New Roman" w:eastAsia="宋体" w:cs="Times New Roman"/>
          <w:bCs w:val="0"/>
          <w:color w:val="000000" w:themeColor="text1"/>
          <w:kern w:val="2"/>
          <w:sz w:val="28"/>
          <w:szCs w:val="28"/>
          <w:lang w:val="en-US" w:eastAsia="zh-CN"/>
          <w14:textFill>
            <w14:solidFill>
              <w14:schemeClr w14:val="tx1"/>
            </w14:solidFill>
          </w14:textFill>
        </w:rPr>
        <w:t>5</w:t>
      </w:r>
      <w:r>
        <w:rPr>
          <w:rFonts w:hint="eastAsia" w:ascii="Times New Roman" w:hAnsi="Times New Roman" w:eastAsia="宋体" w:cs="Times New Roman"/>
          <w:bCs w:val="0"/>
          <w:color w:val="000000" w:themeColor="text1"/>
          <w:kern w:val="2"/>
          <w:sz w:val="28"/>
          <w:szCs w:val="28"/>
          <w14:textFill>
            <w14:solidFill>
              <w14:schemeClr w14:val="tx1"/>
            </w14:solidFill>
          </w14:textFill>
        </w:rPr>
        <w:t>月对中国石化销售股份有限公司中国石化销售股份有限公司</w:t>
      </w:r>
      <w:r>
        <w:rPr>
          <w:rFonts w:hint="eastAsia" w:ascii="Times New Roman" w:hAnsi="Times New Roman" w:eastAsia="宋体" w:cs="Times New Roman"/>
          <w:bCs w:val="0"/>
          <w:color w:val="000000" w:themeColor="text1"/>
          <w:kern w:val="2"/>
          <w:sz w:val="28"/>
          <w:szCs w:val="28"/>
          <w:lang w:eastAsia="zh-CN"/>
          <w14:textFill>
            <w14:solidFill>
              <w14:schemeClr w14:val="tx1"/>
            </w14:solidFill>
          </w14:textFill>
        </w:rPr>
        <w:t>江西赣州兴国石油分公司南坑加油站</w:t>
      </w:r>
      <w:r>
        <w:rPr>
          <w:rFonts w:hint="eastAsia" w:ascii="Times New Roman" w:hAnsi="Times New Roman" w:eastAsia="宋体" w:cs="Times New Roman"/>
          <w:bCs w:val="0"/>
          <w:color w:val="000000" w:themeColor="text1"/>
          <w:kern w:val="2"/>
          <w:sz w:val="28"/>
          <w:szCs w:val="28"/>
          <w14:textFill>
            <w14:solidFill>
              <w14:schemeClr w14:val="tx1"/>
            </w14:solidFill>
          </w14:textFill>
        </w:rPr>
        <w:t>安全设施符合性诊断及整改设计安全设施竣工验收评价现场进行了检查，现场整体经营情况良好，现场发现</w:t>
      </w:r>
      <w:r>
        <w:rPr>
          <w:rFonts w:hint="eastAsia" w:ascii="Times New Roman" w:hAnsi="Times New Roman" w:eastAsia="宋体" w:cs="Times New Roman"/>
          <w:bCs w:val="0"/>
          <w:color w:val="000000" w:themeColor="text1"/>
          <w:kern w:val="2"/>
          <w:sz w:val="28"/>
          <w:szCs w:val="28"/>
          <w:lang w:val="en-US" w:eastAsia="zh-CN"/>
          <w14:textFill>
            <w14:solidFill>
              <w14:schemeClr w14:val="tx1"/>
            </w14:solidFill>
          </w14:textFill>
        </w:rPr>
        <w:t>3</w:t>
      </w:r>
      <w:r>
        <w:rPr>
          <w:rFonts w:hint="eastAsia" w:ascii="Times New Roman" w:hAnsi="Times New Roman" w:eastAsia="宋体" w:cs="Times New Roman"/>
          <w:bCs w:val="0"/>
          <w:color w:val="000000" w:themeColor="text1"/>
          <w:kern w:val="2"/>
          <w:sz w:val="28"/>
          <w:szCs w:val="28"/>
          <w14:textFill>
            <w14:solidFill>
              <w14:schemeClr w14:val="tx1"/>
            </w14:solidFill>
          </w14:textFill>
        </w:rPr>
        <w:t>处安全隐患，对此，我公司提出了整改建议及对策措施，并出具了本安全隐患整改建议书。</w:t>
      </w:r>
    </w:p>
    <w:p w14:paraId="2D562F55">
      <w:pPr>
        <w:spacing w:line="360" w:lineRule="auto"/>
        <w:ind w:firstLine="560" w:firstLineChars="200"/>
        <w:jc w:val="left"/>
        <w:rPr>
          <w:rFonts w:ascii="Times New Roman" w:hAnsi="Times New Roman" w:eastAsia="宋体" w:cs="Times New Roman"/>
          <w:bCs w:val="0"/>
          <w:color w:val="000000" w:themeColor="text1"/>
          <w:kern w:val="2"/>
          <w:sz w:val="28"/>
          <w:szCs w:val="28"/>
          <w14:textFill>
            <w14:solidFill>
              <w14:schemeClr w14:val="tx1"/>
            </w14:solidFill>
          </w14:textFill>
        </w:rPr>
      </w:pPr>
      <w:r>
        <w:rPr>
          <w:rFonts w:hint="eastAsia" w:ascii="Times New Roman" w:hAnsi="Times New Roman" w:eastAsia="宋体" w:cs="Times New Roman"/>
          <w:bCs w:val="0"/>
          <w:color w:val="000000" w:themeColor="text1"/>
          <w:kern w:val="2"/>
          <w:sz w:val="28"/>
          <w:szCs w:val="28"/>
          <w14:textFill>
            <w14:solidFill>
              <w14:schemeClr w14:val="tx1"/>
            </w14:solidFill>
          </w14:textFill>
        </w:rPr>
        <w:t>具体见下表: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3318"/>
        <w:gridCol w:w="2948"/>
        <w:gridCol w:w="1568"/>
      </w:tblGrid>
      <w:tr w14:paraId="3CE5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68" w:type="dxa"/>
          </w:tcPr>
          <w:p w14:paraId="5B425876">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r>
              <w:rPr>
                <w:rFonts w:hint="eastAsia" w:ascii="Times New Roman" w:hAnsi="Times New Roman" w:eastAsia="宋体" w:cs="Times New Roman"/>
                <w:bCs w:val="0"/>
                <w:color w:val="000000" w:themeColor="text1"/>
                <w:kern w:val="2"/>
                <w:szCs w:val="24"/>
                <w14:textFill>
                  <w14:solidFill>
                    <w14:schemeClr w14:val="tx1"/>
                  </w14:solidFill>
                </w14:textFill>
              </w:rPr>
              <w:t>序号</w:t>
            </w:r>
          </w:p>
        </w:tc>
        <w:tc>
          <w:tcPr>
            <w:tcW w:w="3318" w:type="dxa"/>
          </w:tcPr>
          <w:p w14:paraId="0AEED1AE">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r>
              <w:rPr>
                <w:rFonts w:hint="eastAsia" w:ascii="Times New Roman" w:hAnsi="Times New Roman" w:eastAsia="宋体" w:cs="Times New Roman"/>
                <w:bCs w:val="0"/>
                <w:color w:val="000000" w:themeColor="text1"/>
                <w:kern w:val="2"/>
                <w:szCs w:val="24"/>
                <w14:textFill>
                  <w14:solidFill>
                    <w14:schemeClr w14:val="tx1"/>
                  </w14:solidFill>
                </w14:textFill>
              </w:rPr>
              <w:t>现场安全隐患</w:t>
            </w:r>
          </w:p>
        </w:tc>
        <w:tc>
          <w:tcPr>
            <w:tcW w:w="2948" w:type="dxa"/>
          </w:tcPr>
          <w:p w14:paraId="040FC113">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r>
              <w:rPr>
                <w:rFonts w:hint="eastAsia" w:ascii="Times New Roman" w:hAnsi="Times New Roman" w:eastAsia="宋体" w:cs="Times New Roman"/>
                <w:bCs w:val="0"/>
                <w:color w:val="000000" w:themeColor="text1"/>
                <w:kern w:val="2"/>
                <w:szCs w:val="24"/>
                <w14:textFill>
                  <w14:solidFill>
                    <w14:schemeClr w14:val="tx1"/>
                  </w14:solidFill>
                </w14:textFill>
              </w:rPr>
              <w:t>对策措施及建议</w:t>
            </w:r>
          </w:p>
        </w:tc>
        <w:tc>
          <w:tcPr>
            <w:tcW w:w="1568" w:type="dxa"/>
          </w:tcPr>
          <w:p w14:paraId="6B793288">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r>
              <w:rPr>
                <w:rFonts w:hint="eastAsia" w:ascii="Times New Roman" w:hAnsi="Times New Roman" w:eastAsia="宋体" w:cs="Times New Roman"/>
                <w:bCs w:val="0"/>
                <w:color w:val="000000" w:themeColor="text1"/>
                <w:kern w:val="2"/>
                <w:szCs w:val="24"/>
                <w14:textFill>
                  <w14:solidFill>
                    <w14:schemeClr w14:val="tx1"/>
                  </w14:solidFill>
                </w14:textFill>
              </w:rPr>
              <w:t>备注</w:t>
            </w:r>
          </w:p>
        </w:tc>
      </w:tr>
      <w:tr w14:paraId="218C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68" w:type="dxa"/>
            <w:vAlign w:val="center"/>
          </w:tcPr>
          <w:p w14:paraId="16B4E1DC">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r>
              <w:rPr>
                <w:rFonts w:hint="eastAsia" w:ascii="Times New Roman" w:hAnsi="Times New Roman" w:eastAsia="宋体" w:cs="Times New Roman"/>
                <w:bCs w:val="0"/>
                <w:color w:val="000000" w:themeColor="text1"/>
                <w:kern w:val="2"/>
                <w:szCs w:val="24"/>
                <w14:textFill>
                  <w14:solidFill>
                    <w14:schemeClr w14:val="tx1"/>
                  </w14:solidFill>
                </w14:textFill>
              </w:rPr>
              <w:t>1</w:t>
            </w:r>
          </w:p>
        </w:tc>
        <w:tc>
          <w:tcPr>
            <w:tcW w:w="3318" w:type="dxa"/>
            <w:shd w:val="clear" w:color="auto" w:fill="auto"/>
            <w:vAlign w:val="center"/>
          </w:tcPr>
          <w:p w14:paraId="743412B6">
            <w:pPr>
              <w:jc w:val="both"/>
              <w:rPr>
                <w:rFonts w:ascii="Times New Roman" w:hAnsi="Times New Roman" w:eastAsia="宋体" w:cs="宋体"/>
                <w:bCs w:val="0"/>
                <w:color w:val="000000" w:themeColor="text1"/>
                <w:kern w:val="2"/>
                <w14:textFill>
                  <w14:solidFill>
                    <w14:schemeClr w14:val="tx1"/>
                  </w14:solidFill>
                </w14:textFill>
              </w:rPr>
            </w:pPr>
            <w:r>
              <w:rPr>
                <w:rFonts w:hint="eastAsia" w:ascii="Times New Roman" w:hAnsi="Times New Roman"/>
                <w:color w:val="000000" w:themeColor="text1"/>
                <w:sz w:val="21"/>
                <w:vertAlign w:val="baseline"/>
                <w:lang w:val="en-US" w:eastAsia="zh-CN"/>
                <w14:textFill>
                  <w14:solidFill>
                    <w14:schemeClr w14:val="tx1"/>
                  </w14:solidFill>
                </w14:textFill>
              </w:rPr>
              <w:t>配电间应急照明灯损坏。</w:t>
            </w:r>
          </w:p>
        </w:tc>
        <w:tc>
          <w:tcPr>
            <w:tcW w:w="2948" w:type="dxa"/>
            <w:shd w:val="clear" w:color="auto" w:fill="auto"/>
            <w:vAlign w:val="center"/>
          </w:tcPr>
          <w:p w14:paraId="5A5CAFEB">
            <w:pPr>
              <w:jc w:val="both"/>
              <w:rPr>
                <w:rFonts w:ascii="Times New Roman" w:hAnsi="Times New Roman" w:eastAsia="宋体" w:cs="Times New Roman"/>
                <w:bCs w:val="0"/>
                <w:color w:val="000000" w:themeColor="text1"/>
                <w:kern w:val="0"/>
                <w:sz w:val="24"/>
                <w:szCs w:val="24"/>
                <w14:textFill>
                  <w14:solidFill>
                    <w14:schemeClr w14:val="tx1"/>
                  </w14:solidFill>
                </w14:textFill>
              </w:rPr>
            </w:pPr>
            <w:r>
              <w:rPr>
                <w:rFonts w:hint="eastAsia" w:ascii="Times New Roman" w:hAnsi="Times New Roman"/>
                <w:color w:val="000000" w:themeColor="text1"/>
                <w:sz w:val="21"/>
                <w:vertAlign w:val="baseline"/>
                <w:lang w:val="en-US" w:eastAsia="zh-CN"/>
                <w14:textFill>
                  <w14:solidFill>
                    <w14:schemeClr w14:val="tx1"/>
                  </w14:solidFill>
                </w14:textFill>
              </w:rPr>
              <w:t>换新。</w:t>
            </w:r>
          </w:p>
        </w:tc>
        <w:tc>
          <w:tcPr>
            <w:tcW w:w="1568" w:type="dxa"/>
          </w:tcPr>
          <w:p w14:paraId="463A4B36">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p>
        </w:tc>
      </w:tr>
      <w:tr w14:paraId="526C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68" w:type="dxa"/>
            <w:vAlign w:val="center"/>
          </w:tcPr>
          <w:p w14:paraId="325B59DC">
            <w:pPr>
              <w:spacing w:line="400" w:lineRule="exact"/>
              <w:jc w:val="center"/>
              <w:rPr>
                <w:rFonts w:hint="eastAsia" w:ascii="Times New Roman" w:hAnsi="Times New Roman" w:eastAsia="宋体" w:cs="Times New Roman"/>
                <w:bCs w:val="0"/>
                <w:color w:val="000000" w:themeColor="text1"/>
                <w:kern w:val="2"/>
                <w:szCs w:val="24"/>
                <w:lang w:val="en-US" w:eastAsia="zh-CN"/>
                <w14:textFill>
                  <w14:solidFill>
                    <w14:schemeClr w14:val="tx1"/>
                  </w14:solidFill>
                </w14:textFill>
              </w:rPr>
            </w:pPr>
            <w:r>
              <w:rPr>
                <w:rFonts w:hint="eastAsia" w:ascii="Times New Roman" w:hAnsi="Times New Roman" w:eastAsia="宋体" w:cs="Times New Roman"/>
                <w:bCs w:val="0"/>
                <w:color w:val="000000" w:themeColor="text1"/>
                <w:kern w:val="2"/>
                <w:szCs w:val="24"/>
                <w:lang w:val="en-US" w:eastAsia="zh-CN"/>
                <w14:textFill>
                  <w14:solidFill>
                    <w14:schemeClr w14:val="tx1"/>
                  </w14:solidFill>
                </w14:textFill>
              </w:rPr>
              <w:t>2</w:t>
            </w:r>
          </w:p>
        </w:tc>
        <w:tc>
          <w:tcPr>
            <w:tcW w:w="3318" w:type="dxa"/>
            <w:shd w:val="clear" w:color="auto" w:fill="auto"/>
            <w:vAlign w:val="center"/>
          </w:tcPr>
          <w:p w14:paraId="6FEB8D6C">
            <w:pPr>
              <w:jc w:val="both"/>
              <w:rPr>
                <w:rFonts w:hint="default" w:ascii="Times New Roman" w:hAnsi="Times New Roman" w:eastAsia="宋体" w:cs="宋体"/>
                <w:bCs w:val="0"/>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color w:val="000000" w:themeColor="text1"/>
                <w:vertAlign w:val="baseline"/>
                <w:lang w:val="en-US" w:eastAsia="zh-CN"/>
                <w14:textFill>
                  <w14:solidFill>
                    <w14:schemeClr w14:val="tx1"/>
                  </w14:solidFill>
                </w14:textFill>
              </w:rPr>
              <w:t>信息系统UPS电源未投入使用。</w:t>
            </w:r>
          </w:p>
        </w:tc>
        <w:tc>
          <w:tcPr>
            <w:tcW w:w="2948" w:type="dxa"/>
            <w:shd w:val="clear" w:color="auto" w:fill="auto"/>
            <w:vAlign w:val="center"/>
          </w:tcPr>
          <w:p w14:paraId="735A0CCF">
            <w:pPr>
              <w:jc w:val="both"/>
              <w:rPr>
                <w:rFonts w:hint="eastAsia" w:ascii="Times New Roman" w:hAnsi="Times New Roman" w:eastAsia="宋体" w:cs="宋体"/>
                <w:bCs w:val="0"/>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color w:val="000000" w:themeColor="text1"/>
                <w:vertAlign w:val="baseline"/>
                <w:lang w:val="en-US" w:eastAsia="zh-CN"/>
                <w14:textFill>
                  <w14:solidFill>
                    <w14:schemeClr w14:val="tx1"/>
                  </w14:solidFill>
                </w14:textFill>
              </w:rPr>
              <w:t>信息系统配备UPS电源并投入使用。</w:t>
            </w:r>
          </w:p>
        </w:tc>
        <w:tc>
          <w:tcPr>
            <w:tcW w:w="1568" w:type="dxa"/>
          </w:tcPr>
          <w:p w14:paraId="212D8CC0">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p>
        </w:tc>
      </w:tr>
      <w:tr w14:paraId="0BD2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68" w:type="dxa"/>
            <w:vAlign w:val="center"/>
          </w:tcPr>
          <w:p w14:paraId="55F7EE74">
            <w:pPr>
              <w:spacing w:line="400" w:lineRule="exact"/>
              <w:jc w:val="center"/>
              <w:rPr>
                <w:rFonts w:hint="eastAsia" w:ascii="Times New Roman" w:hAnsi="Times New Roman" w:eastAsia="宋体" w:cs="Times New Roman"/>
                <w:bCs w:val="0"/>
                <w:color w:val="000000" w:themeColor="text1"/>
                <w:kern w:val="2"/>
                <w:szCs w:val="24"/>
                <w:lang w:val="en-US" w:eastAsia="zh-CN"/>
                <w14:textFill>
                  <w14:solidFill>
                    <w14:schemeClr w14:val="tx1"/>
                  </w14:solidFill>
                </w14:textFill>
              </w:rPr>
            </w:pPr>
            <w:r>
              <w:rPr>
                <w:rFonts w:hint="eastAsia" w:ascii="Times New Roman" w:hAnsi="Times New Roman" w:eastAsia="宋体" w:cs="Times New Roman"/>
                <w:bCs w:val="0"/>
                <w:color w:val="000000" w:themeColor="text1"/>
                <w:kern w:val="2"/>
                <w:szCs w:val="24"/>
                <w:lang w:val="en-US" w:eastAsia="zh-CN"/>
                <w14:textFill>
                  <w14:solidFill>
                    <w14:schemeClr w14:val="tx1"/>
                  </w14:solidFill>
                </w14:textFill>
              </w:rPr>
              <w:t>3</w:t>
            </w:r>
          </w:p>
        </w:tc>
        <w:tc>
          <w:tcPr>
            <w:tcW w:w="3318" w:type="dxa"/>
            <w:shd w:val="clear" w:color="auto" w:fill="auto"/>
            <w:vAlign w:val="center"/>
          </w:tcPr>
          <w:p w14:paraId="3EB10588">
            <w:pPr>
              <w:jc w:val="both"/>
              <w:rPr>
                <w:rFonts w:hint="default" w:ascii="Times New Roman" w:hAnsi="Times New Roman" w:eastAsia="宋体" w:cs="宋体"/>
                <w:bCs w:val="0"/>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color w:val="000000" w:themeColor="text1"/>
                <w:vertAlign w:val="baseline"/>
                <w:lang w:val="en-US" w:eastAsia="zh-CN"/>
                <w14:textFill>
                  <w14:solidFill>
                    <w14:schemeClr w14:val="tx1"/>
                  </w14:solidFill>
                </w14:textFill>
              </w:rPr>
              <w:t>泄漏检测仪未投入使用。</w:t>
            </w:r>
          </w:p>
        </w:tc>
        <w:tc>
          <w:tcPr>
            <w:tcW w:w="2948" w:type="dxa"/>
            <w:shd w:val="clear" w:color="auto" w:fill="auto"/>
            <w:vAlign w:val="center"/>
          </w:tcPr>
          <w:p w14:paraId="4958B2FB">
            <w:pPr>
              <w:jc w:val="both"/>
              <w:rPr>
                <w:rFonts w:hint="eastAsia" w:ascii="Times New Roman" w:hAnsi="Times New Roman" w:eastAsia="宋体" w:cs="宋体"/>
                <w:bCs w:val="0"/>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color w:val="000000" w:themeColor="text1"/>
                <w:vertAlign w:val="baseline"/>
                <w:lang w:val="en-US" w:eastAsia="zh-CN"/>
                <w14:textFill>
                  <w14:solidFill>
                    <w14:schemeClr w14:val="tx1"/>
                  </w14:solidFill>
                </w14:textFill>
              </w:rPr>
              <w:t>按要求投用。</w:t>
            </w:r>
          </w:p>
        </w:tc>
        <w:tc>
          <w:tcPr>
            <w:tcW w:w="1568" w:type="dxa"/>
          </w:tcPr>
          <w:p w14:paraId="7CB2E961">
            <w:pPr>
              <w:spacing w:line="400" w:lineRule="exact"/>
              <w:jc w:val="center"/>
              <w:rPr>
                <w:rFonts w:ascii="Times New Roman" w:hAnsi="Times New Roman" w:eastAsia="宋体" w:cs="Times New Roman"/>
                <w:bCs w:val="0"/>
                <w:color w:val="000000" w:themeColor="text1"/>
                <w:kern w:val="2"/>
                <w:szCs w:val="24"/>
                <w14:textFill>
                  <w14:solidFill>
                    <w14:schemeClr w14:val="tx1"/>
                  </w14:solidFill>
                </w14:textFill>
              </w:rPr>
            </w:pPr>
          </w:p>
        </w:tc>
      </w:tr>
    </w:tbl>
    <w:p w14:paraId="73E69469">
      <w:pPr>
        <w:spacing w:line="360" w:lineRule="auto"/>
        <w:jc w:val="right"/>
        <w:rPr>
          <w:rFonts w:ascii="Times New Roman" w:hAnsi="Times New Roman" w:eastAsia="宋体" w:cs="Times New Roman"/>
          <w:bCs w:val="0"/>
          <w:color w:val="0000FF"/>
          <w:kern w:val="2"/>
          <w:sz w:val="28"/>
          <w:szCs w:val="28"/>
        </w:rPr>
      </w:pPr>
    </w:p>
    <w:p w14:paraId="4178D821">
      <w:pPr>
        <w:spacing w:line="360" w:lineRule="auto"/>
        <w:jc w:val="right"/>
        <w:rPr>
          <w:rFonts w:ascii="Times New Roman" w:hAnsi="Times New Roman" w:eastAsia="宋体" w:cs="Times New Roman"/>
          <w:bCs w:val="0"/>
          <w:color w:val="0000FF"/>
          <w:kern w:val="2"/>
          <w:sz w:val="28"/>
          <w:szCs w:val="28"/>
        </w:rPr>
      </w:pPr>
    </w:p>
    <w:p w14:paraId="661533D1">
      <w:pPr>
        <w:spacing w:line="360" w:lineRule="auto"/>
        <w:jc w:val="right"/>
        <w:rPr>
          <w:rFonts w:ascii="Times New Roman" w:hAnsi="Times New Roman" w:eastAsia="宋体" w:cs="Times New Roman"/>
          <w:bCs w:val="0"/>
          <w:color w:val="0000FF"/>
          <w:kern w:val="2"/>
          <w:sz w:val="28"/>
          <w:szCs w:val="28"/>
        </w:rPr>
      </w:pPr>
      <w:r>
        <w:rPr>
          <w:rFonts w:hint="eastAsia" w:ascii="Times New Roman" w:hAnsi="Times New Roman" w:eastAsia="宋体" w:cs="Times New Roman"/>
          <w:bCs w:val="0"/>
          <w:color w:val="0000FF"/>
          <w:kern w:val="2"/>
          <w:sz w:val="28"/>
          <w:szCs w:val="28"/>
        </w:rPr>
        <w:t xml:space="preserve">                       江西赣安安全</w:t>
      </w:r>
      <w:r>
        <w:rPr>
          <w:rFonts w:ascii="Times New Roman" w:hAnsi="Times New Roman" w:eastAsia="宋体" w:cs="宋体"/>
          <w:bCs w:val="0"/>
          <w:color w:val="0000FF"/>
          <w:kern w:val="2"/>
          <w:sz w:val="24"/>
          <w:szCs w:val="24"/>
        </w:rPr>
        <w:drawing>
          <wp:anchor distT="0" distB="0" distL="114300" distR="114300" simplePos="0" relativeHeight="251664384" behindDoc="0" locked="0" layoutInCell="1" allowOverlap="1">
            <wp:simplePos x="0" y="0"/>
            <wp:positionH relativeFrom="column">
              <wp:posOffset>1112520</wp:posOffset>
            </wp:positionH>
            <wp:positionV relativeFrom="paragraph">
              <wp:posOffset>-336550</wp:posOffset>
            </wp:positionV>
            <wp:extent cx="4638675" cy="2076450"/>
            <wp:effectExtent l="0" t="0" r="9525" b="0"/>
            <wp:wrapNone/>
            <wp:docPr id="109"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 descr="IMG_256"/>
                    <pic:cNvPicPr>
                      <a:picLocks noChangeAspect="1"/>
                    </pic:cNvPicPr>
                  </pic:nvPicPr>
                  <pic:blipFill>
                    <a:blip r:embed="rId19"/>
                    <a:stretch>
                      <a:fillRect/>
                    </a:stretch>
                  </pic:blipFill>
                  <pic:spPr>
                    <a:xfrm>
                      <a:off x="0" y="0"/>
                      <a:ext cx="4638675" cy="2076450"/>
                    </a:xfrm>
                    <a:prstGeom prst="rect">
                      <a:avLst/>
                    </a:prstGeom>
                    <a:noFill/>
                    <a:ln w="9525">
                      <a:noFill/>
                    </a:ln>
                  </pic:spPr>
                </pic:pic>
              </a:graphicData>
            </a:graphic>
          </wp:anchor>
        </w:drawing>
      </w:r>
      <w:r>
        <w:rPr>
          <w:rFonts w:hint="eastAsia" w:ascii="Times New Roman" w:hAnsi="Times New Roman" w:eastAsia="宋体" w:cs="Times New Roman"/>
          <w:bCs w:val="0"/>
          <w:color w:val="0000FF"/>
          <w:kern w:val="2"/>
          <w:sz w:val="28"/>
          <w:szCs w:val="28"/>
        </w:rPr>
        <w:t>生产科学技术咨询服务中心</w:t>
      </w:r>
    </w:p>
    <w:p w14:paraId="16DF3860">
      <w:pPr>
        <w:jc w:val="right"/>
        <w:rPr>
          <w:rFonts w:ascii="Times New Roman" w:hAnsi="Times New Roman" w:eastAsia="宋体" w:cs="Times New Roman"/>
          <w:bCs w:val="0"/>
          <w:color w:val="0000FF"/>
          <w:kern w:val="2"/>
          <w:sz w:val="28"/>
          <w:szCs w:val="28"/>
        </w:rPr>
      </w:pPr>
      <w:r>
        <w:rPr>
          <w:rFonts w:hint="eastAsia" w:ascii="Times New Roman" w:hAnsi="Times New Roman" w:eastAsia="宋体" w:cs="Times New Roman"/>
          <w:bCs w:val="0"/>
          <w:color w:val="0000FF"/>
          <w:kern w:val="2"/>
          <w:sz w:val="28"/>
          <w:szCs w:val="28"/>
        </w:rPr>
        <w:t xml:space="preserve">                                        202</w:t>
      </w:r>
      <w:r>
        <w:rPr>
          <w:rFonts w:hint="eastAsia" w:ascii="Times New Roman" w:hAnsi="Times New Roman" w:eastAsia="宋体" w:cs="Times New Roman"/>
          <w:bCs w:val="0"/>
          <w:color w:val="0000FF"/>
          <w:kern w:val="2"/>
          <w:sz w:val="28"/>
          <w:szCs w:val="28"/>
          <w:lang w:val="en-US" w:eastAsia="zh-CN"/>
        </w:rPr>
        <w:t>6</w:t>
      </w:r>
      <w:r>
        <w:rPr>
          <w:rFonts w:hint="eastAsia" w:ascii="Times New Roman" w:hAnsi="Times New Roman" w:eastAsia="宋体" w:cs="Times New Roman"/>
          <w:bCs w:val="0"/>
          <w:color w:val="0000FF"/>
          <w:kern w:val="2"/>
          <w:sz w:val="28"/>
          <w:szCs w:val="28"/>
        </w:rPr>
        <w:t>年</w:t>
      </w:r>
      <w:r>
        <w:rPr>
          <w:rFonts w:hint="eastAsia" w:ascii="Times New Roman" w:hAnsi="Times New Roman" w:eastAsia="宋体" w:cs="Times New Roman"/>
          <w:bCs w:val="0"/>
          <w:color w:val="0000FF"/>
          <w:kern w:val="2"/>
          <w:sz w:val="28"/>
          <w:szCs w:val="28"/>
          <w:lang w:val="en-US" w:eastAsia="zh-CN"/>
        </w:rPr>
        <w:t>5</w:t>
      </w:r>
      <w:r>
        <w:rPr>
          <w:rFonts w:hint="eastAsia" w:ascii="Times New Roman" w:hAnsi="Times New Roman" w:eastAsia="宋体" w:cs="Times New Roman"/>
          <w:bCs w:val="0"/>
          <w:color w:val="0000FF"/>
          <w:kern w:val="2"/>
          <w:sz w:val="28"/>
          <w:szCs w:val="28"/>
        </w:rPr>
        <w:t>月</w:t>
      </w:r>
    </w:p>
    <w:p w14:paraId="2C397B74">
      <w:pPr>
        <w:rPr>
          <w:rFonts w:ascii="Times New Roman" w:hAnsi="Times New Roman" w:eastAsia="宋体" w:cs="Calibri"/>
          <w:bCs w:val="0"/>
          <w:color w:val="0000FF"/>
          <w:kern w:val="2"/>
        </w:rPr>
      </w:pPr>
      <w:r>
        <w:rPr>
          <w:rFonts w:hint="eastAsia" w:ascii="Times New Roman" w:hAnsi="Times New Roman" w:eastAsia="宋体" w:cs="Times New Roman"/>
          <w:bCs w:val="0"/>
          <w:color w:val="0000FF"/>
          <w:kern w:val="2"/>
          <w:sz w:val="28"/>
          <w:szCs w:val="28"/>
        </w:rPr>
        <w:br w:type="page"/>
      </w:r>
    </w:p>
    <w:p w14:paraId="0294C679">
      <w:pPr>
        <w:rPr>
          <w:rFonts w:hint="eastAsia" w:ascii="Times New Roman" w:hAnsi="Times New Roman" w:eastAsia="宋体" w:cs="Times New Roman"/>
          <w:b/>
          <w:bCs/>
          <w:color w:val="0000FF"/>
          <w:kern w:val="2"/>
          <w:sz w:val="32"/>
          <w:szCs w:val="40"/>
          <w:lang w:eastAsia="zh-CN"/>
        </w:rPr>
      </w:pPr>
      <w:r>
        <w:rPr>
          <w:rFonts w:hint="eastAsia" w:ascii="Times New Roman" w:hAnsi="Times New Roman" w:eastAsia="宋体" w:cs="Times New Roman"/>
          <w:b/>
          <w:bCs/>
          <w:color w:val="0000FF"/>
          <w:kern w:val="2"/>
          <w:sz w:val="32"/>
          <w:szCs w:val="40"/>
          <w:lang w:eastAsia="zh-CN"/>
        </w:rPr>
        <w:drawing>
          <wp:inline distT="0" distB="0" distL="114300" distR="114300">
            <wp:extent cx="5752465" cy="8103235"/>
            <wp:effectExtent l="0" t="0" r="635" b="12065"/>
            <wp:docPr id="45" name="图片 45" descr="兴国南坑加油站设计诊断及现场问题整改回复、交换意见书(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兴国南坑加油站设计诊断及现场问题整改回复、交换意见书(1)_02"/>
                    <pic:cNvPicPr>
                      <a:picLocks noChangeAspect="1"/>
                    </pic:cNvPicPr>
                  </pic:nvPicPr>
                  <pic:blipFill>
                    <a:blip r:embed="rId20"/>
                    <a:stretch>
                      <a:fillRect/>
                    </a:stretch>
                  </pic:blipFill>
                  <pic:spPr>
                    <a:xfrm>
                      <a:off x="0" y="0"/>
                      <a:ext cx="5752465" cy="8103235"/>
                    </a:xfrm>
                    <a:prstGeom prst="rect">
                      <a:avLst/>
                    </a:prstGeom>
                  </pic:spPr>
                </pic:pic>
              </a:graphicData>
            </a:graphic>
          </wp:inline>
        </w:drawing>
      </w:r>
      <w:r>
        <w:rPr>
          <w:rFonts w:hint="eastAsia" w:ascii="Times New Roman" w:hAnsi="Times New Roman" w:eastAsia="宋体" w:cs="Times New Roman"/>
          <w:b/>
          <w:bCs/>
          <w:color w:val="0000FF"/>
          <w:kern w:val="2"/>
          <w:sz w:val="32"/>
          <w:szCs w:val="40"/>
          <w:lang w:eastAsia="zh-CN"/>
        </w:rPr>
        <w:drawing>
          <wp:inline distT="0" distB="0" distL="114300" distR="114300">
            <wp:extent cx="5755005" cy="8209915"/>
            <wp:effectExtent l="0" t="0" r="17145" b="635"/>
            <wp:docPr id="46" name="图片 46" descr="兴国南坑加油站设计诊断及现场问题整改回复、交换意见书(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兴国南坑加油站设计诊断及现场问题整改回复、交换意见书(1)_03"/>
                    <pic:cNvPicPr>
                      <a:picLocks noChangeAspect="1"/>
                    </pic:cNvPicPr>
                  </pic:nvPicPr>
                  <pic:blipFill>
                    <a:blip r:embed="rId21"/>
                    <a:stretch>
                      <a:fillRect/>
                    </a:stretch>
                  </pic:blipFill>
                  <pic:spPr>
                    <a:xfrm>
                      <a:off x="0" y="0"/>
                      <a:ext cx="5755005" cy="8209915"/>
                    </a:xfrm>
                    <a:prstGeom prst="rect">
                      <a:avLst/>
                    </a:prstGeom>
                  </pic:spPr>
                </pic:pic>
              </a:graphicData>
            </a:graphic>
          </wp:inline>
        </w:drawing>
      </w:r>
    </w:p>
    <w:p w14:paraId="56221B0A">
      <w:pPr>
        <w:spacing w:line="360" w:lineRule="auto"/>
        <w:jc w:val="center"/>
        <w:rPr>
          <w:rFonts w:hint="eastAsia" w:ascii="Times New Roman" w:hAnsi="Times New Roman" w:eastAsia="宋体" w:cs="Times New Roman"/>
          <w:b/>
          <w:bCs/>
          <w:color w:val="0000FF"/>
          <w:kern w:val="2"/>
          <w:sz w:val="32"/>
          <w:szCs w:val="40"/>
        </w:rPr>
      </w:pPr>
    </w:p>
    <w:p w14:paraId="1F48B781">
      <w:pPr>
        <w:spacing w:line="360" w:lineRule="auto"/>
        <w:jc w:val="center"/>
        <w:rPr>
          <w:rFonts w:hint="eastAsia" w:ascii="Times New Roman" w:hAnsi="Times New Roman" w:eastAsia="宋体" w:cs="Times New Roman"/>
          <w:b/>
          <w:bCs/>
          <w:color w:val="000000" w:themeColor="text1"/>
          <w:kern w:val="2"/>
          <w:sz w:val="32"/>
          <w:szCs w:val="40"/>
          <w14:textFill>
            <w14:solidFill>
              <w14:schemeClr w14:val="tx1"/>
            </w14:solidFill>
          </w14:textFill>
        </w:rPr>
      </w:pPr>
      <w:r>
        <w:rPr>
          <w:rFonts w:hint="eastAsia" w:ascii="Times New Roman" w:hAnsi="Times New Roman" w:eastAsia="宋体" w:cs="Times New Roman"/>
          <w:b/>
          <w:bCs/>
          <w:color w:val="000000" w:themeColor="text1"/>
          <w:kern w:val="2"/>
          <w:sz w:val="32"/>
          <w:szCs w:val="40"/>
          <w14:textFill>
            <w14:solidFill>
              <w14:schemeClr w14:val="tx1"/>
            </w14:solidFill>
          </w14:textFill>
        </w:rPr>
        <w:t>中国石化销售股份有限公司</w:t>
      </w:r>
    </w:p>
    <w:p w14:paraId="64E6CDB8">
      <w:pPr>
        <w:spacing w:line="360" w:lineRule="auto"/>
        <w:jc w:val="center"/>
        <w:rPr>
          <w:rFonts w:hint="eastAsia" w:ascii="Times New Roman" w:hAnsi="Times New Roman" w:eastAsia="宋体" w:cs="Times New Roman"/>
          <w:b/>
          <w:bCs/>
          <w:color w:val="000000" w:themeColor="text1"/>
          <w:kern w:val="2"/>
          <w:sz w:val="32"/>
          <w:szCs w:val="40"/>
          <w:lang w:eastAsia="zh-CN"/>
          <w14:textFill>
            <w14:solidFill>
              <w14:schemeClr w14:val="tx1"/>
            </w14:solidFill>
          </w14:textFill>
        </w:rPr>
      </w:pPr>
      <w:r>
        <w:rPr>
          <w:rFonts w:hint="eastAsia" w:ascii="Times New Roman" w:hAnsi="Times New Roman" w:eastAsia="宋体" w:cs="Times New Roman"/>
          <w:b/>
          <w:bCs/>
          <w:color w:val="000000" w:themeColor="text1"/>
          <w:kern w:val="2"/>
          <w:sz w:val="32"/>
          <w:szCs w:val="40"/>
          <w:lang w:eastAsia="zh-CN"/>
          <w14:textFill>
            <w14:solidFill>
              <w14:schemeClr w14:val="tx1"/>
            </w14:solidFill>
          </w14:textFill>
        </w:rPr>
        <w:t>江西赣州兴国石油分公司南坑加油站</w:t>
      </w:r>
    </w:p>
    <w:p w14:paraId="0B35452F">
      <w:pPr>
        <w:spacing w:line="360" w:lineRule="auto"/>
        <w:jc w:val="center"/>
        <w:rPr>
          <w:rFonts w:hint="eastAsia" w:ascii="Times New Roman" w:hAnsi="Times New Roman" w:eastAsia="宋体" w:cs="Times New Roman"/>
          <w:b/>
          <w:bCs/>
          <w:color w:val="000000" w:themeColor="text1"/>
          <w:kern w:val="2"/>
          <w:sz w:val="32"/>
          <w:szCs w:val="40"/>
          <w14:textFill>
            <w14:solidFill>
              <w14:schemeClr w14:val="tx1"/>
            </w14:solidFill>
          </w14:textFill>
        </w:rPr>
      </w:pPr>
      <w:r>
        <w:rPr>
          <w:rFonts w:hint="eastAsia" w:ascii="Times New Roman" w:hAnsi="Times New Roman" w:eastAsia="宋体" w:cs="Times New Roman"/>
          <w:b/>
          <w:bCs/>
          <w:color w:val="000000" w:themeColor="text1"/>
          <w:kern w:val="2"/>
          <w:sz w:val="32"/>
          <w:szCs w:val="40"/>
          <w14:textFill>
            <w14:solidFill>
              <w14:schemeClr w14:val="tx1"/>
            </w14:solidFill>
          </w14:textFill>
        </w:rPr>
        <w:t>安全设施符合性诊断及整改设计安全设施竣工验收评价</w:t>
      </w:r>
    </w:p>
    <w:p w14:paraId="6A161BB6">
      <w:pPr>
        <w:spacing w:line="360" w:lineRule="auto"/>
        <w:jc w:val="center"/>
        <w:rPr>
          <w:rFonts w:ascii="Times New Roman" w:hAnsi="Times New Roman" w:eastAsia="宋体" w:cs="Times New Roman"/>
          <w:b/>
          <w:bCs/>
          <w:color w:val="000000" w:themeColor="text1"/>
          <w:kern w:val="2"/>
          <w:sz w:val="32"/>
          <w:szCs w:val="40"/>
          <w14:textFill>
            <w14:solidFill>
              <w14:schemeClr w14:val="tx1"/>
            </w14:solidFill>
          </w14:textFill>
        </w:rPr>
      </w:pPr>
      <w:r>
        <w:rPr>
          <w:rFonts w:hint="eastAsia" w:ascii="Times New Roman" w:hAnsi="Times New Roman" w:eastAsia="宋体" w:cs="Times New Roman"/>
          <w:b/>
          <w:bCs/>
          <w:color w:val="000000" w:themeColor="text1"/>
          <w:kern w:val="2"/>
          <w:sz w:val="32"/>
          <w:szCs w:val="40"/>
          <w14:textFill>
            <w14:solidFill>
              <w14:schemeClr w14:val="tx1"/>
            </w14:solidFill>
          </w14:textFill>
        </w:rPr>
        <w:t>现场检查整改复查意见书</w:t>
      </w:r>
    </w:p>
    <w:p w14:paraId="764D1EE2">
      <w:pPr>
        <w:spacing w:line="360" w:lineRule="auto"/>
        <w:ind w:firstLine="560" w:firstLineChars="200"/>
        <w:jc w:val="left"/>
        <w:rPr>
          <w:rFonts w:ascii="Times New Roman" w:hAnsi="Times New Roman" w:eastAsia="宋体" w:cs="Times New Roman"/>
          <w:bCs w:val="0"/>
          <w:color w:val="000000" w:themeColor="text1"/>
          <w:kern w:val="2"/>
          <w:sz w:val="28"/>
          <w:szCs w:val="28"/>
          <w14:textFill>
            <w14:solidFill>
              <w14:schemeClr w14:val="tx1"/>
            </w14:solidFill>
          </w14:textFill>
        </w:rPr>
      </w:pPr>
    </w:p>
    <w:p w14:paraId="3F3EAE04">
      <w:pPr>
        <w:spacing w:line="360" w:lineRule="auto"/>
        <w:ind w:firstLine="560" w:firstLineChars="200"/>
        <w:jc w:val="left"/>
        <w:rPr>
          <w:rFonts w:ascii="Times New Roman" w:hAnsi="Times New Roman" w:eastAsia="宋体" w:cs="Times New Roman"/>
          <w:bCs w:val="0"/>
          <w:color w:val="000000" w:themeColor="text1"/>
          <w:kern w:val="2"/>
          <w:sz w:val="28"/>
          <w:szCs w:val="28"/>
          <w14:textFill>
            <w14:solidFill>
              <w14:schemeClr w14:val="tx1"/>
            </w14:solidFill>
          </w14:textFill>
        </w:rPr>
      </w:pPr>
      <w:r>
        <w:rPr>
          <w:rFonts w:hint="eastAsia" w:ascii="Times New Roman" w:hAnsi="Times New Roman" w:eastAsia="宋体" w:cs="Times New Roman"/>
          <w:bCs w:val="0"/>
          <w:color w:val="000000" w:themeColor="text1"/>
          <w:kern w:val="2"/>
          <w:sz w:val="28"/>
          <w:szCs w:val="28"/>
          <w14:textFill>
            <w14:solidFill>
              <w14:schemeClr w14:val="tx1"/>
            </w14:solidFill>
          </w14:textFill>
        </w:rPr>
        <w:t>中国石化销售股份有限公司</w:t>
      </w:r>
      <w:r>
        <w:rPr>
          <w:rFonts w:hint="eastAsia" w:ascii="Times New Roman" w:hAnsi="Times New Roman" w:eastAsia="宋体" w:cs="Times New Roman"/>
          <w:bCs w:val="0"/>
          <w:color w:val="000000" w:themeColor="text1"/>
          <w:kern w:val="2"/>
          <w:sz w:val="28"/>
          <w:szCs w:val="28"/>
          <w:lang w:eastAsia="zh-CN"/>
          <w14:textFill>
            <w14:solidFill>
              <w14:schemeClr w14:val="tx1"/>
            </w14:solidFill>
          </w14:textFill>
        </w:rPr>
        <w:t>江西赣州兴国石油分公司南坑加油站</w:t>
      </w:r>
      <w:r>
        <w:rPr>
          <w:rFonts w:hint="eastAsia" w:ascii="Times New Roman" w:hAnsi="Times New Roman" w:eastAsia="宋体" w:cs="Times New Roman"/>
          <w:bCs w:val="0"/>
          <w:color w:val="000000" w:themeColor="text1"/>
          <w:kern w:val="2"/>
          <w:sz w:val="28"/>
          <w:szCs w:val="28"/>
          <w14:textFill>
            <w14:solidFill>
              <w14:schemeClr w14:val="tx1"/>
            </w14:solidFill>
          </w14:textFill>
        </w:rPr>
        <w:t>已对现场提出的意见进行了整改，现场未发现重大隐患。</w:t>
      </w:r>
    </w:p>
    <w:p w14:paraId="7963F7C4">
      <w:pPr>
        <w:rPr>
          <w:rFonts w:ascii="Times New Roman" w:hAnsi="Times New Roman" w:eastAsia="宋体" w:cs="Times New Roman"/>
          <w:bCs w:val="0"/>
          <w:color w:val="000000" w:themeColor="text1"/>
          <w:kern w:val="2"/>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drawing>
          <wp:anchor distT="0" distB="0" distL="114300" distR="114300" simplePos="0" relativeHeight="251665408" behindDoc="0" locked="0" layoutInCell="1" allowOverlap="1">
            <wp:simplePos x="0" y="0"/>
            <wp:positionH relativeFrom="column">
              <wp:posOffset>1238250</wp:posOffset>
            </wp:positionH>
            <wp:positionV relativeFrom="paragraph">
              <wp:posOffset>166370</wp:posOffset>
            </wp:positionV>
            <wp:extent cx="4762500" cy="1895475"/>
            <wp:effectExtent l="0" t="0" r="0" b="9525"/>
            <wp:wrapNone/>
            <wp:docPr id="1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IMG_256"/>
                    <pic:cNvPicPr>
                      <a:picLocks noChangeAspect="1"/>
                    </pic:cNvPicPr>
                  </pic:nvPicPr>
                  <pic:blipFill>
                    <a:blip r:embed="rId22"/>
                    <a:stretch>
                      <a:fillRect/>
                    </a:stretch>
                  </pic:blipFill>
                  <pic:spPr>
                    <a:xfrm>
                      <a:off x="0" y="0"/>
                      <a:ext cx="4762500" cy="1895475"/>
                    </a:xfrm>
                    <a:prstGeom prst="rect">
                      <a:avLst/>
                    </a:prstGeom>
                    <a:noFill/>
                    <a:ln w="9525">
                      <a:noFill/>
                    </a:ln>
                  </pic:spPr>
                </pic:pic>
              </a:graphicData>
            </a:graphic>
          </wp:anchor>
        </w:drawing>
      </w:r>
    </w:p>
    <w:p w14:paraId="68C03368">
      <w:pPr>
        <w:widowControl/>
        <w:spacing w:before="100" w:beforeAutospacing="1" w:after="100" w:afterAutospacing="1"/>
        <w:ind w:firstLine="480" w:firstLineChars="200"/>
        <w:jc w:val="left"/>
        <w:rPr>
          <w:rFonts w:ascii="Times New Roman" w:hAnsi="Times New Roman" w:eastAsia="宋体" w:cs="Times New Roman"/>
          <w:bCs w:val="0"/>
          <w:color w:val="000000" w:themeColor="text1"/>
          <w:kern w:val="0"/>
          <w:sz w:val="24"/>
          <w:szCs w:val="24"/>
          <w14:textFill>
            <w14:solidFill>
              <w14:schemeClr w14:val="tx1"/>
            </w14:solidFill>
          </w14:textFill>
        </w:rPr>
      </w:pPr>
    </w:p>
    <w:p w14:paraId="2A370D6C">
      <w:pPr>
        <w:spacing w:line="360" w:lineRule="auto"/>
        <w:jc w:val="right"/>
        <w:rPr>
          <w:rFonts w:ascii="Times New Roman" w:hAnsi="Times New Roman" w:eastAsia="宋体" w:cs="Times New Roman"/>
          <w:bCs w:val="0"/>
          <w:color w:val="000000" w:themeColor="text1"/>
          <w:kern w:val="2"/>
          <w:sz w:val="28"/>
          <w:szCs w:val="28"/>
          <w14:textFill>
            <w14:solidFill>
              <w14:schemeClr w14:val="tx1"/>
            </w14:solidFill>
          </w14:textFill>
        </w:rPr>
      </w:pPr>
      <w:r>
        <w:rPr>
          <w:rFonts w:hint="eastAsia" w:ascii="Times New Roman" w:hAnsi="Times New Roman" w:eastAsia="宋体" w:cs="Times New Roman"/>
          <w:bCs w:val="0"/>
          <w:color w:val="000000" w:themeColor="text1"/>
          <w:kern w:val="2"/>
          <w:sz w:val="28"/>
          <w:szCs w:val="28"/>
          <w14:textFill>
            <w14:solidFill>
              <w14:schemeClr w14:val="tx1"/>
            </w14:solidFill>
          </w14:textFill>
        </w:rPr>
        <w:t xml:space="preserve">                       江西赣安安全生产科学技术咨询服务中心</w:t>
      </w:r>
    </w:p>
    <w:p w14:paraId="043628B2">
      <w:pPr>
        <w:jc w:val="right"/>
        <w:rPr>
          <w:rFonts w:ascii="Times New Roman" w:hAnsi="Times New Roman" w:eastAsia="宋体" w:cs="Times New Roman"/>
          <w:bCs w:val="0"/>
          <w:color w:val="000000" w:themeColor="text1"/>
          <w:kern w:val="2"/>
          <w:sz w:val="28"/>
          <w:szCs w:val="28"/>
          <w14:textFill>
            <w14:solidFill>
              <w14:schemeClr w14:val="tx1"/>
            </w14:solidFill>
          </w14:textFill>
        </w:rPr>
      </w:pPr>
      <w:r>
        <w:rPr>
          <w:rFonts w:hint="eastAsia" w:ascii="Times New Roman" w:hAnsi="Times New Roman" w:eastAsia="宋体" w:cs="Times New Roman"/>
          <w:bCs w:val="0"/>
          <w:color w:val="000000" w:themeColor="text1"/>
          <w:kern w:val="2"/>
          <w:sz w:val="28"/>
          <w:szCs w:val="28"/>
          <w14:textFill>
            <w14:solidFill>
              <w14:schemeClr w14:val="tx1"/>
            </w14:solidFill>
          </w14:textFill>
        </w:rPr>
        <w:t xml:space="preserve">                                        202</w:t>
      </w:r>
      <w:r>
        <w:rPr>
          <w:rFonts w:hint="eastAsia" w:ascii="Times New Roman" w:hAnsi="Times New Roman" w:eastAsia="宋体" w:cs="Times New Roman"/>
          <w:bCs w:val="0"/>
          <w:color w:val="000000" w:themeColor="text1"/>
          <w:kern w:val="2"/>
          <w:sz w:val="28"/>
          <w:szCs w:val="28"/>
          <w:lang w:val="en-US" w:eastAsia="zh-CN"/>
          <w14:textFill>
            <w14:solidFill>
              <w14:schemeClr w14:val="tx1"/>
            </w14:solidFill>
          </w14:textFill>
        </w:rPr>
        <w:t>6</w:t>
      </w:r>
      <w:r>
        <w:rPr>
          <w:rFonts w:hint="eastAsia" w:ascii="Times New Roman" w:hAnsi="Times New Roman" w:eastAsia="宋体" w:cs="Times New Roman"/>
          <w:bCs w:val="0"/>
          <w:color w:val="000000" w:themeColor="text1"/>
          <w:kern w:val="2"/>
          <w:sz w:val="28"/>
          <w:szCs w:val="28"/>
          <w14:textFill>
            <w14:solidFill>
              <w14:schemeClr w14:val="tx1"/>
            </w14:solidFill>
          </w14:textFill>
        </w:rPr>
        <w:t>年</w:t>
      </w:r>
      <w:r>
        <w:rPr>
          <w:rFonts w:hint="eastAsia" w:ascii="Times New Roman" w:hAnsi="Times New Roman" w:eastAsia="宋体" w:cs="Times New Roman"/>
          <w:bCs w:val="0"/>
          <w:color w:val="000000" w:themeColor="text1"/>
          <w:kern w:val="2"/>
          <w:sz w:val="28"/>
          <w:szCs w:val="28"/>
          <w:lang w:val="en-US" w:eastAsia="zh-CN"/>
          <w14:textFill>
            <w14:solidFill>
              <w14:schemeClr w14:val="tx1"/>
            </w14:solidFill>
          </w14:textFill>
        </w:rPr>
        <w:t>7</w:t>
      </w:r>
      <w:r>
        <w:rPr>
          <w:rFonts w:hint="eastAsia" w:ascii="Times New Roman" w:hAnsi="Times New Roman" w:eastAsia="宋体" w:cs="Times New Roman"/>
          <w:bCs w:val="0"/>
          <w:color w:val="000000" w:themeColor="text1"/>
          <w:kern w:val="2"/>
          <w:sz w:val="28"/>
          <w:szCs w:val="28"/>
          <w14:textFill>
            <w14:solidFill>
              <w14:schemeClr w14:val="tx1"/>
            </w14:solidFill>
          </w14:textFill>
        </w:rPr>
        <w:t>月</w:t>
      </w:r>
    </w:p>
    <w:p w14:paraId="4159F118">
      <w:pPr>
        <w:rPr>
          <w:rFonts w:hint="eastAsia" w:ascii="Times New Roman" w:hAnsi="Times New Roman" w:eastAsia="宋体" w:cs="Calibri"/>
          <w:bCs w:val="0"/>
          <w:color w:val="000000" w:themeColor="text1"/>
          <w:kern w:val="2"/>
          <w:lang w:eastAsia="zh-CN"/>
          <w14:textFill>
            <w14:solidFill>
              <w14:schemeClr w14:val="tx1"/>
            </w14:solidFill>
          </w14:textFill>
        </w:rPr>
      </w:pPr>
      <w:r>
        <w:rPr>
          <w:rFonts w:hint="eastAsia" w:ascii="Times New Roman" w:hAnsi="Times New Roman" w:eastAsia="宋体" w:cs="Calibri"/>
          <w:bCs w:val="0"/>
          <w:color w:val="000000" w:themeColor="text1"/>
          <w:kern w:val="2"/>
          <w:lang w:eastAsia="zh-CN"/>
          <w14:textFill>
            <w14:solidFill>
              <w14:schemeClr w14:val="tx1"/>
            </w14:solidFill>
          </w14:textFill>
        </w:rPr>
        <w:br w:type="page"/>
      </w:r>
    </w:p>
    <w:p w14:paraId="0047714D">
      <w:pPr>
        <w:rPr>
          <w:rFonts w:hint="eastAsia" w:ascii="Times New Roman" w:hAnsi="Times New Roman" w:eastAsia="宋体" w:cs="Calibri"/>
          <w:bCs w:val="0"/>
          <w:color w:val="0000FF"/>
          <w:kern w:val="2"/>
          <w:lang w:eastAsia="zh-CN"/>
        </w:rPr>
      </w:pPr>
      <w:r>
        <w:rPr>
          <w:rFonts w:ascii="宋体" w:hAnsi="宋体" w:eastAsia="宋体" w:cs="宋体"/>
          <w:sz w:val="24"/>
          <w:szCs w:val="24"/>
        </w:rPr>
        <w:drawing>
          <wp:inline distT="0" distB="0" distL="114300" distR="114300">
            <wp:extent cx="5834380" cy="6865620"/>
            <wp:effectExtent l="0" t="0" r="13970" b="11430"/>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23"/>
                    <a:stretch>
                      <a:fillRect/>
                    </a:stretch>
                  </pic:blipFill>
                  <pic:spPr>
                    <a:xfrm>
                      <a:off x="0" y="0"/>
                      <a:ext cx="5834380" cy="6865620"/>
                    </a:xfrm>
                    <a:prstGeom prst="rect">
                      <a:avLst/>
                    </a:prstGeom>
                    <a:noFill/>
                    <a:ln w="9525">
                      <a:noFill/>
                    </a:ln>
                  </pic:spPr>
                </pic:pic>
              </a:graphicData>
            </a:graphic>
          </wp:inline>
        </w:drawing>
      </w:r>
      <w:r>
        <w:rPr>
          <w:rFonts w:hint="eastAsia" w:ascii="Times New Roman" w:hAnsi="Times New Roman" w:eastAsia="宋体" w:cs="Calibri"/>
          <w:bCs w:val="0"/>
          <w:color w:val="0000FF"/>
          <w:kern w:val="2"/>
          <w:lang w:eastAsia="zh-CN"/>
        </w:rPr>
        <w:br w:type="page"/>
      </w:r>
    </w:p>
    <w:p w14:paraId="2470BC14">
      <w:pPr>
        <w:rPr>
          <w:rFonts w:hint="eastAsia" w:ascii="Times New Roman" w:hAnsi="Times New Roman" w:eastAsia="宋体" w:cs="Calibri"/>
          <w:bCs w:val="0"/>
          <w:color w:val="0000FF"/>
          <w:kern w:val="2"/>
          <w:lang w:eastAsia="zh-CN"/>
        </w:rPr>
      </w:pPr>
      <w:r>
        <w:rPr>
          <w:rFonts w:hint="eastAsia" w:ascii="Times New Roman" w:hAnsi="Times New Roman" w:eastAsia="宋体" w:cs="Calibri"/>
          <w:bCs w:val="0"/>
          <w:color w:val="0000FF"/>
          <w:kern w:val="2"/>
          <w:lang w:eastAsia="zh-CN"/>
        </w:rPr>
        <w:drawing>
          <wp:inline distT="0" distB="0" distL="114300" distR="114300">
            <wp:extent cx="5761355" cy="7974330"/>
            <wp:effectExtent l="0" t="0" r="10795" b="7620"/>
            <wp:docPr id="48" name="图片 48" descr="《中石化兴国南坑加油站符合性诊断及整改设计》2026.8.1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中石化兴国南坑加油站符合性诊断及整改设计》2026.8.11_05"/>
                    <pic:cNvPicPr>
                      <a:picLocks noChangeAspect="1"/>
                    </pic:cNvPicPr>
                  </pic:nvPicPr>
                  <pic:blipFill>
                    <a:blip r:embed="rId24"/>
                    <a:srcRect l="11990" t="11893" r="17516" b="19114"/>
                    <a:stretch>
                      <a:fillRect/>
                    </a:stretch>
                  </pic:blipFill>
                  <pic:spPr>
                    <a:xfrm>
                      <a:off x="0" y="0"/>
                      <a:ext cx="5761355" cy="797433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60720" cy="8555990"/>
            <wp:effectExtent l="0" t="0" r="11430" b="16510"/>
            <wp:docPr id="49" name="图片 49" descr="《中石化兴国南坑加油站符合性诊断及整改设计》2026.8.1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中石化兴国南坑加油站符合性诊断及整改设计》2026.8.11_06"/>
                    <pic:cNvPicPr>
                      <a:picLocks noChangeAspect="1"/>
                    </pic:cNvPicPr>
                  </pic:nvPicPr>
                  <pic:blipFill>
                    <a:blip r:embed="rId25"/>
                    <a:srcRect l="16930" t="11917" r="21417" b="23334"/>
                    <a:stretch>
                      <a:fillRect/>
                    </a:stretch>
                  </pic:blipFill>
                  <pic:spPr>
                    <a:xfrm>
                      <a:off x="0" y="0"/>
                      <a:ext cx="5760720" cy="855599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8180" cy="4090670"/>
            <wp:effectExtent l="0" t="0" r="13970" b="5080"/>
            <wp:docPr id="20" name="图片 20"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营业执照"/>
                    <pic:cNvPicPr>
                      <a:picLocks noChangeAspect="1"/>
                    </pic:cNvPicPr>
                  </pic:nvPicPr>
                  <pic:blipFill>
                    <a:blip r:embed="rId26"/>
                    <a:stretch>
                      <a:fillRect/>
                    </a:stretch>
                  </pic:blipFill>
                  <pic:spPr>
                    <a:xfrm>
                      <a:off x="0" y="0"/>
                      <a:ext cx="5758180" cy="409067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7385" cy="4102735"/>
            <wp:effectExtent l="0" t="0" r="5715" b="12065"/>
            <wp:docPr id="21" name="图片 21" descr="危险化学品经营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危险化学品经营许可证"/>
                    <pic:cNvPicPr>
                      <a:picLocks noChangeAspect="1"/>
                    </pic:cNvPicPr>
                  </pic:nvPicPr>
                  <pic:blipFill>
                    <a:blip r:embed="rId27"/>
                    <a:stretch>
                      <a:fillRect/>
                    </a:stretch>
                  </pic:blipFill>
                  <pic:spPr>
                    <a:xfrm>
                      <a:off x="0" y="0"/>
                      <a:ext cx="5747385" cy="410273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7545" cy="4253230"/>
            <wp:effectExtent l="0" t="0" r="14605" b="13970"/>
            <wp:docPr id="22" name="图片 22" descr="成品油零售经营批准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成品油零售经营批准证书"/>
                    <pic:cNvPicPr>
                      <a:picLocks noChangeAspect="1"/>
                    </pic:cNvPicPr>
                  </pic:nvPicPr>
                  <pic:blipFill>
                    <a:blip r:embed="rId28"/>
                    <a:stretch>
                      <a:fillRect/>
                    </a:stretch>
                  </pic:blipFill>
                  <pic:spPr>
                    <a:xfrm>
                      <a:off x="0" y="0"/>
                      <a:ext cx="5757545" cy="425323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8180" cy="8855710"/>
            <wp:effectExtent l="0" t="0" r="13970" b="2540"/>
            <wp:docPr id="23" name="图片 23" descr="土地租赁合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土地租赁合同1"/>
                    <pic:cNvPicPr>
                      <a:picLocks noChangeAspect="1"/>
                    </pic:cNvPicPr>
                  </pic:nvPicPr>
                  <pic:blipFill>
                    <a:blip r:embed="rId29"/>
                    <a:stretch>
                      <a:fillRect/>
                    </a:stretch>
                  </pic:blipFill>
                  <pic:spPr>
                    <a:xfrm>
                      <a:off x="0" y="0"/>
                      <a:ext cx="5758180" cy="885571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5005" cy="8533130"/>
            <wp:effectExtent l="0" t="0" r="17145" b="1270"/>
            <wp:docPr id="24" name="图片 24" descr="土地租赁合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土地租赁合同2"/>
                    <pic:cNvPicPr>
                      <a:picLocks noChangeAspect="1"/>
                    </pic:cNvPicPr>
                  </pic:nvPicPr>
                  <pic:blipFill>
                    <a:blip r:embed="rId30"/>
                    <a:stretch>
                      <a:fillRect/>
                    </a:stretch>
                  </pic:blipFill>
                  <pic:spPr>
                    <a:xfrm>
                      <a:off x="0" y="0"/>
                      <a:ext cx="5755005" cy="853313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8180" cy="7522845"/>
            <wp:effectExtent l="0" t="0" r="13970" b="1905"/>
            <wp:docPr id="25" name="图片 25" descr="站长任命文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站长任命文件_01"/>
                    <pic:cNvPicPr>
                      <a:picLocks noChangeAspect="1"/>
                    </pic:cNvPicPr>
                  </pic:nvPicPr>
                  <pic:blipFill>
                    <a:blip r:embed="rId31"/>
                    <a:srcRect l="6730" t="12901" r="4476" b="5072"/>
                    <a:stretch>
                      <a:fillRect/>
                    </a:stretch>
                  </pic:blipFill>
                  <pic:spPr>
                    <a:xfrm>
                      <a:off x="0" y="0"/>
                      <a:ext cx="5758180" cy="752284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65165" cy="8335645"/>
            <wp:effectExtent l="0" t="0" r="6985" b="8255"/>
            <wp:docPr id="26" name="图片 26" descr="站长任命文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站长任命文件_02"/>
                    <pic:cNvPicPr>
                      <a:picLocks noChangeAspect="1"/>
                    </pic:cNvPicPr>
                  </pic:nvPicPr>
                  <pic:blipFill>
                    <a:blip r:embed="rId32"/>
                    <a:srcRect l="9305" t="4923" r="5437" b="7908"/>
                    <a:stretch>
                      <a:fillRect/>
                    </a:stretch>
                  </pic:blipFill>
                  <pic:spPr>
                    <a:xfrm>
                      <a:off x="0" y="0"/>
                      <a:ext cx="5765165" cy="833564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1830" cy="3380740"/>
            <wp:effectExtent l="0" t="0" r="1270" b="10160"/>
            <wp:docPr id="27" name="图片 27" descr="吴兵兵主要负责人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吴兵兵主要负责人证书"/>
                    <pic:cNvPicPr>
                      <a:picLocks noChangeAspect="1"/>
                    </pic:cNvPicPr>
                  </pic:nvPicPr>
                  <pic:blipFill>
                    <a:blip r:embed="rId33"/>
                    <a:stretch>
                      <a:fillRect/>
                    </a:stretch>
                  </pic:blipFill>
                  <pic:spPr>
                    <a:xfrm>
                      <a:off x="0" y="0"/>
                      <a:ext cx="5751830" cy="338074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2940" cy="3522980"/>
            <wp:effectExtent l="0" t="0" r="10160" b="1270"/>
            <wp:docPr id="28" name="图片 28" descr="周金花安全生产管理人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周金花安全生产管理人员"/>
                    <pic:cNvPicPr>
                      <a:picLocks noChangeAspect="1"/>
                    </pic:cNvPicPr>
                  </pic:nvPicPr>
                  <pic:blipFill>
                    <a:blip r:embed="rId34"/>
                    <a:stretch>
                      <a:fillRect/>
                    </a:stretch>
                  </pic:blipFill>
                  <pic:spPr>
                    <a:xfrm>
                      <a:off x="0" y="0"/>
                      <a:ext cx="5742940" cy="352298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2940" cy="8038465"/>
            <wp:effectExtent l="0" t="0" r="10160" b="635"/>
            <wp:docPr id="29" name="图片 29" descr="南坑消防验收意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南坑消防验收意见书"/>
                    <pic:cNvPicPr>
                      <a:picLocks noChangeAspect="1"/>
                    </pic:cNvPicPr>
                  </pic:nvPicPr>
                  <pic:blipFill>
                    <a:blip r:embed="rId35"/>
                    <a:stretch>
                      <a:fillRect/>
                    </a:stretch>
                  </pic:blipFill>
                  <pic:spPr>
                    <a:xfrm>
                      <a:off x="0" y="0"/>
                      <a:ext cx="5742940" cy="803846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6910" cy="7839075"/>
            <wp:effectExtent l="0" t="0" r="15240" b="9525"/>
            <wp:docPr id="30" name="图片 30" descr="预案备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预案备案"/>
                    <pic:cNvPicPr>
                      <a:picLocks noChangeAspect="1"/>
                    </pic:cNvPicPr>
                  </pic:nvPicPr>
                  <pic:blipFill>
                    <a:blip r:embed="rId36"/>
                    <a:stretch>
                      <a:fillRect/>
                    </a:stretch>
                  </pic:blipFill>
                  <pic:spPr>
                    <a:xfrm>
                      <a:off x="0" y="0"/>
                      <a:ext cx="5756910" cy="783907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6275" cy="8098155"/>
            <wp:effectExtent l="0" t="0" r="15875" b="17145"/>
            <wp:docPr id="31" name="图片 31" descr="兴国南坑站级预案演练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兴国南坑站级预案演练记录"/>
                    <pic:cNvPicPr>
                      <a:picLocks noChangeAspect="1"/>
                    </pic:cNvPicPr>
                  </pic:nvPicPr>
                  <pic:blipFill>
                    <a:blip r:embed="rId37"/>
                    <a:stretch>
                      <a:fillRect/>
                    </a:stretch>
                  </pic:blipFill>
                  <pic:spPr>
                    <a:xfrm>
                      <a:off x="0" y="0"/>
                      <a:ext cx="5756275" cy="809815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0560" cy="7114540"/>
            <wp:effectExtent l="0" t="0" r="2540" b="10160"/>
            <wp:docPr id="32" name="图片 32" descr="南坑安全培训教育__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南坑安全培训教育__4.27"/>
                    <pic:cNvPicPr>
                      <a:picLocks noChangeAspect="1"/>
                    </pic:cNvPicPr>
                  </pic:nvPicPr>
                  <pic:blipFill>
                    <a:blip r:embed="rId38"/>
                    <a:stretch>
                      <a:fillRect/>
                    </a:stretch>
                  </pic:blipFill>
                  <pic:spPr>
                    <a:xfrm>
                      <a:off x="0" y="0"/>
                      <a:ext cx="5750560" cy="711454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0560" cy="7114540"/>
            <wp:effectExtent l="0" t="0" r="2540" b="10160"/>
            <wp:docPr id="33" name="图片 33" descr="南坑安全培训教育_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南坑安全培训教育__5.8"/>
                    <pic:cNvPicPr>
                      <a:picLocks noChangeAspect="1"/>
                    </pic:cNvPicPr>
                  </pic:nvPicPr>
                  <pic:blipFill>
                    <a:blip r:embed="rId39"/>
                    <a:stretch>
                      <a:fillRect/>
                    </a:stretch>
                  </pic:blipFill>
                  <pic:spPr>
                    <a:xfrm>
                      <a:off x="0" y="0"/>
                      <a:ext cx="5750560" cy="711454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8180" cy="8079740"/>
            <wp:effectExtent l="0" t="0" r="13970" b="16510"/>
            <wp:docPr id="34" name="图片 34" descr="吴兵兵工伤保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吴兵兵工伤保险1"/>
                    <pic:cNvPicPr>
                      <a:picLocks noChangeAspect="1"/>
                    </pic:cNvPicPr>
                  </pic:nvPicPr>
                  <pic:blipFill>
                    <a:blip r:embed="rId40"/>
                    <a:stretch>
                      <a:fillRect/>
                    </a:stretch>
                  </pic:blipFill>
                  <pic:spPr>
                    <a:xfrm>
                      <a:off x="0" y="0"/>
                      <a:ext cx="5758180" cy="807974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8180" cy="7940040"/>
            <wp:effectExtent l="0" t="0" r="13970" b="3810"/>
            <wp:docPr id="35" name="图片 35" descr="吴兵兵工伤保险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吴兵兵工伤保险2"/>
                    <pic:cNvPicPr>
                      <a:picLocks noChangeAspect="1"/>
                    </pic:cNvPicPr>
                  </pic:nvPicPr>
                  <pic:blipFill>
                    <a:blip r:embed="rId41"/>
                    <a:stretch>
                      <a:fillRect/>
                    </a:stretch>
                  </pic:blipFill>
                  <pic:spPr>
                    <a:xfrm>
                      <a:off x="0" y="0"/>
                      <a:ext cx="5758180" cy="794004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7545" cy="8096885"/>
            <wp:effectExtent l="0" t="0" r="14605" b="18415"/>
            <wp:docPr id="36" name="图片 36" descr="周金花工伤保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周金花工伤保险1"/>
                    <pic:cNvPicPr>
                      <a:picLocks noChangeAspect="1"/>
                    </pic:cNvPicPr>
                  </pic:nvPicPr>
                  <pic:blipFill>
                    <a:blip r:embed="rId42"/>
                    <a:stretch>
                      <a:fillRect/>
                    </a:stretch>
                  </pic:blipFill>
                  <pic:spPr>
                    <a:xfrm>
                      <a:off x="0" y="0"/>
                      <a:ext cx="5757545" cy="809688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60720" cy="3065145"/>
            <wp:effectExtent l="0" t="0" r="11430" b="1905"/>
            <wp:docPr id="37" name="图片 37" descr="周金花工伤保险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周金花工伤保险2"/>
                    <pic:cNvPicPr>
                      <a:picLocks noChangeAspect="1"/>
                    </pic:cNvPicPr>
                  </pic:nvPicPr>
                  <pic:blipFill>
                    <a:blip r:embed="rId43"/>
                    <a:stretch>
                      <a:fillRect/>
                    </a:stretch>
                  </pic:blipFill>
                  <pic:spPr>
                    <a:xfrm>
                      <a:off x="0" y="0"/>
                      <a:ext cx="5760720" cy="3065145"/>
                    </a:xfrm>
                    <a:prstGeom prst="rect">
                      <a:avLst/>
                    </a:prstGeom>
                  </pic:spPr>
                </pic:pic>
              </a:graphicData>
            </a:graphic>
          </wp:inline>
        </w:drawing>
      </w:r>
    </w:p>
    <w:p w14:paraId="69E5A034">
      <w:pPr>
        <w:rPr>
          <w:rFonts w:hint="eastAsia" w:ascii="Times New Roman" w:hAnsi="Times New Roman" w:eastAsia="宋体" w:cs="Calibri"/>
          <w:bCs w:val="0"/>
          <w:color w:val="0000FF"/>
          <w:kern w:val="2"/>
          <w:lang w:eastAsia="zh-CN"/>
        </w:rPr>
      </w:pPr>
      <w:r>
        <w:rPr>
          <w:rFonts w:hint="eastAsia" w:ascii="Times New Roman" w:hAnsi="Times New Roman" w:eastAsia="宋体" w:cs="Calibri"/>
          <w:bCs w:val="0"/>
          <w:color w:val="0000FF"/>
          <w:kern w:val="2"/>
          <w:lang w:eastAsia="zh-CN"/>
        </w:rPr>
        <w:drawing>
          <wp:inline distT="0" distB="0" distL="114300" distR="114300">
            <wp:extent cx="5746115" cy="8126095"/>
            <wp:effectExtent l="0" t="0" r="6985" b="8255"/>
            <wp:docPr id="39" name="图片 39" descr="中国石化销售股份有限公司江西赣州兴国石油分公司南坑加油站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中国石化销售股份有限公司江西赣州兴国石油分公司南坑加油站_01"/>
                    <pic:cNvPicPr>
                      <a:picLocks noChangeAspect="1"/>
                    </pic:cNvPicPr>
                  </pic:nvPicPr>
                  <pic:blipFill>
                    <a:blip r:embed="rId44"/>
                    <a:stretch>
                      <a:fillRect/>
                    </a:stretch>
                  </pic:blipFill>
                  <pic:spPr>
                    <a:xfrm>
                      <a:off x="0" y="0"/>
                      <a:ext cx="5746115" cy="812609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6115" cy="8126095"/>
            <wp:effectExtent l="0" t="0" r="6985" b="8255"/>
            <wp:docPr id="38" name="图片 38" descr="中国石化销售股份有限公司江西赣州兴国石油分公司南坑加油站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中国石化销售股份有限公司江西赣州兴国石油分公司南坑加油站_03"/>
                    <pic:cNvPicPr>
                      <a:picLocks noChangeAspect="1"/>
                    </pic:cNvPicPr>
                  </pic:nvPicPr>
                  <pic:blipFill>
                    <a:blip r:embed="rId45"/>
                    <a:stretch>
                      <a:fillRect/>
                    </a:stretch>
                  </pic:blipFill>
                  <pic:spPr>
                    <a:xfrm>
                      <a:off x="0" y="0"/>
                      <a:ext cx="5746115" cy="812609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6115" cy="8126095"/>
            <wp:effectExtent l="0" t="0" r="6985" b="8255"/>
            <wp:docPr id="41" name="图片 41" descr="152南坑加油站__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52南坑加油站___01"/>
                    <pic:cNvPicPr>
                      <a:picLocks noChangeAspect="1"/>
                    </pic:cNvPicPr>
                  </pic:nvPicPr>
                  <pic:blipFill>
                    <a:blip r:embed="rId46"/>
                    <a:stretch>
                      <a:fillRect/>
                    </a:stretch>
                  </pic:blipFill>
                  <pic:spPr>
                    <a:xfrm>
                      <a:off x="0" y="0"/>
                      <a:ext cx="5746115" cy="812609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6115" cy="8126095"/>
            <wp:effectExtent l="0" t="0" r="6985" b="8255"/>
            <wp:docPr id="40" name="图片 40" descr="152南坑加油站__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52南坑加油站___03"/>
                    <pic:cNvPicPr>
                      <a:picLocks noChangeAspect="1"/>
                    </pic:cNvPicPr>
                  </pic:nvPicPr>
                  <pic:blipFill>
                    <a:blip r:embed="rId47"/>
                    <a:stretch>
                      <a:fillRect/>
                    </a:stretch>
                  </pic:blipFill>
                  <pic:spPr>
                    <a:xfrm>
                      <a:off x="0" y="0"/>
                      <a:ext cx="5746115" cy="8126095"/>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51830" cy="7443470"/>
            <wp:effectExtent l="0" t="0" r="1270" b="5080"/>
            <wp:docPr id="44" name="图片 44" descr="（南坑）安全生产费投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南坑）安全生产费投入_01"/>
                    <pic:cNvPicPr>
                      <a:picLocks noChangeAspect="1"/>
                    </pic:cNvPicPr>
                  </pic:nvPicPr>
                  <pic:blipFill>
                    <a:blip r:embed="rId48"/>
                    <a:stretch>
                      <a:fillRect/>
                    </a:stretch>
                  </pic:blipFill>
                  <pic:spPr>
                    <a:xfrm>
                      <a:off x="0" y="0"/>
                      <a:ext cx="5751830" cy="7443470"/>
                    </a:xfrm>
                    <a:prstGeom prst="rect">
                      <a:avLst/>
                    </a:prstGeom>
                  </pic:spPr>
                </pic:pic>
              </a:graphicData>
            </a:graphic>
          </wp:inline>
        </w:drawing>
      </w:r>
      <w:r>
        <w:rPr>
          <w:rFonts w:hint="eastAsia" w:ascii="Times New Roman" w:hAnsi="Times New Roman" w:eastAsia="宋体" w:cs="Calibri"/>
          <w:bCs w:val="0"/>
          <w:color w:val="0000FF"/>
          <w:kern w:val="2"/>
          <w:lang w:eastAsia="zh-CN"/>
        </w:rPr>
        <w:drawing>
          <wp:inline distT="0" distB="0" distL="114300" distR="114300">
            <wp:extent cx="5746115" cy="8126095"/>
            <wp:effectExtent l="0" t="0" r="6985" b="8255"/>
            <wp:docPr id="43" name="图片 43" descr="近三年未发生事故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近三年未发生事故证明"/>
                    <pic:cNvPicPr>
                      <a:picLocks noChangeAspect="1"/>
                    </pic:cNvPicPr>
                  </pic:nvPicPr>
                  <pic:blipFill>
                    <a:blip r:embed="rId49"/>
                    <a:stretch>
                      <a:fillRect/>
                    </a:stretch>
                  </pic:blipFill>
                  <pic:spPr>
                    <a:xfrm>
                      <a:off x="0" y="0"/>
                      <a:ext cx="5746115" cy="8126095"/>
                    </a:xfrm>
                    <a:prstGeom prst="rect">
                      <a:avLst/>
                    </a:prstGeom>
                  </pic:spPr>
                </pic:pic>
              </a:graphicData>
            </a:graphic>
          </wp:inline>
        </w:drawing>
      </w:r>
    </w:p>
    <w:p w14:paraId="5664309D">
      <w:pPr>
        <w:spacing w:line="360" w:lineRule="auto"/>
        <w:rPr>
          <w:rFonts w:hint="eastAsia" w:ascii="Times New Roman" w:hAnsi="Times New Roman" w:eastAsia="宋体" w:cs="Times New Roman"/>
          <w:bCs w:val="0"/>
          <w:color w:val="0000FF"/>
          <w:kern w:val="2"/>
          <w:lang w:eastAsia="zh-CN"/>
        </w:rPr>
      </w:pPr>
    </w:p>
    <w:p w14:paraId="1ED19EB2">
      <w:pPr>
        <w:rPr>
          <w:color w:val="0000FF"/>
        </w:rPr>
      </w:pPr>
    </w:p>
    <w:sectPr>
      <w:headerReference r:id="rId6" w:type="default"/>
      <w:footerReference r:id="rId7"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04FC">
    <w:pPr>
      <w:widowControl w:val="0"/>
      <w:pBdr>
        <w:top w:val="single" w:color="auto" w:sz="4" w:space="1"/>
      </w:pBdr>
      <w:tabs>
        <w:tab w:val="center" w:pos="4153"/>
        <w:tab w:val="right" w:pos="8306"/>
      </w:tabs>
      <w:snapToGrid w:val="0"/>
      <w:jc w:val="left"/>
      <w:rPr>
        <w:rFonts w:hint="eastAsia" w:ascii="Calibri" w:hAnsi="Calibri" w:eastAsia="宋体" w:cs="Calibri"/>
        <w:kern w:val="0"/>
        <w:sz w:val="18"/>
        <w:szCs w:val="18"/>
        <w:lang w:val="en-US" w:eastAsia="zh-CN" w:bidi="ar-SA"/>
      </w:rPr>
    </w:pPr>
    <w:r>
      <w:rPr>
        <w:rFonts w:ascii="Calibri" w:hAnsi="Calibri" w:eastAsia="宋体" w:cs="Calibri"/>
        <w:kern w:val="0"/>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3A21B1">
                          <w:pPr>
                            <w:widowControl w:val="0"/>
                            <w:tabs>
                              <w:tab w:val="center" w:pos="4153"/>
                              <w:tab w:val="right" w:pos="8306"/>
                            </w:tabs>
                            <w:snapToGrid w:val="0"/>
                            <w:jc w:val="left"/>
                            <w:rPr>
                              <w:rFonts w:ascii="Calibri" w:hAnsi="Calibri" w:eastAsia="宋体" w:cs="Calibri"/>
                              <w:kern w:val="0"/>
                              <w:sz w:val="18"/>
                              <w:szCs w:val="18"/>
                              <w:lang w:val="en-US" w:eastAsia="zh-CN" w:bidi="ar-SA"/>
                            </w:rPr>
                          </w:pPr>
                          <w:r>
                            <w:rPr>
                              <w:rFonts w:ascii="Calibri" w:hAnsi="Calibri" w:eastAsia="宋体" w:cs="Calibri"/>
                              <w:kern w:val="0"/>
                              <w:sz w:val="18"/>
                              <w:szCs w:val="18"/>
                              <w:lang w:val="en-US" w:eastAsia="zh-CN" w:bidi="ar-SA"/>
                            </w:rPr>
                            <w:fldChar w:fldCharType="begin"/>
                          </w:r>
                          <w:r>
                            <w:rPr>
                              <w:rFonts w:ascii="Calibri" w:hAnsi="Calibri" w:eastAsia="宋体" w:cs="Calibri"/>
                              <w:kern w:val="0"/>
                              <w:sz w:val="18"/>
                              <w:szCs w:val="18"/>
                              <w:lang w:val="en-US" w:eastAsia="zh-CN" w:bidi="ar-SA"/>
                            </w:rPr>
                            <w:instrText xml:space="preserve"> PAGE  \* MERGEFORMAT </w:instrText>
                          </w:r>
                          <w:r>
                            <w:rPr>
                              <w:rFonts w:ascii="Calibri" w:hAnsi="Calibri" w:eastAsia="宋体" w:cs="Calibri"/>
                              <w:kern w:val="0"/>
                              <w:sz w:val="18"/>
                              <w:szCs w:val="18"/>
                              <w:lang w:val="en-US" w:eastAsia="zh-CN" w:bidi="ar-SA"/>
                            </w:rPr>
                            <w:fldChar w:fldCharType="separate"/>
                          </w:r>
                          <w:r>
                            <w:rPr>
                              <w:rFonts w:ascii="Calibri" w:hAnsi="Calibri" w:eastAsia="宋体" w:cs="Calibri"/>
                              <w:kern w:val="0"/>
                              <w:sz w:val="18"/>
                              <w:szCs w:val="18"/>
                              <w:lang w:val="en-US" w:eastAsia="zh-CN" w:bidi="ar-SA"/>
                            </w:rPr>
                            <w:t>100</w:t>
                          </w:r>
                          <w:r>
                            <w:rPr>
                              <w:rFonts w:ascii="Calibri" w:hAnsi="Calibri" w:eastAsia="宋体" w:cs="Calibri"/>
                              <w:kern w:val="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3NlQUzAgAAZwQAAA4AAAAAAAAAAQAgAAAAHwEAAGRycy9lMm9Eb2MueG1sUEsF&#10;BgAAAAAGAAYAWQEAAMQFAAAAAA==&#10;">
              <v:fill on="f" focussize="0,0"/>
              <v:stroke on="f" weight="0.5pt"/>
              <v:imagedata o:title=""/>
              <o:lock v:ext="edit" aspectratio="f"/>
              <v:textbox inset="0mm,0mm,0mm,0mm" style="mso-fit-shape-to-text:t;">
                <w:txbxContent>
                  <w:p w14:paraId="243A21B1">
                    <w:pPr>
                      <w:widowControl w:val="0"/>
                      <w:tabs>
                        <w:tab w:val="center" w:pos="4153"/>
                        <w:tab w:val="right" w:pos="8306"/>
                      </w:tabs>
                      <w:snapToGrid w:val="0"/>
                      <w:jc w:val="left"/>
                      <w:rPr>
                        <w:rFonts w:ascii="Calibri" w:hAnsi="Calibri" w:eastAsia="宋体" w:cs="Calibri"/>
                        <w:kern w:val="0"/>
                        <w:sz w:val="18"/>
                        <w:szCs w:val="18"/>
                        <w:lang w:val="en-US" w:eastAsia="zh-CN" w:bidi="ar-SA"/>
                      </w:rPr>
                    </w:pPr>
                    <w:r>
                      <w:rPr>
                        <w:rFonts w:ascii="Calibri" w:hAnsi="Calibri" w:eastAsia="宋体" w:cs="Calibri"/>
                        <w:kern w:val="0"/>
                        <w:sz w:val="18"/>
                        <w:szCs w:val="18"/>
                        <w:lang w:val="en-US" w:eastAsia="zh-CN" w:bidi="ar-SA"/>
                      </w:rPr>
                      <w:fldChar w:fldCharType="begin"/>
                    </w:r>
                    <w:r>
                      <w:rPr>
                        <w:rFonts w:ascii="Calibri" w:hAnsi="Calibri" w:eastAsia="宋体" w:cs="Calibri"/>
                        <w:kern w:val="0"/>
                        <w:sz w:val="18"/>
                        <w:szCs w:val="18"/>
                        <w:lang w:val="en-US" w:eastAsia="zh-CN" w:bidi="ar-SA"/>
                      </w:rPr>
                      <w:instrText xml:space="preserve"> PAGE  \* MERGEFORMAT </w:instrText>
                    </w:r>
                    <w:r>
                      <w:rPr>
                        <w:rFonts w:ascii="Calibri" w:hAnsi="Calibri" w:eastAsia="宋体" w:cs="Calibri"/>
                        <w:kern w:val="0"/>
                        <w:sz w:val="18"/>
                        <w:szCs w:val="18"/>
                        <w:lang w:val="en-US" w:eastAsia="zh-CN" w:bidi="ar-SA"/>
                      </w:rPr>
                      <w:fldChar w:fldCharType="separate"/>
                    </w:r>
                    <w:r>
                      <w:rPr>
                        <w:rFonts w:ascii="Calibri" w:hAnsi="Calibri" w:eastAsia="宋体" w:cs="Calibri"/>
                        <w:kern w:val="0"/>
                        <w:sz w:val="18"/>
                        <w:szCs w:val="18"/>
                        <w:lang w:val="en-US" w:eastAsia="zh-CN" w:bidi="ar-SA"/>
                      </w:rPr>
                      <w:t>100</w:t>
                    </w:r>
                    <w:r>
                      <w:rPr>
                        <w:rFonts w:ascii="Calibri" w:hAnsi="Calibri" w:eastAsia="宋体" w:cs="Calibri"/>
                        <w:kern w:val="0"/>
                        <w:sz w:val="18"/>
                        <w:szCs w:val="18"/>
                        <w:lang w:val="en-US" w:eastAsia="zh-CN" w:bidi="ar-SA"/>
                      </w:rPr>
                      <w:fldChar w:fldCharType="end"/>
                    </w:r>
                  </w:p>
                </w:txbxContent>
              </v:textbox>
            </v:shape>
          </w:pict>
        </mc:Fallback>
      </mc:AlternateContent>
    </w:r>
    <w:r>
      <w:rPr>
        <w:rFonts w:hint="eastAsia" w:ascii="宋体" w:hAnsi="宋体" w:eastAsia="宋体" w:cs="宋体"/>
        <w:kern w:val="0"/>
        <w:sz w:val="18"/>
        <w:szCs w:val="18"/>
        <w:lang w:val="en-US" w:eastAsia="zh-CN" w:bidi="ar-SA"/>
      </w:rPr>
      <w:t>江西赣安安全生产科学技术咨询服务中心                                                  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6FFB">
    <w:pPr>
      <w:widowControl w:val="0"/>
      <w:tabs>
        <w:tab w:val="center" w:pos="4153"/>
        <w:tab w:val="right" w:pos="8306"/>
      </w:tabs>
      <w:snapToGrid w:val="0"/>
      <w:jc w:val="left"/>
      <w:rPr>
        <w:rFonts w:hint="eastAsia" w:ascii="Calibri" w:hAnsi="Calibri" w:eastAsia="宋体" w:cs="Calibri"/>
        <w:kern w:val="0"/>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4A08">
    <w:pPr>
      <w:widowControl w:val="0"/>
      <w:pBdr>
        <w:bottom w:val="single" w:color="auto" w:sz="6" w:space="1"/>
      </w:pBdr>
      <w:tabs>
        <w:tab w:val="center" w:pos="4153"/>
        <w:tab w:val="right" w:pos="8306"/>
      </w:tabs>
      <w:snapToGrid w:val="0"/>
      <w:jc w:val="left"/>
      <w:rPr>
        <w:rFonts w:ascii="Calibri" w:hAnsi="Calibri" w:eastAsia="宋体" w:cs="Calibri"/>
        <w:kern w:val="0"/>
        <w:sz w:val="18"/>
        <w:szCs w:val="18"/>
        <w:lang w:val="en-US" w:eastAsia="zh-CN" w:bidi="ar-SA"/>
      </w:rPr>
    </w:pPr>
    <w:r>
      <w:rPr>
        <w:rFonts w:hint="eastAsia" w:ascii="Calibri" w:hAnsi="Calibri" w:eastAsia="宋体" w:cs="宋体"/>
        <w:kern w:val="0"/>
        <w:sz w:val="18"/>
        <w:szCs w:val="18"/>
        <w:lang w:val="en-US" w:eastAsia="zh-CN" w:bidi="ar-SA"/>
      </w:rPr>
      <w:t xml:space="preserve">中石化江西赣州兴国县南坑加油站安全设施符合性诊断及整改设计安全设施竣工验收评价报告 </w:t>
    </w:r>
    <w:r>
      <w:rPr>
        <w:rFonts w:ascii="Times New Roman" w:hAnsi="Times New Roman" w:eastAsia="宋体" w:cs="Times New Roman"/>
        <w:kern w:val="0"/>
        <w:sz w:val="18"/>
        <w:szCs w:val="18"/>
        <w:lang w:val="en-US" w:eastAsia="zh-CN" w:bidi="ar-SA"/>
      </w:rPr>
      <w:t>G</w:t>
    </w:r>
    <w:r>
      <w:rPr>
        <w:rFonts w:hint="eastAsia" w:ascii="Times New Roman" w:hAnsi="Times New Roman" w:eastAsia="宋体" w:cs="Times New Roman"/>
        <w:kern w:val="0"/>
        <w:sz w:val="18"/>
        <w:szCs w:val="18"/>
        <w:lang w:val="en-US" w:eastAsia="zh-CN" w:bidi="ar-SA"/>
      </w:rPr>
      <w:t>A</w:t>
    </w:r>
    <w:r>
      <w:rPr>
        <w:rFonts w:ascii="Times New Roman" w:hAnsi="Times New Roman" w:eastAsia="宋体" w:cs="Times New Roman"/>
        <w:kern w:val="0"/>
        <w:sz w:val="18"/>
        <w:szCs w:val="18"/>
        <w:lang w:val="en-US" w:eastAsia="zh-CN" w:bidi="ar-SA"/>
      </w:rPr>
      <w:t>AP[202</w:t>
    </w:r>
    <w:r>
      <w:rPr>
        <w:rFonts w:hint="eastAsia" w:ascii="Times New Roman" w:hAnsi="Times New Roman" w:eastAsia="宋体" w:cs="Times New Roman"/>
        <w:kern w:val="0"/>
        <w:sz w:val="18"/>
        <w:szCs w:val="18"/>
        <w:lang w:val="en-US" w:eastAsia="zh-CN" w:bidi="ar-SA"/>
      </w:rPr>
      <w:t>6</w:t>
    </w:r>
    <w:r>
      <w:rPr>
        <w:rFonts w:ascii="Times New Roman" w:hAnsi="Times New Roman" w:eastAsia="宋体" w:cs="Times New Roman"/>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0268</w:t>
    </w:r>
    <w:r>
      <w:rPr>
        <w:rFonts w:hint="eastAsia" w:ascii="Calibri" w:hAnsi="Calibri" w:eastAsia="宋体" w:cs="宋体"/>
        <w:kern w:val="0"/>
        <w:sz w:val="18"/>
        <w:szCs w:val="18"/>
        <w:lang w:val="en-US" w:eastAsia="zh-CN" w:bidi="ar-SA"/>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4871">
    <w:pPr>
      <w:widowControl w:val="0"/>
      <w:pBdr>
        <w:bottom w:val="none" w:color="auto" w:sz="0" w:space="0"/>
      </w:pBdr>
      <w:tabs>
        <w:tab w:val="center" w:pos="4153"/>
        <w:tab w:val="right" w:pos="8306"/>
      </w:tabs>
      <w:snapToGrid w:val="0"/>
      <w:jc w:val="center"/>
      <w:rPr>
        <w:rFonts w:ascii="Calibri" w:hAnsi="Calibri" w:eastAsia="宋体" w:cs="Times New Roman"/>
        <w:kern w:val="0"/>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DF9AE">
    <w:pPr>
      <w:widowControl w:val="0"/>
      <w:pBdr>
        <w:top w:val="none" w:color="auto" w:sz="0" w:space="1"/>
        <w:left w:val="none" w:color="auto" w:sz="0" w:space="4"/>
        <w:bottom w:val="none" w:color="auto" w:sz="0" w:space="1"/>
        <w:right w:val="none" w:color="auto" w:sz="0" w:space="4"/>
        <w:between w:val="none" w:color="auto" w:sz="0" w:space="0"/>
      </w:pBdr>
      <w:tabs>
        <w:tab w:val="center" w:pos="4153"/>
        <w:tab w:val="right" w:pos="8306"/>
      </w:tabs>
      <w:snapToGrid w:val="0"/>
      <w:jc w:val="center"/>
      <w:rPr>
        <w:rFonts w:ascii="Calibri" w:hAnsi="Calibri" w:eastAsia="宋体" w:cs="Calibri"/>
        <w:kern w:val="0"/>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CF4D8"/>
    <w:multiLevelType w:val="singleLevel"/>
    <w:tmpl w:val="815CF4D8"/>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
    <w:nsid w:val="C799FA55"/>
    <w:multiLevelType w:val="singleLevel"/>
    <w:tmpl w:val="C799FA55"/>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2">
    <w:nsid w:val="CA29BAAC"/>
    <w:multiLevelType w:val="singleLevel"/>
    <w:tmpl w:val="CA29BAAC"/>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3">
    <w:nsid w:val="D9F72E86"/>
    <w:multiLevelType w:val="singleLevel"/>
    <w:tmpl w:val="D9F72E86"/>
    <w:lvl w:ilvl="0" w:tentative="0">
      <w:start w:val="1"/>
      <w:numFmt w:val="chineseCounting"/>
      <w:suff w:val="nothing"/>
      <w:lvlText w:val="%1、"/>
      <w:lvlJc w:val="left"/>
      <w:rPr>
        <w:rFonts w:hint="eastAsia"/>
      </w:rPr>
    </w:lvl>
  </w:abstractNum>
  <w:abstractNum w:abstractNumId="4">
    <w:nsid w:val="E416B9D4"/>
    <w:multiLevelType w:val="singleLevel"/>
    <w:tmpl w:val="E416B9D4"/>
    <w:lvl w:ilvl="0" w:tentative="0">
      <w:start w:val="1"/>
      <w:numFmt w:val="decimal"/>
      <w:lvlText w:val="%1"/>
      <w:lvlJc w:val="left"/>
      <w:pPr>
        <w:tabs>
          <w:tab w:val="left" w:pos="420"/>
        </w:tabs>
        <w:ind w:left="425" w:leftChars="0" w:hanging="425" w:firstLineChars="0"/>
      </w:pPr>
      <w:rPr>
        <w:rFonts w:hint="default"/>
      </w:rPr>
    </w:lvl>
  </w:abstractNum>
  <w:abstractNum w:abstractNumId="5">
    <w:nsid w:val="FD8B4031"/>
    <w:multiLevelType w:val="singleLevel"/>
    <w:tmpl w:val="FD8B4031"/>
    <w:lvl w:ilvl="0" w:tentative="0">
      <w:start w:val="1"/>
      <w:numFmt w:val="decimal"/>
      <w:suff w:val="nothing"/>
      <w:lvlText w:val="%1．"/>
      <w:lvlJc w:val="left"/>
      <w:pPr>
        <w:ind w:left="0" w:firstLine="400"/>
      </w:pPr>
      <w:rPr>
        <w:rFonts w:hint="default"/>
        <w:b w:val="0"/>
        <w:bCs w:val="0"/>
      </w:rPr>
    </w:lvl>
  </w:abstractNum>
  <w:abstractNum w:abstractNumId="6">
    <w:nsid w:val="FF1A964F"/>
    <w:multiLevelType w:val="singleLevel"/>
    <w:tmpl w:val="FF1A964F"/>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7">
    <w:nsid w:val="1269005B"/>
    <w:multiLevelType w:val="singleLevel"/>
    <w:tmpl w:val="1269005B"/>
    <w:lvl w:ilvl="0" w:tentative="0">
      <w:start w:val="1"/>
      <w:numFmt w:val="decimal"/>
      <w:lvlText w:val="%1"/>
      <w:lvlJc w:val="left"/>
      <w:pPr>
        <w:tabs>
          <w:tab w:val="left" w:pos="420"/>
        </w:tabs>
        <w:ind w:left="425" w:leftChars="0" w:hanging="425" w:firstLineChars="0"/>
      </w:pPr>
      <w:rPr>
        <w:rFonts w:hint="default"/>
      </w:rPr>
    </w:lvl>
  </w:abstractNum>
  <w:abstractNum w:abstractNumId="8">
    <w:nsid w:val="1570A2A7"/>
    <w:multiLevelType w:val="singleLevel"/>
    <w:tmpl w:val="1570A2A7"/>
    <w:lvl w:ilvl="0" w:tentative="0">
      <w:start w:val="1"/>
      <w:numFmt w:val="decimal"/>
      <w:suff w:val="nothing"/>
      <w:lvlText w:val="%1．"/>
      <w:lvlJc w:val="left"/>
      <w:pPr>
        <w:ind w:left="0" w:firstLine="400"/>
      </w:pPr>
      <w:rPr>
        <w:rFonts w:hint="default"/>
      </w:rPr>
    </w:lvl>
  </w:abstractNum>
  <w:abstractNum w:abstractNumId="9">
    <w:nsid w:val="303C2B38"/>
    <w:multiLevelType w:val="multilevel"/>
    <w:tmpl w:val="303C2B3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0D33D6E"/>
    <w:multiLevelType w:val="multilevel"/>
    <w:tmpl w:val="30D33D6E"/>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38CD5D82"/>
    <w:multiLevelType w:val="multilevel"/>
    <w:tmpl w:val="38CD5D82"/>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1B629D3"/>
    <w:multiLevelType w:val="multilevel"/>
    <w:tmpl w:val="41B629D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9BE15F6"/>
    <w:multiLevelType w:val="singleLevel"/>
    <w:tmpl w:val="49BE15F6"/>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4">
    <w:nsid w:val="570CF20D"/>
    <w:multiLevelType w:val="singleLevel"/>
    <w:tmpl w:val="570CF20D"/>
    <w:lvl w:ilvl="0" w:tentative="0">
      <w:start w:val="1"/>
      <w:numFmt w:val="decimal"/>
      <w:suff w:val="nothing"/>
      <w:lvlText w:val="%1．"/>
      <w:lvlJc w:val="left"/>
      <w:pPr>
        <w:ind w:left="0" w:firstLine="400"/>
      </w:pPr>
      <w:rPr>
        <w:rFonts w:hint="default"/>
      </w:rPr>
    </w:lvl>
  </w:abstractNum>
  <w:abstractNum w:abstractNumId="15">
    <w:nsid w:val="6FBA1558"/>
    <w:multiLevelType w:val="multilevel"/>
    <w:tmpl w:val="6FBA1558"/>
    <w:lvl w:ilvl="0" w:tentative="0">
      <w:start w:val="1"/>
      <w:numFmt w:val="decimal"/>
      <w:lvlText w:val="%1."/>
      <w:lvlJc w:val="left"/>
      <w:pPr>
        <w:tabs>
          <w:tab w:val="left" w:pos="420"/>
        </w:tabs>
        <w:ind w:left="420" w:hanging="420"/>
      </w:pPr>
    </w:lvl>
    <w:lvl w:ilvl="1" w:tentative="0">
      <w:start w:val="5"/>
      <w:numFmt w:val="decimal"/>
      <w:isLgl/>
      <w:lvlText w:val="%1.%2"/>
      <w:lvlJc w:val="left"/>
      <w:pPr>
        <w:tabs>
          <w:tab w:val="left" w:pos="600"/>
        </w:tabs>
        <w:ind w:left="600" w:hanging="60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16">
    <w:nsid w:val="7D1F6CF8"/>
    <w:multiLevelType w:val="multilevel"/>
    <w:tmpl w:val="7D1F6CF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4"/>
  </w:num>
  <w:num w:numId="3">
    <w:abstractNumId w:val="2"/>
  </w:num>
  <w:num w:numId="4">
    <w:abstractNumId w:val="4"/>
  </w:num>
  <w:num w:numId="5">
    <w:abstractNumId w:val="3"/>
  </w:num>
  <w:num w:numId="6">
    <w:abstractNumId w:val="15"/>
  </w:num>
  <w:num w:numId="7">
    <w:abstractNumId w:val="7"/>
  </w:num>
  <w:num w:numId="8">
    <w:abstractNumId w:val="6"/>
  </w:num>
  <w:num w:numId="9">
    <w:abstractNumId w:val="0"/>
  </w:num>
  <w:num w:numId="10">
    <w:abstractNumId w:val="13"/>
  </w:num>
  <w:num w:numId="11">
    <w:abstractNumId w:val="1"/>
  </w:num>
  <w:num w:numId="12">
    <w:abstractNumId w:val="16"/>
  </w:num>
  <w:num w:numId="13">
    <w:abstractNumId w:val="11"/>
  </w:num>
  <w:num w:numId="14">
    <w:abstractNumId w:val="10"/>
  </w:num>
  <w:num w:numId="15">
    <w:abstractNumId w:val="9"/>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E26CC"/>
    <w:rsid w:val="01444C23"/>
    <w:rsid w:val="04DD007F"/>
    <w:rsid w:val="092809C9"/>
    <w:rsid w:val="0FED14FF"/>
    <w:rsid w:val="11694CA8"/>
    <w:rsid w:val="2307362D"/>
    <w:rsid w:val="247E26CC"/>
    <w:rsid w:val="26A07D82"/>
    <w:rsid w:val="2AC026B0"/>
    <w:rsid w:val="34A02171"/>
    <w:rsid w:val="3C80373C"/>
    <w:rsid w:val="46532316"/>
    <w:rsid w:val="46CC1167"/>
    <w:rsid w:val="49315C84"/>
    <w:rsid w:val="4CBC4717"/>
    <w:rsid w:val="4CC60FF0"/>
    <w:rsid w:val="502459B8"/>
    <w:rsid w:val="550A6F8F"/>
    <w:rsid w:val="62097A4E"/>
    <w:rsid w:val="626D731B"/>
    <w:rsid w:val="68AC2EBA"/>
    <w:rsid w:val="69057845"/>
    <w:rsid w:val="6CCE621D"/>
    <w:rsid w:val="70B3149B"/>
    <w:rsid w:val="7E095F23"/>
    <w:rsid w:val="7E556E73"/>
    <w:rsid w:val="7E957652"/>
    <w:rsid w:val="7F7E1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bCs/>
      <w:kern w:val="21"/>
      <w:sz w:val="21"/>
      <w:szCs w:val="21"/>
      <w:lang w:val="en-US" w:eastAsia="zh-CN" w:bidi="ar-SA"/>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w:basedOn w:val="1"/>
    <w:next w:val="1"/>
    <w:qFormat/>
    <w:uiPriority w:val="0"/>
    <w:pPr>
      <w:widowControl/>
      <w:spacing w:before="100" w:beforeAutospacing="1" w:after="100" w:afterAutospacing="1"/>
      <w:jc w:val="left"/>
    </w:pPr>
    <w:rPr>
      <w:rFonts w:ascii="宋体" w:hAnsi="宋体"/>
      <w:kern w:val="0"/>
      <w:sz w:val="24"/>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2" Type="http://schemas.openxmlformats.org/officeDocument/2006/relationships/fontTable" Target="fontTable.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footer" Target="foot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143</Pages>
  <Words>78412</Words>
  <Characters>85550</Characters>
  <Lines>0</Lines>
  <Paragraphs>0</Paragraphs>
  <TotalTime>7</TotalTime>
  <ScaleCrop>false</ScaleCrop>
  <LinksUpToDate>false</LinksUpToDate>
  <CharactersWithSpaces>86545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2026-07-21T01:51:00Z</dcterms:created>
  <dc:creator>华夏有约</dc:creator>
  <cp:lastModifiedBy>月儿的宝贝</cp:lastModifiedBy>
  <cp:lastPrinted>2026-08-07T07:57:00Z</cp:lastPrinted>
  <dcterms:modified xsi:type="dcterms:W3CDTF">2026-08-17T01:57:30Z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36B44D4E90B24B5E8809524437601012_11</vt:lpwstr>
  </property>
  <property fmtid="{D5CDD505-2E9C-101B-9397-08002B2CF9AE}" pid="4" name="KSOTemplateDocerSaveRecord">
    <vt:lpwstr>eyJoZGlkIjoiZDllZTdkOTgzYmNkNDNlNmFlMDI3MTI0YjA5NWI5OTkiLCJ1c2VySWQiOiI2MzI3MTA0NjMifQ==</vt:lpwstr>
  </property>
</Properties>
</file>